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1710690</wp:posOffset>
            </wp:positionH>
            <wp:positionV relativeFrom="page">
              <wp:posOffset>1913890</wp:posOffset>
            </wp:positionV>
            <wp:extent cx="584962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9620" cy="28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left="2860"/>
        <w:spacing w:after="0"/>
        <w:rPr>
          <w:sz w:val="20"/>
          <w:szCs w:val="20"/>
          <w:color w:val="auto"/>
        </w:rPr>
      </w:pPr>
      <w:r>
        <w:rPr>
          <w:rFonts w:ascii="Arial" w:cs="Arial" w:eastAsia="Arial" w:hAnsi="Arial"/>
          <w:sz w:val="24"/>
          <w:szCs w:val="24"/>
          <w:b w:val="1"/>
          <w:bCs w:val="1"/>
          <w:color w:val="auto"/>
        </w:rPr>
        <w:t>UNITED STATES</w:t>
      </w:r>
    </w:p>
    <w:p>
      <w:pPr>
        <w:spacing w:after="0" w:line="84" w:lineRule="exact"/>
        <w:rPr>
          <w:sz w:val="24"/>
          <w:szCs w:val="24"/>
          <w:color w:val="auto"/>
        </w:rPr>
      </w:pPr>
    </w:p>
    <w:p>
      <w:pPr>
        <w:jc w:val="center"/>
        <w:ind w:left="2860"/>
        <w:spacing w:after="0"/>
        <w:rPr>
          <w:sz w:val="20"/>
          <w:szCs w:val="20"/>
          <w:color w:val="auto"/>
        </w:rPr>
      </w:pPr>
      <w:r>
        <w:rPr>
          <w:rFonts w:ascii="Arial" w:cs="Arial" w:eastAsia="Arial" w:hAnsi="Arial"/>
          <w:sz w:val="24"/>
          <w:szCs w:val="24"/>
          <w:b w:val="1"/>
          <w:bCs w:val="1"/>
          <w:color w:val="auto"/>
        </w:rPr>
        <w:t>SECURITIES AND EXCHANGE COMMISSION</w:t>
      </w:r>
    </w:p>
    <w:p>
      <w:pPr>
        <w:spacing w:after="0" w:line="135" w:lineRule="exact"/>
        <w:rPr>
          <w:sz w:val="24"/>
          <w:szCs w:val="24"/>
          <w:color w:val="auto"/>
        </w:rPr>
      </w:pPr>
    </w:p>
    <w:p>
      <w:pPr>
        <w:jc w:val="center"/>
        <w:ind w:left="2860"/>
        <w:spacing w:after="0"/>
        <w:rPr>
          <w:sz w:val="20"/>
          <w:szCs w:val="20"/>
          <w:color w:val="auto"/>
        </w:rPr>
      </w:pPr>
      <w:r>
        <w:rPr>
          <w:rFonts w:ascii="Arial" w:cs="Arial" w:eastAsia="Arial" w:hAnsi="Arial"/>
          <w:sz w:val="18"/>
          <w:szCs w:val="18"/>
          <w:color w:val="auto"/>
        </w:rPr>
        <w:t>WASHINGTON, DC 20549</w:t>
      </w:r>
    </w:p>
    <w:p>
      <w:pPr>
        <w:spacing w:after="0" w:line="122" w:lineRule="exact"/>
        <w:rPr>
          <w:sz w:val="24"/>
          <w:szCs w:val="24"/>
          <w:color w:val="auto"/>
        </w:rPr>
      </w:pPr>
    </w:p>
    <w:p>
      <w:pPr>
        <w:ind w:left="5300"/>
        <w:spacing w:after="0"/>
        <w:rPr>
          <w:sz w:val="20"/>
          <w:szCs w:val="20"/>
          <w:color w:val="auto"/>
        </w:rPr>
      </w:pPr>
      <w:r>
        <w:rPr>
          <w:rFonts w:ascii="Arial" w:cs="Arial" w:eastAsia="Arial" w:hAnsi="Arial"/>
          <w:sz w:val="24"/>
          <w:szCs w:val="24"/>
          <w:b w:val="1"/>
          <w:bCs w:val="1"/>
          <w:color w:val="auto"/>
        </w:rPr>
        <w:t>FORM 20-F</w:t>
      </w:r>
    </w:p>
    <w:p>
      <w:pPr>
        <w:spacing w:after="0" w:line="191" w:lineRule="exact"/>
        <w:rPr>
          <w:sz w:val="24"/>
          <w:szCs w:val="24"/>
          <w:color w:val="auto"/>
        </w:rPr>
      </w:pPr>
    </w:p>
    <w:p>
      <w:pPr>
        <w:ind w:left="1260"/>
        <w:spacing w:after="0"/>
        <w:rPr>
          <w:sz w:val="20"/>
          <w:szCs w:val="20"/>
          <w:color w:val="auto"/>
        </w:rPr>
      </w:pPr>
      <w:r>
        <w:rPr>
          <w:rFonts w:ascii="Arial" w:cs="Arial" w:eastAsia="Arial" w:hAnsi="Arial"/>
          <w:sz w:val="14"/>
          <w:szCs w:val="14"/>
          <w:b w:val="1"/>
          <w:bCs w:val="1"/>
          <w:color w:val="auto"/>
        </w:rPr>
        <w:t>(Mark One)</w:t>
      </w:r>
    </w:p>
    <w:p>
      <w:pPr>
        <w:spacing w:after="0" w:line="200" w:lineRule="exact"/>
        <w:rPr>
          <w:sz w:val="24"/>
          <w:szCs w:val="24"/>
          <w:color w:val="auto"/>
        </w:rPr>
      </w:pPr>
    </w:p>
    <w:p>
      <w:pPr>
        <w:spacing w:after="0" w:line="232" w:lineRule="exact"/>
        <w:rPr>
          <w:sz w:val="24"/>
          <w:szCs w:val="24"/>
          <w:color w:val="auto"/>
        </w:rPr>
      </w:pPr>
    </w:p>
    <w:p>
      <w:pPr>
        <w:ind w:left="1440" w:hanging="172"/>
        <w:spacing w:after="0" w:line="308" w:lineRule="auto"/>
        <w:tabs>
          <w:tab w:leader="none" w:pos="1440" w:val="left"/>
        </w:tabs>
        <w:numPr>
          <w:ilvl w:val="0"/>
          <w:numId w:val="1"/>
        </w:numPr>
        <w:rPr>
          <w:rFonts w:ascii="MS Gothic" w:cs="MS Gothic" w:eastAsia="MS Gothic" w:hAnsi="MS Gothic"/>
          <w:sz w:val="17"/>
          <w:szCs w:val="17"/>
          <w:b w:val="1"/>
          <w:bCs w:val="1"/>
          <w:color w:val="auto"/>
        </w:rPr>
      </w:pPr>
      <w:r>
        <w:rPr>
          <w:rFonts w:ascii="Arial" w:cs="Arial" w:eastAsia="Arial" w:hAnsi="Arial"/>
          <w:sz w:val="17"/>
          <w:szCs w:val="17"/>
          <w:b w:val="1"/>
          <w:bCs w:val="1"/>
          <w:color w:val="auto"/>
        </w:rPr>
        <w:t>REGISTRATION STATEMENT PURSUANT TO SECTION 12(b) OR 12(g) OF THE SECURITIES EXCHANGE ACT O 1934</w:t>
      </w:r>
    </w:p>
    <w:p>
      <w:pPr>
        <w:spacing w:after="0" w:line="378" w:lineRule="exact"/>
        <w:rPr>
          <w:sz w:val="24"/>
          <w:szCs w:val="24"/>
          <w:color w:val="auto"/>
        </w:rPr>
      </w:pPr>
    </w:p>
    <w:p>
      <w:pPr>
        <w:ind w:left="5820"/>
        <w:spacing w:after="0"/>
        <w:rPr>
          <w:sz w:val="20"/>
          <w:szCs w:val="20"/>
          <w:color w:val="auto"/>
        </w:rPr>
      </w:pPr>
      <w:r>
        <w:rPr>
          <w:rFonts w:ascii="Arial" w:cs="Arial" w:eastAsia="Arial" w:hAnsi="Arial"/>
          <w:sz w:val="14"/>
          <w:szCs w:val="14"/>
          <w:color w:val="auto"/>
        </w:rPr>
        <w:t>OR</w:t>
      </w:r>
    </w:p>
    <w:p>
      <w:pPr>
        <w:spacing w:after="0" w:line="200" w:lineRule="exact"/>
        <w:rPr>
          <w:sz w:val="24"/>
          <w:szCs w:val="24"/>
          <w:color w:val="auto"/>
        </w:rPr>
      </w:pPr>
    </w:p>
    <w:p>
      <w:pPr>
        <w:spacing w:after="0" w:line="269" w:lineRule="exact"/>
        <w:rPr>
          <w:sz w:val="24"/>
          <w:szCs w:val="24"/>
          <w:color w:val="auto"/>
        </w:rPr>
      </w:pPr>
    </w:p>
    <w:p>
      <w:pPr>
        <w:ind w:left="1460" w:hanging="192"/>
        <w:spacing w:after="0"/>
        <w:tabs>
          <w:tab w:leader="none" w:pos="1460" w:val="left"/>
        </w:tabs>
        <w:numPr>
          <w:ilvl w:val="0"/>
          <w:numId w:val="2"/>
        </w:numPr>
        <w:rPr>
          <w:rFonts w:ascii="MS Gothic" w:cs="MS Gothic" w:eastAsia="MS Gothic" w:hAnsi="MS Gothic"/>
          <w:sz w:val="17"/>
          <w:szCs w:val="17"/>
          <w:b w:val="1"/>
          <w:bCs w:val="1"/>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00" w:lineRule="exact"/>
        <w:rPr>
          <w:sz w:val="24"/>
          <w:szCs w:val="24"/>
          <w:color w:val="auto"/>
        </w:rPr>
      </w:pPr>
    </w:p>
    <w:p>
      <w:pPr>
        <w:spacing w:after="0" w:line="233" w:lineRule="exact"/>
        <w:rPr>
          <w:sz w:val="24"/>
          <w:szCs w:val="24"/>
          <w:color w:val="auto"/>
        </w:rPr>
      </w:pPr>
    </w:p>
    <w:p>
      <w:pPr>
        <w:jc w:val="center"/>
        <w:ind w:left="2860"/>
        <w:spacing w:after="0"/>
        <w:rPr>
          <w:sz w:val="20"/>
          <w:szCs w:val="20"/>
          <w:color w:val="auto"/>
        </w:rPr>
      </w:pPr>
      <w:r>
        <w:rPr>
          <w:rFonts w:ascii="Arial" w:cs="Arial" w:eastAsia="Arial" w:hAnsi="Arial"/>
          <w:sz w:val="14"/>
          <w:szCs w:val="14"/>
          <w:color w:val="auto"/>
        </w:rPr>
        <w:t>For the fiscal year ended December 31, 2025</w:t>
      </w:r>
    </w:p>
    <w:p>
      <w:pPr>
        <w:spacing w:after="0" w:line="179" w:lineRule="exact"/>
        <w:rPr>
          <w:sz w:val="24"/>
          <w:szCs w:val="24"/>
          <w:color w:val="auto"/>
        </w:rPr>
      </w:pPr>
    </w:p>
    <w:p>
      <w:pPr>
        <w:ind w:left="5820"/>
        <w:spacing w:after="0"/>
        <w:rPr>
          <w:sz w:val="20"/>
          <w:szCs w:val="20"/>
          <w:color w:val="auto"/>
        </w:rPr>
      </w:pPr>
      <w:r>
        <w:rPr>
          <w:rFonts w:ascii="Arial" w:cs="Arial" w:eastAsia="Arial" w:hAnsi="Arial"/>
          <w:sz w:val="14"/>
          <w:szCs w:val="14"/>
          <w:color w:val="auto"/>
        </w:rPr>
        <w:t>OR</w:t>
      </w:r>
    </w:p>
    <w:p>
      <w:pPr>
        <w:spacing w:after="0" w:line="200" w:lineRule="exact"/>
        <w:rPr>
          <w:sz w:val="24"/>
          <w:szCs w:val="24"/>
          <w:color w:val="auto"/>
        </w:rPr>
      </w:pPr>
    </w:p>
    <w:p>
      <w:pPr>
        <w:spacing w:after="0" w:line="269" w:lineRule="exact"/>
        <w:rPr>
          <w:sz w:val="24"/>
          <w:szCs w:val="24"/>
          <w:color w:val="auto"/>
        </w:rPr>
      </w:pPr>
    </w:p>
    <w:p>
      <w:pPr>
        <w:ind w:left="1460" w:hanging="192"/>
        <w:spacing w:after="0"/>
        <w:tabs>
          <w:tab w:leader="none" w:pos="1460" w:val="left"/>
        </w:tabs>
        <w:numPr>
          <w:ilvl w:val="0"/>
          <w:numId w:val="3"/>
        </w:numPr>
        <w:rPr>
          <w:rFonts w:ascii="MS Gothic" w:cs="MS Gothic" w:eastAsia="MS Gothic" w:hAnsi="MS Gothic"/>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0" w:lineRule="exact"/>
        <w:rPr>
          <w:sz w:val="24"/>
          <w:szCs w:val="24"/>
          <w:color w:val="auto"/>
        </w:rPr>
      </w:pPr>
    </w:p>
    <w:p>
      <w:pPr>
        <w:spacing w:after="0" w:line="233" w:lineRule="exact"/>
        <w:rPr>
          <w:sz w:val="24"/>
          <w:szCs w:val="24"/>
          <w:color w:val="auto"/>
        </w:rPr>
      </w:pPr>
    </w:p>
    <w:p>
      <w:pPr>
        <w:ind w:left="5820"/>
        <w:spacing w:after="0"/>
        <w:rPr>
          <w:sz w:val="20"/>
          <w:szCs w:val="20"/>
          <w:color w:val="auto"/>
        </w:rPr>
      </w:pPr>
      <w:r>
        <w:rPr>
          <w:rFonts w:ascii="Arial" w:cs="Arial" w:eastAsia="Arial" w:hAnsi="Arial"/>
          <w:sz w:val="14"/>
          <w:szCs w:val="14"/>
          <w:color w:val="auto"/>
        </w:rPr>
        <w:t>OR</w:t>
      </w:r>
    </w:p>
    <w:p>
      <w:pPr>
        <w:spacing w:after="0" w:line="200" w:lineRule="exact"/>
        <w:rPr>
          <w:sz w:val="24"/>
          <w:szCs w:val="24"/>
          <w:color w:val="auto"/>
        </w:rPr>
      </w:pPr>
    </w:p>
    <w:p>
      <w:pPr>
        <w:spacing w:after="0" w:line="232" w:lineRule="exact"/>
        <w:rPr>
          <w:sz w:val="24"/>
          <w:szCs w:val="24"/>
          <w:color w:val="auto"/>
        </w:rPr>
      </w:pPr>
    </w:p>
    <w:p>
      <w:pPr>
        <w:ind w:left="1440" w:right="260" w:hanging="172"/>
        <w:spacing w:after="0" w:line="308" w:lineRule="auto"/>
        <w:tabs>
          <w:tab w:leader="none" w:pos="1440" w:val="left"/>
        </w:tabs>
        <w:numPr>
          <w:ilvl w:val="0"/>
          <w:numId w:val="4"/>
        </w:numPr>
        <w:rPr>
          <w:rFonts w:ascii="MS Gothic" w:cs="MS Gothic" w:eastAsia="MS Gothic" w:hAnsi="MS Gothic"/>
          <w:sz w:val="17"/>
          <w:szCs w:val="17"/>
          <w:b w:val="1"/>
          <w:bCs w:val="1"/>
          <w:color w:val="auto"/>
        </w:rPr>
      </w:pPr>
      <w:r>
        <w:rPr>
          <w:rFonts w:ascii="Arial" w:cs="Arial" w:eastAsia="Arial" w:hAnsi="Arial"/>
          <w:sz w:val="17"/>
          <w:szCs w:val="17"/>
          <w:b w:val="1"/>
          <w:bCs w:val="1"/>
          <w:color w:val="auto"/>
        </w:rPr>
        <w:t>SHELL COMPANY REPORT PURSUANT TO SECTION 13 OR 15(d) OF THE SECURITIES EXCHANGE ACT OF 1934</w:t>
      </w:r>
    </w:p>
    <w:p>
      <w:pPr>
        <w:spacing w:after="0" w:line="378" w:lineRule="exact"/>
        <w:rPr>
          <w:sz w:val="24"/>
          <w:szCs w:val="24"/>
          <w:color w:val="auto"/>
        </w:rPr>
      </w:pPr>
    </w:p>
    <w:p>
      <w:pPr>
        <w:jc w:val="center"/>
        <w:ind w:left="2860"/>
        <w:spacing w:after="0"/>
        <w:rPr>
          <w:sz w:val="20"/>
          <w:szCs w:val="20"/>
          <w:color w:val="auto"/>
        </w:rPr>
      </w:pPr>
      <w:r>
        <w:rPr>
          <w:rFonts w:ascii="Arial" w:cs="Arial" w:eastAsia="Arial" w:hAnsi="Arial"/>
          <w:sz w:val="14"/>
          <w:szCs w:val="14"/>
          <w:color w:val="auto"/>
        </w:rPr>
        <w:t>Date of event requiring this shell company report: Not applicable</w:t>
      </w:r>
    </w:p>
    <w:p>
      <w:pPr>
        <w:spacing w:after="0" w:line="199"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 xml:space="preserve">For the transition period from </w:t>
      </w:r>
      <w:r>
        <w:rPr>
          <w:rFonts w:ascii="Arial" w:cs="Arial" w:eastAsia="Arial" w:hAnsi="Arial"/>
          <w:sz w:val="14"/>
          <w:szCs w:val="14"/>
          <w:color w:val="auto"/>
        </w:rPr>
        <w:t>_______</w:t>
      </w:r>
      <w:r>
        <w:rPr>
          <w:rFonts w:ascii="Arial" w:cs="Arial" w:eastAsia="Arial" w:hAnsi="Arial"/>
          <w:sz w:val="14"/>
          <w:szCs w:val="14"/>
          <w:b w:val="1"/>
          <w:bCs w:val="1"/>
          <w:color w:val="auto"/>
        </w:rPr>
        <w:t xml:space="preserve"> to </w:t>
      </w:r>
      <w:r>
        <w:rPr>
          <w:rFonts w:ascii="Arial" w:cs="Arial" w:eastAsia="Arial" w:hAnsi="Arial"/>
          <w:sz w:val="14"/>
          <w:szCs w:val="14"/>
          <w:color w:val="auto"/>
        </w:rPr>
        <w:t>_______</w:t>
      </w:r>
    </w:p>
    <w:p>
      <w:pPr>
        <w:spacing w:after="0" w:line="200" w:lineRule="exact"/>
        <w:rPr>
          <w:sz w:val="24"/>
          <w:szCs w:val="24"/>
          <w:color w:val="auto"/>
        </w:rPr>
      </w:pPr>
    </w:p>
    <w:p>
      <w:pPr>
        <w:spacing w:after="0" w:line="361" w:lineRule="exact"/>
        <w:rPr>
          <w:sz w:val="24"/>
          <w:szCs w:val="24"/>
          <w:color w:val="auto"/>
        </w:rPr>
      </w:pPr>
    </w:p>
    <w:p>
      <w:pPr>
        <w:jc w:val="center"/>
        <w:ind w:left="2860"/>
        <w:spacing w:after="0"/>
        <w:rPr>
          <w:sz w:val="20"/>
          <w:szCs w:val="20"/>
          <w:color w:val="auto"/>
        </w:rPr>
      </w:pPr>
      <w:r>
        <w:rPr>
          <w:rFonts w:ascii="Arial" w:cs="Arial" w:eastAsia="Arial" w:hAnsi="Arial"/>
          <w:sz w:val="14"/>
          <w:szCs w:val="14"/>
          <w:color w:val="auto"/>
        </w:rPr>
        <w:t>Commission file number: 001-38350</w:t>
      </w:r>
    </w:p>
    <w:p>
      <w:pPr>
        <w:spacing w:after="0" w:line="158" w:lineRule="exact"/>
        <w:rPr>
          <w:sz w:val="24"/>
          <w:szCs w:val="24"/>
          <w:color w:val="auto"/>
        </w:rPr>
      </w:pPr>
    </w:p>
    <w:p>
      <w:pPr>
        <w:ind w:left="4240"/>
        <w:spacing w:after="0"/>
        <w:rPr>
          <w:sz w:val="20"/>
          <w:szCs w:val="20"/>
          <w:color w:val="auto"/>
        </w:rPr>
      </w:pPr>
      <w:r>
        <w:rPr>
          <w:rFonts w:ascii="Arial" w:cs="Arial" w:eastAsia="Arial" w:hAnsi="Arial"/>
          <w:sz w:val="28"/>
          <w:szCs w:val="28"/>
          <w:b w:val="1"/>
          <w:bCs w:val="1"/>
          <w:u w:val="single" w:color="auto"/>
          <w:color w:val="auto"/>
        </w:rPr>
        <w:t>LITHIUM ARGENTINA AG</w:t>
      </w:r>
    </w:p>
    <w:p>
      <w:pPr>
        <w:spacing w:after="0" w:line="199" w:lineRule="exact"/>
        <w:rPr>
          <w:sz w:val="24"/>
          <w:szCs w:val="24"/>
          <w:color w:val="auto"/>
        </w:rPr>
      </w:pPr>
    </w:p>
    <w:p>
      <w:pPr>
        <w:ind w:left="4320"/>
        <w:spacing w:after="0"/>
        <w:rPr>
          <w:sz w:val="20"/>
          <w:szCs w:val="20"/>
          <w:color w:val="auto"/>
        </w:rPr>
      </w:pPr>
      <w:r>
        <w:rPr>
          <w:rFonts w:ascii="Arial" w:cs="Arial" w:eastAsia="Arial" w:hAnsi="Arial"/>
          <w:sz w:val="14"/>
          <w:szCs w:val="14"/>
          <w:color w:val="auto"/>
        </w:rPr>
        <w:t>(Exact name of Registrant as specified in its charter)</w:t>
      </w:r>
    </w:p>
    <w:p>
      <w:pPr>
        <w:spacing w:after="0" w:line="200" w:lineRule="exact"/>
        <w:rPr>
          <w:sz w:val="24"/>
          <w:szCs w:val="24"/>
          <w:color w:val="auto"/>
        </w:rPr>
      </w:pPr>
    </w:p>
    <w:p>
      <w:pPr>
        <w:spacing w:after="0" w:line="361" w:lineRule="exact"/>
        <w:rPr>
          <w:sz w:val="24"/>
          <w:szCs w:val="24"/>
          <w:color w:val="auto"/>
        </w:rPr>
      </w:pPr>
    </w:p>
    <w:p>
      <w:pPr>
        <w:jc w:val="center"/>
        <w:ind w:left="2860"/>
        <w:spacing w:after="0"/>
        <w:rPr>
          <w:sz w:val="20"/>
          <w:szCs w:val="20"/>
          <w:color w:val="auto"/>
        </w:rPr>
      </w:pPr>
      <w:r>
        <w:rPr>
          <w:rFonts w:ascii="Arial" w:cs="Arial" w:eastAsia="Arial" w:hAnsi="Arial"/>
          <w:sz w:val="14"/>
          <w:szCs w:val="14"/>
          <w:b w:val="1"/>
          <w:bCs w:val="1"/>
          <w:u w:val="single" w:color="auto"/>
          <w:color w:val="auto"/>
        </w:rPr>
        <w:t>Not A</w:t>
      </w:r>
      <w:r>
        <w:rPr>
          <w:rFonts w:ascii="Arial" w:cs="Arial" w:eastAsia="Arial" w:hAnsi="Arial"/>
          <w:sz w:val="14"/>
          <w:szCs w:val="14"/>
          <w:b w:val="1"/>
          <w:bCs w:val="1"/>
          <w:color w:val="auto"/>
        </w:rPr>
        <w:t>pp</w:t>
      </w:r>
      <w:r>
        <w:rPr>
          <w:rFonts w:ascii="Arial" w:cs="Arial" w:eastAsia="Arial" w:hAnsi="Arial"/>
          <w:sz w:val="14"/>
          <w:szCs w:val="14"/>
          <w:b w:val="1"/>
          <w:bCs w:val="1"/>
          <w:u w:val="single" w:color="auto"/>
          <w:color w:val="auto"/>
        </w:rPr>
        <w:t>licable</w:t>
      </w:r>
    </w:p>
    <w:p>
      <w:pPr>
        <w:spacing w:after="0" w:line="139" w:lineRule="exact"/>
        <w:rPr>
          <w:sz w:val="24"/>
          <w:szCs w:val="24"/>
          <w:color w:val="auto"/>
        </w:rPr>
      </w:pPr>
    </w:p>
    <w:p>
      <w:pPr>
        <w:jc w:val="center"/>
        <w:ind w:left="2860"/>
        <w:spacing w:after="0"/>
        <w:rPr>
          <w:sz w:val="20"/>
          <w:szCs w:val="20"/>
          <w:color w:val="auto"/>
        </w:rPr>
      </w:pPr>
      <w:r>
        <w:rPr>
          <w:rFonts w:ascii="Arial" w:cs="Arial" w:eastAsia="Arial" w:hAnsi="Arial"/>
          <w:sz w:val="14"/>
          <w:szCs w:val="14"/>
          <w:color w:val="auto"/>
        </w:rPr>
        <w:t>(Translation of Registrant's name into English)</w:t>
      </w:r>
    </w:p>
    <w:p>
      <w:pPr>
        <w:spacing w:after="0" w:line="200" w:lineRule="exact"/>
        <w:rPr>
          <w:sz w:val="24"/>
          <w:szCs w:val="24"/>
          <w:color w:val="auto"/>
        </w:rPr>
      </w:pPr>
    </w:p>
    <w:p>
      <w:pPr>
        <w:spacing w:after="0" w:line="301" w:lineRule="exact"/>
        <w:rPr>
          <w:sz w:val="24"/>
          <w:szCs w:val="24"/>
          <w:color w:val="auto"/>
        </w:rPr>
      </w:pPr>
    </w:p>
    <w:p>
      <w:pPr>
        <w:jc w:val="center"/>
        <w:ind w:left="2860"/>
        <w:spacing w:after="0"/>
        <w:rPr>
          <w:sz w:val="20"/>
          <w:szCs w:val="20"/>
          <w:color w:val="auto"/>
        </w:rPr>
      </w:pPr>
      <w:r>
        <w:rPr>
          <w:rFonts w:ascii="Arial" w:cs="Arial" w:eastAsia="Arial" w:hAnsi="Arial"/>
          <w:sz w:val="14"/>
          <w:szCs w:val="14"/>
          <w:b w:val="1"/>
          <w:bCs w:val="1"/>
          <w:u w:val="single" w:color="auto"/>
          <w:color w:val="auto"/>
        </w:rPr>
        <w:t>Switzerland</w:t>
      </w:r>
    </w:p>
    <w:p>
      <w:pPr>
        <w:spacing w:after="0" w:line="139" w:lineRule="exact"/>
        <w:rPr>
          <w:sz w:val="24"/>
          <w:szCs w:val="24"/>
          <w:color w:val="auto"/>
        </w:rPr>
      </w:pPr>
    </w:p>
    <w:p>
      <w:pPr>
        <w:jc w:val="center"/>
        <w:ind w:left="2860"/>
        <w:spacing w:after="0"/>
        <w:rPr>
          <w:sz w:val="20"/>
          <w:szCs w:val="20"/>
          <w:color w:val="auto"/>
        </w:rPr>
      </w:pPr>
      <w:r>
        <w:rPr>
          <w:rFonts w:ascii="Arial" w:cs="Arial" w:eastAsia="Arial" w:hAnsi="Arial"/>
          <w:sz w:val="14"/>
          <w:szCs w:val="14"/>
          <w:color w:val="auto"/>
        </w:rPr>
        <w:t>(Jurisdiction of incorporation or organization)</w:t>
      </w:r>
    </w:p>
    <w:p>
      <w:pPr>
        <w:spacing w:after="0" w:line="200" w:lineRule="exact"/>
        <w:rPr>
          <w:sz w:val="24"/>
          <w:szCs w:val="24"/>
          <w:color w:val="auto"/>
        </w:rPr>
      </w:pPr>
    </w:p>
    <w:p>
      <w:pPr>
        <w:spacing w:after="0" w:line="301" w:lineRule="exact"/>
        <w:rPr>
          <w:sz w:val="24"/>
          <w:szCs w:val="24"/>
          <w:color w:val="auto"/>
        </w:rPr>
      </w:pPr>
    </w:p>
    <w:p>
      <w:pPr>
        <w:ind w:left="4600"/>
        <w:spacing w:after="0"/>
        <w:rPr>
          <w:sz w:val="20"/>
          <w:szCs w:val="20"/>
          <w:color w:val="auto"/>
        </w:rPr>
      </w:pPr>
      <w:r>
        <w:rPr>
          <w:rFonts w:ascii="Arial" w:cs="Arial" w:eastAsia="Arial" w:hAnsi="Arial"/>
          <w:sz w:val="14"/>
          <w:szCs w:val="14"/>
          <w:b w:val="1"/>
          <w:bCs w:val="1"/>
          <w:u w:val="single" w:color="auto"/>
          <w:color w:val="auto"/>
        </w:rPr>
        <w:t>Dammstrasse 19, 6300 Zug, Switzerland</w:t>
      </w:r>
    </w:p>
    <w:p>
      <w:pPr>
        <w:sectPr>
          <w:pgSz w:w="11900" w:h="16838" w:orient="portrait"/>
          <w:cols w:equalWidth="0" w:num="1">
            <w:col w:w="10440"/>
          </w:cols>
          <w:pgMar w:left="1440" w:top="1440" w:right="26"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left="4220"/>
        <w:spacing w:after="0"/>
        <w:rPr>
          <w:sz w:val="20"/>
          <w:szCs w:val="20"/>
          <w:color w:val="auto"/>
        </w:rPr>
      </w:pPr>
      <w:r>
        <w:rPr>
          <w:rFonts w:ascii="Arial" w:cs="Arial" w:eastAsia="Arial" w:hAnsi="Arial"/>
          <w:sz w:val="20"/>
          <w:szCs w:val="20"/>
          <w:color w:val="auto"/>
        </w:rPr>
        <w:t>1 / 65</w:t>
      </w:r>
    </w:p>
    <w:p>
      <w:pPr>
        <w:sectPr>
          <w:pgSz w:w="11900" w:h="16838" w:orient="portrait"/>
          <w:cols w:equalWidth="0" w:num="1">
            <w:col w:w="10440"/>
          </w:cols>
          <w:pgMar w:left="1440" w:top="1440" w:right="26" w:bottom="0" w:gutter="0" w:footer="0" w:header="0"/>
          <w:type w:val="continuous"/>
        </w:sectPr>
      </w:pPr>
    </w:p>
    <w:bookmarkStart w:id="1" w:name="page2"/>
    <w:bookmarkEnd w:id="1"/>
    <w:p>
      <w:pPr>
        <w:ind w:left="4740"/>
        <w:spacing w:after="0"/>
        <w:rPr>
          <w:sz w:val="20"/>
          <w:szCs w:val="20"/>
          <w:color w:val="auto"/>
        </w:rPr>
      </w:pPr>
      <w:r>
        <w:rPr>
          <w:rFonts w:ascii="Arial" w:cs="Arial" w:eastAsia="Arial" w:hAnsi="Arial"/>
          <w:sz w:val="14"/>
          <w:szCs w:val="14"/>
          <w:color w:val="auto"/>
        </w:rPr>
        <w:t>(Address of principal executive offices)</w:t>
      </w:r>
    </w:p>
    <w:p>
      <w:pPr>
        <w:spacing w:after="0" w:line="200" w:lineRule="exact"/>
        <w:rPr>
          <w:sz w:val="20"/>
          <w:szCs w:val="20"/>
          <w:color w:val="auto"/>
        </w:rPr>
      </w:pPr>
    </w:p>
    <w:p>
      <w:pPr>
        <w:spacing w:after="0" w:line="241" w:lineRule="exact"/>
        <w:rPr>
          <w:sz w:val="20"/>
          <w:szCs w:val="20"/>
          <w:color w:val="auto"/>
        </w:rPr>
      </w:pPr>
    </w:p>
    <w:p>
      <w:pPr>
        <w:jc w:val="center"/>
        <w:ind w:left="2840"/>
        <w:spacing w:after="0"/>
        <w:rPr>
          <w:sz w:val="20"/>
          <w:szCs w:val="20"/>
          <w:color w:val="auto"/>
        </w:rPr>
      </w:pPr>
      <w:r>
        <w:rPr>
          <w:rFonts w:ascii="Arial" w:cs="Arial" w:eastAsia="Arial" w:hAnsi="Arial"/>
          <w:sz w:val="14"/>
          <w:szCs w:val="14"/>
          <w:b w:val="1"/>
          <w:bCs w:val="1"/>
          <w:color w:val="auto"/>
        </w:rPr>
        <w:t>Alex Shulga</w:t>
      </w:r>
    </w:p>
    <w:p>
      <w:pPr>
        <w:spacing w:after="0" w:line="139" w:lineRule="exact"/>
        <w:rPr>
          <w:sz w:val="20"/>
          <w:szCs w:val="20"/>
          <w:color w:val="auto"/>
        </w:rPr>
      </w:pPr>
    </w:p>
    <w:p>
      <w:pPr>
        <w:jc w:val="center"/>
        <w:ind w:left="2840"/>
        <w:spacing w:after="0"/>
        <w:rPr>
          <w:sz w:val="20"/>
          <w:szCs w:val="20"/>
          <w:color w:val="auto"/>
        </w:rPr>
      </w:pPr>
      <w:r>
        <w:rPr>
          <w:rFonts w:ascii="Arial" w:cs="Arial" w:eastAsia="Arial" w:hAnsi="Arial"/>
          <w:sz w:val="14"/>
          <w:szCs w:val="14"/>
          <w:b w:val="1"/>
          <w:bCs w:val="1"/>
          <w:color w:val="auto"/>
        </w:rPr>
        <w:t>900 West Hastings Street, Suite 310,</w:t>
      </w:r>
    </w:p>
    <w:p>
      <w:pPr>
        <w:spacing w:after="0" w:line="139" w:lineRule="exact"/>
        <w:rPr>
          <w:sz w:val="20"/>
          <w:szCs w:val="20"/>
          <w:color w:val="auto"/>
        </w:rPr>
      </w:pPr>
    </w:p>
    <w:p>
      <w:pPr>
        <w:jc w:val="center"/>
        <w:ind w:left="2840"/>
        <w:spacing w:after="0"/>
        <w:rPr>
          <w:sz w:val="20"/>
          <w:szCs w:val="20"/>
          <w:color w:val="auto"/>
        </w:rPr>
      </w:pPr>
      <w:r>
        <w:rPr>
          <w:rFonts w:ascii="Arial" w:cs="Arial" w:eastAsia="Arial" w:hAnsi="Arial"/>
          <w:sz w:val="14"/>
          <w:szCs w:val="14"/>
          <w:b w:val="1"/>
          <w:bCs w:val="1"/>
          <w:color w:val="auto"/>
        </w:rPr>
        <w:t>Vancouver, British Columbia,</w:t>
      </w:r>
    </w:p>
    <w:p>
      <w:pPr>
        <w:spacing w:after="0" w:line="139" w:lineRule="exact"/>
        <w:rPr>
          <w:sz w:val="20"/>
          <w:szCs w:val="20"/>
          <w:color w:val="auto"/>
        </w:rPr>
      </w:pPr>
    </w:p>
    <w:p>
      <w:pPr>
        <w:jc w:val="center"/>
        <w:ind w:left="2840"/>
        <w:spacing w:after="0"/>
        <w:rPr>
          <w:sz w:val="20"/>
          <w:szCs w:val="20"/>
          <w:color w:val="auto"/>
        </w:rPr>
      </w:pPr>
      <w:r>
        <w:rPr>
          <w:rFonts w:ascii="Arial" w:cs="Arial" w:eastAsia="Arial" w:hAnsi="Arial"/>
          <w:sz w:val="14"/>
          <w:szCs w:val="14"/>
          <w:b w:val="1"/>
          <w:bCs w:val="1"/>
          <w:color w:val="auto"/>
        </w:rPr>
        <w:t>Canada V6C 1E5</w:t>
      </w:r>
    </w:p>
    <w:p>
      <w:pPr>
        <w:spacing w:after="0" w:line="139" w:lineRule="exact"/>
        <w:rPr>
          <w:sz w:val="20"/>
          <w:szCs w:val="20"/>
          <w:color w:val="auto"/>
        </w:rPr>
      </w:pPr>
    </w:p>
    <w:p>
      <w:pPr>
        <w:jc w:val="center"/>
        <w:ind w:left="2840"/>
        <w:spacing w:after="0"/>
        <w:rPr>
          <w:sz w:val="20"/>
          <w:szCs w:val="20"/>
          <w:color w:val="auto"/>
        </w:rPr>
      </w:pPr>
      <w:r>
        <w:rPr>
          <w:rFonts w:ascii="Arial" w:cs="Arial" w:eastAsia="Arial" w:hAnsi="Arial"/>
          <w:sz w:val="14"/>
          <w:szCs w:val="14"/>
          <w:b w:val="1"/>
          <w:bCs w:val="1"/>
          <w:color w:val="auto"/>
        </w:rPr>
        <w:t>alex.shulga@lithium-argentina.com</w:t>
      </w:r>
    </w:p>
    <w:p>
      <w:pPr>
        <w:spacing w:after="0" w:line="199" w:lineRule="exact"/>
        <w:rPr>
          <w:sz w:val="20"/>
          <w:szCs w:val="20"/>
          <w:color w:val="auto"/>
        </w:rPr>
      </w:pPr>
    </w:p>
    <w:p>
      <w:pPr>
        <w:jc w:val="center"/>
        <w:ind w:left="2840"/>
        <w:spacing w:after="0"/>
        <w:rPr>
          <w:sz w:val="20"/>
          <w:szCs w:val="20"/>
          <w:color w:val="auto"/>
        </w:rPr>
      </w:pPr>
      <w:r>
        <w:rPr>
          <w:rFonts w:ascii="Arial" w:cs="Arial" w:eastAsia="Arial" w:hAnsi="Arial"/>
          <w:sz w:val="14"/>
          <w:szCs w:val="14"/>
          <w:b w:val="1"/>
          <w:bCs w:val="1"/>
          <w:u w:val="single" w:color="auto"/>
          <w:color w:val="auto"/>
        </w:rPr>
        <w:t>778-653-8092</w:t>
      </w:r>
    </w:p>
    <w:p>
      <w:pPr>
        <w:spacing w:after="0" w:line="199" w:lineRule="exact"/>
        <w:rPr>
          <w:sz w:val="20"/>
          <w:szCs w:val="20"/>
          <w:color w:val="auto"/>
        </w:rPr>
      </w:pPr>
    </w:p>
    <w:p>
      <w:pPr>
        <w:ind w:left="3000"/>
        <w:spacing w:after="0"/>
        <w:rPr>
          <w:sz w:val="20"/>
          <w:szCs w:val="20"/>
          <w:color w:val="auto"/>
        </w:rPr>
      </w:pPr>
      <w:r>
        <w:rPr>
          <w:rFonts w:ascii="Arial" w:cs="Arial" w:eastAsia="Arial" w:hAnsi="Arial"/>
          <w:sz w:val="14"/>
          <w:szCs w:val="14"/>
          <w:color w:val="auto"/>
        </w:rPr>
        <w:t>(Name, Telephone, E-mail and/or Facsimile number and Address of Company Contact Person)</w:t>
      </w:r>
    </w:p>
    <w:p>
      <w:pPr>
        <w:spacing w:after="0" w:line="200" w:lineRule="exact"/>
        <w:rPr>
          <w:sz w:val="20"/>
          <w:szCs w:val="20"/>
          <w:color w:val="auto"/>
        </w:rPr>
      </w:pPr>
    </w:p>
    <w:p>
      <w:pPr>
        <w:spacing w:after="0" w:line="34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Securities registered or to be registered pursuant to Section 12(b) of the Act:</w:t>
      </w:r>
    </w:p>
    <w:p>
      <w:pPr>
        <w:spacing w:after="0" w:line="200" w:lineRule="exact"/>
        <w:rPr>
          <w:sz w:val="20"/>
          <w:szCs w:val="20"/>
          <w:color w:val="auto"/>
        </w:rPr>
      </w:pPr>
    </w:p>
    <w:p>
      <w:pPr>
        <w:spacing w:after="0" w:line="218" w:lineRule="exact"/>
        <w:rPr>
          <w:sz w:val="20"/>
          <w:szCs w:val="20"/>
          <w:color w:val="auto"/>
        </w:rPr>
      </w:pPr>
    </w:p>
    <w:p>
      <w:pPr>
        <w:ind w:left="8300"/>
        <w:spacing w:after="0"/>
        <w:rPr>
          <w:sz w:val="20"/>
          <w:szCs w:val="20"/>
          <w:color w:val="auto"/>
        </w:rPr>
      </w:pPr>
      <w:r>
        <w:rPr>
          <w:rFonts w:ascii="Arial" w:cs="Arial" w:eastAsia="Arial" w:hAnsi="Arial"/>
          <w:sz w:val="13"/>
          <w:szCs w:val="13"/>
          <w:b w:val="1"/>
          <w:bCs w:val="1"/>
          <w:color w:val="auto"/>
        </w:rPr>
        <w:t>Name of exchange on which</w:t>
      </w:r>
    </w:p>
    <w:p>
      <w:pPr>
        <w:spacing w:after="0" w:line="47" w:lineRule="exact"/>
        <w:rPr>
          <w:sz w:val="20"/>
          <w:szCs w:val="20"/>
          <w:color w:val="auto"/>
        </w:rPr>
      </w:pPr>
    </w:p>
    <w:p>
      <w:pPr>
        <w:ind w:left="2620"/>
        <w:spacing w:after="0"/>
        <w:tabs>
          <w:tab w:leader="none" w:pos="5660" w:val="left"/>
          <w:tab w:leader="none" w:pos="8840" w:val="left"/>
        </w:tabs>
        <w:rPr>
          <w:sz w:val="20"/>
          <w:szCs w:val="20"/>
          <w:color w:val="auto"/>
        </w:rPr>
      </w:pPr>
      <w:r>
        <w:rPr>
          <w:rFonts w:ascii="Arial" w:cs="Arial" w:eastAsia="Arial" w:hAnsi="Arial"/>
          <w:sz w:val="13"/>
          <w:szCs w:val="13"/>
          <w:b w:val="1"/>
          <w:bCs w:val="1"/>
          <w:color w:val="auto"/>
        </w:rPr>
        <w:t>Title of class</w:t>
      </w:r>
      <w:r>
        <w:rPr>
          <w:sz w:val="20"/>
          <w:szCs w:val="20"/>
          <w:color w:val="auto"/>
        </w:rPr>
        <w:tab/>
      </w:r>
      <w:r>
        <w:rPr>
          <w:rFonts w:ascii="Arial" w:cs="Arial" w:eastAsia="Arial" w:hAnsi="Arial"/>
          <w:sz w:val="13"/>
          <w:szCs w:val="13"/>
          <w:b w:val="1"/>
          <w:bCs w:val="1"/>
          <w:color w:val="auto"/>
        </w:rPr>
        <w:t>Trading Symbol(s)</w:t>
      </w:r>
      <w:r>
        <w:rPr>
          <w:sz w:val="20"/>
          <w:szCs w:val="20"/>
          <w:color w:val="auto"/>
        </w:rPr>
        <w:tab/>
      </w:r>
      <w:r>
        <w:rPr>
          <w:rFonts w:ascii="Arial" w:cs="Arial" w:eastAsia="Arial" w:hAnsi="Arial"/>
          <w:sz w:val="12"/>
          <w:szCs w:val="12"/>
          <w:b w:val="1"/>
          <w:bCs w:val="1"/>
          <w:color w:val="auto"/>
        </w:rPr>
        <w:t>registered</w:t>
      </w:r>
    </w:p>
    <w:p>
      <w:pPr>
        <w:spacing w:after="0" w:line="141" w:lineRule="exact"/>
        <w:rPr>
          <w:sz w:val="20"/>
          <w:szCs w:val="20"/>
          <w:color w:val="auto"/>
        </w:rPr>
      </w:pPr>
    </w:p>
    <w:p>
      <w:pPr>
        <w:ind w:left="1300"/>
        <w:spacing w:after="0"/>
        <w:tabs>
          <w:tab w:leader="none" w:pos="6080" w:val="left"/>
          <w:tab w:leader="none" w:pos="8380" w:val="left"/>
        </w:tabs>
        <w:rPr>
          <w:sz w:val="20"/>
          <w:szCs w:val="20"/>
          <w:color w:val="auto"/>
        </w:rPr>
      </w:pPr>
      <w:r>
        <w:rPr>
          <w:rFonts w:ascii="Arial" w:cs="Arial" w:eastAsia="Arial" w:hAnsi="Arial"/>
          <w:sz w:val="14"/>
          <w:szCs w:val="14"/>
          <w:color w:val="auto"/>
        </w:rPr>
        <w:t>Registered common shares, $0.01 par value per share</w:t>
      </w:r>
      <w:r>
        <w:rPr>
          <w:sz w:val="20"/>
          <w:szCs w:val="20"/>
          <w:color w:val="auto"/>
        </w:rPr>
        <w:tab/>
      </w:r>
      <w:r>
        <w:rPr>
          <w:rFonts w:ascii="Arial" w:cs="Arial" w:eastAsia="Arial" w:hAnsi="Arial"/>
          <w:sz w:val="14"/>
          <w:szCs w:val="14"/>
          <w:color w:val="auto"/>
        </w:rPr>
        <w:t>LAR</w:t>
      </w:r>
      <w:r>
        <w:rPr>
          <w:sz w:val="20"/>
          <w:szCs w:val="20"/>
          <w:color w:val="auto"/>
        </w:rPr>
        <w:tab/>
      </w:r>
      <w:r>
        <w:rPr>
          <w:rFonts w:ascii="Arial" w:cs="Arial" w:eastAsia="Arial" w:hAnsi="Arial"/>
          <w:sz w:val="14"/>
          <w:szCs w:val="14"/>
          <w:color w:val="auto"/>
        </w:rPr>
        <w:t>Toronto Stock Exchange</w:t>
      </w:r>
    </w:p>
    <w:p>
      <w:pPr>
        <w:spacing w:after="0" w:line="139" w:lineRule="exact"/>
        <w:rPr>
          <w:sz w:val="20"/>
          <w:szCs w:val="20"/>
          <w:color w:val="auto"/>
        </w:rPr>
      </w:pPr>
    </w:p>
    <w:p>
      <w:pPr>
        <w:ind w:left="8340"/>
        <w:spacing w:after="0"/>
        <w:rPr>
          <w:sz w:val="20"/>
          <w:szCs w:val="20"/>
          <w:color w:val="auto"/>
        </w:rPr>
      </w:pPr>
      <w:r>
        <w:rPr>
          <w:rFonts w:ascii="Arial" w:cs="Arial" w:eastAsia="Arial" w:hAnsi="Arial"/>
          <w:sz w:val="14"/>
          <w:szCs w:val="14"/>
          <w:color w:val="auto"/>
        </w:rPr>
        <w:t>New York Stock Exchange</w:t>
      </w:r>
    </w:p>
    <w:p>
      <w:pPr>
        <w:spacing w:after="0" w:line="200" w:lineRule="exact"/>
        <w:rPr>
          <w:sz w:val="20"/>
          <w:szCs w:val="20"/>
          <w:color w:val="auto"/>
        </w:rPr>
      </w:pPr>
    </w:p>
    <w:p>
      <w:pPr>
        <w:spacing w:after="0" w:line="253"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Securities registered or to be registered pursuant to Section 12(g) of the Act: None</w:t>
      </w: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Securities for which there is a reporting obligation pursuant to Section 15(d) of the Act: None</w:t>
      </w:r>
    </w:p>
    <w:p>
      <w:pPr>
        <w:spacing w:after="0" w:line="225" w:lineRule="exact"/>
        <w:rPr>
          <w:sz w:val="20"/>
          <w:szCs w:val="20"/>
          <w:color w:val="auto"/>
        </w:rPr>
      </w:pPr>
    </w:p>
    <w:p>
      <w:pPr>
        <w:jc w:val="both"/>
        <w:ind w:left="1260"/>
        <w:spacing w:after="0" w:line="437" w:lineRule="auto"/>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 annual report: 162,406,904 registered common shares outstanding as of December 31, 2025.</w:t>
      </w:r>
    </w:p>
    <w:p>
      <w:pPr>
        <w:spacing w:after="0" w:line="90" w:lineRule="exact"/>
        <w:rPr>
          <w:sz w:val="20"/>
          <w:szCs w:val="20"/>
          <w:color w:val="auto"/>
        </w:rPr>
      </w:pPr>
    </w:p>
    <w:p>
      <w:pPr>
        <w:ind w:left="126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22" w:lineRule="exact"/>
        <w:rPr>
          <w:sz w:val="20"/>
          <w:szCs w:val="20"/>
          <w:color w:val="auto"/>
        </w:rPr>
      </w:pPr>
    </w:p>
    <w:p>
      <w:pPr>
        <w:jc w:val="both"/>
        <w:ind w:left="1260"/>
        <w:spacing w:after="0" w:line="229"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 Securities Exchange Act of 1934.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23" w:lineRule="exact"/>
        <w:rPr>
          <w:sz w:val="20"/>
          <w:szCs w:val="20"/>
          <w:color w:val="auto"/>
        </w:rPr>
      </w:pPr>
    </w:p>
    <w:p>
      <w:pPr>
        <w:jc w:val="both"/>
        <w:ind w:left="1260"/>
        <w:spacing w:after="0" w:line="25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 during the preceding 12 months (or for such shorter period that the registrant was required to file such reports), and (2) has been subject to such filin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1022985</wp:posOffset>
            </wp:positionV>
            <wp:extent cx="6764020" cy="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218"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 / 65</w:t>
      </w:r>
    </w:p>
    <w:p>
      <w:pPr>
        <w:sectPr>
          <w:pgSz w:w="11900" w:h="16838" w:orient="portrait"/>
          <w:cols w:equalWidth="0" w:num="1">
            <w:col w:w="10460"/>
          </w:cols>
          <w:pgMar w:left="1440" w:top="1218" w:right="6"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260"/>
        <w:spacing w:after="0" w:line="25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Regulation S-T (§232.405 of this chapter) during the preceding 12 months (or for such shorter period that the registrant was required to submit suc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21" w:lineRule="exact"/>
        <w:rPr>
          <w:sz w:val="20"/>
          <w:szCs w:val="20"/>
          <w:color w:val="auto"/>
        </w:rPr>
      </w:pPr>
    </w:p>
    <w:p>
      <w:pPr>
        <w:jc w:val="both"/>
        <w:ind w:left="1260"/>
        <w:spacing w:after="0" w:line="4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an emerging growth compan See definition of "large accelerated filer," "accelerated filer" and "emerging growth company" in Rule 12b-2 of the Exchange Act.</w:t>
      </w:r>
    </w:p>
    <w:p>
      <w:pPr>
        <w:spacing w:after="0" w:line="335" w:lineRule="exact"/>
        <w:rPr>
          <w:sz w:val="20"/>
          <w:szCs w:val="20"/>
          <w:color w:val="auto"/>
        </w:rPr>
      </w:pPr>
    </w:p>
    <w:p>
      <w:pPr>
        <w:ind w:left="1260"/>
        <w:spacing w:after="0" w:line="161" w:lineRule="exact"/>
        <w:tabs>
          <w:tab w:leader="none" w:pos="4440" w:val="left"/>
          <w:tab w:leader="none" w:pos="686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187" w:lineRule="exact"/>
        <w:rPr>
          <w:sz w:val="20"/>
          <w:szCs w:val="20"/>
          <w:color w:val="auto"/>
        </w:rPr>
      </w:pPr>
    </w:p>
    <w:p>
      <w:pPr>
        <w:ind w:left="68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0"/>
          <w:szCs w:val="20"/>
          <w:color w:val="auto"/>
        </w:rPr>
      </w:pPr>
    </w:p>
    <w:p>
      <w:pPr>
        <w:spacing w:after="0" w:line="257" w:lineRule="exact"/>
        <w:rPr>
          <w:sz w:val="20"/>
          <w:szCs w:val="20"/>
          <w:color w:val="auto"/>
        </w:rPr>
      </w:pPr>
    </w:p>
    <w:p>
      <w:pPr>
        <w:jc w:val="both"/>
        <w:ind w:left="1260"/>
        <w:spacing w:after="0" w:line="253"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 elected not to use the extended transition period for complying with any new or revised financial accounting standards† provided pursuant to Sectio 13(a) of the Exchange Act. </w:t>
      </w:r>
      <w:r>
        <w:rPr>
          <w:rFonts w:ascii="MS PGothic" w:cs="MS PGothic" w:eastAsia="MS PGothic" w:hAnsi="MS PGothic"/>
          <w:sz w:val="14"/>
          <w:szCs w:val="14"/>
          <w:color w:val="auto"/>
        </w:rPr>
        <w:t>☐</w:t>
      </w:r>
    </w:p>
    <w:p>
      <w:pPr>
        <w:spacing w:after="0" w:line="221" w:lineRule="exact"/>
        <w:rPr>
          <w:sz w:val="20"/>
          <w:szCs w:val="20"/>
          <w:color w:val="auto"/>
        </w:rPr>
      </w:pPr>
    </w:p>
    <w:p>
      <w:pPr>
        <w:ind w:left="1260" w:hanging="6"/>
        <w:spacing w:after="0" w:line="437" w:lineRule="auto"/>
        <w:tabs>
          <w:tab w:leader="none" w:pos="1381"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 Standards Codification after April 5, 2012.</w:t>
      </w:r>
    </w:p>
    <w:p>
      <w:pPr>
        <w:spacing w:after="0" w:line="94" w:lineRule="exact"/>
        <w:rPr>
          <w:sz w:val="20"/>
          <w:szCs w:val="20"/>
          <w:color w:val="auto"/>
        </w:rPr>
      </w:pPr>
    </w:p>
    <w:p>
      <w:pPr>
        <w:jc w:val="both"/>
        <w:ind w:left="1260"/>
        <w:spacing w:after="0" w:line="25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 control over financial reporting under Section 404(b) of the Sarbanes-Oxley Act (15 U.S.C. 7262(b)) by the registered public accounting firm th prepared or issued its audit report. </w:t>
      </w:r>
      <w:r>
        <w:rPr>
          <w:rFonts w:ascii="MS PGothic" w:cs="MS PGothic" w:eastAsia="MS PGothic" w:hAnsi="MS PGothic"/>
          <w:sz w:val="14"/>
          <w:szCs w:val="14"/>
          <w:color w:val="auto"/>
        </w:rPr>
        <w:t>☒</w:t>
      </w:r>
    </w:p>
    <w:p>
      <w:pPr>
        <w:spacing w:after="0" w:line="221" w:lineRule="exact"/>
        <w:rPr>
          <w:sz w:val="20"/>
          <w:szCs w:val="20"/>
          <w:color w:val="auto"/>
        </w:rPr>
      </w:pPr>
    </w:p>
    <w:p>
      <w:pPr>
        <w:jc w:val="both"/>
        <w:ind w:left="1260"/>
        <w:spacing w:after="0" w:line="229"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 filing reflect the correction of an error to previously issued financial statements. </w:t>
      </w:r>
      <w:r>
        <w:rPr>
          <w:rFonts w:ascii="MS PGothic" w:cs="MS PGothic" w:eastAsia="MS PGothic" w:hAnsi="MS PGothic"/>
          <w:sz w:val="14"/>
          <w:szCs w:val="14"/>
          <w:color w:val="auto"/>
        </w:rPr>
        <w:t>☐</w:t>
      </w:r>
    </w:p>
    <w:p>
      <w:pPr>
        <w:spacing w:after="0" w:line="223" w:lineRule="exact"/>
        <w:rPr>
          <w:sz w:val="20"/>
          <w:szCs w:val="20"/>
          <w:color w:val="auto"/>
        </w:rPr>
      </w:pPr>
    </w:p>
    <w:p>
      <w:pPr>
        <w:jc w:val="both"/>
        <w:ind w:left="1260"/>
        <w:spacing w:after="0" w:line="229"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 based compensatio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23" w:lineRule="exact"/>
        <w:rPr>
          <w:sz w:val="20"/>
          <w:szCs w:val="20"/>
          <w:color w:val="auto"/>
        </w:rPr>
      </w:pPr>
    </w:p>
    <w:p>
      <w:pPr>
        <w:jc w:val="center"/>
        <w:ind w:left="1540"/>
        <w:spacing w:after="0"/>
        <w:rPr>
          <w:sz w:val="20"/>
          <w:szCs w:val="20"/>
          <w:color w:val="auto"/>
        </w:rPr>
      </w:pPr>
      <w:r>
        <w:rPr>
          <w:rFonts w:ascii="Arial" w:cs="Arial" w:eastAsia="Arial" w:hAnsi="Arial"/>
          <w:sz w:val="13"/>
          <w:szCs w:val="13"/>
          <w:color w:val="auto"/>
        </w:rPr>
        <w:t>Indicate by check mark which basis of accounting the registrant has used to prepare the financial statements included in this filing:</w:t>
      </w:r>
    </w:p>
    <w:p>
      <w:pPr>
        <w:spacing w:after="0" w:line="227" w:lineRule="exact"/>
        <w:rPr>
          <w:sz w:val="20"/>
          <w:szCs w:val="20"/>
          <w:color w:val="auto"/>
        </w:rPr>
      </w:pPr>
    </w:p>
    <w:p>
      <w:pPr>
        <w:ind w:left="1260"/>
        <w:spacing w:after="0" w:line="161" w:lineRule="exact"/>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r>
        <w:rPr>
          <w:rFonts w:ascii="Arial" w:cs="Arial" w:eastAsia="Arial" w:hAnsi="Arial"/>
          <w:sz w:val="14"/>
          <w:szCs w:val="14"/>
          <w:color w:val="auto"/>
        </w:rPr>
        <w:t xml:space="preserve"> International Financial Reporting Standards as issued by the International Accounting Standards Board </w:t>
      </w:r>
      <w:r>
        <w:rPr>
          <w:rFonts w:ascii="MS PGothic" w:cs="MS PGothic" w:eastAsia="MS PGothic" w:hAnsi="MS PGothic"/>
          <w:sz w:val="14"/>
          <w:szCs w:val="14"/>
          <w:color w:val="auto"/>
        </w:rPr>
        <w:t>☒</w:t>
      </w:r>
      <w:r>
        <w:rPr>
          <w:rFonts w:ascii="Arial" w:cs="Arial" w:eastAsia="Arial" w:hAnsi="Arial"/>
          <w:sz w:val="14"/>
          <w:szCs w:val="14"/>
          <w:color w:val="auto"/>
        </w:rPr>
        <w:t xml:space="preserve"> Other </w:t>
      </w:r>
      <w:r>
        <w:rPr>
          <w:rFonts w:ascii="MS PGothic" w:cs="MS PGothic" w:eastAsia="MS PGothic" w:hAnsi="MS PGothic"/>
          <w:sz w:val="14"/>
          <w:szCs w:val="14"/>
          <w:color w:val="auto"/>
        </w:rPr>
        <w:t>☐</w:t>
      </w:r>
    </w:p>
    <w:p>
      <w:pPr>
        <w:spacing w:after="0" w:line="222" w:lineRule="exact"/>
        <w:rPr>
          <w:sz w:val="20"/>
          <w:szCs w:val="20"/>
          <w:color w:val="auto"/>
        </w:rPr>
      </w:pPr>
    </w:p>
    <w:p>
      <w:pPr>
        <w:ind w:left="1260" w:right="60"/>
        <w:spacing w:after="0" w:line="229" w:lineRule="exact"/>
        <w:rPr>
          <w:sz w:val="20"/>
          <w:szCs w:val="20"/>
          <w:color w:val="auto"/>
        </w:rPr>
      </w:pPr>
      <w:r>
        <w:rPr>
          <w:rFonts w:ascii="Arial" w:cs="Arial" w:eastAsia="Arial" w:hAnsi="Arial"/>
          <w:sz w:val="14"/>
          <w:szCs w:val="14"/>
          <w:color w:val="auto"/>
        </w:rPr>
        <w:t xml:space="preserve">If "Other" has been checked in response to the previous question, indicate by check mark which financial statement item the registrant has elected follow. </w:t>
      </w:r>
      <w:r>
        <w:rPr>
          <w:rFonts w:ascii="MS PGothic" w:cs="MS PGothic" w:eastAsia="MS PGothic" w:hAnsi="MS PGothic"/>
          <w:sz w:val="14"/>
          <w:szCs w:val="14"/>
          <w:color w:val="auto"/>
        </w:rPr>
        <w:t>☐</w:t>
      </w:r>
      <w:r>
        <w:rPr>
          <w:rFonts w:ascii="Arial" w:cs="Arial" w:eastAsia="Arial" w:hAnsi="Arial"/>
          <w:sz w:val="14"/>
          <w:szCs w:val="14"/>
          <w:color w:val="auto"/>
        </w:rPr>
        <w:t xml:space="preserve"> Item 17 </w:t>
      </w:r>
      <w:r>
        <w:rPr>
          <w:rFonts w:ascii="MS PGothic" w:cs="MS PGothic" w:eastAsia="MS PGothic" w:hAnsi="MS PGothic"/>
          <w:sz w:val="14"/>
          <w:szCs w:val="14"/>
          <w:color w:val="auto"/>
        </w:rPr>
        <w:t>☐</w:t>
      </w:r>
      <w:r>
        <w:rPr>
          <w:rFonts w:ascii="Arial" w:cs="Arial" w:eastAsia="Arial" w:hAnsi="Arial"/>
          <w:sz w:val="14"/>
          <w:szCs w:val="14"/>
          <w:color w:val="auto"/>
        </w:rPr>
        <w:t xml:space="preserve"> Item 18</w:t>
      </w:r>
    </w:p>
    <w:p>
      <w:pPr>
        <w:spacing w:after="0" w:line="219" w:lineRule="exact"/>
        <w:rPr>
          <w:sz w:val="20"/>
          <w:szCs w:val="20"/>
          <w:color w:val="auto"/>
        </w:rPr>
      </w:pPr>
    </w:p>
    <w:p>
      <w:pPr>
        <w:ind w:left="1260" w:right="60"/>
        <w:spacing w:after="0" w:line="229" w:lineRule="exact"/>
        <w:rPr>
          <w:sz w:val="20"/>
          <w:szCs w:val="20"/>
          <w:color w:val="auto"/>
        </w:rPr>
      </w:pPr>
      <w:r>
        <w:rPr>
          <w:rFonts w:ascii="Arial" w:cs="Arial" w:eastAsia="Arial" w:hAnsi="Arial"/>
          <w:sz w:val="14"/>
          <w:szCs w:val="14"/>
          <w:color w:val="auto"/>
        </w:rPr>
        <w:t xml:space="preserve">If this is an annual report, 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1447800</wp:posOffset>
            </wp:positionV>
            <wp:extent cx="676402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64020" cy="190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238125</wp:posOffset>
            </wp:positionV>
            <wp:extent cx="5849620" cy="28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9620" cy="2857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 / 65</w:t>
      </w:r>
    </w:p>
    <w:p>
      <w:pPr>
        <w:sectPr>
          <w:pgSz w:w="11900" w:h="16838" w:orient="portrait"/>
          <w:cols w:equalWidth="0" w:num="1">
            <w:col w:w="10460"/>
          </w:cols>
          <w:pgMar w:left="1440" w:top="1440" w:right="6"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90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gridSpan w:val="16"/>
          </w:tcPr>
          <w:p>
            <w:pPr>
              <w:ind w:left="60"/>
              <w:spacing w:after="0"/>
              <w:rPr>
                <w:sz w:val="20"/>
                <w:szCs w:val="20"/>
                <w:color w:val="auto"/>
              </w:rPr>
            </w:pPr>
            <w:r>
              <w:rPr>
                <w:rFonts w:ascii="Arial" w:cs="Arial" w:eastAsia="Arial" w:hAnsi="Arial"/>
                <w:sz w:val="20"/>
                <w:szCs w:val="20"/>
                <w:b w:val="1"/>
                <w:bCs w:val="1"/>
                <w:color w:val="auto"/>
              </w:rPr>
              <w:t>TABLE OF CONTENTS</w:t>
            </w:r>
          </w:p>
        </w:tc>
      </w:tr>
      <w:tr>
        <w:trPr>
          <w:trHeight w:val="958"/>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100" w:type="dxa"/>
            <w:vAlign w:val="bottom"/>
            <w:gridSpan w:val="25"/>
          </w:tcPr>
          <w:p>
            <w:pPr>
              <w:spacing w:after="0"/>
              <w:rPr>
                <w:sz w:val="20"/>
                <w:szCs w:val="20"/>
                <w:color w:val="auto"/>
              </w:rPr>
            </w:pPr>
            <w:r>
              <w:rPr>
                <w:rFonts w:ascii="Arial" w:cs="Arial" w:eastAsia="Arial" w:hAnsi="Arial"/>
                <w:sz w:val="20"/>
                <w:szCs w:val="20"/>
                <w:color w:val="0000FF"/>
              </w:rPr>
              <w:t>CAUTIONARY STATEMENT REGARDING FORWARD-LOOKING STATEMENTS</w:t>
            </w:r>
          </w:p>
        </w:tc>
      </w:tr>
      <w:tr>
        <w:trPr>
          <w:trHeight w:val="311"/>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00" w:type="dxa"/>
            <w:vAlign w:val="bottom"/>
            <w:tcBorders>
              <w:top w:val="single" w:sz="8" w:color="0000FF"/>
            </w:tcBorders>
            <w:gridSpan w:val="23"/>
          </w:tcPr>
          <w:p>
            <w:pPr>
              <w:spacing w:after="0"/>
              <w:rPr>
                <w:sz w:val="20"/>
                <w:szCs w:val="20"/>
                <w:color w:val="auto"/>
              </w:rPr>
            </w:pPr>
            <w:r>
              <w:rPr>
                <w:rFonts w:ascii="Arial" w:cs="Arial" w:eastAsia="Arial" w:hAnsi="Arial"/>
                <w:sz w:val="20"/>
                <w:szCs w:val="20"/>
                <w:color w:val="0000FF"/>
              </w:rPr>
              <w:t>EXPLANATORY NOTE</w:t>
            </w:r>
          </w:p>
        </w:tc>
        <w:tc>
          <w:tcPr>
            <w:tcW w:w="800" w:type="dxa"/>
            <w:vAlign w:val="bottom"/>
            <w:gridSpan w:val="2"/>
          </w:tcPr>
          <w:p>
            <w:pPr>
              <w:spacing w:after="0"/>
              <w:rPr>
                <w:sz w:val="24"/>
                <w:szCs w:val="24"/>
                <w:color w:val="auto"/>
              </w:rPr>
            </w:pPr>
          </w:p>
        </w:tc>
      </w:tr>
      <w:tr>
        <w:trPr>
          <w:trHeight w:val="311"/>
        </w:trPr>
        <w:tc>
          <w:tcPr>
            <w:tcW w:w="66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w w:val="99"/>
              </w:rPr>
              <w:t>PART I</w:t>
            </w:r>
          </w:p>
        </w:tc>
        <w:tc>
          <w:tcPr>
            <w:tcW w:w="560" w:type="dxa"/>
            <w:vAlign w:val="bottom"/>
            <w:gridSpan w:val="8"/>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1"/>
        </w:trPr>
        <w:tc>
          <w:tcPr>
            <w:tcW w:w="1220" w:type="dxa"/>
            <w:vAlign w:val="bottom"/>
            <w:gridSpan w:val="9"/>
          </w:tcPr>
          <w:p>
            <w:pPr>
              <w:spacing w:after="0"/>
              <w:rPr>
                <w:sz w:val="20"/>
                <w:szCs w:val="20"/>
                <w:color w:val="auto"/>
              </w:rPr>
            </w:pPr>
            <w:r>
              <w:rPr>
                <w:rFonts w:ascii="Arial" w:cs="Arial" w:eastAsia="Arial" w:hAnsi="Arial"/>
                <w:sz w:val="20"/>
                <w:szCs w:val="20"/>
                <w:color w:val="0000FF"/>
              </w:rPr>
              <w:t>ITEM 1.</w:t>
            </w:r>
          </w:p>
        </w:tc>
        <w:tc>
          <w:tcPr>
            <w:tcW w:w="8100" w:type="dxa"/>
            <w:vAlign w:val="bottom"/>
            <w:gridSpan w:val="25"/>
          </w:tcPr>
          <w:p>
            <w:pPr>
              <w:spacing w:after="0"/>
              <w:rPr>
                <w:sz w:val="20"/>
                <w:szCs w:val="20"/>
                <w:color w:val="auto"/>
              </w:rPr>
            </w:pPr>
            <w:r>
              <w:rPr>
                <w:rFonts w:ascii="Arial" w:cs="Arial" w:eastAsia="Arial" w:hAnsi="Arial"/>
                <w:sz w:val="20"/>
                <w:szCs w:val="20"/>
                <w:color w:val="0000FF"/>
              </w:rPr>
              <w:t>IDENTITY OF DIRECTORS, SENIOR MANAGEMENT AND ADVISERS</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1"/>
        </w:trPr>
        <w:tc>
          <w:tcPr>
            <w:tcW w:w="1220" w:type="dxa"/>
            <w:vAlign w:val="bottom"/>
            <w:gridSpan w:val="9"/>
          </w:tcPr>
          <w:p>
            <w:pPr>
              <w:spacing w:after="0"/>
              <w:rPr>
                <w:sz w:val="20"/>
                <w:szCs w:val="20"/>
                <w:color w:val="auto"/>
              </w:rPr>
            </w:pPr>
            <w:r>
              <w:rPr>
                <w:rFonts w:ascii="Arial" w:cs="Arial" w:eastAsia="Arial" w:hAnsi="Arial"/>
                <w:sz w:val="20"/>
                <w:szCs w:val="20"/>
                <w:color w:val="0000FF"/>
              </w:rPr>
              <w:t>ITEM 2.</w:t>
            </w:r>
          </w:p>
        </w:tc>
        <w:tc>
          <w:tcPr>
            <w:tcW w:w="8100" w:type="dxa"/>
            <w:vAlign w:val="bottom"/>
            <w:gridSpan w:val="25"/>
          </w:tcPr>
          <w:p>
            <w:pPr>
              <w:spacing w:after="0"/>
              <w:rPr>
                <w:sz w:val="20"/>
                <w:szCs w:val="20"/>
                <w:color w:val="auto"/>
              </w:rPr>
            </w:pPr>
            <w:r>
              <w:rPr>
                <w:rFonts w:ascii="Arial" w:cs="Arial" w:eastAsia="Arial" w:hAnsi="Arial"/>
                <w:sz w:val="20"/>
                <w:szCs w:val="20"/>
                <w:color w:val="0000FF"/>
              </w:rPr>
              <w:t>OFFER STATISTICS AND EXPECTED TIMETABLE</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1"/>
        </w:trPr>
        <w:tc>
          <w:tcPr>
            <w:tcW w:w="1220" w:type="dxa"/>
            <w:vAlign w:val="bottom"/>
            <w:gridSpan w:val="9"/>
          </w:tcPr>
          <w:p>
            <w:pPr>
              <w:spacing w:after="0"/>
              <w:rPr>
                <w:sz w:val="20"/>
                <w:szCs w:val="20"/>
                <w:color w:val="auto"/>
              </w:rPr>
            </w:pPr>
            <w:r>
              <w:rPr>
                <w:rFonts w:ascii="Arial" w:cs="Arial" w:eastAsia="Arial" w:hAnsi="Arial"/>
                <w:sz w:val="20"/>
                <w:szCs w:val="20"/>
                <w:color w:val="0000FF"/>
              </w:rPr>
              <w:t>ITEM 3.</w:t>
            </w:r>
          </w:p>
        </w:tc>
        <w:tc>
          <w:tcPr>
            <w:tcW w:w="8100" w:type="dxa"/>
            <w:vAlign w:val="bottom"/>
            <w:gridSpan w:val="25"/>
          </w:tcPr>
          <w:p>
            <w:pPr>
              <w:spacing w:after="0"/>
              <w:rPr>
                <w:sz w:val="20"/>
                <w:szCs w:val="20"/>
                <w:color w:val="auto"/>
              </w:rPr>
            </w:pPr>
            <w:r>
              <w:rPr>
                <w:rFonts w:ascii="Arial" w:cs="Arial" w:eastAsia="Arial" w:hAnsi="Arial"/>
                <w:sz w:val="20"/>
                <w:szCs w:val="20"/>
                <w:color w:val="0000FF"/>
              </w:rPr>
              <w:t>KEY INFORMATION</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1"/>
        </w:trPr>
        <w:tc>
          <w:tcPr>
            <w:tcW w:w="1220" w:type="dxa"/>
            <w:vAlign w:val="bottom"/>
            <w:gridSpan w:val="9"/>
          </w:tcPr>
          <w:p>
            <w:pPr>
              <w:spacing w:after="0"/>
              <w:rPr>
                <w:sz w:val="20"/>
                <w:szCs w:val="20"/>
                <w:color w:val="auto"/>
              </w:rPr>
            </w:pPr>
            <w:r>
              <w:rPr>
                <w:rFonts w:ascii="Arial" w:cs="Arial" w:eastAsia="Arial" w:hAnsi="Arial"/>
                <w:sz w:val="20"/>
                <w:szCs w:val="20"/>
                <w:color w:val="0000FF"/>
              </w:rPr>
              <w:t>ITEM 4.</w:t>
            </w:r>
          </w:p>
        </w:tc>
        <w:tc>
          <w:tcPr>
            <w:tcW w:w="8100" w:type="dxa"/>
            <w:vAlign w:val="bottom"/>
            <w:gridSpan w:val="25"/>
          </w:tcPr>
          <w:p>
            <w:pPr>
              <w:spacing w:after="0"/>
              <w:rPr>
                <w:sz w:val="20"/>
                <w:szCs w:val="20"/>
                <w:color w:val="auto"/>
              </w:rPr>
            </w:pPr>
            <w:r>
              <w:rPr>
                <w:rFonts w:ascii="Arial" w:cs="Arial" w:eastAsia="Arial" w:hAnsi="Arial"/>
                <w:sz w:val="20"/>
                <w:szCs w:val="20"/>
                <w:color w:val="0000FF"/>
              </w:rPr>
              <w:t>INFORMATION ON THE COMPANY</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1"/>
        </w:trPr>
        <w:tc>
          <w:tcPr>
            <w:tcW w:w="840" w:type="dxa"/>
            <w:vAlign w:val="bottom"/>
            <w:gridSpan w:val="4"/>
          </w:tcPr>
          <w:p>
            <w:pPr>
              <w:spacing w:after="0"/>
              <w:rPr>
                <w:sz w:val="20"/>
                <w:szCs w:val="20"/>
                <w:color w:val="auto"/>
              </w:rPr>
            </w:pPr>
            <w:r>
              <w:rPr>
                <w:rFonts w:ascii="Arial" w:cs="Arial" w:eastAsia="Arial" w:hAnsi="Arial"/>
                <w:sz w:val="20"/>
                <w:szCs w:val="20"/>
                <w:color w:val="0000FF"/>
                <w:w w:val="95"/>
              </w:rPr>
              <w:t>ITEM 4A.</w:t>
            </w:r>
          </w:p>
        </w:tc>
        <w:tc>
          <w:tcPr>
            <w:tcW w:w="380" w:type="dxa"/>
            <w:vAlign w:val="bottom"/>
            <w:gridSpan w:val="5"/>
          </w:tcPr>
          <w:p>
            <w:pPr>
              <w:spacing w:after="0"/>
              <w:rPr>
                <w:sz w:val="24"/>
                <w:szCs w:val="24"/>
                <w:color w:val="auto"/>
              </w:rPr>
            </w:pPr>
          </w:p>
        </w:tc>
        <w:tc>
          <w:tcPr>
            <w:tcW w:w="8100" w:type="dxa"/>
            <w:vAlign w:val="bottom"/>
            <w:gridSpan w:val="25"/>
          </w:tcPr>
          <w:p>
            <w:pPr>
              <w:spacing w:after="0"/>
              <w:rPr>
                <w:sz w:val="20"/>
                <w:szCs w:val="20"/>
                <w:color w:val="auto"/>
              </w:rPr>
            </w:pPr>
            <w:r>
              <w:rPr>
                <w:rFonts w:ascii="Arial" w:cs="Arial" w:eastAsia="Arial" w:hAnsi="Arial"/>
                <w:sz w:val="20"/>
                <w:szCs w:val="20"/>
                <w:color w:val="0000FF"/>
              </w:rPr>
              <w:t>UNRESOLVED STAFF COMMENTS</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1"/>
        </w:trPr>
        <w:tc>
          <w:tcPr>
            <w:tcW w:w="840" w:type="dxa"/>
            <w:vAlign w:val="bottom"/>
            <w:gridSpan w:val="4"/>
          </w:tcPr>
          <w:p>
            <w:pPr>
              <w:spacing w:after="0"/>
              <w:rPr>
                <w:sz w:val="20"/>
                <w:szCs w:val="20"/>
                <w:color w:val="auto"/>
              </w:rPr>
            </w:pPr>
            <w:r>
              <w:rPr>
                <w:rFonts w:ascii="Arial" w:cs="Arial" w:eastAsia="Arial" w:hAnsi="Arial"/>
                <w:sz w:val="20"/>
                <w:szCs w:val="20"/>
                <w:color w:val="0000FF"/>
              </w:rPr>
              <w:t>ITEM 5.</w:t>
            </w:r>
          </w:p>
        </w:tc>
        <w:tc>
          <w:tcPr>
            <w:tcW w:w="380" w:type="dxa"/>
            <w:vAlign w:val="bottom"/>
            <w:gridSpan w:val="5"/>
          </w:tcPr>
          <w:p>
            <w:pPr>
              <w:spacing w:after="0"/>
              <w:rPr>
                <w:sz w:val="24"/>
                <w:szCs w:val="24"/>
                <w:color w:val="auto"/>
              </w:rPr>
            </w:pPr>
          </w:p>
        </w:tc>
        <w:tc>
          <w:tcPr>
            <w:tcW w:w="8100" w:type="dxa"/>
            <w:vAlign w:val="bottom"/>
            <w:gridSpan w:val="25"/>
          </w:tcPr>
          <w:p>
            <w:pPr>
              <w:spacing w:after="0"/>
              <w:rPr>
                <w:sz w:val="20"/>
                <w:szCs w:val="20"/>
                <w:color w:val="auto"/>
              </w:rPr>
            </w:pPr>
            <w:r>
              <w:rPr>
                <w:rFonts w:ascii="Arial" w:cs="Arial" w:eastAsia="Arial" w:hAnsi="Arial"/>
                <w:sz w:val="20"/>
                <w:szCs w:val="20"/>
                <w:color w:val="0000FF"/>
              </w:rPr>
              <w:t>OPERATING AND FINANCIAL REVIEW AND PROSPECTS</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1"/>
        </w:trPr>
        <w:tc>
          <w:tcPr>
            <w:tcW w:w="1220" w:type="dxa"/>
            <w:vAlign w:val="bottom"/>
            <w:gridSpan w:val="9"/>
          </w:tcPr>
          <w:p>
            <w:pPr>
              <w:spacing w:after="0"/>
              <w:rPr>
                <w:sz w:val="20"/>
                <w:szCs w:val="20"/>
                <w:color w:val="auto"/>
              </w:rPr>
            </w:pPr>
            <w:r>
              <w:rPr>
                <w:rFonts w:ascii="Arial" w:cs="Arial" w:eastAsia="Arial" w:hAnsi="Arial"/>
                <w:sz w:val="20"/>
                <w:szCs w:val="20"/>
                <w:color w:val="0000FF"/>
              </w:rPr>
              <w:t>ITEM 6.</w:t>
            </w:r>
          </w:p>
        </w:tc>
        <w:tc>
          <w:tcPr>
            <w:tcW w:w="8100" w:type="dxa"/>
            <w:vAlign w:val="bottom"/>
            <w:gridSpan w:val="25"/>
          </w:tcPr>
          <w:p>
            <w:pPr>
              <w:spacing w:after="0"/>
              <w:rPr>
                <w:sz w:val="20"/>
                <w:szCs w:val="20"/>
                <w:color w:val="auto"/>
              </w:rPr>
            </w:pPr>
            <w:r>
              <w:rPr>
                <w:rFonts w:ascii="Arial" w:cs="Arial" w:eastAsia="Arial" w:hAnsi="Arial"/>
                <w:sz w:val="20"/>
                <w:szCs w:val="20"/>
                <w:color w:val="0000FF"/>
              </w:rPr>
              <w:t>DIRECTORS, SENIOR MANAGEMENT AND EMPLOYEES</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1"/>
        </w:trPr>
        <w:tc>
          <w:tcPr>
            <w:tcW w:w="1220" w:type="dxa"/>
            <w:vAlign w:val="bottom"/>
            <w:gridSpan w:val="9"/>
          </w:tcPr>
          <w:p>
            <w:pPr>
              <w:spacing w:after="0"/>
              <w:rPr>
                <w:sz w:val="20"/>
                <w:szCs w:val="20"/>
                <w:color w:val="auto"/>
              </w:rPr>
            </w:pPr>
            <w:r>
              <w:rPr>
                <w:rFonts w:ascii="Arial" w:cs="Arial" w:eastAsia="Arial" w:hAnsi="Arial"/>
                <w:sz w:val="20"/>
                <w:szCs w:val="20"/>
                <w:color w:val="0000FF"/>
              </w:rPr>
              <w:t>ITEM 7.</w:t>
            </w:r>
          </w:p>
        </w:tc>
        <w:tc>
          <w:tcPr>
            <w:tcW w:w="8100" w:type="dxa"/>
            <w:vAlign w:val="bottom"/>
            <w:gridSpan w:val="25"/>
          </w:tcPr>
          <w:p>
            <w:pPr>
              <w:spacing w:after="0"/>
              <w:rPr>
                <w:sz w:val="20"/>
                <w:szCs w:val="20"/>
                <w:color w:val="auto"/>
              </w:rPr>
            </w:pPr>
            <w:r>
              <w:rPr>
                <w:rFonts w:ascii="Arial" w:cs="Arial" w:eastAsia="Arial" w:hAnsi="Arial"/>
                <w:sz w:val="20"/>
                <w:szCs w:val="20"/>
                <w:color w:val="0000FF"/>
              </w:rPr>
              <w:t>MAJOR SHAREHOLDERS AND RELATED PARTY TRANSACTIONS</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1"/>
        </w:trPr>
        <w:tc>
          <w:tcPr>
            <w:tcW w:w="1220" w:type="dxa"/>
            <w:vAlign w:val="bottom"/>
            <w:gridSpan w:val="9"/>
          </w:tcPr>
          <w:p>
            <w:pPr>
              <w:spacing w:after="0"/>
              <w:rPr>
                <w:sz w:val="20"/>
                <w:szCs w:val="20"/>
                <w:color w:val="auto"/>
              </w:rPr>
            </w:pPr>
            <w:r>
              <w:rPr>
                <w:rFonts w:ascii="Arial" w:cs="Arial" w:eastAsia="Arial" w:hAnsi="Arial"/>
                <w:sz w:val="20"/>
                <w:szCs w:val="20"/>
                <w:color w:val="0000FF"/>
              </w:rPr>
              <w:t>ITEM 8.</w:t>
            </w:r>
          </w:p>
        </w:tc>
        <w:tc>
          <w:tcPr>
            <w:tcW w:w="8100" w:type="dxa"/>
            <w:vAlign w:val="bottom"/>
            <w:gridSpan w:val="25"/>
          </w:tcPr>
          <w:p>
            <w:pPr>
              <w:spacing w:after="0"/>
              <w:rPr>
                <w:sz w:val="20"/>
                <w:szCs w:val="20"/>
                <w:color w:val="auto"/>
              </w:rPr>
            </w:pPr>
            <w:r>
              <w:rPr>
                <w:rFonts w:ascii="Arial" w:cs="Arial" w:eastAsia="Arial" w:hAnsi="Arial"/>
                <w:sz w:val="20"/>
                <w:szCs w:val="20"/>
                <w:color w:val="0000FF"/>
              </w:rPr>
              <w:t>FINANCIAL INFORMATION</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1"/>
        </w:trPr>
        <w:tc>
          <w:tcPr>
            <w:tcW w:w="1220" w:type="dxa"/>
            <w:vAlign w:val="bottom"/>
            <w:gridSpan w:val="9"/>
          </w:tcPr>
          <w:p>
            <w:pPr>
              <w:spacing w:after="0"/>
              <w:rPr>
                <w:sz w:val="20"/>
                <w:szCs w:val="20"/>
                <w:color w:val="auto"/>
              </w:rPr>
            </w:pPr>
            <w:r>
              <w:rPr>
                <w:rFonts w:ascii="Arial" w:cs="Arial" w:eastAsia="Arial" w:hAnsi="Arial"/>
                <w:sz w:val="20"/>
                <w:szCs w:val="20"/>
                <w:color w:val="0000FF"/>
              </w:rPr>
              <w:t>ITEM 9.</w:t>
            </w:r>
          </w:p>
        </w:tc>
        <w:tc>
          <w:tcPr>
            <w:tcW w:w="8100" w:type="dxa"/>
            <w:vAlign w:val="bottom"/>
            <w:gridSpan w:val="25"/>
          </w:tcPr>
          <w:p>
            <w:pPr>
              <w:spacing w:after="0"/>
              <w:rPr>
                <w:sz w:val="20"/>
                <w:szCs w:val="20"/>
                <w:color w:val="auto"/>
              </w:rPr>
            </w:pPr>
            <w:r>
              <w:rPr>
                <w:rFonts w:ascii="Arial" w:cs="Arial" w:eastAsia="Arial" w:hAnsi="Arial"/>
                <w:sz w:val="20"/>
                <w:szCs w:val="20"/>
                <w:color w:val="0000FF"/>
              </w:rPr>
              <w:t>THE OFFER AND LISTING</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1"/>
        </w:trPr>
        <w:tc>
          <w:tcPr>
            <w:tcW w:w="84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98"/>
              </w:rPr>
              <w:t>ITEM 10.</w:t>
            </w:r>
          </w:p>
        </w:tc>
        <w:tc>
          <w:tcPr>
            <w:tcW w:w="380" w:type="dxa"/>
            <w:vAlign w:val="bottom"/>
            <w:gridSpan w:val="5"/>
          </w:tcPr>
          <w:p>
            <w:pPr>
              <w:spacing w:after="0"/>
              <w:rPr>
                <w:sz w:val="24"/>
                <w:szCs w:val="24"/>
                <w:color w:val="auto"/>
              </w:rPr>
            </w:pPr>
          </w:p>
        </w:tc>
        <w:tc>
          <w:tcPr>
            <w:tcW w:w="2660" w:type="dxa"/>
            <w:vAlign w:val="bottom"/>
            <w:tcBorders>
              <w:bottom w:val="single" w:sz="8" w:color="0000FF"/>
            </w:tcBorders>
            <w:gridSpan w:val="8"/>
          </w:tcPr>
          <w:p>
            <w:pPr>
              <w:spacing w:after="0"/>
              <w:rPr>
                <w:sz w:val="20"/>
                <w:szCs w:val="20"/>
                <w:color w:val="auto"/>
              </w:rPr>
            </w:pPr>
            <w:r>
              <w:rPr>
                <w:rFonts w:ascii="Arial" w:cs="Arial" w:eastAsia="Arial" w:hAnsi="Arial"/>
                <w:sz w:val="20"/>
                <w:szCs w:val="20"/>
                <w:color w:val="0000FF"/>
                <w:w w:val="99"/>
              </w:rPr>
              <w:t>ADDITIONAL INFORMATION</w:t>
            </w:r>
          </w:p>
        </w:tc>
        <w:tc>
          <w:tcPr>
            <w:tcW w:w="5440" w:type="dxa"/>
            <w:vAlign w:val="bottom"/>
            <w:gridSpan w:val="17"/>
          </w:tcPr>
          <w:p>
            <w:pPr>
              <w:spacing w:after="0"/>
              <w:rPr>
                <w:sz w:val="24"/>
                <w:szCs w:val="24"/>
                <w:color w:val="auto"/>
              </w:rPr>
            </w:pPr>
          </w:p>
        </w:tc>
      </w:tr>
      <w:tr>
        <w:trPr>
          <w:trHeight w:val="311"/>
        </w:trPr>
        <w:tc>
          <w:tcPr>
            <w:tcW w:w="84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98"/>
              </w:rPr>
              <w:t>ITEM 11.</w:t>
            </w:r>
          </w:p>
        </w:tc>
        <w:tc>
          <w:tcPr>
            <w:tcW w:w="380" w:type="dxa"/>
            <w:vAlign w:val="bottom"/>
            <w:gridSpan w:val="5"/>
          </w:tcPr>
          <w:p>
            <w:pPr>
              <w:spacing w:after="0"/>
              <w:rPr>
                <w:sz w:val="24"/>
                <w:szCs w:val="24"/>
                <w:color w:val="auto"/>
              </w:rPr>
            </w:pPr>
          </w:p>
        </w:tc>
        <w:tc>
          <w:tcPr>
            <w:tcW w:w="6960" w:type="dxa"/>
            <w:vAlign w:val="bottom"/>
            <w:tcBorders>
              <w:bottom w:val="single" w:sz="8" w:color="0000FF"/>
            </w:tcBorders>
            <w:gridSpan w:val="21"/>
          </w:tcPr>
          <w:p>
            <w:pPr>
              <w:spacing w:after="0"/>
              <w:rPr>
                <w:sz w:val="20"/>
                <w:szCs w:val="20"/>
                <w:color w:val="auto"/>
              </w:rPr>
            </w:pPr>
            <w:r>
              <w:rPr>
                <w:rFonts w:ascii="Arial" w:cs="Arial" w:eastAsia="Arial" w:hAnsi="Arial"/>
                <w:sz w:val="20"/>
                <w:szCs w:val="20"/>
                <w:color w:val="0000FF"/>
              </w:rPr>
              <w:t>QUANTITATIVE AND QUALITATIVE DISCLOSURES ABOUT MARKET RISK</w:t>
            </w:r>
          </w:p>
        </w:tc>
        <w:tc>
          <w:tcPr>
            <w:tcW w:w="1140" w:type="dxa"/>
            <w:vAlign w:val="bottom"/>
            <w:gridSpan w:val="4"/>
          </w:tcPr>
          <w:p>
            <w:pPr>
              <w:spacing w:after="0"/>
              <w:rPr>
                <w:sz w:val="24"/>
                <w:szCs w:val="24"/>
                <w:color w:val="auto"/>
              </w:rPr>
            </w:pPr>
          </w:p>
        </w:tc>
      </w:tr>
      <w:tr>
        <w:trPr>
          <w:trHeight w:val="311"/>
        </w:trPr>
        <w:tc>
          <w:tcPr>
            <w:tcW w:w="820" w:type="dxa"/>
            <w:vAlign w:val="bottom"/>
            <w:gridSpan w:val="3"/>
          </w:tcPr>
          <w:p>
            <w:pPr>
              <w:spacing w:after="0"/>
              <w:rPr>
                <w:sz w:val="20"/>
                <w:szCs w:val="20"/>
                <w:color w:val="auto"/>
              </w:rPr>
            </w:pPr>
            <w:r>
              <w:rPr>
                <w:rFonts w:ascii="Arial" w:cs="Arial" w:eastAsia="Arial" w:hAnsi="Arial"/>
                <w:sz w:val="20"/>
                <w:szCs w:val="20"/>
                <w:color w:val="0000FF"/>
                <w:w w:val="98"/>
              </w:rPr>
              <w:t>ITEM 12.</w:t>
            </w:r>
          </w:p>
        </w:tc>
        <w:tc>
          <w:tcPr>
            <w:tcW w:w="400" w:type="dxa"/>
            <w:vAlign w:val="bottom"/>
            <w:gridSpan w:val="6"/>
          </w:tcPr>
          <w:p>
            <w:pPr>
              <w:spacing w:after="0"/>
              <w:rPr>
                <w:sz w:val="24"/>
                <w:szCs w:val="24"/>
                <w:color w:val="auto"/>
              </w:rPr>
            </w:pPr>
          </w:p>
        </w:tc>
        <w:tc>
          <w:tcPr>
            <w:tcW w:w="8100" w:type="dxa"/>
            <w:vAlign w:val="bottom"/>
            <w:gridSpan w:val="25"/>
          </w:tcPr>
          <w:p>
            <w:pPr>
              <w:spacing w:after="0"/>
              <w:rPr>
                <w:sz w:val="20"/>
                <w:szCs w:val="20"/>
                <w:color w:val="auto"/>
              </w:rPr>
            </w:pPr>
            <w:r>
              <w:rPr>
                <w:rFonts w:ascii="Arial" w:cs="Arial" w:eastAsia="Arial" w:hAnsi="Arial"/>
                <w:sz w:val="20"/>
                <w:szCs w:val="20"/>
                <w:color w:val="0000FF"/>
              </w:rPr>
              <w:t>DESCRIPTION OF SECURITIES OTHER THAN EQUITY SECURITIES</w:t>
            </w:r>
          </w:p>
        </w:tc>
      </w:tr>
      <w:tr>
        <w:trPr>
          <w:trHeight w:val="641"/>
        </w:trPr>
        <w:tc>
          <w:tcPr>
            <w:tcW w:w="820" w:type="dxa"/>
            <w:vAlign w:val="bottom"/>
            <w:tcBorders>
              <w:top w:val="single" w:sz="8" w:color="0000FF"/>
            </w:tcBorders>
            <w:gridSpan w:val="3"/>
          </w:tcPr>
          <w:p>
            <w:pPr>
              <w:spacing w:after="0"/>
              <w:rPr>
                <w:sz w:val="20"/>
                <w:szCs w:val="20"/>
                <w:color w:val="auto"/>
              </w:rPr>
            </w:pPr>
            <w:r>
              <w:rPr>
                <w:rFonts w:ascii="Arial" w:cs="Arial" w:eastAsia="Arial" w:hAnsi="Arial"/>
                <w:sz w:val="20"/>
                <w:szCs w:val="20"/>
                <w:color w:val="0000FF"/>
              </w:rPr>
              <w:t>PART II</w:t>
            </w:r>
          </w:p>
        </w:tc>
        <w:tc>
          <w:tcPr>
            <w:tcW w:w="400" w:type="dxa"/>
            <w:vAlign w:val="bottom"/>
            <w:gridSpan w:val="6"/>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1"/>
        </w:trPr>
        <w:tc>
          <w:tcPr>
            <w:tcW w:w="840" w:type="dxa"/>
            <w:vAlign w:val="bottom"/>
            <w:gridSpan w:val="4"/>
          </w:tcPr>
          <w:p>
            <w:pPr>
              <w:spacing w:after="0"/>
              <w:rPr>
                <w:sz w:val="20"/>
                <w:szCs w:val="20"/>
                <w:color w:val="auto"/>
              </w:rPr>
            </w:pPr>
            <w:r>
              <w:rPr>
                <w:rFonts w:ascii="Arial" w:cs="Arial" w:eastAsia="Arial" w:hAnsi="Arial"/>
                <w:sz w:val="20"/>
                <w:szCs w:val="20"/>
                <w:color w:val="0000FF"/>
                <w:w w:val="98"/>
              </w:rPr>
              <w:t>ITEM 13.</w:t>
            </w:r>
          </w:p>
        </w:tc>
        <w:tc>
          <w:tcPr>
            <w:tcW w:w="380" w:type="dxa"/>
            <w:vAlign w:val="bottom"/>
            <w:gridSpan w:val="5"/>
          </w:tcPr>
          <w:p>
            <w:pPr>
              <w:spacing w:after="0"/>
              <w:rPr>
                <w:sz w:val="24"/>
                <w:szCs w:val="24"/>
                <w:color w:val="auto"/>
              </w:rPr>
            </w:pPr>
          </w:p>
        </w:tc>
        <w:tc>
          <w:tcPr>
            <w:tcW w:w="8100" w:type="dxa"/>
            <w:vAlign w:val="bottom"/>
            <w:gridSpan w:val="25"/>
          </w:tcPr>
          <w:p>
            <w:pPr>
              <w:spacing w:after="0"/>
              <w:rPr>
                <w:sz w:val="20"/>
                <w:szCs w:val="20"/>
                <w:color w:val="auto"/>
              </w:rPr>
            </w:pPr>
            <w:r>
              <w:rPr>
                <w:rFonts w:ascii="Arial" w:cs="Arial" w:eastAsia="Arial" w:hAnsi="Arial"/>
                <w:sz w:val="20"/>
                <w:szCs w:val="20"/>
                <w:color w:val="0000FF"/>
              </w:rPr>
              <w:t>DEFAULTS, DIVIDEND ARREARAGES AND DELINQUENCIES</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1"/>
        </w:trPr>
        <w:tc>
          <w:tcPr>
            <w:tcW w:w="82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98"/>
              </w:rPr>
              <w:t>ITEM 14.</w:t>
            </w:r>
          </w:p>
        </w:tc>
        <w:tc>
          <w:tcPr>
            <w:tcW w:w="20" w:type="dxa"/>
            <w:vAlign w:val="bottom"/>
          </w:tcPr>
          <w:p>
            <w:pPr>
              <w:spacing w:after="0"/>
              <w:rPr>
                <w:sz w:val="24"/>
                <w:szCs w:val="24"/>
                <w:color w:val="auto"/>
              </w:rPr>
            </w:pPr>
          </w:p>
        </w:tc>
        <w:tc>
          <w:tcPr>
            <w:tcW w:w="380" w:type="dxa"/>
            <w:vAlign w:val="bottom"/>
            <w:gridSpan w:val="5"/>
          </w:tcPr>
          <w:p>
            <w:pPr>
              <w:spacing w:after="0"/>
              <w:rPr>
                <w:sz w:val="24"/>
                <w:szCs w:val="24"/>
                <w:color w:val="auto"/>
              </w:rPr>
            </w:pPr>
          </w:p>
        </w:tc>
        <w:tc>
          <w:tcPr>
            <w:tcW w:w="8000" w:type="dxa"/>
            <w:vAlign w:val="bottom"/>
            <w:tcBorders>
              <w:bottom w:val="single" w:sz="8" w:color="0000FF"/>
            </w:tcBorders>
            <w:gridSpan w:val="24"/>
          </w:tcPr>
          <w:p>
            <w:pPr>
              <w:spacing w:after="0"/>
              <w:rPr>
                <w:sz w:val="20"/>
                <w:szCs w:val="20"/>
                <w:color w:val="auto"/>
              </w:rPr>
            </w:pPr>
            <w:r>
              <w:rPr>
                <w:rFonts w:ascii="Arial" w:cs="Arial" w:eastAsia="Arial" w:hAnsi="Arial"/>
                <w:sz w:val="20"/>
                <w:szCs w:val="20"/>
                <w:color w:val="0000FF"/>
              </w:rPr>
              <w:t>MATERIAL MODIFICATIONS TO THE RIGHTS OF SECURITY HOLDERS AND USE OF</w:t>
            </w:r>
          </w:p>
        </w:tc>
        <w:tc>
          <w:tcPr>
            <w:tcW w:w="100" w:type="dxa"/>
            <w:vAlign w:val="bottom"/>
          </w:tcPr>
          <w:p>
            <w:pPr>
              <w:spacing w:after="0"/>
              <w:rPr>
                <w:sz w:val="24"/>
                <w:szCs w:val="24"/>
                <w:color w:val="auto"/>
              </w:rPr>
            </w:pPr>
          </w:p>
        </w:tc>
      </w:tr>
      <w:tr>
        <w:trPr>
          <w:trHeight w:val="282"/>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100" w:type="dxa"/>
            <w:vAlign w:val="bottom"/>
            <w:gridSpan w:val="25"/>
          </w:tcPr>
          <w:p>
            <w:pPr>
              <w:spacing w:after="0"/>
              <w:rPr>
                <w:sz w:val="20"/>
                <w:szCs w:val="20"/>
                <w:color w:val="auto"/>
              </w:rPr>
            </w:pPr>
            <w:r>
              <w:rPr>
                <w:rFonts w:ascii="Arial" w:cs="Arial" w:eastAsia="Arial" w:hAnsi="Arial"/>
                <w:sz w:val="20"/>
                <w:szCs w:val="20"/>
                <w:color w:val="0000FF"/>
              </w:rPr>
              <w:t>PROCEEDS</w:t>
            </w:r>
          </w:p>
        </w:tc>
      </w:tr>
      <w:tr>
        <w:trPr>
          <w:trHeight w:val="20"/>
        </w:trPr>
        <w:tc>
          <w:tcPr>
            <w:tcW w:w="7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r>
      <w:tr>
        <w:trPr>
          <w:trHeight w:val="311"/>
        </w:trPr>
        <w:tc>
          <w:tcPr>
            <w:tcW w:w="84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98"/>
              </w:rPr>
              <w:t>ITEM 15.</w:t>
            </w:r>
          </w:p>
        </w:tc>
        <w:tc>
          <w:tcPr>
            <w:tcW w:w="380" w:type="dxa"/>
            <w:vAlign w:val="bottom"/>
            <w:gridSpan w:val="5"/>
          </w:tcPr>
          <w:p>
            <w:pPr>
              <w:spacing w:after="0"/>
              <w:rPr>
                <w:sz w:val="24"/>
                <w:szCs w:val="24"/>
                <w:color w:val="auto"/>
              </w:rPr>
            </w:pPr>
          </w:p>
        </w:tc>
        <w:tc>
          <w:tcPr>
            <w:tcW w:w="3060" w:type="dxa"/>
            <w:vAlign w:val="bottom"/>
            <w:tcBorders>
              <w:bottom w:val="single" w:sz="8" w:color="0000FF"/>
            </w:tcBorders>
            <w:gridSpan w:val="11"/>
          </w:tcPr>
          <w:p>
            <w:pPr>
              <w:spacing w:after="0"/>
              <w:rPr>
                <w:sz w:val="20"/>
                <w:szCs w:val="20"/>
                <w:color w:val="auto"/>
              </w:rPr>
            </w:pPr>
            <w:r>
              <w:rPr>
                <w:rFonts w:ascii="Arial" w:cs="Arial" w:eastAsia="Arial" w:hAnsi="Arial"/>
                <w:sz w:val="20"/>
                <w:szCs w:val="20"/>
                <w:color w:val="0000FF"/>
                <w:w w:val="99"/>
              </w:rPr>
              <w:t>CONTROLS AND PROCEDURES</w:t>
            </w:r>
          </w:p>
        </w:tc>
        <w:tc>
          <w:tcPr>
            <w:tcW w:w="5040" w:type="dxa"/>
            <w:vAlign w:val="bottom"/>
            <w:gridSpan w:val="14"/>
          </w:tcPr>
          <w:p>
            <w:pPr>
              <w:spacing w:after="0"/>
              <w:rPr>
                <w:sz w:val="24"/>
                <w:szCs w:val="24"/>
                <w:color w:val="auto"/>
              </w:rPr>
            </w:pPr>
          </w:p>
        </w:tc>
      </w:tr>
      <w:tr>
        <w:trPr>
          <w:trHeight w:val="311"/>
        </w:trPr>
        <w:tc>
          <w:tcPr>
            <w:tcW w:w="840" w:type="dxa"/>
            <w:vAlign w:val="bottom"/>
            <w:gridSpan w:val="4"/>
          </w:tcPr>
          <w:p>
            <w:pPr>
              <w:spacing w:after="0"/>
              <w:rPr>
                <w:sz w:val="20"/>
                <w:szCs w:val="20"/>
                <w:color w:val="auto"/>
              </w:rPr>
            </w:pPr>
            <w:r>
              <w:rPr>
                <w:rFonts w:ascii="Arial" w:cs="Arial" w:eastAsia="Arial" w:hAnsi="Arial"/>
                <w:sz w:val="20"/>
                <w:szCs w:val="20"/>
                <w:color w:val="0000FF"/>
                <w:w w:val="98"/>
              </w:rPr>
              <w:t>ITEM 16.</w:t>
            </w:r>
          </w:p>
        </w:tc>
        <w:tc>
          <w:tcPr>
            <w:tcW w:w="380" w:type="dxa"/>
            <w:vAlign w:val="bottom"/>
            <w:gridSpan w:val="5"/>
          </w:tcPr>
          <w:p>
            <w:pPr>
              <w:spacing w:after="0"/>
              <w:rPr>
                <w:sz w:val="24"/>
                <w:szCs w:val="24"/>
                <w:color w:val="auto"/>
              </w:rPr>
            </w:pPr>
          </w:p>
        </w:tc>
        <w:tc>
          <w:tcPr>
            <w:tcW w:w="8100" w:type="dxa"/>
            <w:vAlign w:val="bottom"/>
            <w:gridSpan w:val="25"/>
          </w:tcPr>
          <w:p>
            <w:pPr>
              <w:spacing w:after="0"/>
              <w:rPr>
                <w:sz w:val="20"/>
                <w:szCs w:val="20"/>
                <w:color w:val="auto"/>
              </w:rPr>
            </w:pPr>
            <w:r>
              <w:rPr>
                <w:rFonts w:ascii="Arial" w:cs="Arial" w:eastAsia="Arial" w:hAnsi="Arial"/>
                <w:sz w:val="20"/>
                <w:szCs w:val="20"/>
                <w:color w:val="0000FF"/>
              </w:rPr>
              <w:t>[RESERVED]</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r>
      <w:tr>
        <w:trPr>
          <w:trHeight w:val="311"/>
        </w:trPr>
        <w:tc>
          <w:tcPr>
            <w:tcW w:w="980" w:type="dxa"/>
            <w:vAlign w:val="bottom"/>
            <w:gridSpan w:val="8"/>
          </w:tcPr>
          <w:p>
            <w:pPr>
              <w:spacing w:after="0"/>
              <w:rPr>
                <w:sz w:val="20"/>
                <w:szCs w:val="20"/>
                <w:color w:val="auto"/>
              </w:rPr>
            </w:pPr>
            <w:r>
              <w:rPr>
                <w:rFonts w:ascii="Arial" w:cs="Arial" w:eastAsia="Arial" w:hAnsi="Arial"/>
                <w:sz w:val="20"/>
                <w:szCs w:val="20"/>
                <w:color w:val="0000FF"/>
                <w:w w:val="99"/>
              </w:rPr>
              <w:t>ITEM 16A.</w:t>
            </w:r>
          </w:p>
        </w:tc>
        <w:tc>
          <w:tcPr>
            <w:tcW w:w="240" w:type="dxa"/>
            <w:vAlign w:val="bottom"/>
          </w:tcPr>
          <w:p>
            <w:pPr>
              <w:spacing w:after="0"/>
              <w:rPr>
                <w:sz w:val="24"/>
                <w:szCs w:val="24"/>
                <w:color w:val="auto"/>
              </w:rPr>
            </w:pPr>
          </w:p>
        </w:tc>
        <w:tc>
          <w:tcPr>
            <w:tcW w:w="8100" w:type="dxa"/>
            <w:vAlign w:val="bottom"/>
            <w:gridSpan w:val="25"/>
          </w:tcPr>
          <w:p>
            <w:pPr>
              <w:spacing w:after="0"/>
              <w:rPr>
                <w:sz w:val="20"/>
                <w:szCs w:val="20"/>
                <w:color w:val="auto"/>
              </w:rPr>
            </w:pPr>
            <w:r>
              <w:rPr>
                <w:rFonts w:ascii="Arial" w:cs="Arial" w:eastAsia="Arial" w:hAnsi="Arial"/>
                <w:sz w:val="20"/>
                <w:szCs w:val="20"/>
                <w:color w:val="0000FF"/>
              </w:rPr>
              <w:t>AUDIT COMMITTEE FINANCIAL EXPERT</w:t>
            </w:r>
          </w:p>
        </w:tc>
      </w:tr>
      <w:tr>
        <w:trPr>
          <w:trHeight w:val="311"/>
        </w:trPr>
        <w:tc>
          <w:tcPr>
            <w:tcW w:w="98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20"/>
                <w:szCs w:val="20"/>
                <w:color w:val="0000FF"/>
                <w:w w:val="99"/>
              </w:rPr>
              <w:t>ITEM 16B.</w:t>
            </w:r>
          </w:p>
        </w:tc>
        <w:tc>
          <w:tcPr>
            <w:tcW w:w="240" w:type="dxa"/>
            <w:vAlign w:val="bottom"/>
          </w:tcPr>
          <w:p>
            <w:pPr>
              <w:spacing w:after="0"/>
              <w:rPr>
                <w:sz w:val="24"/>
                <w:szCs w:val="24"/>
                <w:color w:val="auto"/>
              </w:rPr>
            </w:pPr>
          </w:p>
        </w:tc>
        <w:tc>
          <w:tcPr>
            <w:tcW w:w="17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20"/>
                <w:szCs w:val="20"/>
                <w:color w:val="0000FF"/>
                <w:w w:val="98"/>
              </w:rPr>
              <w:t>CODE OF ETHICS</w:t>
            </w:r>
          </w:p>
        </w:tc>
        <w:tc>
          <w:tcPr>
            <w:tcW w:w="2100" w:type="dxa"/>
            <w:vAlign w:val="bottom"/>
            <w:tcBorders>
              <w:top w:val="single" w:sz="8" w:color="0000FF"/>
            </w:tcBorders>
            <w:gridSpan w:val="9"/>
          </w:tcPr>
          <w:p>
            <w:pPr>
              <w:spacing w:after="0"/>
              <w:rPr>
                <w:sz w:val="24"/>
                <w:szCs w:val="24"/>
                <w:color w:val="auto"/>
              </w:rPr>
            </w:pPr>
          </w:p>
        </w:tc>
        <w:tc>
          <w:tcPr>
            <w:tcW w:w="4300" w:type="dxa"/>
            <w:vAlign w:val="bottom"/>
            <w:gridSpan w:val="12"/>
          </w:tcPr>
          <w:p>
            <w:pPr>
              <w:spacing w:after="0"/>
              <w:rPr>
                <w:sz w:val="24"/>
                <w:szCs w:val="24"/>
                <w:color w:val="auto"/>
              </w:rPr>
            </w:pPr>
          </w:p>
        </w:tc>
      </w:tr>
      <w:tr>
        <w:trPr>
          <w:trHeight w:val="311"/>
        </w:trPr>
        <w:tc>
          <w:tcPr>
            <w:tcW w:w="980" w:type="dxa"/>
            <w:vAlign w:val="bottom"/>
            <w:gridSpan w:val="8"/>
          </w:tcPr>
          <w:p>
            <w:pPr>
              <w:spacing w:after="0"/>
              <w:rPr>
                <w:sz w:val="20"/>
                <w:szCs w:val="20"/>
                <w:color w:val="auto"/>
              </w:rPr>
            </w:pPr>
            <w:r>
              <w:rPr>
                <w:rFonts w:ascii="Arial" w:cs="Arial" w:eastAsia="Arial" w:hAnsi="Arial"/>
                <w:sz w:val="20"/>
                <w:szCs w:val="20"/>
                <w:color w:val="0000FF"/>
                <w:w w:val="98"/>
              </w:rPr>
              <w:t>ITEM 16C.</w:t>
            </w:r>
          </w:p>
        </w:tc>
        <w:tc>
          <w:tcPr>
            <w:tcW w:w="240" w:type="dxa"/>
            <w:vAlign w:val="bottom"/>
          </w:tcPr>
          <w:p>
            <w:pPr>
              <w:spacing w:after="0"/>
              <w:rPr>
                <w:sz w:val="24"/>
                <w:szCs w:val="24"/>
                <w:color w:val="auto"/>
              </w:rPr>
            </w:pPr>
          </w:p>
        </w:tc>
        <w:tc>
          <w:tcPr>
            <w:tcW w:w="8100" w:type="dxa"/>
            <w:vAlign w:val="bottom"/>
            <w:gridSpan w:val="25"/>
          </w:tcPr>
          <w:p>
            <w:pPr>
              <w:spacing w:after="0"/>
              <w:rPr>
                <w:sz w:val="20"/>
                <w:szCs w:val="20"/>
                <w:color w:val="auto"/>
              </w:rPr>
            </w:pPr>
            <w:r>
              <w:rPr>
                <w:rFonts w:ascii="Arial" w:cs="Arial" w:eastAsia="Arial" w:hAnsi="Arial"/>
                <w:sz w:val="20"/>
                <w:szCs w:val="20"/>
                <w:color w:val="0000FF"/>
              </w:rPr>
              <w:t>PRINCIPAL ACCOUNTANT FEES AND SERVICES</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r>
      <w:tr>
        <w:trPr>
          <w:trHeight w:val="311"/>
        </w:trPr>
        <w:tc>
          <w:tcPr>
            <w:tcW w:w="980" w:type="dxa"/>
            <w:vAlign w:val="bottom"/>
            <w:tcBorders>
              <w:bottom w:val="single" w:sz="8" w:color="0000FF"/>
            </w:tcBorders>
            <w:gridSpan w:val="8"/>
          </w:tcPr>
          <w:p>
            <w:pPr>
              <w:spacing w:after="0"/>
              <w:rPr>
                <w:sz w:val="20"/>
                <w:szCs w:val="20"/>
                <w:color w:val="auto"/>
              </w:rPr>
            </w:pPr>
            <w:r>
              <w:rPr>
                <w:rFonts w:ascii="Arial" w:cs="Arial" w:eastAsia="Arial" w:hAnsi="Arial"/>
                <w:sz w:val="20"/>
                <w:szCs w:val="20"/>
                <w:color w:val="0000FF"/>
                <w:w w:val="98"/>
              </w:rPr>
              <w:t>ITEM 16D.</w:t>
            </w:r>
          </w:p>
        </w:tc>
        <w:tc>
          <w:tcPr>
            <w:tcW w:w="240" w:type="dxa"/>
            <w:vAlign w:val="bottom"/>
          </w:tcPr>
          <w:p>
            <w:pPr>
              <w:spacing w:after="0"/>
              <w:rPr>
                <w:sz w:val="24"/>
                <w:szCs w:val="24"/>
                <w:color w:val="auto"/>
              </w:rPr>
            </w:pPr>
          </w:p>
        </w:tc>
        <w:tc>
          <w:tcPr>
            <w:tcW w:w="7060" w:type="dxa"/>
            <w:vAlign w:val="bottom"/>
            <w:tcBorders>
              <w:bottom w:val="single" w:sz="8" w:color="0000FF"/>
            </w:tcBorders>
            <w:gridSpan w:val="22"/>
          </w:tcPr>
          <w:p>
            <w:pPr>
              <w:spacing w:after="0"/>
              <w:rPr>
                <w:sz w:val="20"/>
                <w:szCs w:val="20"/>
                <w:color w:val="auto"/>
              </w:rPr>
            </w:pPr>
            <w:r>
              <w:rPr>
                <w:rFonts w:ascii="Arial" w:cs="Arial" w:eastAsia="Arial" w:hAnsi="Arial"/>
                <w:sz w:val="20"/>
                <w:szCs w:val="20"/>
                <w:color w:val="0000FF"/>
                <w:w w:val="99"/>
              </w:rPr>
              <w:t>EXEMPTIONS FROM THE LISTING STANDARDS FOR AUDIT COMMITTEES</w:t>
            </w:r>
          </w:p>
        </w:tc>
        <w:tc>
          <w:tcPr>
            <w:tcW w:w="1040" w:type="dxa"/>
            <w:vAlign w:val="bottom"/>
            <w:gridSpan w:val="3"/>
          </w:tcPr>
          <w:p>
            <w:pPr>
              <w:spacing w:after="0"/>
              <w:rPr>
                <w:sz w:val="24"/>
                <w:szCs w:val="24"/>
                <w:color w:val="auto"/>
              </w:rPr>
            </w:pPr>
          </w:p>
        </w:tc>
      </w:tr>
      <w:tr>
        <w:trPr>
          <w:trHeight w:val="311"/>
        </w:trPr>
        <w:tc>
          <w:tcPr>
            <w:tcW w:w="960" w:type="dxa"/>
            <w:vAlign w:val="bottom"/>
            <w:tcBorders>
              <w:bottom w:val="single" w:sz="8" w:color="0000FF"/>
            </w:tcBorders>
            <w:gridSpan w:val="7"/>
          </w:tcPr>
          <w:p>
            <w:pPr>
              <w:spacing w:after="0"/>
              <w:rPr>
                <w:sz w:val="20"/>
                <w:szCs w:val="20"/>
                <w:color w:val="auto"/>
              </w:rPr>
            </w:pPr>
            <w:r>
              <w:rPr>
                <w:rFonts w:ascii="Arial" w:cs="Arial" w:eastAsia="Arial" w:hAnsi="Arial"/>
                <w:sz w:val="20"/>
                <w:szCs w:val="20"/>
                <w:color w:val="0000FF"/>
                <w:w w:val="99"/>
              </w:rPr>
              <w:t>ITEM 16E.</w:t>
            </w:r>
          </w:p>
        </w:tc>
        <w:tc>
          <w:tcPr>
            <w:tcW w:w="260" w:type="dxa"/>
            <w:vAlign w:val="bottom"/>
            <w:gridSpan w:val="2"/>
          </w:tcPr>
          <w:p>
            <w:pPr>
              <w:spacing w:after="0"/>
              <w:rPr>
                <w:sz w:val="24"/>
                <w:szCs w:val="24"/>
                <w:color w:val="auto"/>
              </w:rPr>
            </w:pPr>
          </w:p>
        </w:tc>
        <w:tc>
          <w:tcPr>
            <w:tcW w:w="6940" w:type="dxa"/>
            <w:vAlign w:val="bottom"/>
            <w:tcBorders>
              <w:bottom w:val="single" w:sz="8" w:color="0000FF"/>
            </w:tcBorders>
            <w:gridSpan w:val="20"/>
          </w:tcPr>
          <w:p>
            <w:pPr>
              <w:spacing w:after="0"/>
              <w:rPr>
                <w:sz w:val="20"/>
                <w:szCs w:val="20"/>
                <w:color w:val="auto"/>
              </w:rPr>
            </w:pPr>
            <w:r>
              <w:rPr>
                <w:rFonts w:ascii="Arial" w:cs="Arial" w:eastAsia="Arial" w:hAnsi="Arial"/>
                <w:sz w:val="20"/>
                <w:szCs w:val="20"/>
                <w:color w:val="0000FF"/>
              </w:rPr>
              <w:t>PURCHASES OF EQUITY SECURITIES BY THE ISSUER AND AFFILIATED</w:t>
            </w:r>
          </w:p>
        </w:tc>
        <w:tc>
          <w:tcPr>
            <w:tcW w:w="1160" w:type="dxa"/>
            <w:vAlign w:val="bottom"/>
            <w:gridSpan w:val="5"/>
          </w:tcPr>
          <w:p>
            <w:pPr>
              <w:spacing w:after="0"/>
              <w:rPr>
                <w:sz w:val="24"/>
                <w:szCs w:val="24"/>
                <w:color w:val="auto"/>
              </w:rPr>
            </w:pPr>
          </w:p>
        </w:tc>
      </w:tr>
      <w:tr>
        <w:trPr>
          <w:trHeight w:val="282"/>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100" w:type="dxa"/>
            <w:vAlign w:val="bottom"/>
            <w:gridSpan w:val="25"/>
          </w:tcPr>
          <w:p>
            <w:pPr>
              <w:spacing w:after="0"/>
              <w:rPr>
                <w:sz w:val="20"/>
                <w:szCs w:val="20"/>
                <w:color w:val="auto"/>
              </w:rPr>
            </w:pPr>
            <w:r>
              <w:rPr>
                <w:rFonts w:ascii="Arial" w:cs="Arial" w:eastAsia="Arial" w:hAnsi="Arial"/>
                <w:sz w:val="20"/>
                <w:szCs w:val="20"/>
                <w:color w:val="0000FF"/>
              </w:rPr>
              <w:t>PURCHASERS</w:t>
            </w:r>
          </w:p>
        </w:tc>
      </w:tr>
      <w:tr>
        <w:trPr>
          <w:trHeight w:val="20"/>
        </w:trPr>
        <w:tc>
          <w:tcPr>
            <w:tcW w:w="7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2760" w:type="dxa"/>
            <w:vAlign w:val="bottom"/>
            <w:gridSpan w:val="9"/>
          </w:tcPr>
          <w:p>
            <w:pPr>
              <w:spacing w:after="0" w:line="20" w:lineRule="exact"/>
              <w:rPr>
                <w:sz w:val="1"/>
                <w:szCs w:val="1"/>
                <w:color w:val="auto"/>
              </w:rPr>
            </w:pPr>
          </w:p>
        </w:tc>
      </w:tr>
      <w:tr>
        <w:trPr>
          <w:trHeight w:val="311"/>
        </w:trPr>
        <w:tc>
          <w:tcPr>
            <w:tcW w:w="1220" w:type="dxa"/>
            <w:vAlign w:val="bottom"/>
            <w:gridSpan w:val="9"/>
          </w:tcPr>
          <w:p>
            <w:pPr>
              <w:spacing w:after="0"/>
              <w:rPr>
                <w:sz w:val="20"/>
                <w:szCs w:val="20"/>
                <w:color w:val="auto"/>
              </w:rPr>
            </w:pPr>
            <w:r>
              <w:rPr>
                <w:rFonts w:ascii="Arial" w:cs="Arial" w:eastAsia="Arial" w:hAnsi="Arial"/>
                <w:sz w:val="20"/>
                <w:szCs w:val="20"/>
                <w:color w:val="0000FF"/>
              </w:rPr>
              <w:t>ITEM 16F.</w:t>
            </w:r>
          </w:p>
        </w:tc>
        <w:tc>
          <w:tcPr>
            <w:tcW w:w="8100" w:type="dxa"/>
            <w:vAlign w:val="bottom"/>
            <w:gridSpan w:val="25"/>
          </w:tcPr>
          <w:p>
            <w:pPr>
              <w:spacing w:after="0"/>
              <w:rPr>
                <w:sz w:val="20"/>
                <w:szCs w:val="20"/>
                <w:color w:val="auto"/>
              </w:rPr>
            </w:pPr>
            <w:r>
              <w:rPr>
                <w:rFonts w:ascii="Arial" w:cs="Arial" w:eastAsia="Arial" w:hAnsi="Arial"/>
                <w:sz w:val="20"/>
                <w:szCs w:val="20"/>
                <w:color w:val="0000FF"/>
              </w:rPr>
              <w:t>CHANGE IN REGISTRANT'S CERTIFYING ACCOUNTANT</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0" w:type="dxa"/>
            <w:vAlign w:val="bottom"/>
            <w:gridSpan w:val="6"/>
            <w:shd w:val="clear" w:color="auto" w:fill="0000FF"/>
          </w:tcPr>
          <w:p>
            <w:pPr>
              <w:spacing w:after="0" w:line="20" w:lineRule="exact"/>
              <w:rPr>
                <w:sz w:val="1"/>
                <w:szCs w:val="1"/>
                <w:color w:val="auto"/>
              </w:rPr>
            </w:pPr>
          </w:p>
        </w:tc>
        <w:tc>
          <w:tcPr>
            <w:tcW w:w="2760" w:type="dxa"/>
            <w:vAlign w:val="bottom"/>
            <w:gridSpan w:val="9"/>
          </w:tcPr>
          <w:p>
            <w:pPr>
              <w:spacing w:after="0" w:line="20" w:lineRule="exact"/>
              <w:rPr>
                <w:sz w:val="1"/>
                <w:szCs w:val="1"/>
                <w:color w:val="auto"/>
              </w:rPr>
            </w:pPr>
          </w:p>
        </w:tc>
      </w:tr>
      <w:tr>
        <w:trPr>
          <w:trHeight w:val="311"/>
        </w:trPr>
        <w:tc>
          <w:tcPr>
            <w:tcW w:w="980" w:type="dxa"/>
            <w:vAlign w:val="bottom"/>
            <w:gridSpan w:val="8"/>
          </w:tcPr>
          <w:p>
            <w:pPr>
              <w:spacing w:after="0"/>
              <w:rPr>
                <w:sz w:val="20"/>
                <w:szCs w:val="20"/>
                <w:color w:val="auto"/>
              </w:rPr>
            </w:pPr>
            <w:r>
              <w:rPr>
                <w:rFonts w:ascii="Arial" w:cs="Arial" w:eastAsia="Arial" w:hAnsi="Arial"/>
                <w:sz w:val="20"/>
                <w:szCs w:val="20"/>
                <w:color w:val="0000FF"/>
                <w:w w:val="97"/>
              </w:rPr>
              <w:t>ITEM 16G.</w:t>
            </w:r>
          </w:p>
        </w:tc>
        <w:tc>
          <w:tcPr>
            <w:tcW w:w="240" w:type="dxa"/>
            <w:vAlign w:val="bottom"/>
          </w:tcPr>
          <w:p>
            <w:pPr>
              <w:spacing w:after="0"/>
              <w:rPr>
                <w:sz w:val="24"/>
                <w:szCs w:val="24"/>
                <w:color w:val="auto"/>
              </w:rPr>
            </w:pPr>
          </w:p>
        </w:tc>
        <w:tc>
          <w:tcPr>
            <w:tcW w:w="8100" w:type="dxa"/>
            <w:vAlign w:val="bottom"/>
            <w:gridSpan w:val="25"/>
          </w:tcPr>
          <w:p>
            <w:pPr>
              <w:spacing w:after="0"/>
              <w:rPr>
                <w:sz w:val="20"/>
                <w:szCs w:val="20"/>
                <w:color w:val="auto"/>
              </w:rPr>
            </w:pPr>
            <w:r>
              <w:rPr>
                <w:rFonts w:ascii="Arial" w:cs="Arial" w:eastAsia="Arial" w:hAnsi="Arial"/>
                <w:sz w:val="20"/>
                <w:szCs w:val="20"/>
                <w:color w:val="0000FF"/>
              </w:rPr>
              <w:t>CORPORATE GOVERNANCE</w:t>
            </w:r>
          </w:p>
        </w:tc>
      </w:tr>
      <w:tr>
        <w:trPr>
          <w:trHeight w:val="311"/>
        </w:trPr>
        <w:tc>
          <w:tcPr>
            <w:tcW w:w="980" w:type="dxa"/>
            <w:vAlign w:val="bottom"/>
            <w:tcBorders>
              <w:top w:val="single" w:sz="8" w:color="0000FF"/>
            </w:tcBorders>
            <w:gridSpan w:val="8"/>
          </w:tcPr>
          <w:p>
            <w:pPr>
              <w:spacing w:after="0"/>
              <w:rPr>
                <w:sz w:val="20"/>
                <w:szCs w:val="20"/>
                <w:color w:val="auto"/>
              </w:rPr>
            </w:pPr>
            <w:r>
              <w:rPr>
                <w:rFonts w:ascii="Arial" w:cs="Arial" w:eastAsia="Arial" w:hAnsi="Arial"/>
                <w:sz w:val="20"/>
                <w:szCs w:val="20"/>
                <w:color w:val="0000FF"/>
                <w:w w:val="98"/>
              </w:rPr>
              <w:t>ITEM 16H.</w:t>
            </w:r>
          </w:p>
        </w:tc>
        <w:tc>
          <w:tcPr>
            <w:tcW w:w="240" w:type="dxa"/>
            <w:vAlign w:val="bottom"/>
          </w:tcPr>
          <w:p>
            <w:pPr>
              <w:spacing w:after="0"/>
              <w:rPr>
                <w:sz w:val="24"/>
                <w:szCs w:val="24"/>
                <w:color w:val="auto"/>
              </w:rPr>
            </w:pPr>
          </w:p>
        </w:tc>
        <w:tc>
          <w:tcPr>
            <w:tcW w:w="2740" w:type="dxa"/>
            <w:vAlign w:val="bottom"/>
            <w:tcBorders>
              <w:top w:val="single" w:sz="8" w:color="0000FF"/>
            </w:tcBorders>
            <w:gridSpan w:val="10"/>
          </w:tcPr>
          <w:p>
            <w:pPr>
              <w:spacing w:after="0"/>
              <w:rPr>
                <w:sz w:val="20"/>
                <w:szCs w:val="20"/>
                <w:color w:val="auto"/>
              </w:rPr>
            </w:pPr>
            <w:r>
              <w:rPr>
                <w:rFonts w:ascii="Arial" w:cs="Arial" w:eastAsia="Arial" w:hAnsi="Arial"/>
                <w:sz w:val="20"/>
                <w:szCs w:val="20"/>
                <w:color w:val="0000FF"/>
              </w:rPr>
              <w:t>MINE SAFETY DISCLOSURE</w:t>
            </w:r>
          </w:p>
        </w:tc>
        <w:tc>
          <w:tcPr>
            <w:tcW w:w="5360" w:type="dxa"/>
            <w:vAlign w:val="bottom"/>
            <w:gridSpan w:val="15"/>
          </w:tcPr>
          <w:p>
            <w:pPr>
              <w:spacing w:after="0"/>
              <w:rPr>
                <w:sz w:val="24"/>
                <w:szCs w:val="24"/>
                <w:color w:val="auto"/>
              </w:rPr>
            </w:pP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60" w:type="dxa"/>
            <w:vAlign w:val="bottom"/>
            <w:gridSpan w:val="15"/>
          </w:tcPr>
          <w:p>
            <w:pPr>
              <w:spacing w:after="0" w:line="20" w:lineRule="exact"/>
              <w:rPr>
                <w:sz w:val="1"/>
                <w:szCs w:val="1"/>
                <w:color w:val="auto"/>
              </w:rPr>
            </w:pPr>
          </w:p>
        </w:tc>
      </w:tr>
      <w:tr>
        <w:trPr>
          <w:trHeight w:val="311"/>
        </w:trPr>
        <w:tc>
          <w:tcPr>
            <w:tcW w:w="88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99"/>
              </w:rPr>
              <w:t>ITEM 16I.</w:t>
            </w:r>
          </w:p>
        </w:tc>
        <w:tc>
          <w:tcPr>
            <w:tcW w:w="10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8100" w:type="dxa"/>
            <w:vAlign w:val="bottom"/>
            <w:tcBorders>
              <w:bottom w:val="single" w:sz="8" w:color="0000FF"/>
            </w:tcBorders>
            <w:gridSpan w:val="25"/>
          </w:tcPr>
          <w:p>
            <w:pPr>
              <w:spacing w:after="0"/>
              <w:rPr>
                <w:sz w:val="20"/>
                <w:szCs w:val="20"/>
                <w:color w:val="auto"/>
              </w:rPr>
            </w:pPr>
            <w:r>
              <w:rPr>
                <w:rFonts w:ascii="Arial" w:cs="Arial" w:eastAsia="Arial" w:hAnsi="Arial"/>
                <w:sz w:val="20"/>
                <w:szCs w:val="20"/>
                <w:color w:val="0000FF"/>
                <w:w w:val="99"/>
              </w:rPr>
              <w:t>DISCLOSURE REGARDING FOREIGN JURISDICTIONS THAT PREVENT INSPECTIONS</w:t>
            </w:r>
          </w:p>
        </w:tc>
      </w:tr>
      <w:tr>
        <w:trPr>
          <w:trHeight w:val="311"/>
        </w:trPr>
        <w:tc>
          <w:tcPr>
            <w:tcW w:w="920" w:type="dxa"/>
            <w:vAlign w:val="bottom"/>
            <w:gridSpan w:val="6"/>
          </w:tcPr>
          <w:p>
            <w:pPr>
              <w:spacing w:after="0"/>
              <w:rPr>
                <w:sz w:val="20"/>
                <w:szCs w:val="20"/>
                <w:color w:val="auto"/>
              </w:rPr>
            </w:pPr>
            <w:r>
              <w:rPr>
                <w:rFonts w:ascii="Arial" w:cs="Arial" w:eastAsia="Arial" w:hAnsi="Arial"/>
                <w:sz w:val="20"/>
                <w:szCs w:val="20"/>
                <w:color w:val="0000FF"/>
                <w:w w:val="96"/>
              </w:rPr>
              <w:t>ITEM 16J.</w:t>
            </w:r>
          </w:p>
        </w:tc>
        <w:tc>
          <w:tcPr>
            <w:tcW w:w="300" w:type="dxa"/>
            <w:vAlign w:val="bottom"/>
            <w:gridSpan w:val="3"/>
          </w:tcPr>
          <w:p>
            <w:pPr>
              <w:spacing w:after="0"/>
              <w:rPr>
                <w:sz w:val="24"/>
                <w:szCs w:val="24"/>
                <w:color w:val="auto"/>
              </w:rPr>
            </w:pPr>
          </w:p>
        </w:tc>
        <w:tc>
          <w:tcPr>
            <w:tcW w:w="8100" w:type="dxa"/>
            <w:vAlign w:val="bottom"/>
            <w:gridSpan w:val="25"/>
          </w:tcPr>
          <w:p>
            <w:pPr>
              <w:spacing w:after="0"/>
              <w:rPr>
                <w:sz w:val="20"/>
                <w:szCs w:val="20"/>
                <w:color w:val="auto"/>
              </w:rPr>
            </w:pPr>
            <w:r>
              <w:rPr>
                <w:rFonts w:ascii="Arial" w:cs="Arial" w:eastAsia="Arial" w:hAnsi="Arial"/>
                <w:sz w:val="20"/>
                <w:szCs w:val="20"/>
                <w:color w:val="0000FF"/>
              </w:rPr>
              <w:t>INSIDER TRADING POLICIES</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5360" w:type="dxa"/>
            <w:vAlign w:val="bottom"/>
            <w:gridSpan w:val="15"/>
          </w:tcPr>
          <w:p>
            <w:pPr>
              <w:spacing w:after="0" w:line="20" w:lineRule="exact"/>
              <w:rPr>
                <w:sz w:val="1"/>
                <w:szCs w:val="1"/>
                <w:color w:val="auto"/>
              </w:rPr>
            </w:pPr>
          </w:p>
        </w:tc>
      </w:tr>
      <w:tr>
        <w:trPr>
          <w:trHeight w:val="311"/>
        </w:trPr>
        <w:tc>
          <w:tcPr>
            <w:tcW w:w="960" w:type="dxa"/>
            <w:vAlign w:val="bottom"/>
            <w:tcBorders>
              <w:bottom w:val="single" w:sz="8" w:color="0000FF"/>
            </w:tcBorders>
            <w:gridSpan w:val="7"/>
          </w:tcPr>
          <w:p>
            <w:pPr>
              <w:spacing w:after="0"/>
              <w:rPr>
                <w:sz w:val="20"/>
                <w:szCs w:val="20"/>
                <w:color w:val="auto"/>
              </w:rPr>
            </w:pPr>
            <w:r>
              <w:rPr>
                <w:rFonts w:ascii="Arial" w:cs="Arial" w:eastAsia="Arial" w:hAnsi="Arial"/>
                <w:sz w:val="20"/>
                <w:szCs w:val="20"/>
                <w:color w:val="0000FF"/>
                <w:w w:val="99"/>
              </w:rPr>
              <w:t>ITEM 16K.</w:t>
            </w:r>
          </w:p>
        </w:tc>
        <w:tc>
          <w:tcPr>
            <w:tcW w:w="260" w:type="dxa"/>
            <w:vAlign w:val="bottom"/>
            <w:gridSpan w:val="2"/>
          </w:tcPr>
          <w:p>
            <w:pPr>
              <w:spacing w:after="0"/>
              <w:rPr>
                <w:sz w:val="24"/>
                <w:szCs w:val="24"/>
                <w:color w:val="auto"/>
              </w:rPr>
            </w:pPr>
          </w:p>
        </w:tc>
        <w:tc>
          <w:tcPr>
            <w:tcW w:w="17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98"/>
              </w:rPr>
              <w:t>CYBERSECURITY</w:t>
            </w:r>
          </w:p>
        </w:tc>
        <w:tc>
          <w:tcPr>
            <w:tcW w:w="6400" w:type="dxa"/>
            <w:vAlign w:val="bottom"/>
            <w:gridSpan w:val="21"/>
          </w:tcPr>
          <w:p>
            <w:pPr>
              <w:spacing w:after="0"/>
              <w:rPr>
                <w:sz w:val="24"/>
                <w:szCs w:val="24"/>
                <w:color w:val="auto"/>
              </w:rPr>
            </w:pPr>
          </w:p>
        </w:tc>
      </w:tr>
      <w:tr>
        <w:trPr>
          <w:trHeight w:val="641"/>
        </w:trPr>
        <w:tc>
          <w:tcPr>
            <w:tcW w:w="1220" w:type="dxa"/>
            <w:vAlign w:val="bottom"/>
            <w:gridSpan w:val="9"/>
          </w:tcPr>
          <w:p>
            <w:pPr>
              <w:spacing w:after="0"/>
              <w:rPr>
                <w:sz w:val="20"/>
                <w:szCs w:val="20"/>
                <w:color w:val="auto"/>
              </w:rPr>
            </w:pPr>
            <w:r>
              <w:rPr>
                <w:rFonts w:ascii="Arial" w:cs="Arial" w:eastAsia="Arial" w:hAnsi="Arial"/>
                <w:sz w:val="20"/>
                <w:szCs w:val="20"/>
                <w:color w:val="0000FF"/>
              </w:rPr>
              <w:t>PART III</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1440" w:top="1440" w:right="246" w:bottom="0" w:gutter="0" w:footer="0" w:header="0"/>
        </w:sectPr>
      </w:pPr>
    </w:p>
    <w:p>
      <w:pPr>
        <w:spacing w:after="0" w:line="36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 / 65</w:t>
      </w:r>
    </w:p>
    <w:p>
      <w:pPr>
        <w:sectPr>
          <w:pgSz w:w="11900" w:h="16838" w:orient="portrait"/>
          <w:cols w:equalWidth="0" w:num="1">
            <w:col w:w="10220"/>
          </w:cols>
          <w:pgMar w:left="1440" w:top="1440" w:right="246" w:bottom="0" w:gutter="0" w:footer="0" w:header="0"/>
          <w:type w:val="continuous"/>
        </w:sectPr>
      </w:pPr>
    </w:p>
    <w:bookmarkStart w:id="4" w:name="page5"/>
    <w:bookmarkEnd w:id="4"/>
    <w:p>
      <w:pPr>
        <w:ind w:left="900"/>
        <w:spacing w:after="0"/>
        <w:tabs>
          <w:tab w:leader="none" w:pos="2100" w:val="left"/>
        </w:tabs>
        <w:rPr>
          <w:sz w:val="20"/>
          <w:szCs w:val="20"/>
          <w:color w:val="auto"/>
        </w:rPr>
      </w:pPr>
      <w:r>
        <w:rPr>
          <w:rFonts w:ascii="Arial" w:cs="Arial" w:eastAsia="Arial" w:hAnsi="Arial"/>
          <w:sz w:val="20"/>
          <w:szCs w:val="20"/>
          <w:u w:val="single" w:color="auto"/>
          <w:color w:val="0000FF"/>
        </w:rPr>
        <w:t>ITEM 17.</w:t>
      </w:r>
      <w:r>
        <w:rPr>
          <w:sz w:val="20"/>
          <w:szCs w:val="20"/>
          <w:color w:val="auto"/>
        </w:rPr>
        <w:tab/>
      </w:r>
      <w:r>
        <w:rPr>
          <w:rFonts w:ascii="Arial" w:cs="Arial" w:eastAsia="Arial" w:hAnsi="Arial"/>
          <w:sz w:val="19"/>
          <w:szCs w:val="19"/>
          <w:u w:val="single" w:color="auto"/>
          <w:color w:val="0000FF"/>
        </w:rPr>
        <w:t>FINANCIAL STATEMENTS</w:t>
      </w:r>
    </w:p>
    <w:p>
      <w:pPr>
        <w:spacing w:after="0" w:line="101" w:lineRule="exact"/>
        <w:rPr>
          <w:sz w:val="20"/>
          <w:szCs w:val="20"/>
          <w:color w:val="auto"/>
        </w:rPr>
      </w:pPr>
    </w:p>
    <w:p>
      <w:pPr>
        <w:ind w:left="900"/>
        <w:spacing w:after="0"/>
        <w:tabs>
          <w:tab w:leader="none" w:pos="2100" w:val="left"/>
        </w:tabs>
        <w:rPr>
          <w:sz w:val="20"/>
          <w:szCs w:val="20"/>
          <w:color w:val="auto"/>
        </w:rPr>
      </w:pPr>
      <w:r>
        <w:rPr>
          <w:rFonts w:ascii="Arial" w:cs="Arial" w:eastAsia="Arial" w:hAnsi="Arial"/>
          <w:sz w:val="20"/>
          <w:szCs w:val="20"/>
          <w:u w:val="single" w:color="auto"/>
          <w:color w:val="0000FF"/>
        </w:rPr>
        <w:t>ITEM 18.</w:t>
      </w:r>
      <w:r>
        <w:rPr>
          <w:sz w:val="20"/>
          <w:szCs w:val="20"/>
          <w:color w:val="auto"/>
        </w:rPr>
        <w:tab/>
      </w:r>
      <w:r>
        <w:rPr>
          <w:rFonts w:ascii="Arial" w:cs="Arial" w:eastAsia="Arial" w:hAnsi="Arial"/>
          <w:sz w:val="19"/>
          <w:szCs w:val="19"/>
          <w:u w:val="single" w:color="auto"/>
          <w:color w:val="0000FF"/>
        </w:rPr>
        <w:t>FINANCIAL STATEMENTS</w:t>
      </w:r>
    </w:p>
    <w:p>
      <w:pPr>
        <w:spacing w:after="0" w:line="101" w:lineRule="exact"/>
        <w:rPr>
          <w:sz w:val="20"/>
          <w:szCs w:val="20"/>
          <w:color w:val="auto"/>
        </w:rPr>
      </w:pPr>
    </w:p>
    <w:p>
      <w:pPr>
        <w:ind w:left="900"/>
        <w:spacing w:after="0"/>
        <w:tabs>
          <w:tab w:leader="none" w:pos="2100" w:val="left"/>
        </w:tabs>
        <w:rPr>
          <w:sz w:val="20"/>
          <w:szCs w:val="20"/>
          <w:color w:val="auto"/>
        </w:rPr>
      </w:pPr>
      <w:r>
        <w:rPr>
          <w:rFonts w:ascii="Arial" w:cs="Arial" w:eastAsia="Arial" w:hAnsi="Arial"/>
          <w:sz w:val="20"/>
          <w:szCs w:val="20"/>
          <w:u w:val="single" w:color="auto"/>
          <w:color w:val="0000FF"/>
        </w:rPr>
        <w:t>ITEM 19.</w:t>
      </w:r>
      <w:r>
        <w:rPr>
          <w:sz w:val="20"/>
          <w:szCs w:val="20"/>
          <w:color w:val="auto"/>
        </w:rPr>
        <w:tab/>
      </w:r>
      <w:r>
        <w:rPr>
          <w:rFonts w:ascii="Arial" w:cs="Arial" w:eastAsia="Arial" w:hAnsi="Arial"/>
          <w:sz w:val="19"/>
          <w:szCs w:val="19"/>
          <w:u w:val="single" w:color="auto"/>
          <w:color w:val="0000FF"/>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1177925</wp:posOffset>
            </wp:positionV>
            <wp:extent cx="676402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026"/>
          </w:cols>
          <w:pgMar w:left="1440" w:top="117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 / 65</w:t>
      </w:r>
    </w:p>
    <w:p>
      <w:pPr>
        <w:sectPr>
          <w:pgSz w:w="11900" w:h="16838" w:orient="portrait"/>
          <w:cols w:equalWidth="0" w:num="1">
            <w:col w:w="9026"/>
          </w:cols>
          <w:pgMar w:left="1440" w:top="1179" w:right="1440"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2760" w:right="380"/>
        <w:spacing w:after="0" w:line="305" w:lineRule="auto"/>
        <w:rPr>
          <w:sz w:val="20"/>
          <w:szCs w:val="20"/>
          <w:color w:val="auto"/>
        </w:rPr>
      </w:pPr>
      <w:r>
        <w:rPr>
          <w:rFonts w:ascii="Arial" w:cs="Arial" w:eastAsia="Arial" w:hAnsi="Arial"/>
          <w:sz w:val="28"/>
          <w:szCs w:val="28"/>
          <w:b w:val="1"/>
          <w:bCs w:val="1"/>
          <w:color w:val="auto"/>
        </w:rPr>
        <w:t>CAUTIONARY STATEMENT REGARDING FORWARD-LOOKING STATEMENTS</w:t>
      </w:r>
    </w:p>
    <w:p>
      <w:pPr>
        <w:spacing w:after="0" w:line="206"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This annual report on Form 20-F of Lithium Argentina AG (formerly “Lithium Americas (Argentina) Corp.”) “</w:t>
      </w:r>
      <w:r>
        <w:rPr>
          <w:rFonts w:ascii="Arial" w:cs="Arial" w:eastAsia="Arial" w:hAnsi="Arial"/>
          <w:sz w:val="20"/>
          <w:szCs w:val="20"/>
          <w:b w:val="1"/>
          <w:bCs w:val="1"/>
          <w:color w:val="auto"/>
        </w:rPr>
        <w:t>Company</w:t>
      </w:r>
      <w:r>
        <w:rPr>
          <w:rFonts w:ascii="Arial" w:cs="Arial" w:eastAsia="Arial" w:hAnsi="Arial"/>
          <w:sz w:val="20"/>
          <w:szCs w:val="20"/>
          <w:color w:val="auto"/>
        </w:rPr>
        <w:t>” or “</w:t>
      </w:r>
      <w:r>
        <w:rPr>
          <w:rFonts w:ascii="Arial" w:cs="Arial" w:eastAsia="Arial" w:hAnsi="Arial"/>
          <w:sz w:val="20"/>
          <w:szCs w:val="20"/>
          <w:b w:val="1"/>
          <w:bCs w:val="1"/>
          <w:color w:val="auto"/>
        </w:rPr>
        <w:t>Lithium Argentina</w:t>
      </w:r>
      <w:r>
        <w:rPr>
          <w:rFonts w:ascii="Arial" w:cs="Arial" w:eastAsia="Arial" w:hAnsi="Arial"/>
          <w:sz w:val="20"/>
          <w:szCs w:val="20"/>
          <w:color w:val="auto"/>
        </w:rPr>
        <w:t xml:space="preserve">” or “LAR”), including the documents incorporated herein by refere contains "forward-looking information" within the meaning of applicable Canadian securities legislation "forward-looking statements" within the meaning of the </w:t>
      </w:r>
      <w:r>
        <w:rPr>
          <w:rFonts w:ascii="Arial" w:cs="Arial" w:eastAsia="Arial" w:hAnsi="Arial"/>
          <w:sz w:val="20"/>
          <w:szCs w:val="20"/>
          <w:i w:val="1"/>
          <w:iCs w:val="1"/>
          <w:color w:val="auto"/>
        </w:rPr>
        <w:t>United States Private Securities Litigation Reform A</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1995 </w:t>
      </w:r>
      <w:r>
        <w:rPr>
          <w:rFonts w:ascii="Arial" w:cs="Arial" w:eastAsia="Arial" w:hAnsi="Arial"/>
          <w:sz w:val="20"/>
          <w:szCs w:val="20"/>
          <w:color w:val="auto"/>
        </w:rPr>
        <w:t>(collectively referred to herein as "</w:t>
      </w:r>
      <w:r>
        <w:rPr>
          <w:rFonts w:ascii="Arial" w:cs="Arial" w:eastAsia="Arial" w:hAnsi="Arial"/>
          <w:sz w:val="20"/>
          <w:szCs w:val="20"/>
          <w:b w:val="1"/>
          <w:bCs w:val="1"/>
          <w:color w:val="auto"/>
        </w:rPr>
        <w:t>forward-looking information</w:t>
      </w:r>
      <w:r>
        <w:rPr>
          <w:rFonts w:ascii="Arial" w:cs="Arial" w:eastAsia="Arial" w:hAnsi="Arial"/>
          <w:sz w:val="20"/>
          <w:szCs w:val="20"/>
          <w:color w:val="auto"/>
        </w:rPr>
        <w:t>"). These statements relate to future e</w:t>
      </w:r>
      <w:r>
        <w:rPr>
          <w:rFonts w:ascii="Arial" w:cs="Arial" w:eastAsia="Arial" w:hAnsi="Arial"/>
          <w:sz w:val="20"/>
          <w:szCs w:val="20"/>
          <w:i w:val="1"/>
          <w:iCs w:val="1"/>
          <w:color w:val="auto"/>
        </w:rPr>
        <w:t xml:space="preserve"> </w:t>
      </w:r>
      <w:r>
        <w:rPr>
          <w:rFonts w:ascii="Arial" w:cs="Arial" w:eastAsia="Arial" w:hAnsi="Arial"/>
          <w:sz w:val="20"/>
          <w:szCs w:val="20"/>
          <w:color w:val="auto"/>
        </w:rPr>
        <w:t>or the Company’s future performance. All statements, other than statements of historical fact, may be for looking information. Information concerning mineral resource and mineral reserve estimates also may be de to be forward-looking information in that it reflects a prediction of mineralization that would be encountere mineral deposit were developed and mined. Forward-looking information generally can be identified by the u words such as "seek", "anticipate", "plan", "continue", "estimate", "expect", "may", "will", "project", "pre "propose", "potential", "targeting", "intend", "could", "might", "should", "believe" and similar expressions. T statements involve known and unknown risks, uncertainties and other factors that may cause actual resul events to differ materially from those anticipated in such forward-looking information.</w:t>
      </w:r>
    </w:p>
    <w:p>
      <w:pPr>
        <w:spacing w:after="0" w:line="213" w:lineRule="exact"/>
        <w:rPr>
          <w:sz w:val="20"/>
          <w:szCs w:val="20"/>
          <w:color w:val="auto"/>
        </w:rPr>
      </w:pPr>
    </w:p>
    <w:p>
      <w:pPr>
        <w:jc w:val="both"/>
        <w:ind w:left="900"/>
        <w:spacing w:after="0" w:line="331" w:lineRule="auto"/>
        <w:rPr>
          <w:sz w:val="20"/>
          <w:szCs w:val="20"/>
          <w:color w:val="auto"/>
        </w:rPr>
      </w:pPr>
      <w:r>
        <w:rPr>
          <w:rFonts w:ascii="Arial" w:cs="Arial" w:eastAsia="Arial" w:hAnsi="Arial"/>
          <w:sz w:val="19"/>
          <w:szCs w:val="19"/>
          <w:color w:val="auto"/>
        </w:rPr>
        <w:t>In particular, this annual report contains or incorporates by reference forward-looking information, inclu without limitation, with respect to the following matters or the Company's expectations relating to such ma the tax treatment of the Continuation (defined below); the expected operations, financial results and conditi the Company; the Company's future objectives and strategies to achieve those objectives, expected produ for the Cauchari-Olaroz lithium brine operation (the “</w:t>
      </w:r>
      <w:r>
        <w:rPr>
          <w:rFonts w:ascii="Arial" w:cs="Arial" w:eastAsia="Arial" w:hAnsi="Arial"/>
          <w:sz w:val="19"/>
          <w:szCs w:val="19"/>
          <w:b w:val="1"/>
          <w:bCs w:val="1"/>
          <w:color w:val="auto"/>
        </w:rPr>
        <w:t>Cauchari-Olaroz Operation</w:t>
      </w:r>
      <w:r>
        <w:rPr>
          <w:rFonts w:ascii="Arial" w:cs="Arial" w:eastAsia="Arial" w:hAnsi="Arial"/>
          <w:sz w:val="19"/>
          <w:szCs w:val="19"/>
          <w:color w:val="auto"/>
        </w:rPr>
        <w:t>” or “</w:t>
      </w:r>
      <w:r>
        <w:rPr>
          <w:rFonts w:ascii="Arial" w:cs="Arial" w:eastAsia="Arial" w:hAnsi="Arial"/>
          <w:sz w:val="19"/>
          <w:szCs w:val="19"/>
          <w:b w:val="1"/>
          <w:bCs w:val="1"/>
          <w:color w:val="auto"/>
        </w:rPr>
        <w:t>Cauchari-Olar</w:t>
      </w:r>
      <w:r>
        <w:rPr>
          <w:rFonts w:ascii="Arial" w:cs="Arial" w:eastAsia="Arial" w:hAnsi="Arial"/>
          <w:sz w:val="19"/>
          <w:szCs w:val="19"/>
          <w:color w:val="auto"/>
        </w:rPr>
        <w:t xml:space="preserve"> expected cost reductions per tonne; operation of Cauchari-Olaroz, including timing, approach, continuit change in plans, construction, commissioning, milestones, anticipated production and results thereof expansion plans; the implementation of Direct Lithium Extraction (“DLE”) technology at Cauchari-Ola expected remaining funding commitments at the Cauchari-Olaroz Operation; expected timing of full cap production at Cauchari-Olaroz and plans for additional production capacity; Stage 2 targeted production cap estimates, and any change in estimates, of the mineral reserves and mineral resources estimates (“</w:t>
      </w:r>
      <w:r>
        <w:rPr>
          <w:rFonts w:ascii="Arial" w:cs="Arial" w:eastAsia="Arial" w:hAnsi="Arial"/>
          <w:sz w:val="19"/>
          <w:szCs w:val="19"/>
          <w:b w:val="1"/>
          <w:bCs w:val="1"/>
          <w:color w:val="auto"/>
        </w:rPr>
        <w:t>Mi</w:t>
      </w:r>
      <w:r>
        <w:rPr>
          <w:rFonts w:ascii="Arial" w:cs="Arial" w:eastAsia="Arial" w:hAnsi="Arial"/>
          <w:sz w:val="19"/>
          <w:szCs w:val="19"/>
          <w:color w:val="auto"/>
        </w:rPr>
        <w:t xml:space="preserve"> </w:t>
      </w:r>
      <w:r>
        <w:rPr>
          <w:rFonts w:ascii="Arial" w:cs="Arial" w:eastAsia="Arial" w:hAnsi="Arial"/>
          <w:sz w:val="19"/>
          <w:szCs w:val="19"/>
          <w:b w:val="1"/>
          <w:bCs w:val="1"/>
          <w:color w:val="auto"/>
        </w:rPr>
        <w:t>Resources and Mineral Reserves</w:t>
      </w:r>
      <w:r>
        <w:rPr>
          <w:rFonts w:ascii="Arial" w:cs="Arial" w:eastAsia="Arial" w:hAnsi="Arial"/>
          <w:sz w:val="19"/>
          <w:szCs w:val="19"/>
          <w:color w:val="auto"/>
        </w:rPr>
        <w:t>”) at the Company’s properties; development of Mineral Resources</w:t>
      </w:r>
      <w:r>
        <w:rPr>
          <w:rFonts w:ascii="Arial" w:cs="Arial" w:eastAsia="Arial" w:hAnsi="Arial"/>
          <w:sz w:val="19"/>
          <w:szCs w:val="19"/>
          <w:b w:val="1"/>
          <w:bCs w:val="1"/>
          <w:color w:val="auto"/>
        </w:rPr>
        <w:t xml:space="preserve"> </w:t>
      </w:r>
      <w:r>
        <w:rPr>
          <w:rFonts w:ascii="Arial" w:cs="Arial" w:eastAsia="Arial" w:hAnsi="Arial"/>
          <w:sz w:val="19"/>
          <w:szCs w:val="19"/>
          <w:color w:val="auto"/>
        </w:rPr>
        <w:t>Mineral Reserves; government regulation of mining operations and treatment under governmental and tax regimes; the future price of commodities, including lithium; the realization of Mineral Resources and Mi Reserves estimates, including whether Mineral Resources that are not included in Mineral Reserves will ev developed into Mineral Reserves, and information and underlying assumptions related thereto; the timing amount of future production; expectations with respect to costs of production; liquidity outlook; use of proc from financing activities; currency exchange and interest rates; the Company’s expectations with respe meeting its funding obligations through its financing plans; expectations with respect to the sufficiency of cu cash balances and other sources to fund planned expenditures; the Company’s ability to raise capital an sufficiency of currently available funding; expected expenditures to be made by the Company on its prope the timing, cost, quantity, capacity and product quality of production of the Cauchari-Olaroz Operation; succe operation of Cauchari-Olaroz under its co-ownership structure; ability to produce battery quality lithium prod the Company’s share of the expected capital expenditures for the construction of Cauchari-Olaroz; the form of a new joint venture (“</w:t>
      </w:r>
      <w:r>
        <w:rPr>
          <w:rFonts w:ascii="Arial" w:cs="Arial" w:eastAsia="Arial" w:hAnsi="Arial"/>
          <w:sz w:val="19"/>
          <w:szCs w:val="19"/>
          <w:b w:val="1"/>
          <w:bCs w:val="1"/>
          <w:color w:val="auto"/>
        </w:rPr>
        <w:t>New JV</w:t>
      </w:r>
      <w:r>
        <w:rPr>
          <w:rFonts w:ascii="Arial" w:cs="Arial" w:eastAsia="Arial" w:hAnsi="Arial"/>
          <w:sz w:val="19"/>
          <w:szCs w:val="19"/>
          <w:color w:val="auto"/>
        </w:rPr>
        <w:t>”) for PPG; the regional development plan of the Company and Ganfeng respect to PPG, including expectations regarding its advancement and benefits, the targeted production cap</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 / 65</w:t>
      </w:r>
    </w:p>
    <w:p>
      <w:pPr>
        <w:sectPr>
          <w:pgSz w:w="11900" w:h="16838" w:orient="portrait"/>
          <w:cols w:equalWidth="0" w:num="1">
            <w:col w:w="10460"/>
          </w:cols>
          <w:pgMar w:left="1440" w:top="1440" w:right="6" w:bottom="0" w:gutter="0" w:footer="0" w:header="0"/>
          <w:type w:val="continuous"/>
        </w:sectPr>
      </w:pPr>
    </w:p>
    <w:bookmarkStart w:id="6" w:name="page7"/>
    <w:bookmarkEnd w:id="6"/>
    <w:p>
      <w:pPr>
        <w:jc w:val="both"/>
        <w:ind w:left="900"/>
        <w:spacing w:after="0" w:line="313" w:lineRule="auto"/>
        <w:rPr>
          <w:sz w:val="20"/>
          <w:szCs w:val="20"/>
          <w:color w:val="auto"/>
        </w:rPr>
      </w:pPr>
      <w:r>
        <w:rPr>
          <w:rFonts w:ascii="Arial" w:cs="Arial" w:eastAsia="Arial" w:hAnsi="Arial"/>
          <w:sz w:val="20"/>
          <w:szCs w:val="20"/>
          <w:color w:val="auto"/>
        </w:rPr>
        <w:t>and the potential production of lithium chloride; the results of the Scoping Study, including, without limita expected mine life, production, capital and operating costs, IRR, NPV and other economic and oper parameters of PPG; financing of the New JV and development of PPG ability to achieve capital cost efficien stability and inflation related to the Argentine peso (“</w:t>
      </w:r>
      <w:r>
        <w:rPr>
          <w:rFonts w:ascii="Arial" w:cs="Arial" w:eastAsia="Arial" w:hAnsi="Arial"/>
          <w:sz w:val="20"/>
          <w:szCs w:val="20"/>
          <w:b w:val="1"/>
          <w:bCs w:val="1"/>
          <w:color w:val="auto"/>
        </w:rPr>
        <w:t>ARS$</w:t>
      </w:r>
      <w:r>
        <w:rPr>
          <w:rFonts w:ascii="Arial" w:cs="Arial" w:eastAsia="Arial" w:hAnsi="Arial"/>
          <w:sz w:val="20"/>
          <w:szCs w:val="20"/>
          <w:color w:val="auto"/>
        </w:rPr>
        <w:t>” or “</w:t>
      </w:r>
      <w:r>
        <w:rPr>
          <w:rFonts w:ascii="Arial" w:cs="Arial" w:eastAsia="Arial" w:hAnsi="Arial"/>
          <w:sz w:val="20"/>
          <w:szCs w:val="20"/>
          <w:b w:val="1"/>
          <w:bCs w:val="1"/>
          <w:color w:val="auto"/>
        </w:rPr>
        <w:t>Argentine peso</w:t>
      </w:r>
      <w:r>
        <w:rPr>
          <w:rFonts w:ascii="Arial" w:cs="Arial" w:eastAsia="Arial" w:hAnsi="Arial"/>
          <w:sz w:val="20"/>
          <w:szCs w:val="20"/>
          <w:color w:val="auto"/>
        </w:rPr>
        <w:t>”), matters relating to agreement reached by the Argentine government with the International Monetary Fund in respect of Argen external debt, whether the Argentine government implements additional foreign exchange and capital con and the effect of current or any additional regulations on the Company’s operations; and opportunities for reg growth and development of the Pastos Grandes basin expected from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1091565</wp:posOffset>
            </wp:positionV>
            <wp:extent cx="676402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 / 65</w:t>
      </w:r>
    </w:p>
    <w:p>
      <w:pPr>
        <w:sectPr>
          <w:pgSz w:w="11900" w:h="16838" w:orient="portrait"/>
          <w:cols w:equalWidth="0" w:num="1">
            <w:col w:w="10460"/>
          </w:cols>
          <w:pgMar w:left="1440" w:top="1172" w:right="6" w:bottom="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spacing w:after="0" w:line="331" w:lineRule="auto"/>
        <w:rPr>
          <w:sz w:val="20"/>
          <w:szCs w:val="20"/>
          <w:color w:val="auto"/>
        </w:rPr>
      </w:pPr>
      <w:r>
        <w:rPr>
          <w:rFonts w:ascii="Arial" w:cs="Arial" w:eastAsia="Arial" w:hAnsi="Arial"/>
          <w:sz w:val="19"/>
          <w:szCs w:val="19"/>
          <w:color w:val="auto"/>
        </w:rPr>
        <w:t>Forward-looking information does not take into account the effect of transactions or other items announc occurring after the statements are made. Forward-looking information reflects management's current be expectations and assumptions and is based on information currently available to management, managem historical experience, perception of trends and current business conditions, expected future developments other factors which management considers appropriate. With respect to the forward-looking information incl in this annual report and in the documents incorporated herein by reference, certain assumptions have made with respect to, among other things, that no unforeseen changes in the legislative and operating frame for the Company will occur; that the Company will meet its future objectives and priorities; that the Compan have access to adequate capital to fund its future projects and plans; that the Company's future project and will proceed as anticipated; as well as assumptions concerning general economic and industry growth r commodity prices, currency exchange rates, interest rates and competitive intensity. Although the Com believes that the assumptions and expectations reflected in such forward-looking information are reasonable Company can give no assurance that these assumptions and expectations will prove to be correct.</w:t>
      </w:r>
    </w:p>
    <w:p>
      <w:pPr>
        <w:spacing w:after="0" w:line="207" w:lineRule="exact"/>
        <w:rPr>
          <w:sz w:val="20"/>
          <w:szCs w:val="20"/>
          <w:color w:val="auto"/>
        </w:rPr>
      </w:pPr>
    </w:p>
    <w:p>
      <w:pPr>
        <w:ind w:left="900"/>
        <w:spacing w:after="0" w:line="314" w:lineRule="auto"/>
        <w:rPr>
          <w:sz w:val="20"/>
          <w:szCs w:val="20"/>
          <w:color w:val="auto"/>
        </w:rPr>
      </w:pPr>
      <w:r>
        <w:rPr>
          <w:rFonts w:ascii="Arial" w:cs="Arial" w:eastAsia="Arial" w:hAnsi="Arial"/>
          <w:sz w:val="20"/>
          <w:szCs w:val="20"/>
          <w:color w:val="auto"/>
        </w:rPr>
        <w:t>Readers are cautioned not to place undue reliance on forward-looking information, as there can be no assur that the future circumstances, outcomes or results anticipated or implied by such forward-looking informatio occur or that plans, intentions or expectations upon which the forward-looking information is based will occu its nature, forward-looking information involves known and unknown risks and uncertainties and other factor could cause actual results to differ materially from those contemplated by such forward-looking informa Factors that could cause such differences include, but are not limited to: the potential benefits of the Continu not being realized; the risk of tax liabilities as a result of the Continuation, and general business and econ uncertainties and adverse market conditions; uncertainties inherent to feasibility studies and Mineral Reso and Mineral Reserve estimates; the potential inability or unwillingness of current shareholders to hold Sh following the Continuation; the Company's ability to operate in a safe and effective manner, and without ma adverse impact from the effects of climate change or severe weather conditions; demand for lithium, includin such demand is supported by growth in the electric vehicle market; current technological trends; the impa increasing competition in the lithium business, and the Company's competitive position in the industry; conti constructive engagement with these and other stakeholders, and any expected benefits of such engagemen stable and supportive legislative, regulatory and community environment in the jurisdictions where the Com operates; impacts of inflation, currency exchanges rates, interest rates and other general economic and market conditions; the impact of unknown financial contingencies, including litigation costs, environm compliance costs and costs associated with the impacts of climate change, on the Company's operat estimates of and unpredictable changes to the market prices for lithium products; anticipated timing and resu exploration, development and construction activities, including the impact of ongoing supply chain disruption availability of equipment and supplies on such timing; government regulation of mining operations and me and acquisitions activity, and treatment under governmental, regulatory and taxation regimes; ability to re expected benefits from investments in or partnerships with third parties; accuracy of development budgets construction estimates; changes to the Company's current and future business plans and the strat alternatives available to the Company; and all the other risk factors discussed in "Risk Factors" and iden elsewhere in this annual report and in the documents incorporated herein by reference.</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 / 65</w:t>
      </w:r>
    </w:p>
    <w:p>
      <w:pPr>
        <w:sectPr>
          <w:pgSz w:w="11900" w:h="16838" w:orient="portrait"/>
          <w:cols w:equalWidth="0" w:num="1">
            <w:col w:w="10460"/>
          </w:cols>
          <w:pgMar w:left="1440" w:top="1440" w:right="6" w:bottom="0" w:gutter="0" w:footer="0" w:header="0"/>
          <w:type w:val="continuous"/>
        </w:sectPr>
      </w:pPr>
    </w:p>
    <w:bookmarkStart w:id="8" w:name="page9"/>
    <w:bookmarkEnd w:id="8"/>
    <w:p>
      <w:pPr>
        <w:jc w:val="both"/>
        <w:ind w:left="900"/>
        <w:spacing w:after="0" w:line="313" w:lineRule="auto"/>
        <w:rPr>
          <w:sz w:val="20"/>
          <w:szCs w:val="20"/>
          <w:color w:val="auto"/>
        </w:rPr>
      </w:pPr>
      <w:r>
        <w:rPr>
          <w:rFonts w:ascii="Arial" w:cs="Arial" w:eastAsia="Arial" w:hAnsi="Arial"/>
          <w:sz w:val="20"/>
          <w:szCs w:val="20"/>
          <w:color w:val="auto"/>
        </w:rPr>
        <w:t>Readers are cautioned that the foregoing lists of factors are not exhaustive. All forward-looking inform included in and incorporated by reference into this annual report is qualified by these cautionary statements forward-looking information contained herein is made as of the date of this annual report and, except as req by applicable law, the Company does not undertake any obligation to publicly update or revise any for looking information, whether as a result of new information, future events or otherwise.</w:t>
      </w:r>
    </w:p>
    <w:p>
      <w:pPr>
        <w:spacing w:after="0" w:line="210"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Readers are cautioned that the actual results achieved will vary from the information provided herein and such variations may be material. Consequently, there are no representations by the Company that actual re achieved will be the same in whole or in part as those set out in the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9 / 65</w:t>
      </w:r>
    </w:p>
    <w:p>
      <w:pPr>
        <w:sectPr>
          <w:pgSz w:w="11900" w:h="16838" w:orient="portrait"/>
          <w:cols w:equalWidth="0" w:num="1">
            <w:col w:w="10460"/>
          </w:cols>
          <w:pgMar w:left="1440" w:top="1172" w:right="6" w:bottom="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40"/>
        <w:spacing w:after="0"/>
        <w:rPr>
          <w:sz w:val="20"/>
          <w:szCs w:val="20"/>
          <w:color w:val="auto"/>
        </w:rPr>
      </w:pPr>
      <w:r>
        <w:rPr>
          <w:rFonts w:ascii="Arial" w:cs="Arial" w:eastAsia="Arial" w:hAnsi="Arial"/>
          <w:sz w:val="28"/>
          <w:szCs w:val="28"/>
          <w:b w:val="1"/>
          <w:bCs w:val="1"/>
          <w:color w:val="auto"/>
        </w:rPr>
        <w:t>EXPLANATORY NOTE</w:t>
      </w:r>
    </w:p>
    <w:p>
      <w:pPr>
        <w:spacing w:after="0" w:line="293"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On January 23, 2025, the Company, completed a plan of arrangement under the laws of the province of B Columbia (the "</w:t>
      </w:r>
      <w:r>
        <w:rPr>
          <w:rFonts w:ascii="Arial" w:cs="Arial" w:eastAsia="Arial" w:hAnsi="Arial"/>
          <w:sz w:val="20"/>
          <w:szCs w:val="20"/>
          <w:b w:val="1"/>
          <w:bCs w:val="1"/>
          <w:color w:val="auto"/>
        </w:rPr>
        <w:t>Arrangement</w:t>
      </w:r>
      <w:r>
        <w:rPr>
          <w:rFonts w:ascii="Arial" w:cs="Arial" w:eastAsia="Arial" w:hAnsi="Arial"/>
          <w:sz w:val="20"/>
          <w:szCs w:val="20"/>
          <w:color w:val="auto"/>
        </w:rPr>
        <w:t>") involving the Company’s continuation from the province of British Columbia u the name “Lithium Americas (Argentina) Corp.” into Zug, Canton of Zug, Switzerland as a Swiss share corpo (</w:t>
      </w:r>
      <w:r>
        <w:rPr>
          <w:rFonts w:ascii="Arial" w:cs="Arial" w:eastAsia="Arial" w:hAnsi="Arial"/>
          <w:sz w:val="20"/>
          <w:szCs w:val="20"/>
          <w:i w:val="1"/>
          <w:iCs w:val="1"/>
          <w:color w:val="auto"/>
        </w:rPr>
        <w:t>Aktiengesellschaft</w:t>
      </w:r>
      <w:r>
        <w:rPr>
          <w:rFonts w:ascii="Arial" w:cs="Arial" w:eastAsia="Arial" w:hAnsi="Arial"/>
          <w:sz w:val="20"/>
          <w:szCs w:val="20"/>
          <w:color w:val="auto"/>
        </w:rPr>
        <w:t xml:space="preserve">) under the name “Lithium Argentina AG” and ceasing to be governed by the </w:t>
      </w:r>
      <w:r>
        <w:rPr>
          <w:rFonts w:ascii="Arial" w:cs="Arial" w:eastAsia="Arial" w:hAnsi="Arial"/>
          <w:sz w:val="20"/>
          <w:szCs w:val="20"/>
          <w:i w:val="1"/>
          <w:iCs w:val="1"/>
          <w:color w:val="auto"/>
        </w:rPr>
        <w:t>Busi</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Corporations Act </w:t>
      </w:r>
      <w:r>
        <w:rPr>
          <w:rFonts w:ascii="Arial" w:cs="Arial" w:eastAsia="Arial" w:hAnsi="Arial"/>
          <w:sz w:val="20"/>
          <w:szCs w:val="20"/>
          <w:color w:val="auto"/>
        </w:rPr>
        <w:t>(British Columbia) (“</w:t>
      </w:r>
      <w:r>
        <w:rPr>
          <w:rFonts w:ascii="Arial" w:cs="Arial" w:eastAsia="Arial" w:hAnsi="Arial"/>
          <w:sz w:val="20"/>
          <w:szCs w:val="20"/>
          <w:b w:val="1"/>
          <w:bCs w:val="1"/>
          <w:color w:val="auto"/>
        </w:rPr>
        <w:t>BCBCA</w:t>
      </w:r>
      <w:r>
        <w:rPr>
          <w:rFonts w:ascii="Arial" w:cs="Arial" w:eastAsia="Arial" w:hAnsi="Arial"/>
          <w:sz w:val="20"/>
          <w:szCs w:val="20"/>
          <w:color w:val="auto"/>
        </w:rPr>
        <w:t>”) resulting in the shareholders of the Company prior to</w:t>
      </w:r>
      <w:r>
        <w:rPr>
          <w:rFonts w:ascii="Arial" w:cs="Arial" w:eastAsia="Arial" w:hAnsi="Arial"/>
          <w:sz w:val="20"/>
          <w:szCs w:val="20"/>
          <w:i w:val="1"/>
          <w:iCs w:val="1"/>
          <w:color w:val="auto"/>
        </w:rPr>
        <w:t xml:space="preserve"> </w:t>
      </w:r>
      <w:r>
        <w:rPr>
          <w:rFonts w:ascii="Arial" w:cs="Arial" w:eastAsia="Arial" w:hAnsi="Arial"/>
          <w:sz w:val="20"/>
          <w:szCs w:val="20"/>
          <w:color w:val="auto"/>
        </w:rPr>
        <w:t>Arrangement continuing to hold all the issued and outstanding registered common shares (“</w:t>
      </w:r>
      <w:r>
        <w:rPr>
          <w:rFonts w:ascii="Arial" w:cs="Arial" w:eastAsia="Arial" w:hAnsi="Arial"/>
          <w:sz w:val="20"/>
          <w:szCs w:val="20"/>
          <w:b w:val="1"/>
          <w:bCs w:val="1"/>
          <w:color w:val="auto"/>
        </w:rPr>
        <w:t>Shares</w:t>
      </w:r>
      <w:r>
        <w:rPr>
          <w:rFonts w:ascii="Arial" w:cs="Arial" w:eastAsia="Arial" w:hAnsi="Arial"/>
          <w:sz w:val="20"/>
          <w:szCs w:val="20"/>
          <w:color w:val="auto"/>
        </w:rPr>
        <w:t>”) o Company following the Arrangement (the "</w:t>
      </w:r>
      <w:r>
        <w:rPr>
          <w:rFonts w:ascii="Arial" w:cs="Arial" w:eastAsia="Arial" w:hAnsi="Arial"/>
          <w:sz w:val="20"/>
          <w:szCs w:val="20"/>
          <w:b w:val="1"/>
          <w:bCs w:val="1"/>
          <w:color w:val="auto"/>
        </w:rPr>
        <w:t>Continuation</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1090295</wp:posOffset>
            </wp:positionV>
            <wp:extent cx="676402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10 / 65</w:t>
      </w:r>
    </w:p>
    <w:p>
      <w:pPr>
        <w:sectPr>
          <w:pgSz w:w="11900" w:h="16838" w:orient="portrait"/>
          <w:cols w:equalWidth="0" w:num="1">
            <w:col w:w="10460"/>
          </w:cols>
          <w:pgMar w:left="1440" w:top="1440" w:right="6" w:bottom="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80"/>
        <w:spacing w:after="0"/>
        <w:rPr>
          <w:sz w:val="20"/>
          <w:szCs w:val="20"/>
          <w:color w:val="auto"/>
        </w:rPr>
      </w:pPr>
      <w:r>
        <w:rPr>
          <w:rFonts w:ascii="Arial" w:cs="Arial" w:eastAsia="Arial" w:hAnsi="Arial"/>
          <w:sz w:val="28"/>
          <w:szCs w:val="28"/>
          <w:b w:val="1"/>
          <w:bCs w:val="1"/>
          <w:color w:val="auto"/>
        </w:rPr>
        <w:t>PART I</w:t>
      </w:r>
    </w:p>
    <w:p>
      <w:pPr>
        <w:spacing w:after="0" w:line="293" w:lineRule="exact"/>
        <w:rPr>
          <w:sz w:val="20"/>
          <w:szCs w:val="20"/>
          <w:color w:val="auto"/>
        </w:rPr>
      </w:pPr>
    </w:p>
    <w:p>
      <w:pPr>
        <w:ind w:left="900" w:right="20"/>
        <w:spacing w:after="0" w:line="307" w:lineRule="auto"/>
        <w:rPr>
          <w:sz w:val="20"/>
          <w:szCs w:val="20"/>
          <w:color w:val="auto"/>
        </w:rPr>
      </w:pPr>
      <w:r>
        <w:rPr>
          <w:rFonts w:ascii="Arial" w:cs="Arial" w:eastAsia="Arial" w:hAnsi="Arial"/>
          <w:sz w:val="20"/>
          <w:szCs w:val="20"/>
          <w:i w:val="1"/>
          <w:iCs w:val="1"/>
          <w:color w:val="auto"/>
        </w:rPr>
        <w:t>Unless the context otherwise requires, as used in this annual report, the terms "Company," "we," "us," "our, “Lithium Argentina” refer to Lithium Argentina AG and any or all of its subsidiaries.</w:t>
      </w:r>
    </w:p>
    <w:p>
      <w:pPr>
        <w:spacing w:after="0" w:line="215"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i w:val="1"/>
          <w:iCs w:val="1"/>
          <w:color w:val="auto"/>
        </w:rPr>
        <w:t>Unless otherwise indicated, all references to "U.S. dollars," "dollars," "US$" and "$" in this annual report are t lawful currency of the United States of America. References to Canadian dollars are referred to as “C$”</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1. IDENTITY OF DIRECTORS, SENIOR MANAGEMENT AND ADVIS</w:t>
      </w:r>
    </w:p>
    <w:p>
      <w:pPr>
        <w:spacing w:after="0" w:line="286"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 applicable.</w:t>
      </w:r>
    </w:p>
    <w:p>
      <w:pPr>
        <w:spacing w:after="0" w:line="284"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2. OFFER STATISTICS AND EXPECTED TIMETABLE</w:t>
      </w:r>
    </w:p>
    <w:p>
      <w:pPr>
        <w:spacing w:after="0" w:line="286"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 applicable.</w:t>
      </w:r>
    </w:p>
    <w:p>
      <w:pPr>
        <w:spacing w:after="0" w:line="284"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3. KEY INFORMATION</w:t>
      </w:r>
    </w:p>
    <w:p>
      <w:pPr>
        <w:spacing w:after="0" w:line="286" w:lineRule="exact"/>
        <w:rPr>
          <w:sz w:val="20"/>
          <w:szCs w:val="20"/>
          <w:color w:val="auto"/>
        </w:rPr>
      </w:pPr>
    </w:p>
    <w:p>
      <w:pPr>
        <w:ind w:left="1140" w:hanging="246"/>
        <w:spacing w:after="0"/>
        <w:tabs>
          <w:tab w:leader="none" w:pos="114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[Reserved]</w:t>
      </w:r>
    </w:p>
    <w:p>
      <w:pPr>
        <w:spacing w:after="0" w:line="271" w:lineRule="exact"/>
        <w:rPr>
          <w:rFonts w:ascii="Arial" w:cs="Arial" w:eastAsia="Arial" w:hAnsi="Arial"/>
          <w:sz w:val="20"/>
          <w:szCs w:val="20"/>
          <w:b w:val="1"/>
          <w:bCs w:val="1"/>
          <w:color w:val="auto"/>
        </w:rPr>
      </w:pPr>
    </w:p>
    <w:p>
      <w:pPr>
        <w:ind w:left="1140" w:hanging="246"/>
        <w:spacing w:after="0"/>
        <w:tabs>
          <w:tab w:leader="none" w:pos="114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Capitalization and Indebtedness</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 applicable.</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C. Reasons for the Offer and Use of Proceeds</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 applicable.</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D. Risk Factors</w:t>
      </w:r>
    </w:p>
    <w:p>
      <w:pPr>
        <w:spacing w:after="0" w:line="279" w:lineRule="exact"/>
        <w:rPr>
          <w:sz w:val="20"/>
          <w:szCs w:val="20"/>
          <w:color w:val="auto"/>
        </w:rPr>
      </w:pPr>
    </w:p>
    <w:p>
      <w:pPr>
        <w:jc w:val="both"/>
        <w:ind w:left="900"/>
        <w:spacing w:after="0" w:line="332" w:lineRule="auto"/>
        <w:rPr>
          <w:sz w:val="20"/>
          <w:szCs w:val="20"/>
          <w:color w:val="auto"/>
        </w:rPr>
      </w:pPr>
      <w:r>
        <w:rPr>
          <w:rFonts w:ascii="Arial" w:cs="Arial" w:eastAsia="Arial" w:hAnsi="Arial"/>
          <w:sz w:val="19"/>
          <w:szCs w:val="19"/>
          <w:color w:val="auto"/>
        </w:rPr>
        <w:t>An investment in the Company’s securities should be considered as highly speculative given the current sta the Company’s business and development. Such an investment is subject to a number of risks at any given Below is a description of the principal risk factors affecting the Company. The risk factors set out below ar exhaustive and do not include risks the Company deems to be immaterial; however, even an immaterial ris the potential to have a material adverse effect on the Company’s business financial condition, result operations. Investors should carefully consider these risk factors, many of which are beyond the Comp control, together with other information set out in this annual report before investing in the Company’s securit</w:t>
      </w:r>
    </w:p>
    <w:p>
      <w:pPr>
        <w:spacing w:after="0" w:line="197"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following are risk factors that the Company’s management believes are most important in the context o Company’s business. It should be noted that this list is not exhaustive and that other risk factors may apply.</w:t>
      </w:r>
    </w:p>
    <w:p>
      <w:pPr>
        <w:spacing w:after="0" w:line="2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following are risk factors that the Company’s management believes are most important in the context o Company’s business. It should be noted that this list is not exhaustive and that other risk factors may a Additional risks are disclosed in the Company’s other continuous disclosure documents which are avai through the Company’s profile on SEDAR+ at www.sedarplus.ca and EDGAR at the website of the SE www.sec.gov.</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11 / 65</w:t>
      </w:r>
    </w:p>
    <w:p>
      <w:pPr>
        <w:sectPr>
          <w:pgSz w:w="11900" w:h="16838" w:orient="portrait"/>
          <w:cols w:equalWidth="0" w:num="1">
            <w:col w:w="10460"/>
          </w:cols>
          <w:pgMar w:left="1440" w:top="1440" w:right="6" w:bottom="0" w:gutter="0" w:footer="0" w:header="0"/>
          <w:type w:val="continuous"/>
        </w:sectPr>
      </w:pPr>
    </w:p>
    <w:bookmarkStart w:id="11" w:name="page12"/>
    <w:bookmarkEnd w:id="11"/>
    <w:p>
      <w:pPr>
        <w:ind w:left="900"/>
        <w:spacing w:after="0"/>
        <w:rPr>
          <w:sz w:val="20"/>
          <w:szCs w:val="20"/>
          <w:color w:val="auto"/>
        </w:rPr>
      </w:pPr>
      <w:r>
        <w:rPr>
          <w:rFonts w:ascii="Arial" w:cs="Arial" w:eastAsia="Arial" w:hAnsi="Arial"/>
          <w:sz w:val="20"/>
          <w:szCs w:val="20"/>
          <w:b w:val="1"/>
          <w:bCs w:val="1"/>
          <w:color w:val="auto"/>
        </w:rPr>
        <w:t>Risks Related to Our Operations, Development Projects and Partnerships</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b w:val="1"/>
          <w:bCs w:val="1"/>
          <w:i w:val="1"/>
          <w:iCs w:val="1"/>
          <w:color w:val="auto"/>
        </w:rPr>
        <w:t>The Company’s co-ownership of Cauchari-Olaroz and Pozuelos-Pastos Grandes lithium brine pr (“PPG”) may result in delays in decision making and disagreement between the parties, which c affect its business, financial condition and results of operations.</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Company holds a 44.8% interest in Cauchari-Olaroz, which it co-owns with Ganfeng Lithium Co., (“</w:t>
      </w:r>
      <w:r>
        <w:rPr>
          <w:rFonts w:ascii="Arial" w:cs="Arial" w:eastAsia="Arial" w:hAnsi="Arial"/>
          <w:sz w:val="20"/>
          <w:szCs w:val="20"/>
          <w:b w:val="1"/>
          <w:bCs w:val="1"/>
          <w:color w:val="auto"/>
        </w:rPr>
        <w:t>Ganfeng</w:t>
      </w:r>
      <w:r>
        <w:rPr>
          <w:rFonts w:ascii="Arial" w:cs="Arial" w:eastAsia="Arial" w:hAnsi="Arial"/>
          <w:sz w:val="20"/>
          <w:szCs w:val="20"/>
          <w:color w:val="auto"/>
        </w:rPr>
        <w:t>”) who holds a 46.7% interest, with Jujuy Energía y Minería Sociedad del Est (“</w:t>
      </w:r>
      <w:r>
        <w:rPr>
          <w:rFonts w:ascii="Arial" w:cs="Arial" w:eastAsia="Arial" w:hAnsi="Arial"/>
          <w:sz w:val="20"/>
          <w:szCs w:val="20"/>
          <w:b w:val="1"/>
          <w:bCs w:val="1"/>
          <w:color w:val="auto"/>
        </w:rPr>
        <w:t>JEMSE</w:t>
      </w:r>
      <w:r>
        <w:rPr>
          <w:rFonts w:ascii="Arial" w:cs="Arial" w:eastAsia="Arial" w:hAnsi="Arial"/>
          <w:sz w:val="20"/>
          <w:szCs w:val="20"/>
          <w:color w:val="auto"/>
        </w:rPr>
        <w:t>”) holding an 8.5% interest pursuant to an option agreement (the “</w:t>
      </w:r>
      <w:r>
        <w:rPr>
          <w:rFonts w:ascii="Arial" w:cs="Arial" w:eastAsia="Arial" w:hAnsi="Arial"/>
          <w:sz w:val="20"/>
          <w:szCs w:val="20"/>
          <w:b w:val="1"/>
          <w:bCs w:val="1"/>
          <w:color w:val="auto"/>
        </w:rPr>
        <w:t>JEMSE Option Agreement</w:t>
      </w:r>
      <w:r>
        <w:rPr>
          <w:rFonts w:ascii="Arial" w:cs="Arial" w:eastAsia="Arial" w:hAnsi="Arial"/>
          <w:sz w:val="20"/>
          <w:szCs w:val="20"/>
          <w:color w:val="auto"/>
        </w:rPr>
        <w:t>”). Company’s operations related to Cauchari-Olaroz are conducted in Argentina through its equity investees, M Exar S.A. (“</w:t>
      </w:r>
      <w:r>
        <w:rPr>
          <w:rFonts w:ascii="Arial" w:cs="Arial" w:eastAsia="Arial" w:hAnsi="Arial"/>
          <w:sz w:val="20"/>
          <w:szCs w:val="20"/>
          <w:b w:val="1"/>
          <w:bCs w:val="1"/>
          <w:color w:val="auto"/>
        </w:rPr>
        <w:t>Exar</w:t>
      </w:r>
      <w:r>
        <w:rPr>
          <w:rFonts w:ascii="Arial" w:cs="Arial" w:eastAsia="Arial" w:hAnsi="Arial"/>
          <w:sz w:val="20"/>
          <w:szCs w:val="20"/>
          <w:color w:val="auto"/>
        </w:rPr>
        <w:t>”) and Exar Capital, B.V. (“</w:t>
      </w:r>
      <w:r>
        <w:rPr>
          <w:rFonts w:ascii="Arial" w:cs="Arial" w:eastAsia="Arial" w:hAnsi="Arial"/>
          <w:sz w:val="20"/>
          <w:szCs w:val="20"/>
          <w:b w:val="1"/>
          <w:bCs w:val="1"/>
          <w:color w:val="auto"/>
        </w:rPr>
        <w:t>Exar Capital</w:t>
      </w:r>
      <w:r>
        <w:rPr>
          <w:rFonts w:ascii="Arial" w:cs="Arial" w:eastAsia="Arial" w:hAnsi="Arial"/>
          <w:sz w:val="20"/>
          <w:szCs w:val="20"/>
          <w:color w:val="auto"/>
        </w:rPr>
        <w:t>”), which are governed by a shareholders’ agree between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12 / 65</w:t>
      </w:r>
    </w:p>
    <w:p>
      <w:pPr>
        <w:sectPr>
          <w:pgSz w:w="11900" w:h="16838" w:orient="portrait"/>
          <w:cols w:equalWidth="0" w:num="1">
            <w:col w:w="10460"/>
          </w:cols>
          <w:pgMar w:left="1440" w:top="1165" w:right="6" w:bottom="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Ganfeng. The Company and Ganfeng collectively own 91.5% of Exar (and thus Cauchari-Olaroz, with remaining 8.5% owned by JEMSE) and 100% of Exar Capital (a Netherlands entity that provides funding to E The Company also anticipates to enter into the New JV whereby Ganfeng will hold 67% and the Compan hold 33% of PPG. These arrangements are subject to the risks normally associated with the conduct of ownership structures. These include the following: disagreements between the parties as to project develop and operating matters; the inability of any or both parties to meet contractual obligations under the rele agreements, such as funding requirements, or to third parties; a partner having economic or business intere goal that are, or become, inconsistent with the Company’s business interests or goals; bankruptcy of the pa disputes or litigation between the parties regarding project financing, resource allocation, budgets, develop milestone or activities, offtake matters, reporting requirements the partner becoming subject to incompatible or regulatory requirements, sanctions or other adverse governmental activities affecting the ability of the part work as business partners and other matters; or breach, default or incompliance of the partner in respect o agreement with the Company. The occurrence of any such matters could have a material adverse impact o Company and the viability of its interests in Cauchari-Olaroz, Exar, the operating company for Cauchari-Ol and other subsidiaries or investee through which the Company holds and funds its interest in its principal pro This in turn could have a material adverse impact on the Company’s business, financial condition and resu operations.</w:t>
      </w:r>
    </w:p>
    <w:p>
      <w:pPr>
        <w:spacing w:after="0" w:line="217"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Although the Company’s agreements with Ganfeng provide a certain level of minority protections, includin example under the Amended Shareholders Agreement (defined below), such that various significant busi decisions will require the Company’s consent, there may be circumstances where Ganfeng could make deci that the Company disagrees with, or that could have a material adverse effect on the Company.</w:t>
      </w:r>
    </w:p>
    <w:p>
      <w:pPr>
        <w:spacing w:after="0" w:line="212" w:lineRule="exact"/>
        <w:rPr>
          <w:sz w:val="20"/>
          <w:szCs w:val="20"/>
          <w:color w:val="auto"/>
        </w:rPr>
      </w:pPr>
    </w:p>
    <w:p>
      <w:pPr>
        <w:ind w:left="900" w:right="40"/>
        <w:spacing w:after="0" w:line="307" w:lineRule="auto"/>
        <w:rPr>
          <w:sz w:val="20"/>
          <w:szCs w:val="20"/>
          <w:color w:val="auto"/>
        </w:rPr>
      </w:pPr>
      <w:r>
        <w:rPr>
          <w:rFonts w:ascii="Arial" w:cs="Arial" w:eastAsia="Arial" w:hAnsi="Arial"/>
          <w:sz w:val="20"/>
          <w:szCs w:val="20"/>
          <w:b w:val="1"/>
          <w:bCs w:val="1"/>
          <w:i w:val="1"/>
          <w:iCs w:val="1"/>
          <w:color w:val="auto"/>
        </w:rPr>
        <w:t>Cauchari-Olaroz may not achieve nameplate capacity, expansion plans or produce battery-grade lit carbonate.</w:t>
      </w:r>
    </w:p>
    <w:p>
      <w:pPr>
        <w:spacing w:after="0" w:line="215"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Cauchari-Olaroz is currently in production and during 2025 reached an average production rate of around 85 nameplate capacity. Nameplate capacity for Cauchari-Olaroz is 40,000 tpa lithium carbonate. Cauchari-O continues to progress operations towards sustained production rates at nameplate capacity, but there i guarantee that these efforts will achieve nameplate capacity. The operation is also advancing expansion considering an additional capacity of 45,000 tpa of Lithium Carbonate Equivalent ("</w:t>
      </w:r>
      <w:r>
        <w:rPr>
          <w:rFonts w:ascii="Arial" w:cs="Arial" w:eastAsia="Arial" w:hAnsi="Arial"/>
          <w:sz w:val="20"/>
          <w:szCs w:val="20"/>
          <w:b w:val="1"/>
          <w:bCs w:val="1"/>
          <w:color w:val="auto"/>
        </w:rPr>
        <w:t>LCE</w:t>
      </w:r>
      <w:r>
        <w:rPr>
          <w:rFonts w:ascii="Arial" w:cs="Arial" w:eastAsia="Arial" w:hAnsi="Arial"/>
          <w:sz w:val="20"/>
          <w:szCs w:val="20"/>
          <w:color w:val="auto"/>
        </w:rPr>
        <w:t>"). There is no guar that such expansion plans will result in capacity improvements at Cauchari-Olaroz.</w:t>
      </w:r>
    </w:p>
    <w:p>
      <w:pPr>
        <w:spacing w:after="0" w:line="212"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Cauchari-Olaroz is currently producing technical grade lithium carbonate. The production of battery-grade lit carbonate requires sensitive chemical processing that can be difficult to produce on a commercial scale involves additional complexities compared to the commissioning process for other types of mineral produ operations. Cauchari-Olaroz is currently not equipped to produce battery-grade lithium carbonate and there guarantee that such additional processing infrastructure will be installed so as to produce battery-g infrastructure. There can be substantial price differentials for lithium products that meet battery-gr specifications and those that do not. If Cauchari-Olaroz is unable to commercially produce lithium carbonate purity and performance level that meets the specifications of its customers, this could affect the Comp business, financial condition and results of operations.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13 / 65</w:t>
      </w:r>
    </w:p>
    <w:p>
      <w:pPr>
        <w:sectPr>
          <w:pgSz w:w="11900" w:h="16838" w:orient="portrait"/>
          <w:cols w:equalWidth="0" w:num="1">
            <w:col w:w="10460"/>
          </w:cols>
          <w:pgMar w:left="1440" w:top="1440" w:right="6" w:bottom="0" w:gutter="0" w:footer="0" w:header="0"/>
          <w:type w:val="continuous"/>
        </w:sectPr>
      </w:pPr>
    </w:p>
    <w:bookmarkStart w:id="13" w:name="page14"/>
    <w:bookmarkEnd w:id="13"/>
    <w:p>
      <w:pPr>
        <w:jc w:val="both"/>
        <w:ind w:left="900"/>
        <w:spacing w:after="0" w:line="311" w:lineRule="auto"/>
        <w:rPr>
          <w:sz w:val="20"/>
          <w:szCs w:val="20"/>
          <w:color w:val="auto"/>
        </w:rPr>
      </w:pPr>
      <w:r>
        <w:rPr>
          <w:rFonts w:ascii="Arial" w:cs="Arial" w:eastAsia="Arial" w:hAnsi="Arial"/>
          <w:sz w:val="20"/>
          <w:szCs w:val="20"/>
          <w:b w:val="1"/>
          <w:bCs w:val="1"/>
          <w:i w:val="1"/>
          <w:iCs w:val="1"/>
          <w:color w:val="auto"/>
        </w:rPr>
        <w:t>The location of Cauchari-Olaroz and PPG present unique challenges that require specialized functio develop and operate the assets. These complexities may result in unforeseen operational risks that c affect its business, financial condition and results of operations.</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Cauchari-Olaroz and PPG are located in the high-altitude Puna region of northwestern Argentina at elevatio approximately 4,000 meters above sea level. Developing and operating lithium brine projects in this environ require specialized expertise, logistics and infrastructure to manage the effects of remoteness, altitude extreme climatic variability. These conditions create unique challenges for construction, operations maintenance, in addition to the risks normally associated with mining operations, which may result in increases, an impact on production, schedule delays or other unanticipated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14 / 65</w:t>
      </w:r>
    </w:p>
    <w:p>
      <w:pPr>
        <w:sectPr>
          <w:pgSz w:w="11900" w:h="16838" w:orient="portrait"/>
          <w:cols w:equalWidth="0" w:num="1">
            <w:col w:w="10460"/>
          </w:cols>
          <w:pgMar w:left="1440" w:top="1172" w:right="6" w:bottom="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At Cauchari-Olaroz, production process relies on natural solar evaporation to concentrate brine, whic inherently dependent on climatic conditions. Variations in temperature, precipitation, and solar radiation can evaporation rates, brine composition and overall process efficiency. The lithium brine reservoir is a dyn system, and the Mineral Resource and Mineral Reserve estimates may not fully represent local geolo variability or reservoir behavior. Changes in brine flow or composition could impact recovery rates and produ output. The Company monitors these conditions closely through ongoing sampling, data analysis and operat adjustments; however, there can be no assurance that these measures will fully mitigate climatic or geolo risks. The development of PPG involves similar challenges, including the need to design and cons infrastructure under high-altitude and remote conditions while managing environmental and logistical constr If any of the aforementioned operational or technical risks materialize at either project, this could result in red production volumes, increased costs or lower-than-expected economic returns, which could have a ma adverse effect on the Company’s business, financial condition and results of operations.</w:t>
      </w:r>
    </w:p>
    <w:p>
      <w:pPr>
        <w:spacing w:after="0" w:line="212" w:lineRule="exact"/>
        <w:rPr>
          <w:sz w:val="20"/>
          <w:szCs w:val="20"/>
          <w:color w:val="auto"/>
        </w:rPr>
      </w:pPr>
    </w:p>
    <w:p>
      <w:pPr>
        <w:ind w:left="900"/>
        <w:spacing w:after="0"/>
        <w:rPr>
          <w:sz w:val="20"/>
          <w:szCs w:val="20"/>
          <w:color w:val="auto"/>
        </w:rPr>
      </w:pPr>
      <w:r>
        <w:rPr>
          <w:rFonts w:ascii="Arial" w:cs="Arial" w:eastAsia="Arial" w:hAnsi="Arial"/>
          <w:sz w:val="19"/>
          <w:szCs w:val="19"/>
          <w:b w:val="1"/>
          <w:bCs w:val="1"/>
          <w:i w:val="1"/>
          <w:iCs w:val="1"/>
          <w:color w:val="auto"/>
        </w:rPr>
        <w:t>The Company’s project development plans for PPG are subject to significant risks and uncertainties.</w:t>
      </w:r>
    </w:p>
    <w:p>
      <w:pPr>
        <w:spacing w:after="0" w:line="283"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Company’s business strategy depends in part on developing PPG into a commercially viable opera Whether a mineral deposit will be commercially viable depends on numerous factors, including: the attribut the deposit, such as size and grade; proximity to available infrastructure; economics for new infrastructure; li and commodity prices and market conditions for battery-grade lithium products; processing methods and c government permitting and regulations and response to brine and water pumping.</w:t>
      </w:r>
    </w:p>
    <w:p>
      <w:pPr>
        <w:spacing w:after="0" w:line="210"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The solvent extraction technology considered for PPG, while still being refined and adjusted for the specific is not entirely novel. Still, scaling up and solvent management on outlet streams poses risks that the projec to face. Testwork conducted by Ganfeng indicates that a suitable extractant can be formulated for the PPG and further work is underway to continue advancing the technology. Despite this testwork, there are inh uncertainties associated with the adaptation of novel technologies to commercial scales. These uncertai include but are not limited to, effectiveness in process chemistry, adequate management of solvent controlling organics in liquid streams off the plant, scale efficiencies of recovery, throughput capacity, and effectiveness of scaled production.</w:t>
      </w:r>
    </w:p>
    <w:p>
      <w:pPr>
        <w:spacing w:after="0" w:line="2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Ganfeng and Lithium Argentina completed a Scoping Study for PPG that outlines potential capital requirem operating costs and other economic information. There is no assurance that a development plan involving will be completed on time, and that such development plan will be commercially viable. The development of requires the successful negotiation of a joint venture and there is no assurance that the parties will succes negotiate and enter into a joint venture for the regional development of the Pastos Grandes basin.</w:t>
      </w:r>
    </w:p>
    <w:p>
      <w:pPr>
        <w:spacing w:after="0" w:line="210"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Even if PPG was determined to be commercially viable, there are many additional factors that could impac project’s development, including terms and availability of financing, cost overruns, litigation or administr appeals concerning the project, delays in development, and any permitting changes, among other factors. P also subject to the development and operational risks described elsewhere in this annual report. Accordin the Company is unable to develop PPG into a commercial operating mine, its business, financial condition results of operations could be materially adversely affected.</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b w:val="1"/>
          <w:bCs w:val="1"/>
          <w:i w:val="1"/>
          <w:iCs w:val="1"/>
          <w:color w:val="auto"/>
        </w:rPr>
        <w:t>The future production of the Company’s current operations and future projects cannot be predicted may not align with the projections in the Company’s technical reports or otherwise.</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4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15 / 65</w:t>
      </w:r>
    </w:p>
    <w:p>
      <w:pPr>
        <w:sectPr>
          <w:pgSz w:w="11900" w:h="16838" w:orient="portrait"/>
          <w:cols w:equalWidth="0" w:num="1">
            <w:col w:w="10460"/>
          </w:cols>
          <w:pgMar w:left="1440" w:top="1440" w:right="6" w:bottom="0" w:gutter="0" w:footer="0" w:header="0"/>
          <w:type w:val="continuous"/>
        </w:sectPr>
      </w:pPr>
    </w:p>
    <w:bookmarkStart w:id="15" w:name="page16"/>
    <w:bookmarkEnd w:id="15"/>
    <w:p>
      <w:pPr>
        <w:ind w:left="900"/>
        <w:spacing w:after="0" w:line="313" w:lineRule="auto"/>
        <w:rPr>
          <w:sz w:val="20"/>
          <w:szCs w:val="20"/>
          <w:color w:val="auto"/>
        </w:rPr>
      </w:pPr>
      <w:r>
        <w:rPr>
          <w:rFonts w:ascii="Arial" w:cs="Arial" w:eastAsia="Arial" w:hAnsi="Arial"/>
          <w:sz w:val="20"/>
          <w:szCs w:val="20"/>
          <w:color w:val="auto"/>
        </w:rPr>
        <w:t>This Annual Report and the Company’s technical reports contain estimates relating to future production and production costs and other economic estimates for the Company’s projects. No assurance can be given production and other estimates will be achieved generally or at the stated costs. These production and estimates are dependent on, among other things, the accuracy of Mineral Resource and Mineral Res estimates, lithium prices the accuracy of assumptions regarding ore grades and recovery rates, gro conditions, physical conditions of ores, assumed metallurgical characteristics and the accuracy of estimated and costs of mining and processing. The failure of the Company to achieve production and other estimates have a material adverse effect on the Company’s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1091565</wp:posOffset>
            </wp:positionV>
            <wp:extent cx="676402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16 / 65</w:t>
      </w:r>
    </w:p>
    <w:p>
      <w:pPr>
        <w:sectPr>
          <w:pgSz w:w="11900" w:h="16838" w:orient="portrait"/>
          <w:cols w:equalWidth="0" w:num="1">
            <w:col w:w="10460"/>
          </w:cols>
          <w:pgMar w:left="1440" w:top="1172" w:right="6" w:bottom="0"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The Company’s operations may be impacted by adverse global or macroeconomic conditions.</w:t>
      </w:r>
    </w:p>
    <w:p>
      <w:pPr>
        <w:spacing w:after="0" w:line="279"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The Company’s operations and financial performance are influenced by global and macroeconomic condit Concerns over global economic conditions may also have the effect of heightening many of the other described herein. Adverse macroeconomic developments, such as slowing economic activity in major econo rising interest rates, inflation, tariffs or volatility in global commodity and financial markets, may negatively demand for lithium products, the availability and cost of financing, and the timing or cost of the Comp projects.</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As lithium demand is closely linked to the electric vehicle and energy storage sectors, economic conditio China—one of the Company’s key markets and home to its joint venture partner—may significantly influ global lithium pricing and market dynamics. Prolonged economic weakness shifts in industrial policy, ta inflation or reductions in electric vehicle incentives in China or other major markets could adversely impact lit demand and prices.</w:t>
      </w:r>
    </w:p>
    <w:p>
      <w:pPr>
        <w:spacing w:after="0" w:line="210"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In Argentina, while recent policy measures have contributed to greater macroeconomic stability, the oper environment remains sensitive to inflation, foreign exchange volatility and potential changes in fiscal regulatory frameworks. Continued improvement is not assured, and renewed instability could have a ma adverse effect on the Company’s operating costs, project timelines and access to capital. Overall, susta macroeconomic uncertainty—whether global or regional—could have a material adverse effect on the Comp business, financial condition and results of operations.</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International conflicts and geopolitical changes such as war or political sanctions may materially and adve affect our business, financial condition and results of operations.</w:t>
      </w:r>
    </w:p>
    <w:p>
      <w:pPr>
        <w:spacing w:after="0" w:line="215" w:lineRule="exact"/>
        <w:rPr>
          <w:sz w:val="20"/>
          <w:szCs w:val="20"/>
          <w:color w:val="auto"/>
        </w:rPr>
      </w:pPr>
    </w:p>
    <w:p>
      <w:pPr>
        <w:ind w:left="900"/>
        <w:spacing w:after="0" w:line="314" w:lineRule="auto"/>
        <w:rPr>
          <w:sz w:val="20"/>
          <w:szCs w:val="20"/>
          <w:color w:val="auto"/>
        </w:rPr>
      </w:pPr>
      <w:r>
        <w:rPr>
          <w:rFonts w:ascii="Arial" w:cs="Arial" w:eastAsia="Arial" w:hAnsi="Arial"/>
          <w:sz w:val="20"/>
          <w:szCs w:val="20"/>
          <w:color w:val="auto"/>
        </w:rPr>
        <w:t>International events, including war, military action, terrorism, trade disputes, and international responses th have historically led to, and may in the future lead to, uncertainty or volatility in global commodity and fina markets, and/or disruptions to supply chains and shipping lanes. World-wide political and economic risks intensifying, including as a result of armed conflicts such as the war in the Ukraine and the conflict in the M East, international trade disputes, and other geopolitical tensions, which create significant levels of uncert The effects of ongoing or future conflicts, disputes, and tensions and related international action in resp thereto, including the imposition of economic and trade sanctions, cannot be accurately predicted at this tim the effects of such conflict may magnify the impact of the other risks, including those relating to commodity volatility, international supply chains, and global financial conditions. Volatility in commodity prices, supply and shipping lanes disruptions, attacks or disruption (physical or cyber) on government infrastructures, weakened global financial conditions may adversely affect the Company's business, financial condition results of operations.</w:t>
      </w:r>
    </w:p>
    <w:p>
      <w:pPr>
        <w:spacing w:after="0" w:line="2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Company continues to monitor geopolitical events that may impact its operations and will endeav proactively manage their effects on the Company’s business. However, there is no assurance that the Comp operations will not be adversely affected by current or future geopolitical tensions and conflicts.</w:t>
      </w:r>
    </w:p>
    <w:p>
      <w:pPr>
        <w:spacing w:after="0" w:line="212" w:lineRule="exact"/>
        <w:rPr>
          <w:sz w:val="20"/>
          <w:szCs w:val="20"/>
          <w:color w:val="auto"/>
        </w:rPr>
      </w:pPr>
    </w:p>
    <w:p>
      <w:pPr>
        <w:ind w:left="900" w:right="340"/>
        <w:spacing w:after="0" w:line="307" w:lineRule="auto"/>
        <w:rPr>
          <w:sz w:val="20"/>
          <w:szCs w:val="20"/>
          <w:color w:val="auto"/>
        </w:rPr>
      </w:pPr>
      <w:r>
        <w:rPr>
          <w:rFonts w:ascii="Arial" w:cs="Arial" w:eastAsia="Arial" w:hAnsi="Arial"/>
          <w:sz w:val="20"/>
          <w:szCs w:val="20"/>
          <w:b w:val="1"/>
          <w:bCs w:val="1"/>
          <w:i w:val="1"/>
          <w:iCs w:val="1"/>
          <w:color w:val="auto"/>
        </w:rPr>
        <w:t>The Company’s mining operations generally involve a high degree of inherent risk that cannot be eliminated and may not be insurable.</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17 / 65</w:t>
      </w:r>
    </w:p>
    <w:p>
      <w:pPr>
        <w:sectPr>
          <w:pgSz w:w="11900" w:h="16838" w:orient="portrait"/>
          <w:cols w:equalWidth="0" w:num="1">
            <w:col w:w="10460"/>
          </w:cols>
          <w:pgMar w:left="1440" w:top="1440" w:right="6" w:bottom="0" w:gutter="0" w:footer="0" w:header="0"/>
          <w:type w:val="continuous"/>
        </w:sectPr>
      </w:pPr>
    </w:p>
    <w:bookmarkStart w:id="17" w:name="page18"/>
    <w:bookmarkEnd w:id="17"/>
    <w:p>
      <w:pPr>
        <w:jc w:val="both"/>
        <w:ind w:left="900"/>
        <w:spacing w:after="0" w:line="314" w:lineRule="auto"/>
        <w:rPr>
          <w:sz w:val="20"/>
          <w:szCs w:val="20"/>
          <w:color w:val="auto"/>
        </w:rPr>
      </w:pPr>
      <w:r>
        <w:rPr>
          <w:rFonts w:ascii="Arial" w:cs="Arial" w:eastAsia="Arial" w:hAnsi="Arial"/>
          <w:sz w:val="20"/>
          <w:szCs w:val="20"/>
          <w:color w:val="auto"/>
        </w:rPr>
        <w:t>The mining industry is subject to significant risks and hazards, including environmental hazards, indu accidents, unusual or unexpected geological conditions, labor force disruptions, project opposition, civil s pandemics, unavailability of materials and equipment, weather conditions, tailings failures, rock bursts, rock rock slides, cave-ins, flooding, seismic activity, fire, geochemical issues, equipment failure, failure of struct theft, water balance and chemistry, chemical drainage, disruption to power and water supply, unanticip variations in grade and other geological problems, ground or stope instabilities or failures, backfill quali availability, underground conditions, metallurgy, ore and other processing issues, supply chain/logi disruptions, force majeure events, and unanticipated transportation costs, most of which are beyond Company’s control. Should any of this risks or hazards come to fruition, they could each have a material ad effect on the Company’s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1087755</wp:posOffset>
            </wp:positionV>
            <wp:extent cx="676402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18 / 65</w:t>
      </w:r>
    </w:p>
    <w:p>
      <w:pPr>
        <w:sectPr>
          <w:pgSz w:w="11900" w:h="16838" w:orient="portrait"/>
          <w:cols w:equalWidth="0" w:num="1">
            <w:col w:w="10460"/>
          </w:cols>
          <w:pgMar w:left="1440" w:top="1172" w:right="6" w:bottom="0"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The Company maintains insurance to cover some of these risks and hazards. The insurance is maintain amounts that are believed to be reasonable depending on the circumstances surrounding the identified however, insurance is subject to deductibles and, in the case of business interruption insurance, waiting pe during which coverage is not applicable. No assurance can be given that such insurance will continue t available, that it will be available at economically feasible premiums, or that the Company will obtain or mai such insurance. The Company’s property, liability and other insurance may not provide sufficient coverag losses related to these or other risks or hazards. In addition, the Company does not have coverage for ce environmental losses and other risks (for example, political risks), as the potential loss associated with risk e is deemed acceptable or the costs of insurance are deemed excessive for the protection provided. The la insufficiency of insurance coverage could have a material adverse effect on the Company’s business, fina condition and results of operations.</w:t>
      </w:r>
    </w:p>
    <w:p>
      <w:pPr>
        <w:spacing w:after="0" w:line="211"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b w:val="1"/>
          <w:bCs w:val="1"/>
          <w:i w:val="1"/>
          <w:iCs w:val="1"/>
          <w:color w:val="auto"/>
        </w:rPr>
        <w:t>Difficulties in attracting, developing and retaining qualified personnel could adversely affect Company’s ability to operate, expand and sustain its projects, and could have a material adverse e on its business, financial condition and results of operations.</w:t>
      </w:r>
    </w:p>
    <w:p>
      <w:pPr>
        <w:spacing w:after="0" w:line="212"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As noted, the Company’s projects are located in the high-altitude Puna region of northwestern Argentina w the remote location, limited local infrastructure and challenging climatic conditions add complexity to work logistics and retention. Recruiting and retaining personnel for continuous operations under these conditions be difficult. In addition, the Company highly values the contributions of its key personnel. The success o Company and Cauchari-Olaroz continues to depend largely upon the performance of key officers and emplo who have advanced the Cauchari-Olaroz to its current stage of development and contributed to its potenti future growth. The market for qualified talent has become increasingly competitive, with shortages of qua talent relative to the number of available opportunities being experienced in all markets where the Com conducts its operations. If the Company is unable to attract, develop or retain such qualified personnel this adversely affect the Company’s ability to operate, expand and sustain its projects, and could have a ma adverse effect on its business, financial condition and results of operations.</w:t>
      </w:r>
    </w:p>
    <w:p>
      <w:pPr>
        <w:spacing w:after="0" w:line="211"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The work to advance the Company’s projects requires dedication of considerable time and resources b Company and its management team. The advancement of several major resource projects concurrently b with it the associated risk of strains arising on managerial, human and other resources. The Company’s abil successfully manage each of these processes and achieve operational and development objectives will de on a number of factors, including its ability to manage competing demands on time and other resources, fina or otherwise, and successfully retaining personnel and recruiting new personnel in a range of discipli including engineering, geology, process chemistry, environmental management and project execution to su its growth and the advancement of its projects. The lithium industry in Argentina has experienced rapid gr creating intense competition for qualified employees and contractors. Skilled labor shortages, particular remote regions of Salta and Jujuy, can constrain project execution and increase labor costs.</w:t>
      </w:r>
    </w:p>
    <w:p>
      <w:pPr>
        <w:spacing w:after="0" w:line="210"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Cauchari-Olaroz has implemented workforce development, training and community-based employment initia to strengthen local capabilities and reduce reliance on external contractors. However, there can be no assur that these measures will be sufficient to attract and retain the personnel necessary to support ongoing and f operations. Persistent shortages of qualified labor or high turnover could have a material adverse effect o Company’s business, financial condition and results of operations.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3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19 / 65</w:t>
      </w:r>
    </w:p>
    <w:p>
      <w:pPr>
        <w:sectPr>
          <w:pgSz w:w="11900" w:h="16838" w:orient="portrait"/>
          <w:cols w:equalWidth="0" w:num="1">
            <w:col w:w="10460"/>
          </w:cols>
          <w:pgMar w:left="1440" w:top="1440" w:right="6" w:bottom="0" w:gutter="0" w:footer="0" w:header="0"/>
          <w:type w:val="continuous"/>
        </w:sectPr>
      </w:pPr>
    </w:p>
    <w:bookmarkStart w:id="19" w:name="page20"/>
    <w:bookmarkEnd w:id="19"/>
    <w:p>
      <w:pPr>
        <w:ind w:left="900" w:right="20"/>
        <w:spacing w:after="0" w:line="307" w:lineRule="auto"/>
        <w:rPr>
          <w:sz w:val="20"/>
          <w:szCs w:val="20"/>
          <w:color w:val="auto"/>
        </w:rPr>
      </w:pPr>
      <w:r>
        <w:rPr>
          <w:rFonts w:ascii="Arial" w:cs="Arial" w:eastAsia="Arial" w:hAnsi="Arial"/>
          <w:sz w:val="20"/>
          <w:szCs w:val="20"/>
          <w:b w:val="1"/>
          <w:bCs w:val="1"/>
          <w:i w:val="1"/>
          <w:iCs w:val="1"/>
          <w:color w:val="auto"/>
        </w:rPr>
        <w:t>Failure to maintain health and safety standards could result in harm to the Company’s reputa operations and future prospects.</w:t>
      </w:r>
    </w:p>
    <w:p>
      <w:pPr>
        <w:spacing w:after="0" w:line="2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mineral exploration, development and production business carries an inherent risk of liability related to w health and safety, including the risk of government-imposed orders to remedy unsafe conditions, pote penalties for contravention of health and safety laws, requirements for permits and other regulatory appro and potential civil liability. Compliance with health and safety laws, and any changes to such laws, and requirements of applicable permits and other regulatory requirements remains material to the Compa business. The Company has implemented comprehensive health and safety measures designed to comply government regulations and protect the health and safety of the Company’s workforce in all areas of its busi The Company also strives to comply with environmental regulations in its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1091565</wp:posOffset>
            </wp:positionV>
            <wp:extent cx="676402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20 / 65</w:t>
      </w:r>
    </w:p>
    <w:p>
      <w:pPr>
        <w:sectPr>
          <w:pgSz w:w="11900" w:h="16838" w:orient="portrait"/>
          <w:cols w:equalWidth="0" w:num="1">
            <w:col w:w="10460"/>
          </w:cols>
          <w:pgMar w:left="1440" w:top="1172" w:right="6" w:bottom="0" w:gutter="0" w:footer="0" w:header="0"/>
          <w:type w:val="continuous"/>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In addition, the Company may become subject to government orders, investigations, inquiries or o proceedings (including civil claims) relating to health and safety matters. The occurrence of any of these eve any changes, additions to or more rigorous enforcement of health and safety laws, permits or other appr could have a significant impact on operations and result in additional costs or penalties. In turn, these could a material adverse effect on the Company’s business, financial condition and results of operations.</w:t>
      </w:r>
    </w:p>
    <w:p>
      <w:pPr>
        <w:spacing w:after="0" w:line="210" w:lineRule="exact"/>
        <w:rPr>
          <w:sz w:val="20"/>
          <w:szCs w:val="20"/>
          <w:color w:val="auto"/>
        </w:rPr>
      </w:pPr>
    </w:p>
    <w:p>
      <w:pPr>
        <w:ind w:left="900" w:right="40"/>
        <w:spacing w:after="0" w:line="336" w:lineRule="auto"/>
        <w:rPr>
          <w:sz w:val="20"/>
          <w:szCs w:val="20"/>
          <w:color w:val="auto"/>
        </w:rPr>
      </w:pPr>
      <w:r>
        <w:rPr>
          <w:rFonts w:ascii="Arial" w:cs="Arial" w:eastAsia="Arial" w:hAnsi="Arial"/>
          <w:sz w:val="19"/>
          <w:szCs w:val="19"/>
          <w:b w:val="1"/>
          <w:bCs w:val="1"/>
          <w:i w:val="1"/>
          <w:iCs w:val="1"/>
          <w:color w:val="auto"/>
        </w:rPr>
        <w:t>Mineral Resource and Mineral Reserve estimations are inherently subject to uncertainties, which ma have a material adverse effect on the Company’s business, financial condition and results of operati</w:t>
      </w:r>
    </w:p>
    <w:p>
      <w:pPr>
        <w:spacing w:after="0" w:line="192" w:lineRule="exact"/>
        <w:rPr>
          <w:sz w:val="20"/>
          <w:szCs w:val="20"/>
          <w:color w:val="auto"/>
        </w:rPr>
      </w:pPr>
    </w:p>
    <w:p>
      <w:pPr>
        <w:jc w:val="both"/>
        <w:ind w:left="900"/>
        <w:spacing w:after="0" w:line="332" w:lineRule="auto"/>
        <w:rPr>
          <w:sz w:val="20"/>
          <w:szCs w:val="20"/>
          <w:color w:val="auto"/>
        </w:rPr>
      </w:pPr>
      <w:r>
        <w:rPr>
          <w:rFonts w:ascii="Arial" w:cs="Arial" w:eastAsia="Arial" w:hAnsi="Arial"/>
          <w:sz w:val="19"/>
          <w:szCs w:val="19"/>
          <w:color w:val="auto"/>
        </w:rPr>
        <w:t>Mineral Resources and Mineral Reserves figures disclosed in this Annual Report are estimates only. Estim tonnages and grades or concentration may not be achieved if the projects are brought into production; differe in grades or concentration and tonnage could be material; and, estimated levels of recovery may not be real The estimation of Mineral Resources and Mineral Reserves carries with it many inherent uncertainties, of w many are outside the control of the Company. Estimation is by its very nature a subjective process, whi based on the quality and quantity of available data, engineering and price assumptions, geological interpret and judgements used in the engineering and estimation processes. Estimates may also need to be revised b on changes to underlying assumptions, such as commodity prices, drilling results, metallurgical tes production and changes to mine plans of operation. Any material decreases in estimates of Mineral Resourc Mineral Reserves, or an inability to extract Mineral Reserves could have a material adverse effect on Company, the economic analysis of its projects, its business, financial condition and results of operations.</w:t>
      </w:r>
    </w:p>
    <w:p>
      <w:pPr>
        <w:spacing w:after="0" w:line="196"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Any estimates of Inferred Mineral Resources included in this Annual Report are also subject to a high degr uncertainty and may require a significant amount of exploration work in order to determine if they ca upgraded to a higher confidence category.</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b w:val="1"/>
          <w:bCs w:val="1"/>
          <w:i w:val="1"/>
          <w:iCs w:val="1"/>
          <w:color w:val="auto"/>
        </w:rPr>
        <w:t>The lack of water and brine management regulations for the Cauchari and Olaroz Salars could ha material adverse effect on the Company’s business, financial condition and results of operations.</w:t>
      </w:r>
    </w:p>
    <w:p>
      <w:pPr>
        <w:spacing w:after="0" w:line="2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salars on which Cauchari-Olaroz is situated, and other salars at which the Company holds mining exploration permits in Argentina, are not subject to brine management regulations, more specifically being ge unitization or reservoir management rules. Unitization is the joint, coordinated operation of a reservoir b owners of rights in the separate tracts overlying the reservoir. Without unitized operation of the reservoir, the of capture” has the potential to result in competitive drilling, extraction and production with consequent econ and physical waste, as each separate owner attempts to secure his or her “fair share” of the undergr resource by drilling more and pumping faster than its neighbor.</w:t>
      </w:r>
    </w:p>
    <w:p>
      <w:pPr>
        <w:spacing w:after="0" w:line="214"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As a result, the water and brine management regulations of the salars on which the Company operates materially adversely affect the Company’s business, financial condition and results of operations. Cauchari-O and Sales de Jujuy S.A. (a subsidiary of Rio Tinto) have entered into a joint operating protocol for the Olaro Cauchari Salars designed to coordinate the parties’ activities in the area. The protocol has since been subm to the applicable regulatory authority in the Province of Jujuy for approval as required by the parties’ respe environmental permits.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21 / 65</w:t>
      </w:r>
    </w:p>
    <w:p>
      <w:pPr>
        <w:sectPr>
          <w:pgSz w:w="11900" w:h="16838" w:orient="portrait"/>
          <w:cols w:equalWidth="0" w:num="1">
            <w:col w:w="10460"/>
          </w:cols>
          <w:pgMar w:left="1440" w:top="1440" w:right="6" w:bottom="0" w:gutter="0" w:footer="0" w:header="0"/>
          <w:type w:val="continuous"/>
        </w:sectPr>
      </w:pPr>
    </w:p>
    <w:bookmarkStart w:id="21" w:name="page22"/>
    <w:bookmarkEnd w:id="21"/>
    <w:p>
      <w:pPr>
        <w:jc w:val="both"/>
        <w:ind w:left="900"/>
        <w:spacing w:after="0" w:line="312" w:lineRule="auto"/>
        <w:rPr>
          <w:sz w:val="20"/>
          <w:szCs w:val="20"/>
          <w:color w:val="auto"/>
        </w:rPr>
      </w:pPr>
      <w:r>
        <w:rPr>
          <w:rFonts w:ascii="Arial" w:cs="Arial" w:eastAsia="Arial" w:hAnsi="Arial"/>
          <w:sz w:val="20"/>
          <w:szCs w:val="20"/>
          <w:color w:val="auto"/>
        </w:rPr>
        <w:t>Going forward, the availability of water and at cost effective pricing may become of increasing importance t Company’s operations and prospects, a risk that may be heightened by the potential effects of climate cha which could have a material adverse effect on the Company’s business, financial condition and resul operations.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A cybersecurity incident could adversely affect the Company’s ability to operate its business.</w:t>
      </w:r>
    </w:p>
    <w:p>
      <w:pPr>
        <w:spacing w:after="0" w:line="279"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Threats to information technology systems associated with cybersecurity risks and cyber incidents or att continue to grow and evolve in terms of severity and sophistication. A cybersecurity attack has the potent compromise the business, financial and other systems of the Company, and could go unnoticed for some Risks associated with cybersecurity threats include, among other things, loss of intellectual property, disrupti business operations and safety procedures, loss or damage to worksite data delivery systems, privacy confidentiality breaches, and increased costs and time to prevent, respond to or mitigate cybersecurity incid The Company has implemented a cybersecurity policy, provided training to its personnel as mitigation mea and is developing a response plan to address potential cybersecurity breaches. System and net maintenance, upgrades and similar best practices are also followed. However, despite these measures occurrence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1087755</wp:posOffset>
            </wp:positionV>
            <wp:extent cx="676402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22 / 65</w:t>
      </w:r>
    </w:p>
    <w:p>
      <w:pPr>
        <w:sectPr>
          <w:pgSz w:w="11900" w:h="16838" w:orient="portrait"/>
          <w:cols w:equalWidth="0" w:num="1">
            <w:col w:w="10460"/>
          </w:cols>
          <w:pgMar w:left="1440" w:top="1172" w:right="6" w:bottom="0" w:gutter="0" w:footer="0" w:header="0"/>
          <w:type w:val="continuous"/>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significant cybersecurity incident could have a material adverse effect on the Company’s business, fina condition and results of operations.</w:t>
      </w:r>
    </w:p>
    <w:p>
      <w:pPr>
        <w:spacing w:after="0" w:line="215" w:lineRule="exact"/>
        <w:rPr>
          <w:sz w:val="20"/>
          <w:szCs w:val="20"/>
          <w:color w:val="auto"/>
        </w:rPr>
      </w:pPr>
    </w:p>
    <w:p>
      <w:pPr>
        <w:ind w:left="900" w:right="80"/>
        <w:spacing w:after="0" w:line="307" w:lineRule="auto"/>
        <w:rPr>
          <w:sz w:val="20"/>
          <w:szCs w:val="20"/>
          <w:color w:val="auto"/>
        </w:rPr>
      </w:pPr>
      <w:r>
        <w:rPr>
          <w:rFonts w:ascii="Arial" w:cs="Arial" w:eastAsia="Arial" w:hAnsi="Arial"/>
          <w:sz w:val="20"/>
          <w:szCs w:val="20"/>
          <w:color w:val="auto"/>
        </w:rPr>
        <w:t>Artificial intelligence presents risks and challenges that can impact our business by increasing compliance and posing security risks to our confidential information.</w:t>
      </w:r>
    </w:p>
    <w:p>
      <w:pPr>
        <w:spacing w:after="0" w:line="2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Company uses, and may increasingly rely on, artificial intelligence (“AI”) systems in certain aspects operations and may incorporate AI-enabled tools provided by third parties. The legal and regulatory frame governing AI in Canada and other jurisdictions is evolving as well as guidance from securities regul regarding disclosure expectations. New or changing requirements could increase compliance costs, re modifications to the Company’s AI systems, restrict certain uses of AI, or expose the Company to regul scrutiny or enforcement actions.</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AI systems may produce inaccurate, biased, or otherwise unreliable outputs and may present priv cybersecurity, intellectual property, and human rights risks. The Company’s reliance on third-party AI prov may limit the Company’s visibility into training data, model design, and risk controls. Failure to manage these effectively, or to provide appropriate disclosure regarding the Company’s use of AI, could result in legal lia reputational harm, regulatory investigations, or adverse impacts on the Company’s business, financial cond and results of operations.</w:t>
      </w:r>
    </w:p>
    <w:p>
      <w:pPr>
        <w:spacing w:after="0" w:line="212" w:lineRule="exact"/>
        <w:rPr>
          <w:sz w:val="20"/>
          <w:szCs w:val="20"/>
          <w:color w:val="auto"/>
        </w:rPr>
      </w:pPr>
    </w:p>
    <w:p>
      <w:pPr>
        <w:jc w:val="both"/>
        <w:ind w:left="900"/>
        <w:spacing w:after="0" w:line="333" w:lineRule="auto"/>
        <w:rPr>
          <w:sz w:val="20"/>
          <w:szCs w:val="20"/>
          <w:color w:val="auto"/>
        </w:rPr>
      </w:pPr>
      <w:r>
        <w:rPr>
          <w:rFonts w:ascii="Arial" w:cs="Arial" w:eastAsia="Arial" w:hAnsi="Arial"/>
          <w:sz w:val="19"/>
          <w:szCs w:val="19"/>
          <w:b w:val="1"/>
          <w:bCs w:val="1"/>
          <w:i w:val="1"/>
          <w:iCs w:val="1"/>
          <w:color w:val="auto"/>
        </w:rPr>
        <w:t>Our assets are located in the Argentine Puna region, a high-altitude plateau along the Andes th seismically active due to its proximity to the convergent boundary between the Nazca and S American tectonic plates. The region has experienced earthquakes of varying magnitudes in re decades, and is also characterized by volcanic features, including both active and dormant volcanoe</w:t>
      </w:r>
    </w:p>
    <w:p>
      <w:pPr>
        <w:spacing w:after="0" w:line="19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 significant earthquake or volcanic event could adversely affect our operations, personnel, facilities, brine processing infrastructure, tailings or evaporation ponds, as well as critical regional infrastructure, including r power supply, water systems, and access to goods and services. Such events could result in operati disruptions, increased costs, damage to assets, delays to development or expansion activities, or, in se cases, suspension of operations.</w:t>
      </w:r>
    </w:p>
    <w:p>
      <w:pPr>
        <w:spacing w:after="0" w:line="210"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While we design and operate our facilities in accordance with applicable engineering standards and mai insurance coverage consistent with industry practice, including coverage for certain natural hazards, insurance may not be sufficient to cover all losses or impacts associated with a major seismic or volcanic e Accordingly, a future earthquake or volcanic eruption could have a material adverse effect on our busin financial condition, results of operations, and development plans.</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Risks Related to Our Financial Position and Capital Structure</w:t>
      </w:r>
    </w:p>
    <w:p>
      <w:pPr>
        <w:spacing w:after="0" w:line="279" w:lineRule="exact"/>
        <w:rPr>
          <w:sz w:val="20"/>
          <w:szCs w:val="20"/>
          <w:color w:val="auto"/>
        </w:rPr>
      </w:pPr>
    </w:p>
    <w:p>
      <w:pPr>
        <w:ind w:left="900"/>
        <w:spacing w:after="0" w:line="311" w:lineRule="auto"/>
        <w:rPr>
          <w:sz w:val="20"/>
          <w:szCs w:val="20"/>
          <w:color w:val="auto"/>
        </w:rPr>
      </w:pPr>
      <w:r>
        <w:rPr>
          <w:rFonts w:ascii="Arial" w:cs="Arial" w:eastAsia="Arial" w:hAnsi="Arial"/>
          <w:sz w:val="20"/>
          <w:szCs w:val="20"/>
          <w:b w:val="1"/>
          <w:bCs w:val="1"/>
          <w:i w:val="1"/>
          <w:iCs w:val="1"/>
          <w:color w:val="auto"/>
        </w:rPr>
        <w:t>The Company and Exar have debt obligations, which could impair both the Company’s and Exar’s financial health and prevent the Company and Exar from fulfilling obligations under existing and futu indebtedness.</w:t>
      </w:r>
    </w:p>
    <w:p>
      <w:pPr>
        <w:spacing w:after="0" w:line="212" w:lineRule="exact"/>
        <w:rPr>
          <w:sz w:val="20"/>
          <w:szCs w:val="20"/>
          <w:color w:val="auto"/>
        </w:rPr>
      </w:pPr>
    </w:p>
    <w:p>
      <w:pPr>
        <w:jc w:val="both"/>
        <w:ind w:left="900"/>
        <w:spacing w:after="0" w:line="334" w:lineRule="auto"/>
        <w:rPr>
          <w:sz w:val="20"/>
          <w:szCs w:val="20"/>
          <w:color w:val="auto"/>
        </w:rPr>
      </w:pPr>
      <w:r>
        <w:rPr>
          <w:rFonts w:ascii="Arial" w:cs="Arial" w:eastAsia="Arial" w:hAnsi="Arial"/>
          <w:sz w:val="19"/>
          <w:szCs w:val="19"/>
          <w:color w:val="auto"/>
        </w:rPr>
        <w:t>As of December 31, 2025, the Company had indebtedness under its equity-settleable Convertible Notes w carrying value of $234.2 million and a face value of $258.8 million, maturing on January 15, 2027. The Comp level of debt, debt service obligations and covenant requirements may have a material adverse effect o</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2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23 / 65</w:t>
      </w:r>
    </w:p>
    <w:p>
      <w:pPr>
        <w:sectPr>
          <w:pgSz w:w="11900" w:h="16838" w:orient="portrait"/>
          <w:cols w:equalWidth="0" w:num="1">
            <w:col w:w="10460"/>
          </w:cols>
          <w:pgMar w:left="1440" w:top="1440" w:right="6" w:bottom="0" w:gutter="0" w:footer="0" w:header="0"/>
          <w:type w:val="continuous"/>
        </w:sectPr>
      </w:pPr>
    </w:p>
    <w:bookmarkStart w:id="23" w:name="page24"/>
    <w:bookmarkEnd w:id="23"/>
    <w:p>
      <w:pPr>
        <w:jc w:val="both"/>
        <w:ind w:left="900"/>
        <w:spacing w:after="0" w:line="313" w:lineRule="auto"/>
        <w:rPr>
          <w:sz w:val="20"/>
          <w:szCs w:val="20"/>
          <w:color w:val="auto"/>
        </w:rPr>
      </w:pPr>
      <w:r>
        <w:rPr>
          <w:rFonts w:ascii="Arial" w:cs="Arial" w:eastAsia="Arial" w:hAnsi="Arial"/>
          <w:sz w:val="20"/>
          <w:szCs w:val="20"/>
          <w:color w:val="auto"/>
        </w:rPr>
        <w:t>Company’s business, financial condition and results of operations, including, but not limited to, reducing amount of funds available to finance operations, capital expenditures and other activities; increasing vulnera to economic downturns and industry conditions; limiting flexibility in responding to changing business economic conditions; jeopardizing the Company’s ability to execute on business plans; realization agains Company’s assets used to secure applicable; debt placing the Company at a disadvantage when compar competitors that have less debt; increasing the Company’s cost of borrowing; and limiting the Company’s abi borrow additional funds.</w:t>
      </w:r>
    </w:p>
    <w:p>
      <w:pPr>
        <w:spacing w:after="0" w:line="214"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Exar has debt obligations, which could impair its financial health and prevent it from fulfilling obligations u existing and future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1091565</wp:posOffset>
            </wp:positionV>
            <wp:extent cx="676402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24 / 65</w:t>
      </w:r>
    </w:p>
    <w:p>
      <w:pPr>
        <w:sectPr>
          <w:pgSz w:w="11900" w:h="16838" w:orient="portrait"/>
          <w:cols w:equalWidth="0" w:num="1">
            <w:col w:w="10460"/>
          </w:cols>
          <w:pgMar w:left="1440" w:top="1172" w:right="6" w:bottom="0" w:gutter="0" w:footer="0" w:header="0"/>
          <w:type w:val="continuous"/>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As of December 31, 2025, Exar’s outstanding third-party debt, including accrued interest, amounted to $2 million (2024 - $210.4 million), while its cash balance and short-term investments were $86.7 million (2024 - million), resulting in third-party net debt of $206.0 million (2024 – $199.2 million). The total debt include following:</w:t>
      </w:r>
    </w:p>
    <w:p>
      <w:pPr>
        <w:spacing w:after="0" w:line="255" w:lineRule="exact"/>
        <w:rPr>
          <w:sz w:val="20"/>
          <w:szCs w:val="20"/>
          <w:color w:val="auto"/>
        </w:rPr>
      </w:pPr>
    </w:p>
    <w:p>
      <w:pPr>
        <w:jc w:val="both"/>
        <w:ind w:left="1620" w:hanging="366"/>
        <w:spacing w:after="0" w:line="373" w:lineRule="auto"/>
        <w:tabs>
          <w:tab w:leader="none" w:pos="1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Approximately $220.0 million in loans from major international banks, secured by guarantees and sta letters of credit arranged by Ganfeng, which are due within twelve months from December 31, 2025 Company has provided a guarantee to Ganfeng for its 49% share, amounting to $107.8 million, in re of these loans.</w:t>
      </w:r>
    </w:p>
    <w:p>
      <w:pPr>
        <w:spacing w:after="0" w:line="166" w:lineRule="exact"/>
        <w:rPr>
          <w:rFonts w:ascii="Arial" w:cs="Arial" w:eastAsia="Arial" w:hAnsi="Arial"/>
          <w:sz w:val="20"/>
          <w:szCs w:val="20"/>
          <w:color w:val="auto"/>
        </w:rPr>
      </w:pPr>
    </w:p>
    <w:p>
      <w:pPr>
        <w:jc w:val="both"/>
        <w:ind w:left="1620"/>
        <w:spacing w:after="0" w:line="314" w:lineRule="auto"/>
        <w:rPr>
          <w:rFonts w:ascii="Arial" w:cs="Arial" w:eastAsia="Arial" w:hAnsi="Arial"/>
          <w:sz w:val="20"/>
          <w:szCs w:val="20"/>
          <w:color w:val="auto"/>
        </w:rPr>
      </w:pPr>
      <w:r>
        <w:rPr>
          <w:rFonts w:ascii="Arial" w:cs="Arial" w:eastAsia="Arial" w:hAnsi="Arial"/>
          <w:sz w:val="20"/>
          <w:szCs w:val="20"/>
          <w:color w:val="auto"/>
        </w:rPr>
        <w:t>The Company and Ganfeng have negotiated a three-year extension of the maturity of $100.0 milli these loans, which has been approved by the relevant regulatory authority. The loan is secured standby letter of credit provided by Ganfeng. As the standby letter of credit was issued for a stan one-year term, the loan was initially structured with a one-year maturity to align with the term o standby letter. Upon extension of the related standby letter of credit, the loan will automatically roll for the remainder of the three-year term. In addition, included within these loans is $120.0 million in debt facilities closed in the second quarter of 2025 and fully drawn in the third quarter of 2025 to refi maturing short-term loans and for other purposes. These loans were competitively priced a approximately SOFR plus 2.5%, including fees, reflecting Exar’s ability to access credit on favo terms;</w:t>
      </w:r>
    </w:p>
    <w:p>
      <w:pPr>
        <w:spacing w:after="0" w:line="253"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$10.0 million in loans secured by local bank guarantees arranged by Exar, due within twelve months December 31, 2025;</w:t>
      </w:r>
    </w:p>
    <w:p>
      <w:pPr>
        <w:spacing w:after="0" w:line="207" w:lineRule="exact"/>
        <w:rPr>
          <w:rFonts w:ascii="Arial" w:cs="Arial" w:eastAsia="Arial" w:hAnsi="Arial"/>
          <w:sz w:val="20"/>
          <w:szCs w:val="20"/>
          <w:color w:val="auto"/>
        </w:rPr>
      </w:pPr>
    </w:p>
    <w:p>
      <w:pPr>
        <w:ind w:left="1620" w:hanging="366"/>
        <w:spacing w:after="0"/>
        <w:tabs>
          <w:tab w:leader="none" w:pos="1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$9.3 million in unsecured loans, due within twelve months from December 31, 2025; and</w:t>
      </w:r>
    </w:p>
    <w:p>
      <w:pPr>
        <w:spacing w:after="0" w:line="337" w:lineRule="exact"/>
        <w:rPr>
          <w:rFonts w:ascii="Arial" w:cs="Arial" w:eastAsia="Arial" w:hAnsi="Arial"/>
          <w:sz w:val="20"/>
          <w:szCs w:val="20"/>
          <w:color w:val="auto"/>
        </w:rPr>
      </w:pPr>
    </w:p>
    <w:p>
      <w:pPr>
        <w:jc w:val="both"/>
        <w:ind w:left="1620" w:hanging="366"/>
        <w:spacing w:after="0" w:line="373" w:lineRule="auto"/>
        <w:tabs>
          <w:tab w:leader="none" w:pos="1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Approximately $50.0 million in unsecured bonds issued by Exar in November 2024, carrying a contra interest rate of 8% with semi-annual interest payments. The bonds’ principal will mature in two tran the first tranche of $25.0 million on May 11, 2027, while the second tranche of $25.0 million on Nove 11, 2027.</w:t>
      </w:r>
    </w:p>
    <w:p>
      <w:pPr>
        <w:spacing w:after="0" w:line="167" w:lineRule="exact"/>
        <w:rPr>
          <w:sz w:val="20"/>
          <w:szCs w:val="20"/>
          <w:color w:val="auto"/>
        </w:rPr>
      </w:pPr>
    </w:p>
    <w:p>
      <w:pPr>
        <w:jc w:val="both"/>
        <w:ind w:left="900"/>
        <w:spacing w:after="0" w:line="332" w:lineRule="auto"/>
        <w:rPr>
          <w:sz w:val="20"/>
          <w:szCs w:val="20"/>
          <w:color w:val="auto"/>
        </w:rPr>
      </w:pPr>
      <w:r>
        <w:rPr>
          <w:rFonts w:ascii="Arial" w:cs="Arial" w:eastAsia="Arial" w:hAnsi="Arial"/>
          <w:sz w:val="19"/>
          <w:szCs w:val="19"/>
          <w:color w:val="auto"/>
        </w:rPr>
        <w:t>If Exar is unable to service its debt, or Exar, the Company and Ganfeng are not successful in refinancin loans on a timely basis, on favorable terms, or at all, they would need to provide their own funds to support in repaying its third party debt obligations, which could have an effect on the Company’s business, fina condition and results of operations. The Company funded its share of the Cauchari-Olaroz Operation constru costs through loans to Exar Capital and then to Exar or directly to Exar through its subsidiaries. Should Cauchari-Olaroz Operation not be able to generate sufficient cash flow, it may have difficulties repaying t loans, which could have an effect on the Company’s business, financial condition and results of operations.</w:t>
      </w:r>
    </w:p>
    <w:p>
      <w:pPr>
        <w:spacing w:after="0" w:line="197" w:lineRule="exact"/>
        <w:rPr>
          <w:sz w:val="20"/>
          <w:szCs w:val="20"/>
          <w:color w:val="auto"/>
        </w:rPr>
      </w:pPr>
    </w:p>
    <w:p>
      <w:pPr>
        <w:jc w:val="both"/>
        <w:ind w:left="900" w:right="20"/>
        <w:spacing w:after="0" w:line="311" w:lineRule="auto"/>
        <w:rPr>
          <w:sz w:val="20"/>
          <w:szCs w:val="20"/>
          <w:color w:val="auto"/>
        </w:rPr>
      </w:pPr>
      <w:r>
        <w:rPr>
          <w:rFonts w:ascii="Arial" w:cs="Arial" w:eastAsia="Arial" w:hAnsi="Arial"/>
          <w:sz w:val="20"/>
          <w:szCs w:val="20"/>
          <w:b w:val="1"/>
          <w:bCs w:val="1"/>
          <w:i w:val="1"/>
          <w:iCs w:val="1"/>
          <w:color w:val="auto"/>
        </w:rPr>
        <w:t>The Company’s estimates of capital requirements, operating costs and project economics for its pro including the Cauchari-Olaroz Project and PPG may be inaccurate, and are subject to signifi uncertainty and may be affected by technical, operational and macroeconomic factors.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25 / 65</w:t>
      </w:r>
    </w:p>
    <w:p>
      <w:pPr>
        <w:sectPr>
          <w:pgSz w:w="11900" w:h="16838" w:orient="portrait"/>
          <w:cols w:equalWidth="0" w:num="1">
            <w:col w:w="10460"/>
          </w:cols>
          <w:pgMar w:left="1440" w:top="1440" w:right="6" w:bottom="0" w:gutter="0" w:footer="0" w:header="0"/>
          <w:type w:val="continuous"/>
        </w:sectPr>
      </w:pPr>
    </w:p>
    <w:bookmarkStart w:id="25" w:name="page26"/>
    <w:bookmarkEnd w:id="25"/>
    <w:p>
      <w:pPr>
        <w:jc w:val="both"/>
        <w:ind w:left="900"/>
        <w:spacing w:after="0" w:line="332" w:lineRule="auto"/>
        <w:rPr>
          <w:sz w:val="20"/>
          <w:szCs w:val="20"/>
          <w:color w:val="auto"/>
        </w:rPr>
      </w:pPr>
      <w:r>
        <w:rPr>
          <w:rFonts w:ascii="Arial" w:cs="Arial" w:eastAsia="Arial" w:hAnsi="Arial"/>
          <w:sz w:val="19"/>
          <w:szCs w:val="19"/>
          <w:color w:val="auto"/>
        </w:rPr>
        <w:t>The Company’s estimates of operating and capital costs for its projects, including Cauchari-Olaroz and PPG corresponding production and project economics are based on the interpretation of geological and metallur data, technical studies, economic factors, anticipated climatic conditions and other factors, and in the ca Cauchari-Olaroz, limited and volatile actual cost and project economics data from operations. There can b assurance that the Company’s actual capital, operating and other costs will not be higher than curr anticipated. These estimates are inherently uncertain and may prove to be inaccurate. Accordingly, the cos economic estimates disclosed in this Annual Report and in the Company’s technical reports may not reflect a operating results or realized economics once these projects are fully developed or reach steady-state produc</w:t>
      </w:r>
    </w:p>
    <w:p>
      <w:pPr>
        <w:spacing w:after="0" w:line="197"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development plan for PPG, in particular, contemplates that PPG will benefit from the Incentive Regim Large Investments (“RIGI”, for its acronym in Spanish). The RIGI is a special framework introduced in Arge to promote large-scale, long-term investments by providing legal and fiscal stability, along with tax, customs foreign exchange incentives. The application of RIGI results in significant financial improvements to economics of PPG. There is no guarantee that PPG will secure RIGI eligibility.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1087755</wp:posOffset>
            </wp:positionV>
            <wp:extent cx="676402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26 / 65</w:t>
      </w:r>
    </w:p>
    <w:p>
      <w:pPr>
        <w:sectPr>
          <w:pgSz w:w="11900" w:h="16838" w:orient="portrait"/>
          <w:cols w:equalWidth="0" w:num="1">
            <w:col w:w="10460"/>
          </w:cols>
          <w:pgMar w:left="1440" w:top="1172" w:right="6" w:bottom="0" w:gutter="0" w:footer="0" w:header="0"/>
          <w:type w:val="continuous"/>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Sustaining capital and operating cost estimates for the Company’s projects are derived from equipment and asset manuals, maintenance schedules and accumulated experience operating similar assets. However accuracy of these estimates could be materially affected by factors including, but limited to, lack of availabil resources or necessary supplies or equipment; tariffs; inflationary pressures flowing from global supply c shortages and increased transportation costs, violent attacks on shipping vessels and other international ev which in turn are causing increased costs for supplies and equipment; increasing labor and personnel c unexpected construction or operating problems; cost overruns; lower than expected realized lithium pr unanticipated variations in brine grade, concentration or recoveries; inaccurate or incomplete data under engineering or process assumptions; revisions to construction plans; delays or cost overruns in well development, plant commissioning or project execution; errors in equipment or contractor cost estimates; and hazards associated with mineral production; natural phenomena; floods; unexpected labor shortage strikes; general inflationary pressures (such as those that would reduce the effective return of previous paym made by the Company related to Value Added Tax); modifications to governmental regulation, including environmental, fiscal or export requirements; and changes in macroeconomic conditions such as tariffs, fo exchange rates, inflationary pressures or supply-chain costs. Many of these factors are beyond the Comp control and could have a material adverse effect on the Company’s operating cash flow, including the Comp ability to service its indebtedness.</w:t>
      </w:r>
    </w:p>
    <w:p>
      <w:pPr>
        <w:spacing w:after="0" w:line="217"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In addition, the information contained in the S-K 1300 Technical Report 2025 Operations Technical Report a Cauchari-Olaroz Salars, Jujuy Province, Argentina” with an effective dated as of February 27, 2026 and the 1300 Technical Report titled “Scoping Study Report at the PPG Salars, Salta Province, Argentina” wit effective dated as of October 31, 2025 (together, the “Technical Report Summaries”), and our publicly technical reports including mineral extraction and processing parameters, projected costs and project econo (such as revenue, net present value, cash flow, earnings and payback period), is based on data and assump available as of the effective dates of those reports. Actual results may differ materially from those estimates subsequent updates to project economics, capital costs or operating costs may vary from those previo disclosed. Such differences could have a material adverse effect on the Company’s business, financial con and results of operations.</w:t>
      </w:r>
    </w:p>
    <w:p>
      <w:pPr>
        <w:spacing w:after="0" w:line="210"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b w:val="1"/>
          <w:bCs w:val="1"/>
          <w:i w:val="1"/>
          <w:iCs w:val="1"/>
          <w:color w:val="auto"/>
        </w:rPr>
        <w:t>Acquisitions and divestitures by the Company and risks related thereto may have a material adv effect on the Company’s business, financial condition and results of operations.</w:t>
      </w:r>
    </w:p>
    <w:p>
      <w:pPr>
        <w:spacing w:after="0" w:line="2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From time to time the Company examines opportunities to acquire and/or develop new projects, assets businesses. Any acquisition and/or development that the Company may choose to complete may be significant size, may change the scale of the Company’s business and operations, and may expose the Com to new geographic, political, operating, operating, financial, geological, integration and regulatory risks. Company’s success in its acquisition and/or development activities depends on its ability to identify sui acquisition candidates, negotiate acceptable terms for any such acquisition or development, and integrat acquired operations successfully with those of the Company.</w:t>
      </w:r>
    </w:p>
    <w:p>
      <w:pPr>
        <w:spacing w:after="0" w:line="214" w:lineRule="exact"/>
        <w:rPr>
          <w:sz w:val="20"/>
          <w:szCs w:val="20"/>
          <w:color w:val="auto"/>
        </w:rPr>
      </w:pPr>
    </w:p>
    <w:p>
      <w:pPr>
        <w:jc w:val="both"/>
        <w:ind w:left="900"/>
        <w:spacing w:after="0" w:line="334" w:lineRule="auto"/>
        <w:rPr>
          <w:sz w:val="20"/>
          <w:szCs w:val="20"/>
          <w:color w:val="auto"/>
        </w:rPr>
      </w:pPr>
      <w:r>
        <w:rPr>
          <w:rFonts w:ascii="Arial" w:cs="Arial" w:eastAsia="Arial" w:hAnsi="Arial"/>
          <w:sz w:val="19"/>
          <w:szCs w:val="19"/>
          <w:color w:val="auto"/>
        </w:rPr>
        <w:t>As a result of its acquisitions, the Company will assume liabilities and risks. While the Company conducts diligence with respect to acquisitions of businesses and assets, there may be liabilities or risks, including liab related to the prior operation of the business acquired, that the Company failed, or was unable, to discover i</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27 / 65</w:t>
      </w:r>
    </w:p>
    <w:p>
      <w:pPr>
        <w:sectPr>
          <w:pgSz w:w="11900" w:h="16838" w:orient="portrait"/>
          <w:cols w:equalWidth="0" w:num="1">
            <w:col w:w="10460"/>
          </w:cols>
          <w:pgMar w:left="1440" w:top="1440" w:right="6" w:bottom="0" w:gutter="0" w:footer="0" w:header="0"/>
          <w:type w:val="continuous"/>
        </w:sectPr>
      </w:pPr>
    </w:p>
    <w:bookmarkStart w:id="27" w:name="page28"/>
    <w:bookmarkEnd w:id="27"/>
    <w:p>
      <w:pPr>
        <w:jc w:val="both"/>
        <w:ind w:left="900"/>
        <w:spacing w:after="0" w:line="311" w:lineRule="auto"/>
        <w:rPr>
          <w:sz w:val="20"/>
          <w:szCs w:val="20"/>
          <w:color w:val="auto"/>
        </w:rPr>
      </w:pPr>
      <w:r>
        <w:rPr>
          <w:rFonts w:ascii="Arial" w:cs="Arial" w:eastAsia="Arial" w:hAnsi="Arial"/>
          <w:sz w:val="20"/>
          <w:szCs w:val="20"/>
          <w:color w:val="auto"/>
        </w:rPr>
        <w:t>course of performing its due diligence investigations, which may be significant. Any such liabilities, individua in the aggregate, could have a material adverse effect on the Company’s business, financial condition and re of operations.</w:t>
      </w:r>
    </w:p>
    <w:p>
      <w:pPr>
        <w:spacing w:after="0" w:line="212" w:lineRule="exact"/>
        <w:rPr>
          <w:sz w:val="20"/>
          <w:szCs w:val="20"/>
          <w:color w:val="auto"/>
        </w:rPr>
      </w:pPr>
    </w:p>
    <w:p>
      <w:pPr>
        <w:ind w:left="900"/>
        <w:spacing w:after="0" w:line="332" w:lineRule="auto"/>
        <w:rPr>
          <w:sz w:val="20"/>
          <w:szCs w:val="20"/>
          <w:color w:val="auto"/>
        </w:rPr>
      </w:pPr>
      <w:r>
        <w:rPr>
          <w:rFonts w:ascii="Arial" w:cs="Arial" w:eastAsia="Arial" w:hAnsi="Arial"/>
          <w:sz w:val="19"/>
          <w:szCs w:val="19"/>
          <w:color w:val="auto"/>
        </w:rPr>
        <w:t>If the Company decides to sell certain assets or projects, it may encounter difficulty in finding buyers, exec alternative exit strategies on acceptable terms in a timely manner or facing regulatory delays which could the accomplishment of its strategic objectives. Alternatively, the Company may dispose of a business at a pri on terms that are less than it had anticipated. After reaching an agreement with a buyer or seller for disposition of a business, the Company may be subject to necessary regulatory and governmental approva acceptable terms as well as satisfaction of pre-closing conditions, which may prevent the Company completing the transaction. Dispositions may impact the Company’s production, mineral reserves and reso and its future growth and financial conditions. Despite the disposition of divested businesses, the Company continue to be held responsible for actions taken while it controlled and operated the business. Dispositions also involve continued financial involvement in the divested business, such as through continuing e ownership, guarantees, indemnities or other financial obligations. Under these arrangements, performance b divested businesses or other conditions outside the Company’s control could affect its future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1078865</wp:posOffset>
            </wp:positionV>
            <wp:extent cx="676402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28 / 65</w:t>
      </w:r>
    </w:p>
    <w:p>
      <w:pPr>
        <w:sectPr>
          <w:pgSz w:w="11900" w:h="16838" w:orient="portrait"/>
          <w:cols w:equalWidth="0" w:num="1">
            <w:col w:w="10460"/>
          </w:cols>
          <w:pgMar w:left="1440" w:top="1172" w:right="6" w:bottom="0" w:gutter="0" w:footer="0" w:header="0"/>
          <w:type w:val="continuous"/>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right="40"/>
        <w:spacing w:after="0" w:line="307" w:lineRule="auto"/>
        <w:rPr>
          <w:sz w:val="20"/>
          <w:szCs w:val="20"/>
          <w:color w:val="auto"/>
        </w:rPr>
      </w:pPr>
      <w:r>
        <w:rPr>
          <w:rFonts w:ascii="Arial" w:cs="Arial" w:eastAsia="Arial" w:hAnsi="Arial"/>
          <w:sz w:val="20"/>
          <w:szCs w:val="20"/>
          <w:b w:val="1"/>
          <w:bCs w:val="1"/>
          <w:i w:val="1"/>
          <w:iCs w:val="1"/>
          <w:color w:val="auto"/>
        </w:rPr>
        <w:t>The mining industry is competitive and capital-intensive industry and as a result of such competitio Company may not be able to achieve its objectives.</w:t>
      </w:r>
    </w:p>
    <w:p>
      <w:pPr>
        <w:spacing w:after="0" w:line="215" w:lineRule="exact"/>
        <w:rPr>
          <w:sz w:val="20"/>
          <w:szCs w:val="20"/>
          <w:color w:val="auto"/>
        </w:rPr>
      </w:pPr>
    </w:p>
    <w:p>
      <w:pPr>
        <w:ind w:left="900" w:right="20"/>
        <w:spacing w:after="0" w:line="313" w:lineRule="auto"/>
        <w:rPr>
          <w:sz w:val="20"/>
          <w:szCs w:val="20"/>
          <w:color w:val="auto"/>
        </w:rPr>
      </w:pPr>
      <w:r>
        <w:rPr>
          <w:rFonts w:ascii="Arial" w:cs="Arial" w:eastAsia="Arial" w:hAnsi="Arial"/>
          <w:sz w:val="20"/>
          <w:szCs w:val="20"/>
          <w:color w:val="auto"/>
        </w:rPr>
        <w:t>The mining industry is competitive in all of its phases and requires significant capital, technical resou personnel and operational experience to effectively compete. Because of the high costs associated exploration, the expertise required to analyze a project’s potential and the capital required to develop a larger companies with significant resources may be in a position to compete for such resources and capital effectively than the Company.</w:t>
      </w:r>
    </w:p>
    <w:p>
      <w:pPr>
        <w:spacing w:after="0" w:line="210"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As a result of such competition, the Company may be unable to maintain or acquire financing, retain exi personnel or hire new personnel, or maintain or acquire technical or other resources, supplies or equipme on terms it considers acceptable to develop and operate its projects, which may have a material adverse effe the Company’s business, financial condition and results of operations.</w:t>
      </w:r>
    </w:p>
    <w:p>
      <w:pPr>
        <w:spacing w:after="0" w:line="212" w:lineRule="exact"/>
        <w:rPr>
          <w:sz w:val="20"/>
          <w:szCs w:val="20"/>
          <w:color w:val="auto"/>
        </w:rPr>
      </w:pPr>
    </w:p>
    <w:p>
      <w:pPr>
        <w:ind w:left="900" w:right="20"/>
        <w:spacing w:after="0" w:line="307" w:lineRule="auto"/>
        <w:rPr>
          <w:sz w:val="20"/>
          <w:szCs w:val="20"/>
          <w:color w:val="auto"/>
        </w:rPr>
      </w:pPr>
      <w:r>
        <w:rPr>
          <w:rFonts w:ascii="Arial" w:cs="Arial" w:eastAsia="Arial" w:hAnsi="Arial"/>
          <w:sz w:val="20"/>
          <w:szCs w:val="20"/>
          <w:b w:val="1"/>
          <w:bCs w:val="1"/>
          <w:i w:val="1"/>
          <w:iCs w:val="1"/>
          <w:color w:val="auto"/>
        </w:rPr>
        <w:t>The Company has a history of negative operating cash flow and may continue to experience neg operating cash flow.</w:t>
      </w:r>
    </w:p>
    <w:p>
      <w:pPr>
        <w:spacing w:after="0" w:line="2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Company anticipates it will continue to have negative cash flow from operating activities in future period profitable commercial production is achieved at Cauchari-Olaroz. Although the Company has cash on hand Company's ability to continue as a going concern and the depletion of its capital will be dependent upon its a to generate profits from its proposed mining operations, or to raise capital through equity or debt financi other means (including, without limitation, strategic transactions) to continue to meet its obligations and rep liabilities arising from normal business operations when they come due.</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b w:val="1"/>
          <w:bCs w:val="1"/>
          <w:i w:val="1"/>
          <w:iCs w:val="1"/>
          <w:color w:val="auto"/>
        </w:rPr>
        <w:t>The Company’s growth, future profitability and ability to obtain financing may be impacted by gl financial conditions.</w:t>
      </w:r>
    </w:p>
    <w:p>
      <w:pPr>
        <w:spacing w:after="0" w:line="215" w:lineRule="exact"/>
        <w:rPr>
          <w:sz w:val="20"/>
          <w:szCs w:val="20"/>
          <w:color w:val="auto"/>
        </w:rPr>
      </w:pPr>
    </w:p>
    <w:p>
      <w:pPr>
        <w:ind w:left="900"/>
        <w:spacing w:after="0" w:line="314" w:lineRule="auto"/>
        <w:rPr>
          <w:sz w:val="20"/>
          <w:szCs w:val="20"/>
          <w:color w:val="auto"/>
        </w:rPr>
      </w:pPr>
      <w:r>
        <w:rPr>
          <w:rFonts w:ascii="Arial" w:cs="Arial" w:eastAsia="Arial" w:hAnsi="Arial"/>
          <w:sz w:val="20"/>
          <w:szCs w:val="20"/>
          <w:color w:val="auto"/>
        </w:rPr>
        <w:t>The Company has significant capital requirements associated with the operation and/or development o projects, as the case may be. The Company will require additional financing to support the developm construction, expansion and operation of its projects. The Company may pursue additional equity or financing, which could have a dilutive effect on existing security holders if shares, options, warrants or convertible securities are issued or, if new debt financing is obtained, result in additional or more one restrictions on the Company’s business, and substantial interest and capital payments, and in the Company more highly leveraged, which could have a material adverse effect on the Company’s future prospects if unable to satisfy its debt obligations as they become due. The ability of the Company to arrange addit financing to support the development, construction, expansion and operation of its projects in the future depend, in part, on prevailing capital market conditions as well as the business performance of the Compan addition, under the Company’s articles of association (“Articles of Association”), the Company is subject to c share capital limits under its capital band and conditional capital. As a result, the Company may shareholder approval to increase its share capital and execute certain equity financing transactions which m time consuming and bring transaction execution uncertainty. Failure to obtain additional financing on a ti basis, on favorable terms, or at all, may cause the Company to postpone, abandon, reduce or terminat operations and could have a material adverse effect on the Company’s business, financial condition and res operations.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29 / 65</w:t>
      </w:r>
    </w:p>
    <w:p>
      <w:pPr>
        <w:sectPr>
          <w:pgSz w:w="11900" w:h="16838" w:orient="portrait"/>
          <w:cols w:equalWidth="0" w:num="1">
            <w:col w:w="10460"/>
          </w:cols>
          <w:pgMar w:left="1440" w:top="1440" w:right="6" w:bottom="0" w:gutter="0" w:footer="0" w:header="0"/>
          <w:type w:val="continuous"/>
        </w:sectPr>
      </w:pPr>
    </w:p>
    <w:bookmarkStart w:id="29" w:name="page30"/>
    <w:bookmarkEnd w:id="29"/>
    <w:p>
      <w:pPr>
        <w:ind w:left="900" w:right="20"/>
        <w:spacing w:after="0" w:line="307" w:lineRule="auto"/>
        <w:rPr>
          <w:sz w:val="20"/>
          <w:szCs w:val="20"/>
          <w:color w:val="auto"/>
        </w:rPr>
      </w:pPr>
      <w:r>
        <w:rPr>
          <w:rFonts w:ascii="Arial" w:cs="Arial" w:eastAsia="Arial" w:hAnsi="Arial"/>
          <w:sz w:val="20"/>
          <w:szCs w:val="20"/>
          <w:b w:val="1"/>
          <w:bCs w:val="1"/>
          <w:i w:val="1"/>
          <w:iCs w:val="1"/>
          <w:color w:val="auto"/>
        </w:rPr>
        <w:t>The Company is subject to tax and other legislation enacted in all the countries in which it oper which could have a material adverse effect on the Company’s shareholders.</w:t>
      </w:r>
    </w:p>
    <w:p>
      <w:pPr>
        <w:spacing w:after="0" w:line="215"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The Company operates (including providing project financing through equity investees or subsidiaries countries with differing tax laws and tax rates. The Company’s tax reporting is supported by tax laws in, an application of tax treaties between, the countries in which it operates. Tax laws, regulations, and administr practices in various jurisdictions may be subject to significant change, with or without notice, due to econ political, and other conditions, and significant judgment is required in evaluating and estimating the Comp provision and accruals for these taxes. Such changes could have a material adverse effect on the holde shares of the Company or the Company’s business, financial condition and results of operations. The Comp income tax reporting is subject to audit by tax authorities in the countries in which it operates. The Comp effective tax rate may change from year to year, based on changes in the mix of activities and income ea among the different jurisdictions in which the Company operates, changes in tax laws in these jurisdict changes in the tax treaties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1088390</wp:posOffset>
            </wp:positionV>
            <wp:extent cx="676402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30 / 65</w:t>
      </w:r>
    </w:p>
    <w:p>
      <w:pPr>
        <w:sectPr>
          <w:pgSz w:w="11900" w:h="16838" w:orient="portrait"/>
          <w:cols w:equalWidth="0" w:num="1">
            <w:col w:w="10460"/>
          </w:cols>
          <w:pgMar w:left="1440" w:top="1172" w:right="6" w:bottom="0" w:gutter="0" w:footer="0" w:header="0"/>
          <w:type w:val="continuous"/>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between the countries in which the Company operates, changes in the Company’s eligibility for benefits u those tax treaties, and changes in the estimated values of deferred tax assets and liabilities, which could res a substantial increase in the effective tax rate on all or a portion of the Company’s income.</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Company’s audited consolidated financial statements for the year ended December 31, 2025 contain go concern disclosure.</w:t>
      </w:r>
    </w:p>
    <w:p>
      <w:pPr>
        <w:spacing w:after="0" w:line="2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Company’s audited consolidated financial statements for the year ended December 31, 2025, co disclosure related to the Company’s ability to continue as a going concern. The Company’s ability to continu going concern is dependent upon its ability to generate and repatriate sufficient cash flows from lithium carb production at Cauchari-Olaroz or secure additional financing to meet obligations and repay liabilities when become due. No assurances can be given that the Company will be successful in achieving these goals. Company is unable to achieve these goals, its ability to carry out and implement planned business objective strategies will be significantly delayed, limited or may not occur. There are no guarantees that access to e and debt capital from public and private markets will be available to the Company.</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Risks Related to Regulatory, ESG, Permitting and Country-Specific Matters</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Company operates in emerging markets, which exposes it to economic risks such as high rates of infl social and labor unrest, and fluctuations in the currency exchange rates, which could affect its business, fina condition and results of operations.</w:t>
      </w:r>
    </w:p>
    <w:p>
      <w:pPr>
        <w:spacing w:after="0" w:line="212"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The Company’s interest in projects located in Argentina expose it to heightened risks related to prevailing po and socioeconomic conditions in Argentina, which have historically included, but are not limited to: high rat inflation; social and labor unrest, opposition or blockades; crime; civil disturbance; extreme fluctuation currency exchange rates; expropriation and nationalization; renegotiation or nullification of existing concess licenses, permits and contracts; ability of governments to unilaterally alter agreements; government imposed contracting and purchase laws, including laws establishing, among other things, profit margins, production q maximum and minimum price levels and the ability to confiscate merchandise in certain circumstances; cha in taxation and royalty policies, practices, regulations and laws and the application thereof; underdevel industrial and economic infrastructure; surface land access issues; currency and capital controls; restriction foreign exchange and repatriation; and changing political norms and governmental regulations that fav require the Company to award contracts in, employ citizens of, or purchase supplies from, a particular jurisdi The occurrence of any such events may adversely affect the Company’s business, financial condition and re of operations. The Company has not purchased any “political risk” insurance coverage and currently has no to do so.</w:t>
      </w:r>
    </w:p>
    <w:p>
      <w:pPr>
        <w:spacing w:after="0" w:line="214"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By way of example, in September 2019 the government of Argentina introduced a series of capital controls foreign exchange regulations. To date, these controls and regulations have included, but are not limite requirements for proceeds of exports to be repatriated at the applicable exchange rate; restrictions on paym of dividends without the approval of the Central Bank of Argentina; and restrictions on debt from foreign len unless such debt is brought into Argentina at the applicable exchange rate. Such existing controls coul increased or expanded from time to time, or new, more onerous regulations could be introduced at any Historically, such capital controls and foreign exchange regulations have had broad impact, including limita on imports, and at times, nationalization of privately-held businesses. Regardless of the economic viability o</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4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31 / 65</w:t>
      </w:r>
    </w:p>
    <w:p>
      <w:pPr>
        <w:sectPr>
          <w:pgSz w:w="11900" w:h="16838" w:orient="portrait"/>
          <w:cols w:equalWidth="0" w:num="1">
            <w:col w:w="10460"/>
          </w:cols>
          <w:pgMar w:left="1440" w:top="1440" w:right="6" w:bottom="0" w:gutter="0" w:footer="0" w:header="0"/>
          <w:type w:val="continuous"/>
        </w:sectPr>
      </w:pPr>
    </w:p>
    <w:bookmarkStart w:id="31" w:name="page32"/>
    <w:bookmarkEnd w:id="31"/>
    <w:p>
      <w:pPr>
        <w:jc w:val="both"/>
        <w:ind w:left="900"/>
        <w:spacing w:after="0" w:line="313" w:lineRule="auto"/>
        <w:rPr>
          <w:sz w:val="20"/>
          <w:szCs w:val="20"/>
          <w:color w:val="auto"/>
        </w:rPr>
      </w:pPr>
      <w:r>
        <w:rPr>
          <w:rFonts w:ascii="Arial" w:cs="Arial" w:eastAsia="Arial" w:hAnsi="Arial"/>
          <w:sz w:val="20"/>
          <w:szCs w:val="20"/>
          <w:color w:val="auto"/>
        </w:rPr>
        <w:t>properties in which the Company holds an interest, and despite being beyond the Company’s control, such f thus may prevent or restrict mining of some or all of any deposits which the Company may find on its prope In addition, the aforementioned controls and regulations may restrict the Company’s movement of intercom funding and payments to foreign suppliers at the Argentinean subsidiary level, which could adversely affec Company’s ability to repatriate any profits.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1087755</wp:posOffset>
            </wp:positionV>
            <wp:extent cx="676402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32 / 65</w:t>
      </w:r>
    </w:p>
    <w:p>
      <w:pPr>
        <w:sectPr>
          <w:pgSz w:w="11900" w:h="16838" w:orient="portrait"/>
          <w:cols w:equalWidth="0" w:num="1">
            <w:col w:w="10460"/>
          </w:cols>
          <w:pgMar w:left="1440" w:top="1172" w:right="6" w:bottom="0" w:gutter="0" w:footer="0" w:header="0"/>
          <w:type w:val="continuous"/>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32" w:lineRule="auto"/>
        <w:rPr>
          <w:sz w:val="20"/>
          <w:szCs w:val="20"/>
          <w:color w:val="auto"/>
        </w:rPr>
      </w:pPr>
      <w:r>
        <w:rPr>
          <w:rFonts w:ascii="Arial" w:cs="Arial" w:eastAsia="Arial" w:hAnsi="Arial"/>
          <w:sz w:val="19"/>
          <w:szCs w:val="19"/>
          <w:color w:val="auto"/>
        </w:rPr>
        <w:t>Government authorities in emerging market countries often have a high degree of discretion and at times ap to act selectively or arbitrarily, without hearing or prior notice, and sometimes in a manner that may not be i accordance with the law or that may be influenced by political or commercial considerations. Unlawful, sele or arbitrary governmental actions could include denial or withdrawal of licences, sudden and unexpecte audits, forced liquidation, criminal prosecutions and civil actions. Although unlawful, selective or arbi government action may be challenged in court, any such action, if directed at the Company or its sharehol could have a material adverse effect on the Company’s business, financial condition and results of operation</w:t>
      </w:r>
    </w:p>
    <w:p>
      <w:pPr>
        <w:spacing w:after="0" w:line="197"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Companies operating in emerging markets are subject from time to time to the illegal activities of ot corruption or claims of illegal activities. Often in these markets the bribery of officials remains common, relati developed markets. Social instability caused by criminal activity and corruption could increase suppor renewed central authority, nationalism or violence and thus materially adversely affect the Company’s abil conduct its business effectively. Such activities have not had a significant effect on the Company’s operatio date; however, there can be no assurance that they will not in the future, in which case regulators c potentially restrict the Company’s operations or business, which could impact its business, financial cond results of operations. The Company’s value and share price could also be adversely affected by the il activities of others, corruption or by claims, even if groundless, implicating the Company in illegal activities.</w:t>
      </w:r>
    </w:p>
    <w:p>
      <w:pPr>
        <w:spacing w:after="0" w:line="209"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To manage the economic, political, legal, or social risks of operating in an emerging market, the Com continuously monitors the aforementioned factors by means of local management who also receive support external service providers with relevant expertise and experience while dealing with these risks. Furthermore Board and the Company receive regular updates from local management and have an oversight role in ord ensure that these potential risks are efficiently addressed. Investors in emerging markets should be aware these markets are subject to greater risk than more developed markets, including in some cases significant l fiscal, economic and political risks. Accordingly, investors should exercise particular care in evaluating the involved in an investment in the Company and must decide for themselves whether, in light of these risks, investment is appropriate. Generally investing in emerging markets is suitable only for sophisticated investor fully appreciate the significance of the risks involved.</w:t>
      </w:r>
    </w:p>
    <w:p>
      <w:pPr>
        <w:spacing w:after="0" w:line="210" w:lineRule="exact"/>
        <w:rPr>
          <w:sz w:val="20"/>
          <w:szCs w:val="20"/>
          <w:color w:val="auto"/>
        </w:rPr>
      </w:pPr>
    </w:p>
    <w:p>
      <w:pPr>
        <w:ind w:left="900" w:right="100"/>
        <w:spacing w:after="0" w:line="307" w:lineRule="auto"/>
        <w:rPr>
          <w:sz w:val="20"/>
          <w:szCs w:val="20"/>
          <w:color w:val="auto"/>
        </w:rPr>
      </w:pPr>
      <w:r>
        <w:rPr>
          <w:rFonts w:ascii="Arial" w:cs="Arial" w:eastAsia="Arial" w:hAnsi="Arial"/>
          <w:sz w:val="20"/>
          <w:szCs w:val="20"/>
          <w:b w:val="1"/>
          <w:bCs w:val="1"/>
          <w:i w:val="1"/>
          <w:iCs w:val="1"/>
          <w:color w:val="auto"/>
        </w:rPr>
        <w:t>The Company may not be able to maintain permits due to various factors such as changes in the plan or changes in regulatory processes.</w:t>
      </w:r>
    </w:p>
    <w:p>
      <w:pPr>
        <w:spacing w:after="0" w:line="215"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Although key permits for the development and existing production of Cauchari-Olaroz and for exploration certain development activities with respect to PPG have been obtained, additional permits will be require expansion plans at Cauchari-Olaroz and for the full development of PPG. There can be no certainty that cu permits will be maintained or new permits obtained; additional local, state or provincial permits or approva required to carry out exploration, development and production at Cauchari-Olaroz and PPG; projected time for permitting decisions to be made will be met; or the projected costs of permitting will be accurate. In add there is a risk that existing permits will be subject to challenges of regulatory administrative process, and si litigation and appeal processes. Litigation and regulatory review processes can result in lengthy delays uncertain outcomes. Such issues could impact the expected development timelines of the Company’s pro and consequently have a material adverse effect on the Company’s business, financial condition and resu operations.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33 / 65</w:t>
      </w:r>
    </w:p>
    <w:p>
      <w:pPr>
        <w:sectPr>
          <w:pgSz w:w="11900" w:h="16838" w:orient="portrait"/>
          <w:cols w:equalWidth="0" w:num="1">
            <w:col w:w="10460"/>
          </w:cols>
          <w:pgMar w:left="1440" w:top="1440" w:right="6" w:bottom="0" w:gutter="0" w:footer="0" w:header="0"/>
          <w:type w:val="continuous"/>
        </w:sectPr>
      </w:pPr>
    </w:p>
    <w:bookmarkStart w:id="33" w:name="page34"/>
    <w:bookmarkEnd w:id="33"/>
    <w:p>
      <w:pPr>
        <w:jc w:val="both"/>
        <w:ind w:left="900"/>
        <w:spacing w:after="0" w:line="307" w:lineRule="auto"/>
        <w:rPr>
          <w:sz w:val="20"/>
          <w:szCs w:val="20"/>
          <w:color w:val="auto"/>
        </w:rPr>
      </w:pPr>
      <w:r>
        <w:rPr>
          <w:rFonts w:ascii="Arial" w:cs="Arial" w:eastAsia="Arial" w:hAnsi="Arial"/>
          <w:sz w:val="20"/>
          <w:szCs w:val="20"/>
          <w:b w:val="1"/>
          <w:bCs w:val="1"/>
          <w:i w:val="1"/>
          <w:iCs w:val="1"/>
          <w:color w:val="auto"/>
        </w:rPr>
        <w:t>There may be risks associated with political tensions and the dependency on global supply chain conduct the Company’s operations because lithium is a critical mineral globally.</w:t>
      </w:r>
    </w:p>
    <w:p>
      <w:pPr>
        <w:spacing w:after="0" w:line="215"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The Company’s business is international in scope, with its incorporating jurisdiction and head office locat Switzerland, stock exchange listings in Canada and the United States, its projects located in Argentina interests in the projects held through intermediary jurisdictions and with Ganfeng, its partner for Cauchari-O and PPG, and a significant shareholder of the Company, based in China. Changes, if any, in mining, invest or other applicable policies or shifts in political attitude in any of the jurisdictions in which the Company (a respect of Cauchari-Olaroz and PPG, Ganfeng) operates, or towards such political jurisdictions, may adve affect the Company’s operations or profitability and may affect the Company’s ability to fund its ong expenditures at its projects. Further, in recent years there has been a substantial increase in political ten among many jurisdictions. This political tension is particularly acute in respect of lithium, which has been ide as a ‘critical mineral’ in these jurisdictions and is the subject of increasingly active industrial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1087755</wp:posOffset>
            </wp:positionV>
            <wp:extent cx="676402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34 / 65</w:t>
      </w:r>
    </w:p>
    <w:p>
      <w:pPr>
        <w:sectPr>
          <w:pgSz w:w="11900" w:h="16838" w:orient="portrait"/>
          <w:cols w:equalWidth="0" w:num="1">
            <w:col w:w="10460"/>
          </w:cols>
          <w:pgMar w:left="1440" w:top="1172" w:right="6" w:bottom="0" w:gutter="0" w:footer="0" w:header="0"/>
          <w:type w:val="continuous"/>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spacing w:after="0" w:line="331" w:lineRule="auto"/>
        <w:rPr>
          <w:sz w:val="20"/>
          <w:szCs w:val="20"/>
          <w:color w:val="auto"/>
        </w:rPr>
      </w:pPr>
      <w:r>
        <w:rPr>
          <w:rFonts w:ascii="Arial" w:cs="Arial" w:eastAsia="Arial" w:hAnsi="Arial"/>
          <w:sz w:val="19"/>
          <w:szCs w:val="19"/>
          <w:color w:val="auto"/>
        </w:rPr>
        <w:t>More specifically, as a result of increased concerns around global supply chains, the lithium industry has be subject to increasing political involvement, including in the United States, Canada and Argentina. This reflect critical role of lithium as an input in the development of batteries for the burgeoning transition to electric veh in the automotive industry, combined with worldwide supply constraints for lithium production and geopo tensions between Western countries such as the United States and Canada on the one hand, and China o other, arising from the dominant role of China in the production of inputs for the battery industry. The res political involvement appears to be evolving into a form of industrial policy by several governments, inclu those of Canada and the United States, in which they employ steps to encourage the development of dom supply such as tax incentives and low-interest loans to domestic and other Western actors, as well as unde steps to discourage the involvement of actors from non-Western countries, including the expansion of oversight and an expansion of the scope of discretionary authority under laws and regulations to im restrictions on ownership, influence and investment. These factors may be of particular relevance to Company, with its connection to Canada and the United States through its stock exchange listings, shareh base and board of directors (the “Board”) composition, while at the same time having a historical and conti connection with Chinese-based Ganfeng as a financier and partner (and historically, as large shareholder).</w:t>
      </w:r>
    </w:p>
    <w:p>
      <w:pPr>
        <w:spacing w:after="0" w:line="208" w:lineRule="exact"/>
        <w:rPr>
          <w:sz w:val="20"/>
          <w:szCs w:val="20"/>
          <w:color w:val="auto"/>
        </w:rPr>
      </w:pPr>
    </w:p>
    <w:p>
      <w:pPr>
        <w:ind w:left="900" w:right="40"/>
        <w:spacing w:after="0" w:line="307" w:lineRule="auto"/>
        <w:rPr>
          <w:sz w:val="20"/>
          <w:szCs w:val="20"/>
          <w:color w:val="auto"/>
        </w:rPr>
      </w:pPr>
      <w:r>
        <w:rPr>
          <w:rFonts w:ascii="Arial" w:cs="Arial" w:eastAsia="Arial" w:hAnsi="Arial"/>
          <w:sz w:val="20"/>
          <w:szCs w:val="20"/>
          <w:b w:val="1"/>
          <w:bCs w:val="1"/>
          <w:i w:val="1"/>
          <w:iCs w:val="1"/>
          <w:color w:val="auto"/>
        </w:rPr>
        <w:t>Changes to government laws and regulations may affect the development and operation of Company’s projects.</w:t>
      </w:r>
    </w:p>
    <w:p>
      <w:pPr>
        <w:spacing w:after="0" w:line="215"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Changes to government laws and regulations could include laws relating to taxation, royalties, the repatriati profits, restrictions on production, export controls, environmental, water, biodiversity and ecological compli mine development and operations, mine safety, permitting and numerous other aspects of the business.</w:t>
      </w:r>
    </w:p>
    <w:p>
      <w:pPr>
        <w:spacing w:after="0" w:line="212" w:lineRule="exact"/>
        <w:rPr>
          <w:sz w:val="20"/>
          <w:szCs w:val="20"/>
          <w:color w:val="auto"/>
        </w:rPr>
      </w:pPr>
    </w:p>
    <w:p>
      <w:pPr>
        <w:ind w:left="900"/>
        <w:spacing w:after="0" w:line="314" w:lineRule="auto"/>
        <w:rPr>
          <w:sz w:val="20"/>
          <w:szCs w:val="20"/>
          <w:color w:val="auto"/>
        </w:rPr>
      </w:pPr>
      <w:r>
        <w:rPr>
          <w:rFonts w:ascii="Arial" w:cs="Arial" w:eastAsia="Arial" w:hAnsi="Arial"/>
          <w:sz w:val="20"/>
          <w:szCs w:val="20"/>
          <w:color w:val="auto"/>
        </w:rPr>
        <w:t>Provincial governments of Argentina have considerable authority over exploration and mining in their prov and there are Argentine provinces where the provincial government has taken an anti-mining stance by pa laws to curtail or ban mining in those provinces. The Company believes the current provincial governmen Jujuy Province, where Cauchari-Olaroz is situated, and of Salta Province, where the PPG is located, supportive of the exploration and mining industry generally, and Cauchari-Olaroz and PPG in particular. JE the Jujuy government’s mining company, acquired an 8.5% equity interest in Cauchari-Olaroz in April pursuant to the JEMSE Option Agreement, and is to pay for this interest from future dividends payable to JE by the operation. The JEMSE 8.5% interest fulfils an obligation on lithium projects to contribute to the ge development of the Province of Jujuy, which is required by Province of Jujuy Decree-Agreement 7592 ancillary provincial regulations. Nevertheless, the political climate for mineral development can change qu and there is no assurance that such sentiments will continue in the future.</w:t>
      </w:r>
    </w:p>
    <w:p>
      <w:pPr>
        <w:spacing w:after="0" w:line="211"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In Argentina, the current president, Javier Milei took office on December 10, 2023. His agenda includes labo tax reforms, the privatization of major state-owned companies, capital control reforms and the dollarization o economy. While general market sentiment with respect to the changes Mr. Milei has implemented has positive, these and other policy changes, to the extent they are fully implemented, may cause significant vol in the political, regulatory and economic environment and may adversely impact the Company’s operations financial condition and accuracy of cost estimates and economic analysis of the Company’s projects. Chang existing mining policies, water use and ownership rights and royalties or other taxation levels, even if seem minor in nature, may adversely affect the Company’s business, financial condition and results of operations.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35 / 65</w:t>
      </w:r>
    </w:p>
    <w:p>
      <w:pPr>
        <w:sectPr>
          <w:pgSz w:w="11900" w:h="16838" w:orient="portrait"/>
          <w:cols w:equalWidth="0" w:num="1">
            <w:col w:w="10460"/>
          </w:cols>
          <w:pgMar w:left="1440" w:top="1440" w:right="6" w:bottom="0" w:gutter="0" w:footer="0" w:header="0"/>
          <w:type w:val="continuous"/>
        </w:sectPr>
      </w:pPr>
    </w:p>
    <w:bookmarkStart w:id="35" w:name="page36"/>
    <w:bookmarkEnd w:id="35"/>
    <w:p>
      <w:pPr>
        <w:jc w:val="both"/>
        <w:ind w:left="900"/>
        <w:spacing w:after="0" w:line="336" w:lineRule="auto"/>
        <w:rPr>
          <w:sz w:val="20"/>
          <w:szCs w:val="20"/>
          <w:color w:val="auto"/>
        </w:rPr>
      </w:pPr>
      <w:r>
        <w:rPr>
          <w:rFonts w:ascii="Arial" w:cs="Arial" w:eastAsia="Arial" w:hAnsi="Arial"/>
          <w:sz w:val="19"/>
          <w:szCs w:val="19"/>
          <w:b w:val="1"/>
          <w:bCs w:val="1"/>
          <w:i w:val="1"/>
          <w:iCs w:val="1"/>
          <w:color w:val="auto"/>
        </w:rPr>
        <w:t>The Company’s business operations and transactions are subject to regulatory oversight, which result in additional regulatory approvals or imposition of orders, restrictions, conditions or sanctions</w:t>
      </w:r>
    </w:p>
    <w:p>
      <w:pPr>
        <w:spacing w:after="0" w:line="192"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The Company has experienced and will experience heightened incidences of government-related regul oversight in respect of its business operations and transactions, which it believes is attributable in large p government policy toward the critical minerals sector, geopolitical competition among Western and non-We governments and the multijurisdictional nature of the Company, including in particular the interconnec between Chinese and Western ownership and commercial arrangements. Regulatory oversight to which Company is or may in the future become subject, including in connection with matters related to govern policy toward the critical minerals sector, may result in, among other things, the need for the Company to o any required regulatory approvals, as well as the imposition of orders, restrictions, conditions or sanctions o Company that disrupt the conduct of its current or proposed future business and operations, such as the req divestiture of assets, limitations on business operations, limitation on business and other commercial relation with third parties and other measures. Many of these matters are outside the control of the Company and can be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36 / 65</w:t>
      </w:r>
    </w:p>
    <w:p>
      <w:pPr>
        <w:sectPr>
          <w:pgSz w:w="11900" w:h="16838" w:orient="portrait"/>
          <w:cols w:equalWidth="0" w:num="1">
            <w:col w:w="10460"/>
          </w:cols>
          <w:pgMar w:left="1440" w:top="1172" w:right="6" w:bottom="0" w:gutter="0" w:footer="0" w:header="0"/>
          <w:type w:val="continuous"/>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certainty that any required regulatory approvals will be received or as to the nature and extent of any or restrictions, conditions or sanctions that may be imposed on the Company and the effect such orders, restric conditions or sanctions may have on the business, operations, assets, business relationships and o commercial relationships, financial condition and prospects of the Company.</w:t>
      </w:r>
    </w:p>
    <w:p>
      <w:pPr>
        <w:spacing w:after="0" w:line="212" w:lineRule="exact"/>
        <w:rPr>
          <w:sz w:val="20"/>
          <w:szCs w:val="20"/>
          <w:color w:val="auto"/>
        </w:rPr>
      </w:pPr>
    </w:p>
    <w:p>
      <w:pPr>
        <w:ind w:left="900" w:right="40"/>
        <w:spacing w:after="0" w:line="311" w:lineRule="auto"/>
        <w:rPr>
          <w:sz w:val="20"/>
          <w:szCs w:val="20"/>
          <w:color w:val="auto"/>
        </w:rPr>
      </w:pPr>
      <w:r>
        <w:rPr>
          <w:rFonts w:ascii="Arial" w:cs="Arial" w:eastAsia="Arial" w:hAnsi="Arial"/>
          <w:sz w:val="20"/>
          <w:szCs w:val="20"/>
          <w:b w:val="1"/>
          <w:bCs w:val="1"/>
          <w:i w:val="1"/>
          <w:iCs w:val="1"/>
          <w:color w:val="auto"/>
        </w:rPr>
        <w:t>Compliance with environmental, health and safety laws and regulations, including changes to such l or regulations, could adversely affect the Company’s business, results of operations and financial condition.</w:t>
      </w:r>
    </w:p>
    <w:p>
      <w:pPr>
        <w:spacing w:after="0" w:line="212" w:lineRule="exact"/>
        <w:rPr>
          <w:sz w:val="20"/>
          <w:szCs w:val="20"/>
          <w:color w:val="auto"/>
        </w:rPr>
      </w:pPr>
    </w:p>
    <w:p>
      <w:pPr>
        <w:ind w:left="900"/>
        <w:spacing w:after="0" w:line="314" w:lineRule="auto"/>
        <w:rPr>
          <w:sz w:val="20"/>
          <w:szCs w:val="20"/>
          <w:color w:val="auto"/>
        </w:rPr>
      </w:pPr>
      <w:r>
        <w:rPr>
          <w:rFonts w:ascii="Arial" w:cs="Arial" w:eastAsia="Arial" w:hAnsi="Arial"/>
          <w:sz w:val="20"/>
          <w:szCs w:val="20"/>
          <w:color w:val="auto"/>
        </w:rPr>
        <w:t>The Company’s operations are subject to environmental, health and safety regulation in Argentina, inclu protection of the environment, waste disposal, worker health and safety, human rights, mine development, management, protection of endangered and other special status species, and air emissions. These operation subject to various political, economic and social uncertainties, and local laws and regulations. The implemen of new, or the amendment of existing, laws and regulations affecting the mining and metals industry could an adverse impact on the Company. For example, the International Sustainability Standards Board (I released in June 2023 its standards for sustainability-related (IFRS S1) and climate-related (IFRS S2) fina disclosures. While there is currently no mandatory requirement for a Swiss domiciled company listed in Cana the United States to comply with the ISSB standards, the Government of Canada, as well as various regul and professional agencies, have voiced support for the ISSB and the movement towards standardized mandatory climate-related financial disclosures, which, if adopted, may require significant resources from Company to implement. Further, global initiatives such as those related to climate change and air quality, result in new restrictions affecting not only the mining sector but also key supply chain partners, such as ori equipment manufacturers, the shipping industry where new requirements to curb greenhouse gas emissions combustion engine emissions have been promulgated.</w:t>
      </w:r>
    </w:p>
    <w:p>
      <w:pPr>
        <w:spacing w:after="0" w:line="215" w:lineRule="exact"/>
        <w:rPr>
          <w:sz w:val="20"/>
          <w:szCs w:val="20"/>
          <w:color w:val="auto"/>
        </w:rPr>
      </w:pPr>
    </w:p>
    <w:p>
      <w:pPr>
        <w:jc w:val="both"/>
        <w:ind w:left="900"/>
        <w:spacing w:after="0" w:line="296" w:lineRule="exact"/>
        <w:rPr>
          <w:sz w:val="20"/>
          <w:szCs w:val="20"/>
          <w:color w:val="auto"/>
        </w:rPr>
      </w:pPr>
      <w:r>
        <w:rPr>
          <w:rFonts w:ascii="Arial" w:cs="Arial" w:eastAsia="Arial" w:hAnsi="Arial"/>
          <w:sz w:val="20"/>
          <w:szCs w:val="20"/>
          <w:color w:val="auto"/>
        </w:rPr>
        <w:t>Environmental regulations are evolving in a manner that is expected to require stricter standards enforcement, increased fines and penalties for non</w:t>
      </w:r>
      <w:r>
        <w:rPr>
          <w:rFonts w:ascii="MS PGothic" w:cs="MS PGothic" w:eastAsia="MS PGothic" w:hAnsi="MS PGothic"/>
          <w:sz w:val="20"/>
          <w:szCs w:val="20"/>
          <w:color w:val="auto"/>
        </w:rPr>
        <w:t>‐</w:t>
      </w:r>
      <w:r>
        <w:rPr>
          <w:rFonts w:ascii="Arial" w:cs="Arial" w:eastAsia="Arial" w:hAnsi="Arial"/>
          <w:sz w:val="20"/>
          <w:szCs w:val="20"/>
          <w:color w:val="auto"/>
        </w:rPr>
        <w:t>compliance including civil, criminal or administr enforcement actions, more stringent environmental assessments of proposed projects and a heightened de of responsibility for companies and their officers, directors and employees. Applicable environmental laws regulations may require enhanced public disclosure and consultation. It is possible that a legal protest cou triggered through one of these requirements or processes that could delay development activities. No assur can be given that new environmental laws and regulations will not be enacted or that existing environmental and regulations will not be applied in a manner that could limit or curtail the Company’s development progr Such changes in environmental laws and regulations and associated regulatory requirements could delay a increase the cost of exploration, development and operation of the Company’s projects, or increase the ri environmental liability associated with project operations. This in turn could have a material adverse effect o Company’s business, financial condition and results of operations.</w:t>
      </w:r>
    </w:p>
    <w:p>
      <w:pPr>
        <w:spacing w:after="0" w:line="281"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b w:val="1"/>
          <w:bCs w:val="1"/>
          <w:i w:val="1"/>
          <w:iCs w:val="1"/>
          <w:color w:val="auto"/>
        </w:rPr>
        <w:t>The Company’s property interests may be subject to prior unregistered agreements, transfers or o land claims, which could increase mineral tenure risks.</w:t>
      </w:r>
    </w:p>
    <w:p>
      <w:pPr>
        <w:spacing w:after="0" w:line="215"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There can be no assurance of title to any of the Company’s property interests, or that such title will ultimate secured. The Company’s property interests may also be subject to prior unregistered agreements or transfe other land claims, and title may be affected by undetected defects and adverse laws and regulations.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37 / 65</w:t>
      </w:r>
    </w:p>
    <w:p>
      <w:pPr>
        <w:sectPr>
          <w:pgSz w:w="11900" w:h="16838" w:orient="portrait"/>
          <w:cols w:equalWidth="0" w:num="1">
            <w:col w:w="10460"/>
          </w:cols>
          <w:pgMar w:left="1440" w:top="1440" w:right="6" w:bottom="0" w:gutter="0" w:footer="0" w:header="0"/>
          <w:type w:val="continuous"/>
        </w:sectPr>
      </w:pPr>
    </w:p>
    <w:bookmarkStart w:id="37" w:name="page38"/>
    <w:bookmarkEnd w:id="37"/>
    <w:p>
      <w:pPr>
        <w:jc w:val="both"/>
        <w:ind w:left="900"/>
        <w:spacing w:after="0" w:line="313" w:lineRule="auto"/>
        <w:rPr>
          <w:sz w:val="20"/>
          <w:szCs w:val="20"/>
          <w:color w:val="auto"/>
        </w:rPr>
      </w:pPr>
      <w:r>
        <w:rPr>
          <w:rFonts w:ascii="Arial" w:cs="Arial" w:eastAsia="Arial" w:hAnsi="Arial"/>
          <w:sz w:val="20"/>
          <w:szCs w:val="20"/>
          <w:color w:val="auto"/>
        </w:rPr>
        <w:t>Company must apply for and obtain approvals and permits from federal and state agencies to con exploration, development and mining on its properties. Although the Company has applied for and has rece or anticipates receipt of, such approvals and permits, there is no assurance that the Company’s rights under will not be affected by legislation or amendment of regulations governing the approvals and permits, or applicable government agencies will not seek to revoke or significantly alter the conditions of the applic exploration and mining approvals or permits, or that they will not be challenged or impugned by third parties.</w:t>
      </w:r>
    </w:p>
    <w:p>
      <w:pPr>
        <w:spacing w:after="0" w:line="2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b w:val="1"/>
          <w:bCs w:val="1"/>
          <w:i w:val="1"/>
          <w:iCs w:val="1"/>
          <w:color w:val="auto"/>
        </w:rPr>
        <w:t>Failure to adhere to or maintain existing surface access agreements with local aboriginal commun may have material adverse effects on the Company’s business, financial condition and result operations.</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Exar has entered into agreements with local aboriginal communities for surface access rights to the exploit areas of Cauchari-Olaroz. Should any of the aboriginal communities decide not to honor such agreements, would be required to enforce its statutory access rights under the provisions of the Mining Code of Argen however, this would be a potentially disruptive and costly process. To date, there are settled agreemen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1087755</wp:posOffset>
            </wp:positionV>
            <wp:extent cx="676402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38 / 65</w:t>
      </w:r>
    </w:p>
    <w:p>
      <w:pPr>
        <w:sectPr>
          <w:pgSz w:w="11900" w:h="16838" w:orient="portrait"/>
          <w:cols w:equalWidth="0" w:num="1">
            <w:col w:w="10460"/>
          </w:cols>
          <w:pgMar w:left="1440" w:top="1172" w:right="6" w:bottom="0" w:gutter="0" w:footer="0" w:header="0"/>
          <w:type w:val="continuous"/>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which allow for development and operation of Cauchari-Olaroz, with all communities in the exploitation necessary for gas and water pipeline construction and easements. Any non-adherence to the terms of agreements by a contractual counterparty or failure to maintain existing agreements or to enter into any necessary agreements could impact the time and costs to develop and ramp-up Cauchari-Olaroz. All of thi the potential to have a material adverse effect on the Company’s business, financial condition and resul operations.</w:t>
      </w:r>
    </w:p>
    <w:p>
      <w:pPr>
        <w:spacing w:after="0" w:line="2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b w:val="1"/>
          <w:bCs w:val="1"/>
          <w:i w:val="1"/>
          <w:iCs w:val="1"/>
          <w:color w:val="auto"/>
        </w:rPr>
        <w:t>Regulations and pending legislation governing issues involving climate change could result in incre operating and capital costs, which could have a material adverse effect on the Company’s busin financial condition and results of operations.</w:t>
      </w:r>
    </w:p>
    <w:p>
      <w:pPr>
        <w:spacing w:after="0" w:line="212"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The introduction of climate change legislation is an increasing focus of various levels of government world with emissions regulations and reporting regimes being enacted or enhanced, and energy efficiency require becoming increasingly stringent. The Company is committed to developing its business with a view to contrib to the low carbon economy. To that end, the Company has incorporated low carbon emissions in the design facilities at Cauchari-Olaroz and anticipates doing the same at PPG. This includes incorporating sustain energy sources and minimizing the use of non-renewable sources of energy to the extent that renewable so are available with sufficient capacity, at cost effective pricing and that are complementary to the facilities an design. However, the use of such low carbon technologies may be more costly in certain instances than renewable options in the near-term, or may result in higher design costs, long-term maintenance cost replacement costs. Additionally, if the trend toward increasing regulations continues, the Company may increasing operating costs at its projects to comply with these changing regulations.</w:t>
      </w:r>
    </w:p>
    <w:p>
      <w:pPr>
        <w:spacing w:after="0" w:line="211"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While the Company is dedicated to its sustainability-related efforts, if it does not adequately address all rel stakeholder concerns regarding ESG criteria, it may face opposition, which could negatively affect our reput delay operations or result in threats or litigation actions. If it does not maintain its reputation with key stakeho and interest groups and effectively manage these sensitive issues, they could adversely affect our busin financial condition and results of operations.</w:t>
      </w:r>
    </w:p>
    <w:p>
      <w:pPr>
        <w:spacing w:after="0" w:line="210"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Climate change risks also extend to the physical risks of climate change. These include risks of lower ra levels, reduction in water availability or water shortages, extreme weather events, changing temperat increased snowpacks, changing sea levels and shortages of resources. The Company’s brine produ depends on basin hydrology and evaporation. Drought, temperature shifts or precipitation anomalies can e pond residence times, reduce concentration and raise unit costs; regulators may impose additional monitori curtailments, reducing volumes.</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These physical risks of climate change could have a negative effect on the Company’s project sites, acce local infrastructure and resources, and the health and safety of employees and contractors at the Comp operations. In addition, as both Cauchari-Olaroz and PPG are dependent on water for production, any decr in brine water in the region could have a material adverse effect on production levels. The occurrence of events is difficult to predict and develop a response plan for that will effectively address all potential scen Although the Company has attempted to design project facilities to address certain climate-related risks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39 / 65</w:t>
      </w:r>
    </w:p>
    <w:p>
      <w:pPr>
        <w:sectPr>
          <w:pgSz w:w="11900" w:h="16838" w:orient="portrait"/>
          <w:cols w:equalWidth="0" w:num="1">
            <w:col w:w="10460"/>
          </w:cols>
          <w:pgMar w:left="1440" w:top="1440" w:right="6" w:bottom="0" w:gutter="0" w:footer="0" w:header="0"/>
          <w:type w:val="continuous"/>
        </w:sectPr>
      </w:pPr>
    </w:p>
    <w:bookmarkStart w:id="39" w:name="page40"/>
    <w:bookmarkEnd w:id="39"/>
    <w:p>
      <w:pPr>
        <w:jc w:val="both"/>
        <w:ind w:left="900"/>
        <w:spacing w:after="0" w:line="311" w:lineRule="auto"/>
        <w:rPr>
          <w:sz w:val="20"/>
          <w:szCs w:val="20"/>
          <w:color w:val="auto"/>
        </w:rPr>
      </w:pPr>
      <w:r>
        <w:rPr>
          <w:rFonts w:ascii="Arial" w:cs="Arial" w:eastAsia="Arial" w:hAnsi="Arial"/>
          <w:sz w:val="20"/>
          <w:szCs w:val="20"/>
          <w:color w:val="auto"/>
        </w:rPr>
        <w:t>potential exists for these measures to be insufficient in the face of unpredictable climate-related events. As climate-related events have the potential to have a material adverse effect on the Company’s business, fina condition and results of operations.</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b w:val="1"/>
          <w:bCs w:val="1"/>
          <w:i w:val="1"/>
          <w:iCs w:val="1"/>
          <w:color w:val="auto"/>
        </w:rPr>
        <w:t>The Company is subject to currency fluctuations that may adversely affect the financial condition o Company.</w:t>
      </w:r>
    </w:p>
    <w:p>
      <w:pPr>
        <w:spacing w:after="0" w:line="215" w:lineRule="exact"/>
        <w:rPr>
          <w:sz w:val="20"/>
          <w:szCs w:val="20"/>
          <w:color w:val="auto"/>
        </w:rPr>
      </w:pPr>
    </w:p>
    <w:p>
      <w:pPr>
        <w:ind w:left="900"/>
        <w:spacing w:after="0" w:line="314" w:lineRule="auto"/>
        <w:rPr>
          <w:sz w:val="20"/>
          <w:szCs w:val="20"/>
          <w:color w:val="auto"/>
        </w:rPr>
      </w:pPr>
      <w:r>
        <w:rPr>
          <w:rFonts w:ascii="Arial" w:cs="Arial" w:eastAsia="Arial" w:hAnsi="Arial"/>
          <w:sz w:val="20"/>
          <w:szCs w:val="20"/>
          <w:color w:val="auto"/>
        </w:rPr>
        <w:t>The Company transacts business primarily in U.S. dollars, Canadian dollars, and Argentine pesos. Fluctuatio exchange rates between currencies may have a significant effect on the cash flows of the Company. Company’s projects are located in Argentina, where certain costs are denominated in the Argentine peso, others in U.S. dollars or linked to U.S. dollars. The Argentine peso has historically been subject to l devaluations and revaluations and may be subject to significant fluctuations in the future. Future chang exchange rates could materially affect the Company’s business, financial condition and results of operat either positively or negatively. An appreciation of the Argentine peso compared to the U.S. dollar could property expenditures more expensive for the Company, and conversely a depreciation could make expenditures less expensive. In addition, Argentina’s foreign exchange rates and inflation are subjec significant fluctuations and, at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1087755</wp:posOffset>
            </wp:positionV>
            <wp:extent cx="676402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40 / 65</w:t>
      </w:r>
    </w:p>
    <w:p>
      <w:pPr>
        <w:sectPr>
          <w:pgSz w:w="11900" w:h="16838" w:orient="portrait"/>
          <w:cols w:equalWidth="0" w:num="1">
            <w:col w:w="10460"/>
          </w:cols>
          <w:pgMar w:left="1440" w:top="1172" w:right="6" w:bottom="0" w:gutter="0" w:footer="0" w:header="0"/>
          <w:type w:val="continuous"/>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fluctuations in U.S. dollar to Argentine peso foreign exchange rate and inflation may not be aligned. A l foreign exchange devaluation versus inflation rate could make property expenditures more expensive fo Company, and conversely a higher foreign exchange devaluation versus inflation rate could make expenditures less expensive. While the Company does not engage in foreign exchange hedging, it hol significant portion of its cash balance in U.S. dollars to allow it to satisfy its U.S. currency needs.</w:t>
      </w:r>
    </w:p>
    <w:p>
      <w:pPr>
        <w:spacing w:after="0" w:line="210" w:lineRule="exact"/>
        <w:rPr>
          <w:sz w:val="20"/>
          <w:szCs w:val="20"/>
          <w:color w:val="auto"/>
        </w:rPr>
      </w:pPr>
    </w:p>
    <w:p>
      <w:pPr>
        <w:ind w:left="900" w:right="40"/>
        <w:spacing w:after="0" w:line="307" w:lineRule="auto"/>
        <w:rPr>
          <w:sz w:val="20"/>
          <w:szCs w:val="20"/>
          <w:color w:val="auto"/>
        </w:rPr>
      </w:pPr>
      <w:r>
        <w:rPr>
          <w:rFonts w:ascii="Arial" w:cs="Arial" w:eastAsia="Arial" w:hAnsi="Arial"/>
          <w:sz w:val="20"/>
          <w:szCs w:val="20"/>
          <w:b w:val="1"/>
          <w:bCs w:val="1"/>
          <w:i w:val="1"/>
          <w:iCs w:val="1"/>
          <w:color w:val="auto"/>
        </w:rPr>
        <w:t>Current Argentine exchange controls and the implementation of further exchange controls c adversely affect the Company’s results of operations.</w:t>
      </w:r>
    </w:p>
    <w:p>
      <w:pPr>
        <w:spacing w:after="0" w:line="215"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The Argentine government and Argentine Central Bank (Banco Central de la República Argentina) (the “BC have implemented certain measures that control and restrict the ability of companies and individuals to acce foreign exchange market. Those measures include, among others: (i) restricting access to the Argentine fo exchange market for the purchase or transfer of foreign currency abroad for any purpose, including the pay of dividends to non-resident shareholders; (ii) restrictions on the acquisition of any foreign currency to be he cash in Argentina; (iii) requiring exporters to repatriate and settle in Argentine pesos, in the local exch market, all the proceeds of their exports of goods and services; (iv) limitations on the transfer of securities and from Argentina; (v) establishing certain mandatory refinancing on U.S. dollar-denominated debt; and (v implementation of taxes on certain transactions involving the acquisition of foreign currency.</w:t>
      </w:r>
    </w:p>
    <w:p>
      <w:pPr>
        <w:spacing w:after="0" w:line="209" w:lineRule="exact"/>
        <w:rPr>
          <w:sz w:val="20"/>
          <w:szCs w:val="20"/>
          <w:color w:val="auto"/>
        </w:rPr>
      </w:pPr>
    </w:p>
    <w:p>
      <w:pPr>
        <w:ind w:left="900"/>
        <w:spacing w:after="0" w:line="314" w:lineRule="auto"/>
        <w:rPr>
          <w:sz w:val="20"/>
          <w:szCs w:val="20"/>
          <w:color w:val="auto"/>
        </w:rPr>
      </w:pPr>
      <w:r>
        <w:rPr>
          <w:rFonts w:ascii="Arial" w:cs="Arial" w:eastAsia="Arial" w:hAnsi="Arial"/>
          <w:sz w:val="20"/>
          <w:szCs w:val="20"/>
          <w:color w:val="auto"/>
        </w:rPr>
        <w:t>There can be no assurance that the BCRA or other government agencies will not increase or relax such co or restrictions, make modifications to these regulations, impose further mandatory refinancing plans related t Company’s indebtedness payable in foreign currency, establish more severe restrictions on currency excha or maintain the current foreign exchange regime or create multiple exchange rates for different type transactions, substantially modifying the applicable exchange rate at which the Company acquires curren service the Company’s outstanding liabilities denominated in currencies other than the Argentine peso, which could affect the Company’s ability to comply with the Company’s financial obligations when due, capital, refinance the Company’s debt at maturity, obtain financing, execute the Company’s capital expend plans, and/or undermine the Company’s ability to pay dividends to foreign shareholders. Consequently, t exchange controls and restrictions could materially adversely affect the Argentine economy and the Comp business, financial condition and results of operations.</w:t>
      </w:r>
    </w:p>
    <w:p>
      <w:pPr>
        <w:spacing w:after="0" w:line="211" w:lineRule="exact"/>
        <w:rPr>
          <w:sz w:val="20"/>
          <w:szCs w:val="20"/>
          <w:color w:val="auto"/>
        </w:rPr>
      </w:pPr>
    </w:p>
    <w:p>
      <w:pPr>
        <w:ind w:left="900" w:right="80"/>
        <w:spacing w:after="0" w:line="307" w:lineRule="auto"/>
        <w:rPr>
          <w:sz w:val="20"/>
          <w:szCs w:val="20"/>
          <w:color w:val="auto"/>
        </w:rPr>
      </w:pPr>
      <w:r>
        <w:rPr>
          <w:rFonts w:ascii="Arial" w:cs="Arial" w:eastAsia="Arial" w:hAnsi="Arial"/>
          <w:sz w:val="20"/>
          <w:szCs w:val="20"/>
          <w:b w:val="1"/>
          <w:bCs w:val="1"/>
          <w:i w:val="1"/>
          <w:iCs w:val="1"/>
          <w:color w:val="auto"/>
        </w:rPr>
        <w:t>The Company may face legal proceedings based on environmental and climate change-matters, disclosure, and securities class actions.</w:t>
      </w:r>
    </w:p>
    <w:p>
      <w:pPr>
        <w:spacing w:after="0" w:line="215" w:lineRule="exact"/>
        <w:rPr>
          <w:sz w:val="20"/>
          <w:szCs w:val="20"/>
          <w:color w:val="auto"/>
        </w:rPr>
      </w:pPr>
    </w:p>
    <w:p>
      <w:pPr>
        <w:jc w:val="both"/>
        <w:ind w:left="900"/>
        <w:spacing w:after="0" w:line="332" w:lineRule="auto"/>
        <w:rPr>
          <w:sz w:val="20"/>
          <w:szCs w:val="20"/>
          <w:color w:val="auto"/>
        </w:rPr>
      </w:pPr>
      <w:r>
        <w:rPr>
          <w:rFonts w:ascii="Arial" w:cs="Arial" w:eastAsia="Arial" w:hAnsi="Arial"/>
          <w:sz w:val="19"/>
          <w:szCs w:val="19"/>
          <w:color w:val="auto"/>
        </w:rPr>
        <w:t>The Company may be subject to a variety of regulatory requirements, and resulting investigations, cla lawsuits and other proceedings in the ordinary course of its business, as a result of its status as a publicly tr company and because of its mining exploration, development and operation business. Litigation relate environmental and climate change-related matters, ESG disclosure, and securities class actions arising share price volatility is also on the rise. The occurrence and outcome of any legal proceedings canno predicted with any reasonable degree of certainty due to the inherently uncertain nature of litigation, includin effects of discovery of new evidence or advancement of new legal theories, the difficulty of predicting decisio judges and juries and the possibility that decisions may be reversed on appeal. Defense and settlement co legal claims can be substantial, even with respect to claims that are determined to have little or no merit.</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41 / 65</w:t>
      </w:r>
    </w:p>
    <w:p>
      <w:pPr>
        <w:sectPr>
          <w:pgSz w:w="11900" w:h="16838" w:orient="portrait"/>
          <w:cols w:equalWidth="0" w:num="1">
            <w:col w:w="10460"/>
          </w:cols>
          <w:pgMar w:left="1440" w:top="1440" w:right="6" w:bottom="0" w:gutter="0" w:footer="0" w:header="0"/>
          <w:type w:val="continuous"/>
        </w:sectPr>
      </w:pPr>
    </w:p>
    <w:bookmarkStart w:id="41" w:name="page42"/>
    <w:bookmarkEnd w:id="41"/>
    <w:p>
      <w:pPr>
        <w:jc w:val="both"/>
        <w:ind w:left="900"/>
        <w:spacing w:after="0" w:line="313" w:lineRule="auto"/>
        <w:rPr>
          <w:sz w:val="20"/>
          <w:szCs w:val="20"/>
          <w:color w:val="auto"/>
        </w:rPr>
      </w:pPr>
      <w:r>
        <w:rPr>
          <w:rFonts w:ascii="Arial" w:cs="Arial" w:eastAsia="Arial" w:hAnsi="Arial"/>
          <w:sz w:val="20"/>
          <w:szCs w:val="20"/>
          <w:color w:val="auto"/>
        </w:rPr>
        <w:t>Litigation may be costly and time-consuming, and can divert the attention of management and key perso away from day-to-day business operations. The Company and its projects are, from time-to-time, subject to proceedings or the threat of legal proceedings. If the Company were to be unsuccessful in defending any claims against it, or unable to settle claims on a satisfactory basis, the Company may be faced with signif monetary damage, injunctive relief or other negative impacts that could have a material adverse effect o Company’s business, financial condition and results of operations. To the extent the Company is involved i active litigation, the outcome of such matters may not be determinable, and it may not be possible to accur predict the outcome or quantum of any such proceedings at a given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1091565</wp:posOffset>
            </wp:positionV>
            <wp:extent cx="676402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42 / 65</w:t>
      </w:r>
    </w:p>
    <w:p>
      <w:pPr>
        <w:sectPr>
          <w:pgSz w:w="11900" w:h="16838" w:orient="portrait"/>
          <w:cols w:equalWidth="0" w:num="1">
            <w:col w:w="10460"/>
          </w:cols>
          <w:pgMar w:left="1440" w:top="1172" w:right="6" w:bottom="0" w:gutter="0" w:footer="0" w:header="0"/>
          <w:type w:val="continuous"/>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b w:val="1"/>
          <w:bCs w:val="1"/>
          <w:i w:val="1"/>
          <w:iCs w:val="1"/>
          <w:color w:val="auto"/>
        </w:rPr>
        <w:t>Additional regulatory reporting requirements in the United States may apply if Lithium Argentina lose status as a “Foreign Private Issuer” under the Exchange Act.</w:t>
      </w:r>
    </w:p>
    <w:p>
      <w:pPr>
        <w:spacing w:after="0" w:line="215" w:lineRule="exact"/>
        <w:rPr>
          <w:sz w:val="20"/>
          <w:szCs w:val="20"/>
          <w:color w:val="auto"/>
        </w:rPr>
      </w:pPr>
    </w:p>
    <w:p>
      <w:pPr>
        <w:ind w:left="900"/>
        <w:spacing w:after="0" w:line="314" w:lineRule="auto"/>
        <w:rPr>
          <w:sz w:val="20"/>
          <w:szCs w:val="20"/>
          <w:color w:val="auto"/>
        </w:rPr>
      </w:pPr>
      <w:r>
        <w:rPr>
          <w:rFonts w:ascii="Arial" w:cs="Arial" w:eastAsia="Arial" w:hAnsi="Arial"/>
          <w:sz w:val="20"/>
          <w:szCs w:val="20"/>
          <w:color w:val="auto"/>
        </w:rPr>
        <w:t>As a “foreign private issuer”, as such term is defined under the Securities Exchange Act of 1934, as amende “Exchange Act”), the Company is exempt from certain of the provisions of U.S. federal securities laws. Howe the Company were to lose its status as a foreign private issuer, the Company may become subject to onerous regulatory and reporting requirements in the United States. Compliance with these additional regul and reporting requirements under U.S. federal securities laws would likely result in increased expenses and require the Company’s management to devote substantial time and resources to comply with new regul requirements. Further, to the extent that the Company were to offer or sell securities outside of the United St the Company would have to comply with the more restrictive requirements of Regulation S under the Secu Act of 1933, as amended, that apply to U.S. domestic companies, and the Company would no longer be ab utilize the multijurisdictional disclosure system forms for registered offerings by Canadian companies in the U States, which could limit the Company’s ability to access capital markets in the future or increase the cos addition, the Company may lose the ability to rely upon exemptions from NYSE corporate govern requirements that are available to foreign private issuers, which may further increase the Company’s cos compliance.</w:t>
      </w:r>
    </w:p>
    <w:p>
      <w:pPr>
        <w:spacing w:after="0" w:line="214"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Effective March 18, 2026, pursuant to the Holding Foreign Insiders Accountable Act, directors and office foreign private issuers, including us, are required to comply with the reporting requirements of Section 16(a) Exchange Act. Notwithstanding the foregoing, directors and officers of a “foreign private issuer” remain ex from Section 16(b) (short -swing profit liability) and Section 16(c) (short sale prohibitions).</w:t>
      </w:r>
    </w:p>
    <w:p>
      <w:pPr>
        <w:spacing w:after="0" w:line="212" w:lineRule="exact"/>
        <w:rPr>
          <w:sz w:val="20"/>
          <w:szCs w:val="20"/>
          <w:color w:val="auto"/>
        </w:rPr>
      </w:pPr>
    </w:p>
    <w:p>
      <w:pPr>
        <w:jc w:val="both"/>
        <w:ind w:left="900"/>
        <w:spacing w:after="0" w:line="336" w:lineRule="auto"/>
        <w:rPr>
          <w:sz w:val="20"/>
          <w:szCs w:val="20"/>
          <w:color w:val="auto"/>
        </w:rPr>
      </w:pPr>
      <w:r>
        <w:rPr>
          <w:rFonts w:ascii="Arial" w:cs="Arial" w:eastAsia="Arial" w:hAnsi="Arial"/>
          <w:sz w:val="19"/>
          <w:szCs w:val="19"/>
          <w:b w:val="1"/>
          <w:bCs w:val="1"/>
          <w:i w:val="1"/>
          <w:iCs w:val="1"/>
          <w:color w:val="auto"/>
        </w:rPr>
        <w:t>If the Company were deemed to be an investment company under the Investment Company Act of 1 applicable restrictions could have a material adverse effect on its business and the price of its Share</w:t>
      </w:r>
    </w:p>
    <w:p>
      <w:pPr>
        <w:spacing w:after="0" w:line="192"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An entity will generally be deemed an “investment company” for purposes of the Investment Company A 1940, as amended (the “</w:t>
      </w:r>
      <w:r>
        <w:rPr>
          <w:rFonts w:ascii="Arial" w:cs="Arial" w:eastAsia="Arial" w:hAnsi="Arial"/>
          <w:sz w:val="20"/>
          <w:szCs w:val="20"/>
          <w:b w:val="1"/>
          <w:bCs w:val="1"/>
          <w:color w:val="auto"/>
        </w:rPr>
        <w:t>1940 Act</w:t>
      </w:r>
      <w:r>
        <w:rPr>
          <w:rFonts w:ascii="Arial" w:cs="Arial" w:eastAsia="Arial" w:hAnsi="Arial"/>
          <w:sz w:val="20"/>
          <w:szCs w:val="20"/>
          <w:color w:val="auto"/>
        </w:rPr>
        <w:t>”) if: (a) it is or holds itself out as being engaged primarily, or propos engage primarily, in the business of investing, reinvesting or trading in securities, or (b) absent an applic exemption, it owns or proposes to acquire investment securities having a value exceeding 40% of the value total assets (exclusive of U.S. government securities and cash items) on an unconsolidated basis. The Com believes that it is engaged in the business of operating mining projects and not in the business of inves reinvesting or trading in securities. The Company does not propose to engage primarily in the busines investing, reinvesting or trading in securities. Accordingly, the Company believes that it is not an invest company under Section 3(b)(1) of the 1940 Act because, among other things, it is primarily engaged in a investment company business.</w:t>
      </w:r>
    </w:p>
    <w:p>
      <w:pPr>
        <w:spacing w:after="0" w:line="210"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1940 Act and the rules thereunder contain detailed parameters for the organization and operatio investment companies. The 1940 Act and the rules thereunder limit or prohibit transactions with affiliates, im limitations on the issuance of debt and equity securities, generally prohibit the issuance of options and im certain governance requirements, among other things. The Company intends to conduct its operations so th Company will not be deemed an investment company. However, if the Company were to be deeme investment company, restrictions imposed by the 1940 Act, including limitations on its capital structure an</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43 / 65</w:t>
      </w:r>
    </w:p>
    <w:p>
      <w:pPr>
        <w:sectPr>
          <w:pgSz w:w="11900" w:h="16838" w:orient="portrait"/>
          <w:cols w:equalWidth="0" w:num="1">
            <w:col w:w="10460"/>
          </w:cols>
          <w:pgMar w:left="1440" w:top="1440" w:right="6" w:bottom="0" w:gutter="0" w:footer="0" w:header="0"/>
          <w:type w:val="continuous"/>
        </w:sectPr>
      </w:pPr>
    </w:p>
    <w:bookmarkStart w:id="43" w:name="page44"/>
    <w:bookmarkEnd w:id="43"/>
    <w:p>
      <w:pPr>
        <w:jc w:val="both"/>
        <w:ind w:left="900"/>
        <w:spacing w:after="0" w:line="311" w:lineRule="auto"/>
        <w:rPr>
          <w:sz w:val="20"/>
          <w:szCs w:val="20"/>
          <w:color w:val="auto"/>
        </w:rPr>
      </w:pPr>
      <w:r>
        <w:rPr>
          <w:rFonts w:ascii="Arial" w:cs="Arial" w:eastAsia="Arial" w:hAnsi="Arial"/>
          <w:sz w:val="20"/>
          <w:szCs w:val="20"/>
          <w:color w:val="auto"/>
        </w:rPr>
        <w:t>ability to transact business with affiliates, could make it impractical for the Company to continue its busine currently conducted and would have a material adverse effect on our business, financial condition, resul operations and the price of its Shares.</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b w:val="1"/>
          <w:bCs w:val="1"/>
          <w:i w:val="1"/>
          <w:iCs w:val="1"/>
          <w:color w:val="auto"/>
        </w:rPr>
        <w:t>If the Company were to constitute a “passive foreign investment company”, adverse U.S. federal inc tax consequences could result for U.S. Shareholders.</w:t>
      </w:r>
    </w:p>
    <w:p>
      <w:pPr>
        <w:spacing w:after="0" w:line="215"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i w:val="1"/>
          <w:iCs w:val="1"/>
          <w:color w:val="auto"/>
        </w:rPr>
        <w:t>The Company believes it likely was classified as a “passive foreign investment company” (“</w:t>
      </w:r>
      <w:r>
        <w:rPr>
          <w:rFonts w:ascii="Arial" w:cs="Arial" w:eastAsia="Arial" w:hAnsi="Arial"/>
          <w:sz w:val="20"/>
          <w:szCs w:val="20"/>
          <w:b w:val="1"/>
          <w:bCs w:val="1"/>
          <w:i w:val="1"/>
          <w:iCs w:val="1"/>
          <w:color w:val="auto"/>
        </w:rPr>
        <w:t>PFIC</w:t>
      </w:r>
      <w:r>
        <w:rPr>
          <w:rFonts w:ascii="Arial" w:cs="Arial" w:eastAsia="Arial" w:hAnsi="Arial"/>
          <w:sz w:val="20"/>
          <w:szCs w:val="20"/>
          <w:i w:val="1"/>
          <w:iCs w:val="1"/>
          <w:color w:val="auto"/>
        </w:rPr>
        <w:t>”) withi meaning of Section 1297(a) of the U.S. Internal Revenue Code of 1986, as amended (the “</w:t>
      </w:r>
      <w:r>
        <w:rPr>
          <w:rFonts w:ascii="Arial" w:cs="Arial" w:eastAsia="Arial" w:hAnsi="Arial"/>
          <w:sz w:val="20"/>
          <w:szCs w:val="20"/>
          <w:b w:val="1"/>
          <w:bCs w:val="1"/>
          <w:i w:val="1"/>
          <w:iCs w:val="1"/>
          <w:color w:val="auto"/>
        </w:rPr>
        <w:t>Code</w:t>
      </w:r>
      <w:r>
        <w:rPr>
          <w:rFonts w:ascii="Arial" w:cs="Arial" w:eastAsia="Arial" w:hAnsi="Arial"/>
          <w:sz w:val="20"/>
          <w:szCs w:val="20"/>
          <w:i w:val="1"/>
          <w:iCs w:val="1"/>
          <w:color w:val="auto"/>
        </w:rPr>
        <w:t>”) for its recently completed taxable year. Based on its current business plans and expected income, assets and activ the Company expects that it may be classified as a PFIC for its current tax year and may be a PFI subsequent tax years. If the Company is a PFIC for any year during a U.S. Shareholder’s (as defined b holding period of Shares, then such U.S. Shareholder generally will be required to treat any gain realized up disposition of Shares or any so-called “excess distribution” received on its Shares as ordinary income, and t an interest charge on a portion of such gain or distribution. In certain circumstances, the sum of the tax an interest charge may exceed the total amount of proceeds realized on the disposition, or the amount of ex distribution received, by the U.S. Shareholder. Subject to certain limitations, these tax consequences ma mitigated if a U.S.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1088390</wp:posOffset>
            </wp:positionV>
            <wp:extent cx="676402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44 / 65</w:t>
      </w:r>
    </w:p>
    <w:p>
      <w:pPr>
        <w:sectPr>
          <w:pgSz w:w="11900" w:h="16838" w:orient="portrait"/>
          <w:cols w:equalWidth="0" w:num="1">
            <w:col w:w="10460"/>
          </w:cols>
          <w:pgMar w:left="1440" w:top="1172" w:right="6" w:bottom="0" w:gutter="0" w:footer="0" w:header="0"/>
          <w:type w:val="continuous"/>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spacing w:after="0" w:line="332" w:lineRule="auto"/>
        <w:rPr>
          <w:sz w:val="20"/>
          <w:szCs w:val="20"/>
          <w:color w:val="auto"/>
        </w:rPr>
      </w:pPr>
      <w:r>
        <w:rPr>
          <w:rFonts w:ascii="Arial" w:cs="Arial" w:eastAsia="Arial" w:hAnsi="Arial"/>
          <w:sz w:val="19"/>
          <w:szCs w:val="19"/>
          <w:i w:val="1"/>
          <w:iCs w:val="1"/>
          <w:color w:val="auto"/>
        </w:rPr>
        <w:t xml:space="preserve">makes a timely and effective “qualified electing fund election” under Section 1295 of the Code (“ </w:t>
      </w:r>
      <w:r>
        <w:rPr>
          <w:rFonts w:ascii="Arial" w:cs="Arial" w:eastAsia="Arial" w:hAnsi="Arial"/>
          <w:sz w:val="19"/>
          <w:szCs w:val="19"/>
          <w:b w:val="1"/>
          <w:bCs w:val="1"/>
          <w:i w:val="1"/>
          <w:iCs w:val="1"/>
          <w:color w:val="auto"/>
        </w:rPr>
        <w:t>Election</w:t>
      </w:r>
      <w:r>
        <w:rPr>
          <w:rFonts w:ascii="Arial" w:cs="Arial" w:eastAsia="Arial" w:hAnsi="Arial"/>
          <w:sz w:val="19"/>
          <w:szCs w:val="19"/>
          <w:i w:val="1"/>
          <w:iCs w:val="1"/>
          <w:color w:val="auto"/>
        </w:rPr>
        <w:t>”) or “mark-to-market” election under Section 1296 of the Code (“</w:t>
      </w:r>
      <w:r>
        <w:rPr>
          <w:rFonts w:ascii="Arial" w:cs="Arial" w:eastAsia="Arial" w:hAnsi="Arial"/>
          <w:sz w:val="19"/>
          <w:szCs w:val="19"/>
          <w:b w:val="1"/>
          <w:bCs w:val="1"/>
          <w:i w:val="1"/>
          <w:iCs w:val="1"/>
          <w:color w:val="auto"/>
        </w:rPr>
        <w:t>Mark-to-Market Election</w:t>
      </w:r>
      <w:r>
        <w:rPr>
          <w:rFonts w:ascii="Arial" w:cs="Arial" w:eastAsia="Arial" w:hAnsi="Arial"/>
          <w:sz w:val="19"/>
          <w:szCs w:val="19"/>
          <w:i w:val="1"/>
          <w:iCs w:val="1"/>
          <w:color w:val="auto"/>
        </w:rPr>
        <w:t>”). Subj</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 xml:space="preserve">certain limitations, such elections may be made with respect to the Company or the Shares, as applicable. </w:t>
      </w:r>
      <w:r>
        <w:rPr>
          <w:rFonts w:ascii="Arial" w:cs="Arial" w:eastAsia="Arial" w:hAnsi="Arial"/>
          <w:sz w:val="19"/>
          <w:szCs w:val="19"/>
          <w:color w:val="auto"/>
        </w:rPr>
        <w:t>A</w:t>
      </w:r>
      <w:r>
        <w:rPr>
          <w:rFonts w:ascii="Arial" w:cs="Arial" w:eastAsia="Arial" w:hAnsi="Arial"/>
          <w:sz w:val="19"/>
          <w:szCs w:val="19"/>
          <w:i w:val="1"/>
          <w:iCs w:val="1"/>
          <w:color w:val="auto"/>
        </w:rPr>
        <w:t xml:space="preserve"> </w:t>
      </w:r>
      <w:r>
        <w:rPr>
          <w:rFonts w:ascii="Arial" w:cs="Arial" w:eastAsia="Arial" w:hAnsi="Arial"/>
          <w:sz w:val="19"/>
          <w:szCs w:val="19"/>
          <w:color w:val="auto"/>
        </w:rPr>
        <w:t>Shareholder that makes a timely and effective QEF Election generally must report on a current basis its sha the Company’s net capital gain and ordinary earnings for any year in which the Company is a PFIC, wheth not the Company distributes any amounts with respect to the Shares. A U.S. Shareholder who makes the to-Market Election generally must include as ordinary income each year the excess of the fair market val such Shares over the U.S. Shareholder’s adjusted tax basis therein. This paragraph is qualified in its entire the discussion below under the heading “Material U.S. Federal Income Tax Considerations – Passive Fo Investment Company Rules”. Each potential investor who is a U.S. Shareholder should consult its own tax a regarding the tax consequences of the PFIC rules and the acquisition, ownership, and disposition of Shares.</w:t>
      </w:r>
    </w:p>
    <w:p>
      <w:pPr>
        <w:spacing w:after="0" w:line="189"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Risks Related to Market Conditions, Our Securities and Corporate Structure</w:t>
      </w:r>
    </w:p>
    <w:p>
      <w:pPr>
        <w:spacing w:after="0" w:line="27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b w:val="1"/>
          <w:bCs w:val="1"/>
          <w:i w:val="1"/>
          <w:iCs w:val="1"/>
          <w:color w:val="auto"/>
        </w:rPr>
        <w:t>Volatility of world chemical prices and changes in global production capacities and supply and gl demand could affect the Company’s business, financial condition and results of operations.</w:t>
      </w:r>
    </w:p>
    <w:p>
      <w:pPr>
        <w:spacing w:after="0" w:line="2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prices of the Company’s product, lithium carbonate, are determined principally by world prices, which been subject to substantial volatility in recent years. Lithium carbonate prices vary depending upon relationship between supply and demand at any given time. Supply and demand dynamics are tied to a ce extent to global economic cycles and have been impacted by current global economic conditions. The sup lithium carbonate products, in particular, varies principally depending on the production of major producers their respective business strategies. The Company expects that lithium carbonate prices will continue t influenced, among other things, by worldwide supply and demand and the business strategies of m producers.</w:t>
      </w:r>
    </w:p>
    <w:p>
      <w:pPr>
        <w:spacing w:after="0" w:line="2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In addition, the market price of lithium carbonate is affected by numerous other factors beyond the Comp control, including, pricing characteristics for alternate energy sources such as oil and gas, government polic laws, interest rates, the rate of inflation and the stability of currency exchange rates, and other geopolitica global economic factors. Such external economic factors are influenced by changes in international invest patterns, various political developments and macro-economic circumstances.</w:t>
      </w:r>
    </w:p>
    <w:p>
      <w:pPr>
        <w:spacing w:after="0" w:line="210" w:lineRule="exact"/>
        <w:rPr>
          <w:sz w:val="20"/>
          <w:szCs w:val="20"/>
          <w:color w:val="auto"/>
        </w:rPr>
      </w:pPr>
    </w:p>
    <w:p>
      <w:pPr>
        <w:ind w:left="900"/>
        <w:spacing w:after="0" w:line="314" w:lineRule="auto"/>
        <w:rPr>
          <w:sz w:val="20"/>
          <w:szCs w:val="20"/>
          <w:color w:val="auto"/>
        </w:rPr>
      </w:pPr>
      <w:r>
        <w:rPr>
          <w:rFonts w:ascii="Arial" w:cs="Arial" w:eastAsia="Arial" w:hAnsi="Arial"/>
          <w:sz w:val="20"/>
          <w:szCs w:val="20"/>
          <w:color w:val="auto"/>
        </w:rPr>
        <w:t>As a result of the above, the price of lithium carbonate in the future may be subject to substantial volatility, the Company may not be able to effectively mitigate against. The Company may not be able to adjust produ volume in a timely or cost-efficient manner in response to sustained changes in lithium carbonate prices. L utilization of capacity during periods of weak prices may expose the Company to higher unit production since a significant portion of its cost structure is fixed in the short-term due to the high capital intensity of m operations. If prices drop significantly, the economic prospects of the mines and projects in which the Com has an interest could be significantly reduced or rendered uneconomic. Low lithium carbonate prices would the Company’s liquidity and ability to borrow. If these conditions persist for an extended period, the Compan have to look for other sources of cash flow or curtail higher cost production to maintain liquidity until lit carbonate prices recover.</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45 / 65</w:t>
      </w:r>
    </w:p>
    <w:p>
      <w:pPr>
        <w:sectPr>
          <w:pgSz w:w="11900" w:h="16838" w:orient="portrait"/>
          <w:cols w:equalWidth="0" w:num="1">
            <w:col w:w="10460"/>
          </w:cols>
          <w:pgMar w:left="1440" w:top="1440" w:right="6" w:bottom="0" w:gutter="0" w:footer="0" w:header="0"/>
          <w:type w:val="continuous"/>
        </w:sectPr>
      </w:pPr>
    </w:p>
    <w:bookmarkStart w:id="45" w:name="page46"/>
    <w:bookmarkEnd w:id="45"/>
    <w:p>
      <w:pPr>
        <w:jc w:val="both"/>
        <w:ind w:left="900"/>
        <w:spacing w:after="0" w:line="311" w:lineRule="auto"/>
        <w:rPr>
          <w:sz w:val="20"/>
          <w:szCs w:val="20"/>
          <w:color w:val="auto"/>
        </w:rPr>
      </w:pPr>
      <w:r>
        <w:rPr>
          <w:rFonts w:ascii="Arial" w:cs="Arial" w:eastAsia="Arial" w:hAnsi="Arial"/>
          <w:sz w:val="20"/>
          <w:szCs w:val="20"/>
          <w:color w:val="auto"/>
        </w:rPr>
        <w:t>High volatility or a substantial decline in the price or sales volumes of lithium carbonate could have a ma adverse effect on the Company’s business, financial condition and results of operations, and the Company consider curtailing, modifying or discontinuing certain planned development programs or operations.</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b w:val="1"/>
          <w:bCs w:val="1"/>
          <w:i w:val="1"/>
          <w:iCs w:val="1"/>
          <w:color w:val="auto"/>
        </w:rPr>
        <w:t>There is uncertainty in the long-term growth of the lithium market and potential technolog substitution, which may have a negative effect on the Company and its projects.</w:t>
      </w:r>
    </w:p>
    <w:p>
      <w:pPr>
        <w:spacing w:after="0" w:line="215"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Lithium operations at Cauchari-Olaroz and the proposed development of PPG are highly dependent upo currently projected demand for and uses of lithium-based end products. This includes lithium-ion batterie electric vehicles and other large format batteries that currently have limited market share and whose proje adoption rates are not assured.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46 / 65</w:t>
      </w:r>
    </w:p>
    <w:p>
      <w:pPr>
        <w:sectPr>
          <w:pgSz w:w="11900" w:h="16838" w:orient="portrait"/>
          <w:cols w:equalWidth="0" w:num="1">
            <w:col w:w="10460"/>
          </w:cols>
          <w:pgMar w:left="1440" w:top="1172" w:right="6" w:bottom="0" w:gutter="0" w:footer="0" w:header="0"/>
          <w:type w:val="continuous"/>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To the extent that the electric vehicle penetration or stationary storage deployment expands more slowly anticipated, or if manufacturers adopt alternative battery chemistries that require less lithium or none at all as sodium-ion, solid-state, hydrogen-based or other emerging technologies the long-term demand for lit products could be adversely affected. If the lithium market does not develop in the manner contemplated b Company, then its projects and their potential commercial viability may be adversely affected, which, in turn, have a material adverse effect on the Company’s business, financial condition and results of operations.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The Company has not and may never pay dividends.</w:t>
      </w:r>
    </w:p>
    <w:p>
      <w:pPr>
        <w:spacing w:after="0" w:line="279"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The Company has not paid dividends on its Shares since incorporation, and the Company anticipates that retain any future earnings and other cash resources for future operations and the ongoing development business. As such, the Company does not intend to declare or pay any cash dividends in the foreseeable fu Dividends may be paid by a Swiss company only if: (i) approved by a majority of votes cast by shareho present at a shareholders meeting, whether in person or by proxy; and (ii) Lithium Argentina has suffi distributable profits from the previous fiscal years, or if Lithium Argentina has freely distributable rese including out of capital contribution reserves. Dividends are usually due and payable shortly after shareholders have passed a resolution approving the payment. The Board of a Swiss share company propose to shareholders that a distribution of dividends be paid but cannot itself authorize the dividend. Pay of any future will depend on many factors including the Company’s operating results, financial condition anticipated cash needs. For these reasons, the Company may never pay dividends.</w:t>
      </w:r>
    </w:p>
    <w:p>
      <w:pPr>
        <w:spacing w:after="0" w:line="211"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b w:val="1"/>
          <w:bCs w:val="1"/>
          <w:i w:val="1"/>
          <w:iCs w:val="1"/>
          <w:color w:val="auto"/>
        </w:rPr>
        <w:t>The Company may be subject to the risk of conflicts of interest with directors and officers of Company.</w:t>
      </w:r>
    </w:p>
    <w:p>
      <w:pPr>
        <w:spacing w:after="0" w:line="215"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Certain directors and officers of the Company are or may become subject to conflicts of interest with Company from time to time, including (without limitation) through association with other natural reso companies or otherwise.</w:t>
      </w:r>
    </w:p>
    <w:p>
      <w:pPr>
        <w:spacing w:after="0" w:line="212"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Pursuant to Swiss law, directors and officers are required to inform the Board of conflicts of interests conce them. The Board is furthermore required to take measures in order to protect the interests of the Company. generally, directors and officers are required to safeguard the Company's interests and comply with their du loyalty and duty of care as directors and officers. This rule is generally understood to disqualify directors officers from participation in decisions that directly affect them, subject to certain exceptions. Directors officers are personally liable to the Company for breach of these provisions. The Company has established r independence procedures in connection with recent transactions where potential conflicts of interest exi Such procedures include, as appropriate, the establishment of a special committee of independent directo review the transaction, independent valuations or fairness opinions and the engagement of independent co to advise the special committee. Nevertheless, there is a risk that the conflicted parties and their representa use their position to serve their own interests, to the detriment of the Company which could have a ma adverse effect on the Company.</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The Company’s shareholders are subject to share price risks.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47 / 65</w:t>
      </w:r>
    </w:p>
    <w:p>
      <w:pPr>
        <w:sectPr>
          <w:pgSz w:w="11900" w:h="16838" w:orient="portrait"/>
          <w:cols w:equalWidth="0" w:num="1">
            <w:col w:w="10460"/>
          </w:cols>
          <w:pgMar w:left="1440" w:top="1440" w:right="6" w:bottom="0" w:gutter="0" w:footer="0" w:header="0"/>
          <w:type w:val="continuous"/>
        </w:sectPr>
      </w:pPr>
    </w:p>
    <w:bookmarkStart w:id="47" w:name="page48"/>
    <w:bookmarkEnd w:id="47"/>
    <w:p>
      <w:pPr>
        <w:jc w:val="both"/>
        <w:ind w:left="900"/>
        <w:spacing w:after="0" w:line="314" w:lineRule="auto"/>
        <w:rPr>
          <w:sz w:val="20"/>
          <w:szCs w:val="20"/>
          <w:color w:val="auto"/>
        </w:rPr>
      </w:pPr>
      <w:r>
        <w:rPr>
          <w:rFonts w:ascii="Arial" w:cs="Arial" w:eastAsia="Arial" w:hAnsi="Arial"/>
          <w:sz w:val="20"/>
          <w:szCs w:val="20"/>
          <w:color w:val="auto"/>
        </w:rPr>
        <w:t>The Shares are publicly traded on the TSX and NYSE. The market price of the stock of a publicly tr company, particularly a natural resources company, is affected by many variables in addition to those dir related to exploration successes or failures, many of which are outside the Company’s control. Such fa include, but are not limited to: the general condition of markets for resource stocks, and particularly for stoc lithium exploration, development and production companies and other battery-metals stocks; decisions a statements made by industry-leading companies; the general strength of the economy; the availability attractiveness of alternative investments; analysts’ recommendations and their estimates of finan performance; investor perception and reactions to disclosure made by the Company, and by the Comp competitors; reputational risks of the Company; and the breadth of the public markets for the stock. Althoug Shares are generally not thinly traded, investors could suffer significant losses if the Company’s Shares depressed or illiquid when an investor seeks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1088390</wp:posOffset>
            </wp:positionV>
            <wp:extent cx="676402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48 / 65</w:t>
      </w:r>
    </w:p>
    <w:p>
      <w:pPr>
        <w:sectPr>
          <w:pgSz w:w="11900" w:h="16838" w:orient="portrait"/>
          <w:cols w:equalWidth="0" w:num="1">
            <w:col w:w="10460"/>
          </w:cols>
          <w:pgMar w:left="1440" w:top="1172" w:right="6" w:bottom="0" w:gutter="0" w:footer="0" w:header="0"/>
          <w:type w:val="continuous"/>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b w:val="1"/>
          <w:bCs w:val="1"/>
          <w:i w:val="1"/>
          <w:iCs w:val="1"/>
          <w:color w:val="auto"/>
        </w:rPr>
        <w:t>The Company is a Swiss company and this could have an impact on enforcement of civil liabil obtained under U.S. or Canadian securities laws.</w:t>
      </w:r>
    </w:p>
    <w:p>
      <w:pPr>
        <w:spacing w:after="0" w:line="215"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The Company is a Switzerland company, organized under the laws of Switzerland and headquartered in country. Some of the Company’s directors, officers and experts named in this annual report are not citize residents of the United States or Canada. In addition, substantially all of the assets of the Company are lo outside the United States or Canada. As a result, it may be difficult or impossible for an investor to (i) enfor courts outside the United States or Canada any judgments against the Company and its directors and officer the experts named in this annual report, which are obtained in U.S. or Canadian courts based upon the liability provisions of Canadian and U.S. federal securities laws, or (ii) bring in courts outside the United Stat Canada an original action against the Company and its directors and officers and the experts named in annual report to enforce liabilities based upon such Canadian and U.S. securities laws.</w:t>
      </w:r>
    </w:p>
    <w:p>
      <w:pPr>
        <w:spacing w:after="0" w:line="213"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4. INFORMATION ON THE COMPANY</w:t>
      </w:r>
    </w:p>
    <w:p>
      <w:pPr>
        <w:spacing w:after="0" w:line="286"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A. History and Development of the Company</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Overview</w:t>
      </w:r>
    </w:p>
    <w:p>
      <w:pPr>
        <w:spacing w:after="0" w:line="279"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The Company was incorporated under the BCBCA on November 27, 2007 under the name “Western Lit Canada Corporation” and changed its name to “Western Lithium USA Corporation” on May 31, 2010. Company amended its Articles in 2013 to add advance notice requirements for the election of directors, a 2015 to give the Board the authority by resolution to alter the Company’s authorized share capital and to amendments to the Articles, except as otherwise specifically provided in the Articles or the BCBCA. On Marc 2016, the Company changed its name to “Lithium Americas Corp.” On November 8, 2017, the Com consolidated its outstanding Shares on a 5:1 basis.</w:t>
      </w:r>
    </w:p>
    <w:p>
      <w:pPr>
        <w:spacing w:after="0" w:line="214"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On January 25, 2022, the Company acquired all of the issued and outstanding securities of Millennial Lithiu way of a plan of arrangement (the “</w:t>
      </w:r>
      <w:r>
        <w:rPr>
          <w:rFonts w:ascii="Arial" w:cs="Arial" w:eastAsia="Arial" w:hAnsi="Arial"/>
          <w:sz w:val="20"/>
          <w:szCs w:val="20"/>
          <w:b w:val="1"/>
          <w:bCs w:val="1"/>
          <w:color w:val="auto"/>
        </w:rPr>
        <w:t>Millennial Arrangement</w:t>
      </w:r>
      <w:r>
        <w:rPr>
          <w:rFonts w:ascii="Arial" w:cs="Arial" w:eastAsia="Arial" w:hAnsi="Arial"/>
          <w:sz w:val="20"/>
          <w:szCs w:val="20"/>
          <w:color w:val="auto"/>
        </w:rPr>
        <w:t>”), at which point Millennial Lithium became a w owned subsidiary of the Company.</w:t>
      </w:r>
    </w:p>
    <w:p>
      <w:pPr>
        <w:spacing w:after="0" w:line="212" w:lineRule="exact"/>
        <w:rPr>
          <w:sz w:val="20"/>
          <w:szCs w:val="20"/>
          <w:color w:val="auto"/>
        </w:rPr>
      </w:pPr>
    </w:p>
    <w:p>
      <w:pPr>
        <w:jc w:val="both"/>
        <w:ind w:left="900" w:right="40"/>
        <w:spacing w:after="0" w:line="311" w:lineRule="auto"/>
        <w:rPr>
          <w:sz w:val="20"/>
          <w:szCs w:val="20"/>
          <w:color w:val="auto"/>
        </w:rPr>
      </w:pPr>
      <w:r>
        <w:rPr>
          <w:rFonts w:ascii="Arial" w:cs="Arial" w:eastAsia="Arial" w:hAnsi="Arial"/>
          <w:sz w:val="20"/>
          <w:szCs w:val="20"/>
          <w:color w:val="auto"/>
        </w:rPr>
        <w:t>On April 20, 2023, the Company acquired all the common shares of Arena Minerals (the “</w:t>
      </w:r>
      <w:r>
        <w:rPr>
          <w:rFonts w:ascii="Arial" w:cs="Arial" w:eastAsia="Arial" w:hAnsi="Arial"/>
          <w:sz w:val="20"/>
          <w:szCs w:val="20"/>
          <w:b w:val="1"/>
          <w:bCs w:val="1"/>
          <w:color w:val="auto"/>
        </w:rPr>
        <w:t>Arena Shares</w:t>
      </w:r>
      <w:r>
        <w:rPr>
          <w:rFonts w:ascii="Arial" w:cs="Arial" w:eastAsia="Arial" w:hAnsi="Arial"/>
          <w:sz w:val="20"/>
          <w:szCs w:val="20"/>
          <w:color w:val="auto"/>
        </w:rPr>
        <w:t>”), it did not already own, by way of a plan of arrangement, at which point Arena Minerals became a wholly o subsidiary of the Company.</w:t>
      </w:r>
    </w:p>
    <w:p>
      <w:pPr>
        <w:spacing w:after="0" w:line="2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On October 3, 2023, the Company completed a separation transaction (the “Separation Transaction”) pursu which the Company separated its previously-held North American business unit. The Company retaine Argentine business unit, consisting of a 44.8% interest in Cauchari-Olaroz, the majority-owned Pastos Gra</w:t>
      </w:r>
    </w:p>
    <w:p>
      <w:pPr>
        <w:spacing w:after="0" w:line="12" w:lineRule="exact"/>
        <w:rPr>
          <w:sz w:val="20"/>
          <w:szCs w:val="20"/>
          <w:color w:val="auto"/>
        </w:rPr>
      </w:pPr>
    </w:p>
    <w:p>
      <w:pPr>
        <w:jc w:val="both"/>
        <w:ind w:left="900"/>
        <w:spacing w:after="0" w:line="321" w:lineRule="auto"/>
        <w:rPr>
          <w:sz w:val="20"/>
          <w:szCs w:val="20"/>
          <w:color w:val="auto"/>
        </w:rPr>
      </w:pPr>
      <w:r>
        <w:rPr>
          <w:rFonts w:ascii="Arial" w:cs="Arial" w:eastAsia="Arial" w:hAnsi="Arial"/>
          <w:sz w:val="20"/>
          <w:szCs w:val="20"/>
          <w:color w:val="auto"/>
        </w:rPr>
        <w:t>Project and a 65% interest in the Sal de la Puna project which has since been consolidated into one project along with the Pozeulos Project, which was previously 1 owned by Ganfeng. The Company’s Shares continued to trade on the TSX and the NYSE following Separation Transaction.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6629400</wp:posOffset>
                </wp:positionH>
                <wp:positionV relativeFrom="paragraph">
                  <wp:posOffset>-452755</wp:posOffset>
                </wp:positionV>
                <wp:extent cx="1587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9301">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2pt,-35.6499pt" to="523.25pt,-35.6499pt" o:allowincell="f" strokecolor="#000000" strokeweight="0.7324pt"/>
            </w:pict>
          </mc:Fallback>
        </mc:AlternateConten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49 / 65</w:t>
      </w:r>
    </w:p>
    <w:p>
      <w:pPr>
        <w:sectPr>
          <w:pgSz w:w="11900" w:h="16838" w:orient="portrait"/>
          <w:cols w:equalWidth="0" w:num="1">
            <w:col w:w="10460"/>
          </w:cols>
          <w:pgMar w:left="1440" w:top="1440" w:right="6" w:bottom="0" w:gutter="0" w:footer="0" w:header="0"/>
          <w:type w:val="continuous"/>
        </w:sectPr>
      </w:pPr>
    </w:p>
    <w:bookmarkStart w:id="49" w:name="page50"/>
    <w:bookmarkEnd w:id="49"/>
    <w:p>
      <w:pPr>
        <w:ind w:left="900"/>
        <w:spacing w:after="0" w:line="314" w:lineRule="auto"/>
        <w:rPr>
          <w:sz w:val="20"/>
          <w:szCs w:val="20"/>
          <w:color w:val="auto"/>
        </w:rPr>
      </w:pPr>
      <w:r>
        <w:rPr>
          <w:rFonts w:ascii="Arial" w:cs="Arial" w:eastAsia="Arial" w:hAnsi="Arial"/>
          <w:sz w:val="20"/>
          <w:szCs w:val="20"/>
          <w:color w:val="auto"/>
        </w:rPr>
        <w:t>In August 2024, Ganfeng acquired $70 million in newly issued shares of PGCo, the Company’s wholly-o Argentinian subsidiary holding the Pastos Grandes Project, representing a 14.9% interest in PGCo and P Grandes. The Company retained control of PGCo following this transaction. Proceeds from this transaction allocated to the advancement of the Company's lithium projects in Argentina, including the reduction of the term debt of the Cauchari-Olaroz tied to start-up and working capital. In connection with the Pastos Gra Transaction, Lithium Argentina, certain of its subsidiaries (the “Lithium Argentina Parties”) and Ganfeng an subsidiary (the “Ganfeng Lithium Parties”, and together with the Lithium Argentina Parties, the “Parties”) en into a shareholders’ agreement (the “Shareholders’ Agreement”) that, among other terms, provided for li rights and obligations as between the Parties, including the following: (i) from the closing date until Decembe 2024, a standstill on the sale of an interest in PGCo or the Pastos Grandes Project; (ii) through to Decembe 2025, enhanced consent rights in favour of the Ganfeng Lithium Parties in respect of operational matters, as as a right of first refusal in favour of the Ganfeng Lithium Parties over a sale of an interest in PGCo at the valuation as that applicable to the Pastos Grandes Transaction (with the Lithium Argentina Parties having a of first refusal over a sale by the Ganfeng Lithium Parties of the 14.9% interest); (iii) through to Decembe 2025, a right in favour of the Ganfeng Lithium Parties to acquire an aggregate 50% interest in the Pastos Gra Project upon a change of control of Lithium Argentina by subscribing for share capital of PGCo in consider for an incremental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1092200</wp:posOffset>
            </wp:positionV>
            <wp:extent cx="676402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50 / 65</w:t>
      </w:r>
    </w:p>
    <w:p>
      <w:pPr>
        <w:sectPr>
          <w:pgSz w:w="11900" w:h="16838" w:orient="portrait"/>
          <w:cols w:equalWidth="0" w:num="1">
            <w:col w:w="10460"/>
          </w:cols>
          <w:pgMar w:left="1440" w:top="1172" w:right="6" w:bottom="0" w:gutter="0" w:footer="0" w:header="0"/>
          <w:type w:val="continuous"/>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cash subscription price of $330 million; (iv) until December 31, 2025, an obligation to obtain consent of the P for any offtake agreement in respect of the Pastos Grandes Project; and (v) from January 1, 2025 to Septe 30, 2025, an enhanced ‘tag-along’ right of the Ganfeng Lithium Parties to include its interest along with a sa the Lithium Argentina Parties of their interest in PGCo, and to realize a portion of the consideration that w otherwise be payable to the Lithium Argentina Parties upon such sale in addition to the equivalent proportio consideration payable for the interest of the Ganfeng Lithium Parties (after such period the “tag along right survive but will only include the proportionate consideration).</w:t>
      </w:r>
    </w:p>
    <w:p>
      <w:pPr>
        <w:spacing w:after="0" w:line="214" w:lineRule="exact"/>
        <w:rPr>
          <w:sz w:val="20"/>
          <w:szCs w:val="20"/>
          <w:color w:val="auto"/>
        </w:rPr>
      </w:pPr>
    </w:p>
    <w:p>
      <w:pPr>
        <w:jc w:val="both"/>
        <w:ind w:left="900" w:right="20"/>
        <w:spacing w:after="0" w:line="311" w:lineRule="auto"/>
        <w:rPr>
          <w:sz w:val="20"/>
          <w:szCs w:val="20"/>
          <w:color w:val="auto"/>
        </w:rPr>
      </w:pPr>
      <w:r>
        <w:rPr>
          <w:rFonts w:ascii="Arial" w:cs="Arial" w:eastAsia="Arial" w:hAnsi="Arial"/>
          <w:sz w:val="20"/>
          <w:szCs w:val="20"/>
          <w:color w:val="auto"/>
        </w:rPr>
        <w:t>On January 23, 2025, the Company completed its corporate migration to Switzerland, establishing corp domicile in Switzerland. On January 27, 2025, the Shares began trading on the TSX and NYSE under a symbol “LAR.”</w:t>
      </w:r>
    </w:p>
    <w:p>
      <w:pPr>
        <w:spacing w:after="0" w:line="2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In connection with the Company’s corporate migration to Switzerland, the Company appoin PricewaterhouseCoopers AG, Zug, Switzerland as its Swiss independent statutory auditor (the “</w:t>
      </w:r>
      <w:r>
        <w:rPr>
          <w:rFonts w:ascii="Arial" w:cs="Arial" w:eastAsia="Arial" w:hAnsi="Arial"/>
          <w:sz w:val="20"/>
          <w:szCs w:val="20"/>
          <w:b w:val="1"/>
          <w:bCs w:val="1"/>
          <w:color w:val="auto"/>
        </w:rPr>
        <w:t>Swiss Stat</w:t>
      </w:r>
      <w:r>
        <w:rPr>
          <w:rFonts w:ascii="Arial" w:cs="Arial" w:eastAsia="Arial" w:hAnsi="Arial"/>
          <w:sz w:val="20"/>
          <w:szCs w:val="20"/>
          <w:color w:val="auto"/>
        </w:rPr>
        <w:t xml:space="preserve"> </w:t>
      </w:r>
      <w:r>
        <w:rPr>
          <w:rFonts w:ascii="Arial" w:cs="Arial" w:eastAsia="Arial" w:hAnsi="Arial"/>
          <w:sz w:val="20"/>
          <w:szCs w:val="20"/>
          <w:b w:val="1"/>
          <w:bCs w:val="1"/>
          <w:color w:val="auto"/>
        </w:rPr>
        <w:t>Auditor</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Swiss Statutory Auditor’s main task is to audit the standalone statutory financial statements</w:t>
      </w:r>
      <w:r>
        <w:rPr>
          <w:rFonts w:ascii="Arial" w:cs="Arial" w:eastAsia="Arial" w:hAnsi="Arial"/>
          <w:sz w:val="20"/>
          <w:szCs w:val="20"/>
          <w:b w:val="1"/>
          <w:bCs w:val="1"/>
          <w:color w:val="auto"/>
        </w:rPr>
        <w:t xml:space="preserve"> </w:t>
      </w:r>
      <w:r>
        <w:rPr>
          <w:rFonts w:ascii="Arial" w:cs="Arial" w:eastAsia="Arial" w:hAnsi="Arial"/>
          <w:sz w:val="20"/>
          <w:szCs w:val="20"/>
          <w:color w:val="auto"/>
        </w:rPr>
        <w:t>consolidated financial statements of Lithium Argentina AG for Swiss law purposes.</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Company continues to retain PricewaterhouseCoopers LLP, Vancouver, Canada as the Compa Independent Registered Public Accounting Firm for Canadian and U.S. Securities law reporting (the “Auditor together with the Swiss Statutory Auditor, the “External Auditors”). The Company's registered and head offi located at Dammstrasse 19, 6300 Zug, Switzerland. The Company’s North American contact address is 3 900 West Hastings Street, Vancouver, British Columbia, Canada, V6C 1E5, and the Company’s telep number is (778) 656-5820. The operational headquarters of the Company is Buenos Aires, Argentina.</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Corporate Highlights</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In January 2025, the Company’s shareholders approved its plan to change its place of incorporation from Ca to Switzerland at its Special Meeting of Shareholders and on January 23, 2025, the Corporate Migration completed.</w:t>
      </w:r>
    </w:p>
    <w:p>
      <w:pPr>
        <w:spacing w:after="0" w:line="212" w:lineRule="exact"/>
        <w:rPr>
          <w:sz w:val="20"/>
          <w:szCs w:val="20"/>
          <w:color w:val="auto"/>
        </w:rPr>
      </w:pPr>
    </w:p>
    <w:p>
      <w:pPr>
        <w:jc w:val="both"/>
        <w:ind w:left="900" w:right="20"/>
        <w:spacing w:after="0" w:line="311" w:lineRule="auto"/>
        <w:rPr>
          <w:sz w:val="20"/>
          <w:szCs w:val="20"/>
          <w:color w:val="auto"/>
        </w:rPr>
      </w:pPr>
      <w:r>
        <w:rPr>
          <w:rFonts w:ascii="Arial" w:cs="Arial" w:eastAsia="Arial" w:hAnsi="Arial"/>
          <w:sz w:val="20"/>
          <w:szCs w:val="20"/>
          <w:color w:val="auto"/>
        </w:rPr>
        <w:t>In April 2025, Lithium Argentina and Ganfeng Lithium Co. Ltd. executed a Letter of Intent to advance a pl jointly develop the Pozuelos-Pastos Grandes basins, including Pozuelos-Pastos Grandes, Pastos Grandes Sal de la Puna project.</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In May 2025, the Company published its 2024 Sustainability Report including achievements such as ca emissions reductions, water footprint reduction, and three ISO certifications.</w:t>
      </w:r>
    </w:p>
    <w:p>
      <w:pPr>
        <w:spacing w:after="0" w:line="215"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In August 2025, the Company and Ganfeng Lithium announced it would form a new joint venture consolid Ganfeng’s solely owned Pozuelos-Pastos Grandes project with Lithium Argentina’s Pastos Grandes project owned) and the Sal de la Puna project (65% owned). Upon closing, Ganfeng will hold 67% and Lithium Arge 33% of PPG.</w:t>
      </w:r>
    </w:p>
    <w:p>
      <w:pPr>
        <w:spacing w:after="0" w:line="2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 xml:space="preserve">In November 2025, the Company announced the results of the Scoping Study for the Pozuelos-Pastos Gra project with Ganfeng Lithium along with the </w:t>
      </w:r>
      <w:r>
        <w:rPr>
          <w:rFonts w:ascii="Arial" w:cs="Arial" w:eastAsia="Arial" w:hAnsi="Arial"/>
          <w:sz w:val="20"/>
          <w:szCs w:val="20"/>
          <w:i w:val="1"/>
          <w:iCs w:val="1"/>
          <w:color w:val="auto"/>
        </w:rPr>
        <w:t>Declaracion de Impacto AmbientalI</w:t>
      </w:r>
      <w:r>
        <w:rPr>
          <w:rFonts w:ascii="Arial" w:cs="Arial" w:eastAsia="Arial" w:hAnsi="Arial"/>
          <w:sz w:val="20"/>
          <w:szCs w:val="20"/>
          <w:color w:val="auto"/>
        </w:rPr>
        <w:t xml:space="preserve"> (Environmental Permit)</w:t>
      </w:r>
      <w:r>
        <w:rPr>
          <w:rFonts w:ascii="Arial" w:cs="Arial" w:eastAsia="Arial" w:hAnsi="Arial"/>
          <w:sz w:val="20"/>
          <w:szCs w:val="20"/>
          <w:i w:val="1"/>
          <w:iCs w:val="1"/>
          <w:color w:val="auto"/>
        </w:rPr>
        <w:t>,</w:t>
      </w:r>
      <w:r>
        <w:rPr>
          <w:rFonts w:ascii="Arial" w:cs="Arial" w:eastAsia="Arial" w:hAnsi="Arial"/>
          <w:sz w:val="20"/>
          <w:szCs w:val="20"/>
          <w:color w:val="auto"/>
        </w:rPr>
        <w:t xml:space="preserve"> for S 1 of the project was received.</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51 / 65</w:t>
      </w:r>
    </w:p>
    <w:p>
      <w:pPr>
        <w:sectPr>
          <w:pgSz w:w="11900" w:h="16838" w:orient="portrait"/>
          <w:cols w:equalWidth="0" w:num="1">
            <w:col w:w="10460"/>
          </w:cols>
          <w:pgMar w:left="1440" w:top="1440" w:right="6" w:bottom="0" w:gutter="0" w:footer="0" w:header="0"/>
          <w:type w:val="continuous"/>
        </w:sectPr>
      </w:pPr>
    </w:p>
    <w:bookmarkStart w:id="51" w:name="page52"/>
    <w:bookmarkEnd w:id="51"/>
    <w:p>
      <w:pPr>
        <w:ind w:left="900"/>
        <w:spacing w:after="0"/>
        <w:rPr>
          <w:sz w:val="20"/>
          <w:szCs w:val="20"/>
          <w:color w:val="auto"/>
        </w:rPr>
      </w:pPr>
      <w:r>
        <w:rPr>
          <w:rFonts w:ascii="Arial" w:cs="Arial" w:eastAsia="Arial" w:hAnsi="Arial"/>
          <w:sz w:val="19"/>
          <w:szCs w:val="19"/>
          <w:color w:val="auto"/>
        </w:rPr>
        <w:t>During the year ended December 31, 2025, the Cauchari-Olaroz produced 34,100 tonnes of lithium carbonat</w:t>
      </w:r>
    </w:p>
    <w:p>
      <w:pPr>
        <w:spacing w:after="0" w:line="283"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In March 2026, the Company completed the $130 million debt facility from Ganfeng, it has a 6-year term interest rate of SOFR plus 2.5% providing increased flexibility to support refinancing the Company’s exi corporate debt.</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Available Information</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 xml:space="preserve">The SEC maintains an internet site </w:t>
      </w:r>
      <w:r>
        <w:rPr>
          <w:rFonts w:ascii="Arial" w:cs="Arial" w:eastAsia="Arial" w:hAnsi="Arial"/>
          <w:sz w:val="20"/>
          <w:szCs w:val="20"/>
          <w:u w:val="single" w:color="auto"/>
          <w:color w:val="auto"/>
        </w:rPr>
        <w:t>(</w:t>
      </w:r>
      <w:r>
        <w:rPr>
          <w:rFonts w:ascii="Arial" w:cs="Arial" w:eastAsia="Arial" w:hAnsi="Arial"/>
          <w:sz w:val="20"/>
          <w:szCs w:val="20"/>
          <w:u w:val="single" w:color="auto"/>
          <w:color w:val="0000FF"/>
        </w:rPr>
        <w:t>www.sec.gov</w:t>
      </w:r>
      <w:r>
        <w:rPr>
          <w:rFonts w:ascii="Arial" w:cs="Arial" w:eastAsia="Arial" w:hAnsi="Arial"/>
          <w:sz w:val="20"/>
          <w:szCs w:val="20"/>
          <w:u w:val="single" w:color="auto"/>
          <w:color w:val="auto"/>
        </w:rPr>
        <w:t>)</w:t>
      </w:r>
      <w:r>
        <w:rPr>
          <w:rFonts w:ascii="Arial" w:cs="Arial" w:eastAsia="Arial" w:hAnsi="Arial"/>
          <w:sz w:val="20"/>
          <w:szCs w:val="20"/>
          <w:color w:val="auto"/>
        </w:rPr>
        <w:t xml:space="preserve"> that contains reports, proxy and information statements other information regarding issuers that file electronically with the SEC. Such information can also be found o Company’s website </w:t>
      </w:r>
      <w:r>
        <w:rPr>
          <w:rFonts w:ascii="Arial" w:cs="Arial" w:eastAsia="Arial" w:hAnsi="Arial"/>
          <w:sz w:val="20"/>
          <w:szCs w:val="20"/>
          <w:u w:val="single" w:color="auto"/>
          <w:color w:val="auto"/>
        </w:rPr>
        <w:t>(</w:t>
      </w:r>
      <w:r>
        <w:rPr>
          <w:rFonts w:ascii="Arial" w:cs="Arial" w:eastAsia="Arial" w:hAnsi="Arial"/>
          <w:sz w:val="20"/>
          <w:szCs w:val="20"/>
          <w:u w:val="single" w:color="auto"/>
          <w:color w:val="0000FF"/>
        </w:rPr>
        <w:t>www.lithium-argentina.com</w:t>
      </w:r>
      <w:r>
        <w:rPr>
          <w:rFonts w:ascii="Arial" w:cs="Arial" w:eastAsia="Arial" w:hAnsi="Arial"/>
          <w:sz w:val="20"/>
          <w:szCs w:val="20"/>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52 / 65</w:t>
      </w:r>
    </w:p>
    <w:p>
      <w:pPr>
        <w:sectPr>
          <w:pgSz w:w="11900" w:h="16838" w:orient="portrait"/>
          <w:cols w:equalWidth="0" w:num="1">
            <w:col w:w="10460"/>
          </w:cols>
          <w:pgMar w:left="1440" w:top="1172" w:right="6" w:bottom="0" w:gutter="0" w:footer="0" w:header="0"/>
          <w:type w:val="continuous"/>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B. Business Overview</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Overview</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 xml:space="preserve">The Company is a Swiss-domiciled resource company focused on advancing significant lithium projects. Company holds a 44.8% interest in Cauchari-Olaroz in Jujuy, Argentina and a 33% interest in a </w:t>
      </w:r>
      <w:r>
        <w:rPr>
          <w:rFonts w:ascii="Arial" w:cs="Arial" w:eastAsia="Arial" w:hAnsi="Arial"/>
          <w:sz w:val="20"/>
          <w:szCs w:val="20"/>
          <w:b w:val="1"/>
          <w:bCs w:val="1"/>
          <w:color w:val="auto"/>
        </w:rPr>
        <w:t>New JV</w:t>
      </w:r>
      <w:r>
        <w:rPr>
          <w:rFonts w:ascii="Arial" w:cs="Arial" w:eastAsia="Arial" w:hAnsi="Arial"/>
          <w:sz w:val="20"/>
          <w:szCs w:val="20"/>
          <w:color w:val="auto"/>
        </w:rPr>
        <w:t xml:space="preserve"> w will consolidate Ganfeng’s solely owned Pozuelos-Pastos Grandes project with Lithium Argentina’s Pa Grandes project (85% owned) and the Sal de la Puna project (65% owned), PPG, in Salta, Argen Additionally, the Company owns the Salar de Antofalla (“</w:t>
      </w:r>
      <w:r>
        <w:rPr>
          <w:rFonts w:ascii="Arial" w:cs="Arial" w:eastAsia="Arial" w:hAnsi="Arial"/>
          <w:sz w:val="20"/>
          <w:szCs w:val="20"/>
          <w:b w:val="1"/>
          <w:bCs w:val="1"/>
          <w:color w:val="auto"/>
        </w:rPr>
        <w:t>Antofalla Project</w:t>
      </w:r>
      <w:r>
        <w:rPr>
          <w:rFonts w:ascii="Arial" w:cs="Arial" w:eastAsia="Arial" w:hAnsi="Arial"/>
          <w:sz w:val="20"/>
          <w:szCs w:val="20"/>
          <w:color w:val="auto"/>
        </w:rPr>
        <w:t>”) in the Province of Catam Argentina.</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Company is focused on the operations at Cauchari-Olaroz and advancing the development of its lit growth pipeline in Argentina.</w:t>
      </w:r>
    </w:p>
    <w:p>
      <w:pPr>
        <w:spacing w:after="0" w:line="215"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For a more detailed discussion of the Company’s business structure and Cauchari-Olaroz, see Note 7 o Company’s audited consolidated financial statements for the years ended December 31, 2025, 2024 and included in “Item 18 – Financial Statements” of this annual report.</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Specialized Skills</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All aspects of the Company’s business require specialized skills and knowledge, including geology, dri mining, processing, logistical planning, the implementation of exploration programs, and expertise in regula finance and accounting matters. The Company relies on its management, employees and various consultan this expertise.</w:t>
      </w:r>
    </w:p>
    <w:p>
      <w:pPr>
        <w:spacing w:after="0" w:line="212" w:lineRule="exact"/>
        <w:rPr>
          <w:sz w:val="20"/>
          <w:szCs w:val="20"/>
          <w:color w:val="auto"/>
        </w:rPr>
      </w:pPr>
    </w:p>
    <w:p>
      <w:pPr>
        <w:jc w:val="both"/>
        <w:ind w:left="900"/>
        <w:spacing w:after="0" w:line="332" w:lineRule="auto"/>
        <w:rPr>
          <w:sz w:val="20"/>
          <w:szCs w:val="20"/>
          <w:color w:val="auto"/>
        </w:rPr>
      </w:pPr>
      <w:r>
        <w:rPr>
          <w:rFonts w:ascii="Arial" w:cs="Arial" w:eastAsia="Arial" w:hAnsi="Arial"/>
          <w:sz w:val="19"/>
          <w:szCs w:val="19"/>
          <w:color w:val="auto"/>
        </w:rPr>
        <w:t>The Company’s lithium carbonate sales are conducted through direct contractual arrangements. During the ended December 31, 2025, substantially all of the Company’s sales were made to Ganfeng, the Company’s venture partner, and to Bangchak under offtake agreements. Sales are negotiated directly with th counterparties and are generally priced based on prevailing market conditions or agreed pricing mechanisms Company does not utilize special marketing channels or sales methods, including installment sales arrangem</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Mineral Price and Economic Cycles</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principal end-use product for the Company’s business is lithium-based chemicals, particularly battery-g lithium carbonate. The markets for lithium-based products are affected by worldwide economic cycles an volatility in supply and pricing that is commonly associated with commodity-based products. In the case of lit based products, demand is driven largely by the rate of adoption of lithium batteries, particularly those us electric vehicles. Meanwhile, supply is driven by the production capacity of lithium producers and the abil those operations to produce lithium products.</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Lithium prices have been volatile over the last decade. In 2022, lithium prices reached an all-time high du among other factors, supply constraints resulting from the increase in the adoption of electric vehicles an corresponding demand for electric vehicle batteries and a disproportionate increase in supply as the timelin new production to become available is, in most cases, measured over several years and is not responsi short-term demand increases.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53 / 65</w:t>
      </w:r>
    </w:p>
    <w:p>
      <w:pPr>
        <w:sectPr>
          <w:pgSz w:w="11900" w:h="16838" w:orient="portrait"/>
          <w:cols w:equalWidth="0" w:num="1">
            <w:col w:w="10460"/>
          </w:cols>
          <w:pgMar w:left="1440" w:top="1440" w:right="6" w:bottom="0" w:gutter="0" w:footer="0" w:header="0"/>
          <w:type w:val="continuous"/>
        </w:sectPr>
      </w:pPr>
    </w:p>
    <w:bookmarkStart w:id="53" w:name="page54"/>
    <w:bookmarkEnd w:id="53"/>
    <w:p>
      <w:pPr>
        <w:jc w:val="both"/>
        <w:ind w:left="900"/>
        <w:spacing w:after="0" w:line="312" w:lineRule="auto"/>
        <w:rPr>
          <w:sz w:val="20"/>
          <w:szCs w:val="20"/>
          <w:color w:val="auto"/>
        </w:rPr>
      </w:pPr>
      <w:r>
        <w:rPr>
          <w:rFonts w:ascii="Arial" w:cs="Arial" w:eastAsia="Arial" w:hAnsi="Arial"/>
          <w:sz w:val="20"/>
          <w:szCs w:val="20"/>
          <w:color w:val="auto"/>
        </w:rPr>
        <w:t>Since 2022, lithium prices have declined significantly, reflecting, among other factors, increased supply, sl than-anticipated growth in electric vehicle demand outside of China, and broader macroeconomic and m conditions affecting battery materials. These dynamics have resulted in periods of oversupply and weaker p across the lithium value chain.</w:t>
      </w:r>
    </w:p>
    <w:p>
      <w:pPr>
        <w:spacing w:after="0" w:line="2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More recently, market sentiment has shown signs of improvement, supported by continued growth in ele vehicle and energy storage system deployment and expectations for increasing lithium demand over the me to long term. However, lithium market fundamentals remain subject to uncertainty, and pricing may contin experience significant volatility.</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Company does not hold any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1131570</wp:posOffset>
            </wp:positionV>
            <wp:extent cx="676402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54 / 65</w:t>
      </w:r>
    </w:p>
    <w:p>
      <w:pPr>
        <w:sectPr>
          <w:pgSz w:w="11900" w:h="16838" w:orient="portrait"/>
          <w:cols w:equalWidth="0" w:num="1">
            <w:col w:w="10460"/>
          </w:cols>
          <w:pgMar w:left="1440" w:top="1172" w:right="6" w:bottom="0" w:gutter="0" w:footer="0" w:header="0"/>
          <w:type w:val="continuous"/>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Sources and Availability of Raw Materials</w:t>
      </w:r>
    </w:p>
    <w:p>
      <w:pPr>
        <w:spacing w:after="0" w:line="279" w:lineRule="exact"/>
        <w:rPr>
          <w:sz w:val="20"/>
          <w:szCs w:val="20"/>
          <w:color w:val="auto"/>
        </w:rPr>
      </w:pPr>
    </w:p>
    <w:p>
      <w:pPr>
        <w:ind w:left="900" w:right="20"/>
        <w:spacing w:after="0" w:line="307" w:lineRule="auto"/>
        <w:rPr>
          <w:sz w:val="20"/>
          <w:szCs w:val="20"/>
          <w:color w:val="auto"/>
        </w:rPr>
      </w:pPr>
      <w:r>
        <w:rPr>
          <w:rFonts w:ascii="Arial" w:cs="Arial" w:eastAsia="Arial" w:hAnsi="Arial"/>
          <w:sz w:val="20"/>
          <w:szCs w:val="20"/>
          <w:color w:val="auto"/>
        </w:rPr>
        <w:t>All of the raw materials required for the Company’s operations are available through standard supply business contracting channels.</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Government Regulations</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Company's exploration and future development activities are subject to various national, state, provincia local laws and regulations in Argentina, the U.S., Switzerland, and Canada, which govern prospec development, mining, production, exports, taxes, labor standards, occupational health, waste disposal, prote of the environment, mine safety, hazardous substances and other matters.</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Except as described in this annual report, the Company believes that it is in compliance, in all material resp with applicable mining, health, safety and environmental statutes and regulations.</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Competitive Conditions</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Lithium currently has many end uses, including ceramics and glass, batteries, greases, air treatment pharmaceuticals. However, it is the battery industry that is expected to predominantly drive future demand gr for lithium. This is expected to come from several areas: (i) the continued growth of small format batteries fo phones, laptops, digital cameras and hand-held power tools, (ii) the transportation industry’s electrificatio automobiles, buses, delivery vehicles, motorcycles, bicycles and boats using lithium-ion battery technology (iii) large format batteries for utility grid-scale storage.</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 small number of companies dominate the production of end-use lithium products such as lithium carbonat lithium hydroxide. The bulk of production occurs in brine deposits in South America and spodumene hard deposits in Australia and Africa as well as lepidolite production in China. There are a small number of addit companies who have initiated lithium-based production in recent years, as well as numerous additi companies pursuing the development of lithium mineral deposits throughout several jurisdictions.</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Foreign Operations</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Lithium operations and projects</w:t>
      </w:r>
    </w:p>
    <w:p>
      <w:pPr>
        <w:spacing w:after="0" w:line="27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Cauchari-Olaroz and the PPG project are all located in Argentina. Cauchari-Olaroz is in operation while PP the exploration and evaluation stage.</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Offtake Agreement with Ganfeng and Bangchak</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Company and Ganfeng are entitled to a share of offtake from production at Cauchari-Olaroz. The Com is entitled to 49% of the offtake, which would amount to approximately 19,600 tonnes per annum (“</w:t>
      </w:r>
      <w:r>
        <w:rPr>
          <w:rFonts w:ascii="Arial" w:cs="Arial" w:eastAsia="Arial" w:hAnsi="Arial"/>
          <w:sz w:val="20"/>
          <w:szCs w:val="20"/>
          <w:b w:val="1"/>
          <w:bCs w:val="1"/>
          <w:color w:val="auto"/>
        </w:rPr>
        <w:t>tpa</w:t>
      </w:r>
      <w:r>
        <w:rPr>
          <w:rFonts w:ascii="Arial" w:cs="Arial" w:eastAsia="Arial" w:hAnsi="Arial"/>
          <w:sz w:val="20"/>
          <w:szCs w:val="20"/>
          <w:color w:val="auto"/>
        </w:rPr>
        <w:t>”) of lit carbonate assuming full capacity is achieved. The Company entered into an offtake agreement with ea Ganfeng and Bangchak on August 27, 2020 to sell a fixed amount of offtake production at market-based pr with Ganfeng entitled to 80% of the first 12,250 tpa of lithium carbonate (9,800 tpa assuming full produ capacity) and Bangchak entitled to up to 6,000 tpa of lithium carbonate (assuming full production capacity).</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55 / 65</w:t>
      </w:r>
    </w:p>
    <w:p>
      <w:pPr>
        <w:sectPr>
          <w:pgSz w:w="11900" w:h="16838" w:orient="portrait"/>
          <w:cols w:equalWidth="0" w:num="1">
            <w:col w:w="10460"/>
          </w:cols>
          <w:pgMar w:left="1440" w:top="1440" w:right="6" w:bottom="0" w:gutter="0" w:footer="0" w:header="0"/>
          <w:type w:val="continuous"/>
        </w:sectPr>
      </w:pPr>
    </w:p>
    <w:bookmarkStart w:id="55" w:name="page56"/>
    <w:bookmarkEnd w:id="55"/>
    <w:p>
      <w:pPr>
        <w:jc w:val="both"/>
        <w:ind w:left="900"/>
        <w:spacing w:after="0" w:line="311" w:lineRule="auto"/>
        <w:rPr>
          <w:sz w:val="20"/>
          <w:szCs w:val="20"/>
          <w:color w:val="auto"/>
        </w:rPr>
      </w:pPr>
      <w:r>
        <w:rPr>
          <w:rFonts w:ascii="Arial" w:cs="Arial" w:eastAsia="Arial" w:hAnsi="Arial"/>
          <w:sz w:val="20"/>
          <w:szCs w:val="20"/>
          <w:color w:val="auto"/>
        </w:rPr>
        <w:t>The balance of the Company’s offtake entitlement, amounting to up to approximately 3,800 tpa of lit carbonate is uncommitted, but for limited residual rights available to Bangchak to the extent production doe meet full capacity.</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Purchases and sales of lithium carbonate</w:t>
      </w:r>
    </w:p>
    <w:p>
      <w:pPr>
        <w:spacing w:after="0" w:line="279" w:lineRule="exact"/>
        <w:rPr>
          <w:sz w:val="20"/>
          <w:szCs w:val="20"/>
          <w:color w:val="auto"/>
        </w:rPr>
      </w:pPr>
    </w:p>
    <w:p>
      <w:pPr>
        <w:ind w:left="900"/>
        <w:spacing w:after="0" w:line="311" w:lineRule="auto"/>
        <w:rPr>
          <w:sz w:val="20"/>
          <w:szCs w:val="20"/>
          <w:color w:val="auto"/>
        </w:rPr>
      </w:pPr>
      <w:r>
        <w:rPr>
          <w:rFonts w:ascii="Arial" w:cs="Arial" w:eastAsia="Arial" w:hAnsi="Arial"/>
          <w:sz w:val="20"/>
          <w:szCs w:val="20"/>
          <w:color w:val="auto"/>
        </w:rPr>
        <w:t>During the year ended December 31, 2025, the Company was entitled to purchase its 49% share of Minera lithium carbonate production shipped during the period and, pursuant to its offtake agreements, sell that volu Ganfeng and Bangchak.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56 / 65</w:t>
      </w:r>
    </w:p>
    <w:p>
      <w:pPr>
        <w:sectPr>
          <w:pgSz w:w="11900" w:h="16838" w:orient="portrait"/>
          <w:cols w:equalWidth="0" w:num="1">
            <w:col w:w="10460"/>
          </w:cols>
          <w:pgMar w:left="1440" w:top="1172" w:right="6" w:bottom="0" w:gutter="0" w:footer="0" w:header="0"/>
          <w:type w:val="continuous"/>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33" w:lineRule="auto"/>
        <w:rPr>
          <w:sz w:val="20"/>
          <w:szCs w:val="20"/>
          <w:color w:val="auto"/>
        </w:rPr>
      </w:pPr>
      <w:r>
        <w:rPr>
          <w:rFonts w:ascii="Arial" w:cs="Arial" w:eastAsia="Arial" w:hAnsi="Arial"/>
          <w:sz w:val="19"/>
          <w:szCs w:val="19"/>
          <w:color w:val="auto"/>
        </w:rPr>
        <w:t>Based on its principal versus agent assessment, the Company concluded that it acted as an agent in t transactions, as control of the lithium carbonate did not transfer to the Company prior to transfer to the customers and the Company was not exposed to inventory or price risk. Accordingly, the Company did recognize revenue or cost of sales in respect of these transactions.</w:t>
      </w:r>
      <w:r>
        <w:rPr>
          <w:rFonts w:ascii="Arial" w:cs="Arial" w:eastAsia="Arial" w:hAnsi="Arial"/>
          <w:sz w:val="19"/>
          <w:szCs w:val="19"/>
          <w:i w:val="1"/>
          <w:iCs w:val="1"/>
          <w:color w:val="auto"/>
        </w:rPr>
        <w:t>eExar and Exar Capital Agency Arrangem</w:t>
      </w:r>
    </w:p>
    <w:p>
      <w:pPr>
        <w:spacing w:after="0" w:line="195"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In addition to project loans provided by Exar Capital, Exar Capital also provides support to Exar by purchasin agent, reagents and other materials on behalf of Exar from international suppliers. Argentina does not access to the foreign exchange markets to permit prepayments by Argentine companies to international ven payments are only allowed after supplies arrive in Argentina. Accordingly, Exar Capital provides prepaymen suppliers and is then reimbursed by Exar once the supplies arrive in Argentina and Exar is able to make payments in accordance with Argentinian foreign exchange regulations.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Amended Shareholders Agreement</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On October 25, 2018, the Company, 2265866 Ontario Inc. (now 2265866 Ontario Holdings B.V.), Ganfeng, and Exar Capital entered into a shareholders’ agreement to govern the Company’s and Ganfeng’s interes Exar and Exar Capital and the funding and development of the Cauchari-Olaroz Operation. The sharehol agreement was amended in 2019 and amended and restated in August 2020 for the closing of a transactio which Ganfeng holds 51% and the Company 49% interest, respectively in Cauchari-Olaroz (the “</w:t>
      </w:r>
      <w:r>
        <w:rPr>
          <w:rFonts w:ascii="Arial" w:cs="Arial" w:eastAsia="Arial" w:hAnsi="Arial"/>
          <w:sz w:val="20"/>
          <w:szCs w:val="20"/>
          <w:b w:val="1"/>
          <w:bCs w:val="1"/>
          <w:color w:val="auto"/>
        </w:rPr>
        <w:t>Amen</w:t>
      </w:r>
      <w:r>
        <w:rPr>
          <w:rFonts w:ascii="Arial" w:cs="Arial" w:eastAsia="Arial" w:hAnsi="Arial"/>
          <w:sz w:val="20"/>
          <w:szCs w:val="20"/>
          <w:color w:val="auto"/>
        </w:rPr>
        <w:t xml:space="preserve"> </w:t>
      </w:r>
      <w:r>
        <w:rPr>
          <w:rFonts w:ascii="Arial" w:cs="Arial" w:eastAsia="Arial" w:hAnsi="Arial"/>
          <w:sz w:val="20"/>
          <w:szCs w:val="20"/>
          <w:b w:val="1"/>
          <w:bCs w:val="1"/>
          <w:color w:val="auto"/>
        </w:rPr>
        <w:t>Shareholders Agreement</w:t>
      </w:r>
      <w:r>
        <w:rPr>
          <w:rFonts w:ascii="Arial" w:cs="Arial" w:eastAsia="Arial" w:hAnsi="Arial"/>
          <w:sz w:val="20"/>
          <w:szCs w:val="20"/>
          <w:color w:val="auto"/>
        </w:rPr>
        <w:t>”).</w:t>
      </w:r>
    </w:p>
    <w:p>
      <w:pPr>
        <w:spacing w:after="0" w:line="212" w:lineRule="exact"/>
        <w:rPr>
          <w:sz w:val="20"/>
          <w:szCs w:val="20"/>
          <w:color w:val="auto"/>
        </w:rPr>
      </w:pPr>
    </w:p>
    <w:p>
      <w:pPr>
        <w:ind w:left="900" w:right="40"/>
        <w:spacing w:after="0" w:line="307" w:lineRule="auto"/>
        <w:rPr>
          <w:sz w:val="20"/>
          <w:szCs w:val="20"/>
          <w:color w:val="auto"/>
        </w:rPr>
      </w:pPr>
      <w:r>
        <w:rPr>
          <w:rFonts w:ascii="Arial" w:cs="Arial" w:eastAsia="Arial" w:hAnsi="Arial"/>
          <w:sz w:val="20"/>
          <w:szCs w:val="20"/>
          <w:color w:val="auto"/>
        </w:rPr>
        <w:t>The Amended Shareholders Agreement entered into on August 27, 2020 by the Company, 2265866 Ontari and Ganfeng generally provides for the following:</w:t>
      </w:r>
    </w:p>
    <w:p>
      <w:pPr>
        <w:spacing w:after="0" w:line="172" w:lineRule="exact"/>
        <w:rPr>
          <w:sz w:val="20"/>
          <w:szCs w:val="20"/>
          <w:color w:val="auto"/>
        </w:rPr>
      </w:pPr>
    </w:p>
    <w:p>
      <w:pPr>
        <w:ind w:left="1620" w:hanging="366"/>
        <w:spacing w:after="0"/>
        <w:tabs>
          <w:tab w:leader="none" w:pos="16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parties’ respective rights regarding ownership interests in Exar and Exar Capital;</w:t>
      </w:r>
    </w:p>
    <w:p>
      <w:pPr>
        <w:spacing w:after="0" w:line="257"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requirements for funding and development of the Cauchari-Olaroz Operation, and rights and obliga of parties upon a failure to fund, including dilution of interest under certain circumstances;</w:t>
      </w:r>
    </w:p>
    <w:p>
      <w:pPr>
        <w:spacing w:after="0" w:line="134"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formation of the Exar shareholder committee to direct the business and affairs of Exar, compris three representatives of Ganfeng and two representatives from the Company;</w:t>
      </w:r>
    </w:p>
    <w:p>
      <w:pPr>
        <w:spacing w:after="0" w:line="134" w:lineRule="exact"/>
        <w:rPr>
          <w:rFonts w:ascii="Arial" w:cs="Arial" w:eastAsia="Arial" w:hAnsi="Arial"/>
          <w:sz w:val="20"/>
          <w:szCs w:val="20"/>
          <w:color w:val="auto"/>
        </w:rPr>
      </w:pPr>
    </w:p>
    <w:p>
      <w:pPr>
        <w:ind w:left="1620" w:right="40" w:hanging="366"/>
        <w:spacing w:after="0" w:line="368" w:lineRule="auto"/>
        <w:tabs>
          <w:tab w:leader="none" w:pos="16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composition of the board of directors of Exar, being two representatives of Ganfeng and representative of the Company;</w:t>
      </w:r>
    </w:p>
    <w:p>
      <w:pPr>
        <w:spacing w:after="0" w:line="134"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composition of the board of directors of Exar Capital, being two representatives of Ganfeng and representative of the Company;</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57 / 65</w:t>
      </w:r>
    </w:p>
    <w:p>
      <w:pPr>
        <w:sectPr>
          <w:pgSz w:w="11900" w:h="16838" w:orient="portrait"/>
          <w:cols w:equalWidth="0" w:num="1">
            <w:col w:w="10460"/>
          </w:cols>
          <w:pgMar w:left="1440" w:top="1440" w:right="6" w:bottom="0" w:gutter="0" w:footer="0" w:header="0"/>
          <w:type w:val="continuous"/>
        </w:sectPr>
      </w:pPr>
    </w:p>
    <w:bookmarkStart w:id="57" w:name="page58"/>
    <w:bookmarkEnd w:id="57"/>
    <w:p>
      <w:pPr>
        <w:jc w:val="both"/>
        <w:ind w:left="1620" w:hanging="366"/>
        <w:spacing w:after="0" w:line="374" w:lineRule="auto"/>
        <w:tabs>
          <w:tab w:leader="none" w:pos="1620" w:val="left"/>
        </w:tabs>
        <w:numPr>
          <w:ilvl w:val="0"/>
          <w:numId w:val="9"/>
        </w:numPr>
        <w:rPr>
          <w:rFonts w:ascii="Arial" w:cs="Arial" w:eastAsia="Arial" w:hAnsi="Arial"/>
          <w:sz w:val="20"/>
          <w:szCs w:val="20"/>
          <w:color w:val="auto"/>
        </w:rPr>
      </w:pPr>
      <w:r>
        <w:rPr>
          <w:rFonts w:ascii="Arial" w:cs="Arial" w:eastAsia="Arial" w:hAnsi="Arial"/>
          <w:sz w:val="20"/>
          <w:szCs w:val="20"/>
          <w:color w:val="auto"/>
        </w:rPr>
        <w:t>an 80% approval threshold for the Exar shareholder committee to approve a number of material corp actions, thereby providing protection to the Company as a minority shareholder in Exar, such approv material corporate actions including but not limited to the following: (i) programs and budgets, changes thereto or to contributions required to be made by the parties; (ii) issuances of securiti restructuring transactions involving Exar and Exar Capital; (iii) any sale, transfer or other disposition ownership interest in Exar or Exar Capital; (iv) changes to the composition of the Exar shareh committee or the board of directors of Exar or Exar Capital; (v) material changes to terms contemp by the agreement with JEMSE; (vi) any change to development activities that would materially dela expected timeline for the Cauchari-Olaroz Operation to reach commercial production; and (vii) de guarantees above certain thresholds; and</w:t>
      </w:r>
    </w:p>
    <w:p>
      <w:pPr>
        <w:spacing w:after="0" w:line="136"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the obligation of each party to purchase its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share of production from the Cauchari-Ol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1063625</wp:posOffset>
            </wp:positionV>
            <wp:extent cx="676402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33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58 / 65</w:t>
      </w:r>
    </w:p>
    <w:p>
      <w:pPr>
        <w:sectPr>
          <w:pgSz w:w="11900" w:h="16838" w:orient="portrait"/>
          <w:cols w:equalWidth="0" w:num="1">
            <w:col w:w="10460"/>
          </w:cols>
          <w:pgMar w:left="1440" w:top="1335" w:right="6" w:bottom="0" w:gutter="0" w:footer="0" w:header="0"/>
          <w:type w:val="continuous"/>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C. Organizational Structure</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following diagram sets out the organizational structure of the Company as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153035</wp:posOffset>
            </wp:positionV>
            <wp:extent cx="6078220" cy="4733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extLst>
                    </a:blip>
                    <a:srcRect/>
                    <a:stretch>
                      <a:fillRect/>
                    </a:stretch>
                  </pic:blipFill>
                  <pic:spPr bwMode="auto">
                    <a:xfrm>
                      <a:off x="0" y="0"/>
                      <a:ext cx="6078220" cy="4733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D. Property, Plants and Equipment</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Summary Overview of Mining</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As used in this annual report, the terms “mineral resource,” “measured mineral resource,” “indicated mi resource,” “inferred mineral resource,” “mineral reserve,” “proven mineral reserve” and “probable mineral res are defined and used in accordance with S-K 1300. All determinations of mineral resources and mineral res have been prepared by qualified persons. Under S-K 1300, mineral resources may not be classified as “mi reserves” unless the determination has been made by a qualified person that the mineral resources can b basis of an economically viable project. Mineral resources are not mineral reserves and do not meet the thre</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59 / 65</w:t>
      </w:r>
    </w:p>
    <w:p>
      <w:pPr>
        <w:sectPr>
          <w:pgSz w:w="11900" w:h="16838" w:orient="portrait"/>
          <w:cols w:equalWidth="0" w:num="1">
            <w:col w:w="10460"/>
          </w:cols>
          <w:pgMar w:left="1440" w:top="1440" w:right="6" w:bottom="0" w:gutter="0" w:footer="0" w:header="0"/>
          <w:type w:val="continuous"/>
        </w:sectPr>
      </w:pPr>
    </w:p>
    <w:bookmarkStart w:id="59" w:name="page60"/>
    <w:bookmarkEnd w:id="59"/>
    <w:p>
      <w:pPr>
        <w:jc w:val="both"/>
        <w:ind w:left="900"/>
        <w:spacing w:after="0" w:line="311" w:lineRule="auto"/>
        <w:rPr>
          <w:sz w:val="20"/>
          <w:szCs w:val="20"/>
          <w:color w:val="auto"/>
        </w:rPr>
      </w:pPr>
      <w:r>
        <w:rPr>
          <w:rFonts w:ascii="Arial" w:cs="Arial" w:eastAsia="Arial" w:hAnsi="Arial"/>
          <w:sz w:val="20"/>
          <w:szCs w:val="20"/>
          <w:color w:val="auto"/>
        </w:rPr>
        <w:t>for mineral reserve modifying factors, such as estimated economic viability, that would allow for conversi mineral reserves. There is no certainty that any part of the mineral resources estimated will be converted mineral reserves.</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Except for that portion of mineral resources classified as mineral reserves, mineral resources have demonstrated economic value. Inferred mineral resources are estimates based on limited geological evid and sampling and have too high of a degree of uncertainty to apply relevant technical and economic factors to influence the prospects of economic extraction in a manner useful for evaluation of economic viab Estimates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1087755</wp:posOffset>
            </wp:positionV>
            <wp:extent cx="676402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60 / 65</w:t>
      </w:r>
    </w:p>
    <w:p>
      <w:pPr>
        <w:sectPr>
          <w:pgSz w:w="11900" w:h="16838" w:orient="portrait"/>
          <w:cols w:equalWidth="0" w:num="1">
            <w:col w:w="10460"/>
          </w:cols>
          <w:pgMar w:left="1440" w:top="1172" w:right="6" w:bottom="0" w:gutter="0" w:footer="0" w:header="0"/>
          <w:type w:val="continuous"/>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inferred mineral resources may not be converted to a mineral reserve. It cannot be assumed that all or any p an inferred mineral resource will be upgraded to a higher category. A significant amount of exploration mu completed to determine whether an inferred mineral resource may be upgraded to a higher category. There you are cautioned not to assume that all or any part of an inferred mineral resource can be the basis o economically viable project, or that it will be upgraded to a higher category.</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Properties</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Company is focused on the advancement of two significant lithium projects, the Cauchari-Olaro production stage operation, located in the Province of Jujuy in Argentina, and the PPG Project, located i Province of Salta in Argentina. The PPG Project will integrate three projects owned by Ganfeng and Lit Argentina into a single development platform in the Pozuelos and Pastos Grandes basins in the Province of Argentina. It is an exploration stage project.</w:t>
      </w:r>
    </w:p>
    <w:p>
      <w:pPr>
        <w:spacing w:after="0" w:line="210"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Cauchari-Olaroz Operation and PPG are the Company’s two material projects. The Company also ho 100% of the Antofalla Project, which is an exploration stage project.</w:t>
      </w:r>
    </w:p>
    <w:p>
      <w:pPr>
        <w:spacing w:after="0" w:line="215" w:lineRule="exact"/>
        <w:rPr>
          <w:sz w:val="20"/>
          <w:szCs w:val="20"/>
          <w:color w:val="auto"/>
        </w:rPr>
      </w:pPr>
    </w:p>
    <w:p>
      <w:pPr>
        <w:ind w:left="900"/>
        <w:spacing w:after="0" w:line="314" w:lineRule="auto"/>
        <w:rPr>
          <w:sz w:val="20"/>
          <w:szCs w:val="20"/>
          <w:color w:val="auto"/>
        </w:rPr>
      </w:pPr>
      <w:r>
        <w:rPr>
          <w:rFonts w:ascii="Arial" w:cs="Arial" w:eastAsia="Arial" w:hAnsi="Arial"/>
          <w:sz w:val="20"/>
          <w:szCs w:val="20"/>
          <w:color w:val="auto"/>
        </w:rPr>
        <w:t>Except as otherwise stated, the scientific and technical information relating to Cauchari-Olaroz Salars cont in this annual report is derived from the "2026 Cauchari-Olaroz S-K 1300 Technical Report, Jujuy Prov Argentina" (the “Cauchari Technical Report Study” or “Cauchari TRS") prepared by Deptford Geoscience, IO Solutions, EnviroProTech-t and Groundwater Insight, none of which are affiliated with the Company. Cauchari TRS was also prepared by David Burga, P.Geo., Mark King, PhD, P.Geo., FGC , Anthony San Pr.Sci.Nat., Marek Dworzanowski, Eur Ing., C.Eng., Jonathan Gibson, P.Eng., and Alexander Cushing, MFin, P.Eng., each of whom is a “qualified person” under Subpart 1300 of Regulation S-K ("S-K 1300") fo sections of the Cauchari TRS that they are responsible for preparing and none of whom are affiliated wit Company.</w:t>
      </w:r>
    </w:p>
    <w:p>
      <w:pPr>
        <w:spacing w:after="0" w:line="209"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Except as otherwise stated, the scientific and technical information relating to PPG contained in this annual r is derived from the "S-K 1300 Technical Report Scoping Study Report at the PPG Salars, Salta Province, Argentina" (the “Pozuelos Pastos Grandes Technical Report Study” or “PPG TRS”) prepared by Golder Associates and Atacama Water, none of which are affiliated with the Company. The PPG TRS was also pre by James Wang, QP, P.Eng and Frederik Reidel, QP, P.Geo, each of whom is a “qualified person” under S-1300 for the sections of the PPG TRS that they are responsible for preparing and none of whom are affiliated the Company.</w:t>
      </w:r>
    </w:p>
    <w:p>
      <w:pPr>
        <w:spacing w:after="0" w:line="214"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Except as otherwise stated, the scientific and technical information relating to PPG contained in this annual r has been reviewed and approved by Frederik Reidel, QP, P.Geo., and James Wang, QP, P.Eng., qua persons for the purposes of NI 43-101 and S-K 1300 by virtue of his experience, education, and profess association and who are independent of the Company.</w:t>
      </w:r>
    </w:p>
    <w:p>
      <w:pPr>
        <w:spacing w:after="0" w:line="212" w:lineRule="exact"/>
        <w:rPr>
          <w:sz w:val="20"/>
          <w:szCs w:val="20"/>
          <w:color w:val="auto"/>
        </w:rPr>
      </w:pPr>
    </w:p>
    <w:p>
      <w:pPr>
        <w:ind w:left="900"/>
        <w:spacing w:after="0" w:line="334" w:lineRule="auto"/>
        <w:rPr>
          <w:sz w:val="20"/>
          <w:szCs w:val="20"/>
          <w:color w:val="auto"/>
        </w:rPr>
      </w:pPr>
      <w:r>
        <w:rPr>
          <w:rFonts w:ascii="Arial" w:cs="Arial" w:eastAsia="Arial" w:hAnsi="Arial"/>
          <w:sz w:val="19"/>
          <w:szCs w:val="19"/>
          <w:color w:val="auto"/>
        </w:rPr>
        <w:t>Except as otherwise stated, all technical and scientific information contained in this annual report has reviewed and approved by David Burga, P.Geo, a qualified person for the purposes of NI 43-101 and S-K 13 virtue of his experience, education, and professional association and who is independent of the Company.</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61 / 65</w:t>
      </w:r>
    </w:p>
    <w:p>
      <w:pPr>
        <w:sectPr>
          <w:pgSz w:w="11900" w:h="16838" w:orient="portrait"/>
          <w:cols w:equalWidth="0" w:num="1">
            <w:col w:w="10460"/>
          </w:cols>
          <w:pgMar w:left="1440" w:top="1440" w:right="6" w:bottom="0" w:gutter="0" w:footer="0" w:header="0"/>
          <w:type w:val="continuous"/>
        </w:sectPr>
      </w:pPr>
    </w:p>
    <w:bookmarkStart w:id="61" w:name="page62"/>
    <w:bookmarkEnd w:id="61"/>
    <w:p>
      <w:pPr>
        <w:jc w:val="both"/>
        <w:ind w:left="900"/>
        <w:spacing w:after="0" w:line="313" w:lineRule="auto"/>
        <w:rPr>
          <w:sz w:val="20"/>
          <w:szCs w:val="20"/>
          <w:color w:val="auto"/>
        </w:rPr>
      </w:pPr>
      <w:r>
        <w:rPr>
          <w:rFonts w:ascii="Arial" w:cs="Arial" w:eastAsia="Arial" w:hAnsi="Arial"/>
          <w:sz w:val="20"/>
          <w:szCs w:val="20"/>
          <w:color w:val="auto"/>
        </w:rPr>
        <w:t>Canadian investors are advised that detailed scientific and technical information on Cauchari-Olaroz prepar accordance with NI 43-101 (including mineral resources and reserves estimates prepared in accordance with Definition Standards adopted by the Canadian Institute of Mining, Metallurgy and Petroleum on May 10, 2 can be found in the NI 43-101 technical report entitled “2026 Cauchari-Olaroz NI 43-101 Technical Report, J Argentina”. The technical report has an effective date of December 31, 2025, and was prepared by “Qua Persons” for the purposes of NI 43-101, independent of the Company.</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 xml:space="preserve">Canadian investors are advised that detailed scientific and technical information on PPG prepared in accord with NI 43-101 can also be found in the NI 43-101 technical report entitled "Technical Report Scoping Study PPG Salar, Salta Province, Argentina”. The technical report has an effective date of October 31, 2025, and prepared by a “Qualified Persons” for the purposes of NI 43-101, independent of the Company. Copies o technical reports prepared in accordance with NI 43-101 are available on the Company’s website at www.lit argentina.com and on the Company’s SEDAR+ profile at </w:t>
      </w:r>
      <w:r>
        <w:rPr>
          <w:rFonts w:ascii="Arial" w:cs="Arial" w:eastAsia="Arial" w:hAnsi="Arial"/>
          <w:sz w:val="20"/>
          <w:szCs w:val="20"/>
          <w:u w:val="single" w:color="auto"/>
          <w:color w:val="0000FF"/>
        </w:rPr>
        <w:t>www.sedarplus.ca</w:t>
      </w:r>
      <w:r>
        <w:rPr>
          <w:rFonts w:ascii="Arial" w:cs="Arial" w:eastAsia="Arial" w:hAnsi="Arial"/>
          <w:sz w:val="20"/>
          <w:szCs w:val="20"/>
          <w:color w:val="auto"/>
        </w:rPr>
        <w:t>, but are not incorporate reference in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1090295</wp:posOffset>
            </wp:positionV>
            <wp:extent cx="676402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62 / 65</w:t>
      </w:r>
    </w:p>
    <w:p>
      <w:pPr>
        <w:sectPr>
          <w:pgSz w:w="11900" w:h="16838" w:orient="portrait"/>
          <w:cols w:equalWidth="0" w:num="1">
            <w:col w:w="10460"/>
          </w:cols>
          <w:pgMar w:left="1440" w:top="1172" w:right="6" w:bottom="0" w:gutter="0" w:footer="0" w:header="0"/>
          <w:type w:val="continuous"/>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The map below shows the locations of our principal mining operations in Argentina and the exploitation exploration mining concessions that have been granted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2286635</wp:posOffset>
            </wp:positionH>
            <wp:positionV relativeFrom="paragraph">
              <wp:posOffset>177165</wp:posOffset>
            </wp:positionV>
            <wp:extent cx="2962275" cy="6896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extLst>
                    </a:blip>
                    <a:srcRect/>
                    <a:stretch>
                      <a:fillRect/>
                    </a:stretch>
                  </pic:blipFill>
                  <pic:spPr bwMode="auto">
                    <a:xfrm>
                      <a:off x="0" y="0"/>
                      <a:ext cx="2962275" cy="689610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63 / 65</w:t>
      </w:r>
    </w:p>
    <w:p>
      <w:pPr>
        <w:sectPr>
          <w:pgSz w:w="11900" w:h="16838" w:orient="portrait"/>
          <w:cols w:equalWidth="0" w:num="1">
            <w:col w:w="10460"/>
          </w:cols>
          <w:pgMar w:left="1440" w:top="1440" w:right="6" w:bottom="0" w:gutter="0" w:footer="0" w:header="0"/>
          <w:type w:val="continuous"/>
        </w:sectPr>
      </w:pPr>
    </w:p>
    <w:bookmarkStart w:id="63" w:name="page64"/>
    <w:bookmarkEnd w:id="63"/>
    <w:p>
      <w:pPr>
        <w:jc w:val="both"/>
        <w:ind w:left="900"/>
        <w:spacing w:after="0" w:line="311" w:lineRule="auto"/>
        <w:rPr>
          <w:sz w:val="20"/>
          <w:szCs w:val="20"/>
          <w:color w:val="auto"/>
        </w:rPr>
      </w:pPr>
      <w:r>
        <w:rPr>
          <w:rFonts w:ascii="Arial" w:cs="Arial" w:eastAsia="Arial" w:hAnsi="Arial"/>
          <w:sz w:val="20"/>
          <w:szCs w:val="20"/>
          <w:color w:val="auto"/>
        </w:rPr>
        <w:t>Figure 1. Location of Lithium Argentina mining operations in Argentina and the exploitation and exploration m concessions. Location coordinates longitude and latitude, respectively: of (i) Cauchari-Olaroz, (the salars 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64 / 65</w:t>
      </w:r>
    </w:p>
    <w:p>
      <w:pPr>
        <w:sectPr>
          <w:pgSz w:w="11900" w:h="16838" w:orient="portrait"/>
          <w:cols w:equalWidth="0" w:num="1">
            <w:col w:w="10460"/>
          </w:cols>
          <w:pgMar w:left="1440" w:top="1172" w:right="6" w:bottom="0" w:gutter="0" w:footer="0" w:header="0"/>
          <w:type w:val="continuous"/>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a north-south direction from S 23° 18’ to S 24° 05’, and in an east-west direction from W 66° 34’ to W 66° 51 PPG: (24°34’44” south latitude and 66°42’26”).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243840</wp:posOffset>
            </wp:positionV>
            <wp:extent cx="607822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FFFFFF"/>
        </w:rPr>
        <w:t>Summary of aggregate annual production (lithium carbonate) – Current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22860</wp:posOffset>
            </wp:positionV>
            <wp:extent cx="6078220" cy="2419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extLst>
                    </a:blip>
                    <a:srcRect/>
                    <a:stretch>
                      <a:fillRect/>
                    </a:stretch>
                  </pic:blipFill>
                  <pic:spPr bwMode="auto">
                    <a:xfrm>
                      <a:off x="0" y="0"/>
                      <a:ext cx="6078220" cy="241935"/>
                    </a:xfrm>
                    <a:prstGeom prst="rect">
                      <a:avLst/>
                    </a:prstGeom>
                    <a:noFill/>
                  </pic:spPr>
                </pic:pic>
              </a:graphicData>
            </a:graphic>
          </wp:anchor>
        </w:drawing>
      </w:r>
    </w:p>
    <w:p>
      <w:pPr>
        <w:spacing w:after="0" w:line="144"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3800" w:type="dxa"/>
            <w:vAlign w:val="bottom"/>
          </w:tcPr>
          <w:p>
            <w:pPr>
              <w:spacing w:after="0"/>
              <w:rPr>
                <w:sz w:val="20"/>
                <w:szCs w:val="20"/>
                <w:color w:val="auto"/>
              </w:rPr>
            </w:pPr>
            <w:r>
              <w:rPr>
                <w:rFonts w:ascii="Arial" w:cs="Arial" w:eastAsia="Arial" w:hAnsi="Arial"/>
                <w:sz w:val="18"/>
                <w:szCs w:val="18"/>
                <w:b w:val="1"/>
                <w:bCs w:val="1"/>
                <w:color w:val="auto"/>
              </w:rPr>
              <w:t>Salar</w:t>
            </w:r>
          </w:p>
        </w:tc>
        <w:tc>
          <w:tcPr>
            <w:tcW w:w="2580" w:type="dxa"/>
            <w:vAlign w:val="bottom"/>
          </w:tcPr>
          <w:p>
            <w:pPr>
              <w:jc w:val="center"/>
              <w:ind w:left="1370"/>
              <w:spacing w:after="0"/>
              <w:rPr>
                <w:sz w:val="20"/>
                <w:szCs w:val="20"/>
                <w:color w:val="auto"/>
              </w:rPr>
            </w:pPr>
            <w:r>
              <w:rPr>
                <w:rFonts w:ascii="Arial" w:cs="Arial" w:eastAsia="Arial" w:hAnsi="Arial"/>
                <w:sz w:val="18"/>
                <w:szCs w:val="18"/>
                <w:b w:val="1"/>
                <w:bCs w:val="1"/>
                <w:color w:val="auto"/>
                <w:w w:val="99"/>
              </w:rPr>
              <w:t>2023</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2024</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2025</w:t>
            </w:r>
          </w:p>
        </w:tc>
        <w:tc>
          <w:tcPr>
            <w:tcW w:w="680" w:type="dxa"/>
            <w:vAlign w:val="bottom"/>
          </w:tcPr>
          <w:p>
            <w:pPr>
              <w:ind w:left="280"/>
              <w:spacing w:after="0"/>
              <w:rPr>
                <w:sz w:val="20"/>
                <w:szCs w:val="20"/>
                <w:color w:val="auto"/>
              </w:rPr>
            </w:pPr>
            <w:r>
              <w:rPr>
                <w:rFonts w:ascii="Arial" w:cs="Arial" w:eastAsia="Arial" w:hAnsi="Arial"/>
                <w:sz w:val="18"/>
                <w:szCs w:val="18"/>
                <w:b w:val="1"/>
                <w:bCs w:val="1"/>
                <w:color w:val="auto"/>
              </w:rPr>
              <w:t>TOT</w:t>
            </w:r>
          </w:p>
        </w:tc>
      </w:tr>
      <w:tr>
        <w:trPr>
          <w:trHeight w:val="592"/>
        </w:trPr>
        <w:tc>
          <w:tcPr>
            <w:tcW w:w="3800" w:type="dxa"/>
            <w:vAlign w:val="bottom"/>
          </w:tcPr>
          <w:p>
            <w:pPr>
              <w:spacing w:after="0"/>
              <w:rPr>
                <w:sz w:val="20"/>
                <w:szCs w:val="20"/>
                <w:color w:val="auto"/>
              </w:rPr>
            </w:pPr>
            <w:r>
              <w:rPr>
                <w:rFonts w:ascii="Arial" w:cs="Arial" w:eastAsia="Arial" w:hAnsi="Arial"/>
                <w:sz w:val="18"/>
                <w:szCs w:val="18"/>
                <w:color w:val="auto"/>
              </w:rPr>
              <w:t>Cauchari-Olaroz</w:t>
            </w:r>
          </w:p>
        </w:tc>
        <w:tc>
          <w:tcPr>
            <w:tcW w:w="2580" w:type="dxa"/>
            <w:vAlign w:val="bottom"/>
          </w:tcPr>
          <w:p>
            <w:pPr>
              <w:jc w:val="center"/>
              <w:ind w:left="1350"/>
              <w:spacing w:after="0"/>
              <w:rPr>
                <w:sz w:val="20"/>
                <w:szCs w:val="20"/>
                <w:color w:val="auto"/>
              </w:rPr>
            </w:pPr>
            <w:r>
              <w:rPr>
                <w:rFonts w:ascii="Arial" w:cs="Arial" w:eastAsia="Arial" w:hAnsi="Arial"/>
                <w:sz w:val="18"/>
                <w:szCs w:val="18"/>
                <w:color w:val="auto"/>
                <w:w w:val="99"/>
              </w:rPr>
              <w:t>6,000t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25,400t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34,100t</w:t>
            </w:r>
          </w:p>
        </w:tc>
        <w:tc>
          <w:tcPr>
            <w:tcW w:w="68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592"/>
        </w:trPr>
        <w:tc>
          <w:tcPr>
            <w:tcW w:w="3800" w:type="dxa"/>
            <w:vAlign w:val="bottom"/>
          </w:tcPr>
          <w:p>
            <w:pPr>
              <w:spacing w:after="0"/>
              <w:rPr>
                <w:sz w:val="20"/>
                <w:szCs w:val="20"/>
                <w:color w:val="auto"/>
              </w:rPr>
            </w:pPr>
            <w:r>
              <w:rPr>
                <w:rFonts w:ascii="Arial" w:cs="Arial" w:eastAsia="Arial" w:hAnsi="Arial"/>
                <w:sz w:val="18"/>
                <w:szCs w:val="18"/>
                <w:color w:val="auto"/>
              </w:rPr>
              <w:t>Pastos Grandes</w:t>
            </w:r>
          </w:p>
        </w:tc>
        <w:tc>
          <w:tcPr>
            <w:tcW w:w="2580" w:type="dxa"/>
            <w:vAlign w:val="bottom"/>
          </w:tcPr>
          <w:p>
            <w:pPr>
              <w:jc w:val="center"/>
              <w:ind w:left="1350"/>
              <w:spacing w:after="0"/>
              <w:rPr>
                <w:sz w:val="20"/>
                <w:szCs w:val="20"/>
                <w:color w:val="auto"/>
              </w:rPr>
            </w:pPr>
            <w:r>
              <w:rPr>
                <w:rFonts w:ascii="Arial" w:cs="Arial" w:eastAsia="Arial" w:hAnsi="Arial"/>
                <w:sz w:val="18"/>
                <w:szCs w:val="18"/>
                <w:color w:val="auto"/>
                <w:w w:val="99"/>
              </w:rPr>
              <w:t>0</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92"/>
        </w:trPr>
        <w:tc>
          <w:tcPr>
            <w:tcW w:w="3800" w:type="dxa"/>
            <w:vAlign w:val="bottom"/>
          </w:tcPr>
          <w:p>
            <w:pPr>
              <w:spacing w:after="0"/>
              <w:rPr>
                <w:sz w:val="20"/>
                <w:szCs w:val="20"/>
                <w:color w:val="auto"/>
              </w:rPr>
            </w:pPr>
            <w:r>
              <w:rPr>
                <w:rFonts w:ascii="Arial" w:cs="Arial" w:eastAsia="Arial" w:hAnsi="Arial"/>
                <w:sz w:val="18"/>
                <w:szCs w:val="18"/>
                <w:b w:val="1"/>
                <w:bCs w:val="1"/>
                <w:color w:val="auto"/>
              </w:rPr>
              <w:t>Total annual production</w:t>
            </w:r>
          </w:p>
        </w:tc>
        <w:tc>
          <w:tcPr>
            <w:tcW w:w="2580" w:type="dxa"/>
            <w:vAlign w:val="bottom"/>
          </w:tcPr>
          <w:p>
            <w:pPr>
              <w:jc w:val="center"/>
              <w:ind w:left="1350"/>
              <w:spacing w:after="0"/>
              <w:rPr>
                <w:sz w:val="20"/>
                <w:szCs w:val="20"/>
                <w:color w:val="auto"/>
              </w:rPr>
            </w:pPr>
            <w:r>
              <w:rPr>
                <w:rFonts w:ascii="Arial" w:cs="Arial" w:eastAsia="Arial" w:hAnsi="Arial"/>
                <w:sz w:val="18"/>
                <w:szCs w:val="18"/>
                <w:b w:val="1"/>
                <w:bCs w:val="1"/>
                <w:color w:val="auto"/>
                <w:w w:val="97"/>
              </w:rPr>
              <w:t>6,000t</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8"/>
              </w:rPr>
              <w:t>25,400t</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8"/>
              </w:rPr>
              <w:t>34,100t</w:t>
            </w:r>
          </w:p>
        </w:tc>
        <w:tc>
          <w:tcPr>
            <w:tcW w:w="680" w:type="dxa"/>
            <w:vAlign w:val="bottom"/>
          </w:tcPr>
          <w:p>
            <w:pPr>
              <w:ind w:left="280"/>
              <w:spacing w:after="0"/>
              <w:rPr>
                <w:sz w:val="20"/>
                <w:szCs w:val="20"/>
                <w:color w:val="auto"/>
              </w:rPr>
            </w:pPr>
            <w:r>
              <w:rPr>
                <w:rFonts w:ascii="Arial" w:cs="Arial" w:eastAsia="Arial" w:hAnsi="Arial"/>
                <w:sz w:val="18"/>
                <w:szCs w:val="18"/>
                <w:b w:val="1"/>
                <w:bCs w:val="1"/>
                <w:color w:val="auto"/>
                <w:w w:val="84"/>
              </w:rPr>
              <w:t>65,50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-1104265</wp:posOffset>
            </wp:positionV>
            <wp:extent cx="6078220" cy="11341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extLst>
                    </a:blip>
                    <a:srcRect/>
                    <a:stretch>
                      <a:fillRect/>
                    </a:stretch>
                  </pic:blipFill>
                  <pic:spPr bwMode="auto">
                    <a:xfrm>
                      <a:off x="0" y="0"/>
                      <a:ext cx="6078220" cy="113411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-1104265</wp:posOffset>
            </wp:positionV>
            <wp:extent cx="6078220" cy="11341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extLst>
                    </a:blip>
                    <a:srcRect/>
                    <a:stretch>
                      <a:fillRect/>
                    </a:stretch>
                  </pic:blipFill>
                  <pic:spPr bwMode="auto">
                    <a:xfrm>
                      <a:off x="0" y="0"/>
                      <a:ext cx="6078220" cy="1134110"/>
                    </a:xfrm>
                    <a:prstGeom prst="rect">
                      <a:avLst/>
                    </a:prstGeom>
                    <a:noFill/>
                  </pic:spPr>
                </pic:pic>
              </a:graphicData>
            </a:graphic>
          </wp:anchor>
        </w:drawing>
      </w:r>
    </w:p>
    <w:p>
      <w:pPr>
        <w:spacing w:after="0" w:line="366"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For information regarding our material projects, please see the information below under the headings “Cau Olaroz Operation” and “PPG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196215</wp:posOffset>
            </wp:positionV>
            <wp:extent cx="6078220" cy="2444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extLst>
                    </a:blip>
                    <a:srcRect/>
                    <a:stretch>
                      <a:fillRect/>
                    </a:stretch>
                  </pic:blipFill>
                  <pic:spPr bwMode="auto">
                    <a:xfrm>
                      <a:off x="0" y="0"/>
                      <a:ext cx="6078220" cy="24447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39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FFFFFF"/>
        </w:rPr>
        <w:t>Antofalla Project</w:t>
      </w:r>
    </w:p>
    <w:p>
      <w:pPr>
        <w:spacing w:after="0" w:line="14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Location</w:t>
      </w:r>
    </w:p>
    <w:p>
      <w:pPr>
        <w:spacing w:after="0" w:line="200" w:lineRule="exact"/>
        <w:rPr>
          <w:sz w:val="20"/>
          <w:szCs w:val="20"/>
          <w:color w:val="auto"/>
        </w:rPr>
      </w:pPr>
    </w:p>
    <w:p>
      <w:pPr>
        <w:spacing w:after="0" w:line="215"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Type and amount of</w:t>
      </w:r>
    </w:p>
    <w:p>
      <w:pPr>
        <w:spacing w:after="0" w:line="72"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ownership interests</w:t>
      </w:r>
    </w:p>
    <w:p>
      <w:pPr>
        <w:spacing w:after="0" w:line="279" w:lineRule="exact"/>
        <w:rPr>
          <w:sz w:val="20"/>
          <w:szCs w:val="20"/>
          <w:color w:val="auto"/>
        </w:rPr>
      </w:pPr>
    </w:p>
    <w:p>
      <w:pPr>
        <w:ind w:left="960"/>
        <w:spacing w:after="0" w:line="307" w:lineRule="auto"/>
        <w:rPr>
          <w:sz w:val="20"/>
          <w:szCs w:val="20"/>
          <w:color w:val="auto"/>
        </w:rPr>
      </w:pPr>
      <w:r>
        <w:rPr>
          <w:rFonts w:ascii="Arial" w:cs="Arial" w:eastAsia="Arial" w:hAnsi="Arial"/>
          <w:sz w:val="20"/>
          <w:szCs w:val="20"/>
          <w:b w:val="1"/>
          <w:bCs w:val="1"/>
          <w:color w:val="auto"/>
        </w:rPr>
        <w:t>Titles, mineral rights, leases or options and acreage</w:t>
      </w: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Key permit conditions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Catamarca Province, Argentina</w:t>
      </w:r>
    </w:p>
    <w:p>
      <w:pPr>
        <w:spacing w:after="0" w:line="200" w:lineRule="exact"/>
        <w:rPr>
          <w:sz w:val="20"/>
          <w:szCs w:val="20"/>
          <w:color w:val="auto"/>
        </w:rPr>
      </w:pPr>
    </w:p>
    <w:p>
      <w:pPr>
        <w:spacing w:after="0" w:line="366" w:lineRule="exact"/>
        <w:rPr>
          <w:sz w:val="20"/>
          <w:szCs w:val="20"/>
          <w:color w:val="auto"/>
        </w:rPr>
      </w:pPr>
    </w:p>
    <w:p>
      <w:pPr>
        <w:ind w:left="60"/>
        <w:spacing w:after="0"/>
        <w:rPr>
          <w:sz w:val="20"/>
          <w:szCs w:val="20"/>
          <w:color w:val="auto"/>
        </w:rPr>
      </w:pPr>
      <w:r>
        <w:rPr>
          <w:rFonts w:ascii="Arial" w:cs="Arial" w:eastAsia="Arial" w:hAnsi="Arial"/>
          <w:sz w:val="20"/>
          <w:szCs w:val="20"/>
          <w:color w:val="auto"/>
        </w:rPr>
        <w:t>100% interest in the project</w:t>
      </w:r>
    </w:p>
    <w:p>
      <w:pPr>
        <w:spacing w:after="0" w:line="338" w:lineRule="exact"/>
        <w:rPr>
          <w:sz w:val="20"/>
          <w:szCs w:val="20"/>
          <w:color w:val="auto"/>
        </w:rPr>
      </w:pPr>
    </w:p>
    <w:p>
      <w:pPr>
        <w:ind w:right="80"/>
        <w:spacing w:after="0" w:line="307" w:lineRule="auto"/>
        <w:rPr>
          <w:sz w:val="20"/>
          <w:szCs w:val="20"/>
          <w:color w:val="auto"/>
        </w:rPr>
      </w:pPr>
      <w:r>
        <w:rPr>
          <w:rFonts w:ascii="Arial" w:cs="Arial" w:eastAsia="Arial" w:hAnsi="Arial"/>
          <w:sz w:val="20"/>
          <w:szCs w:val="20"/>
          <w:color w:val="auto"/>
        </w:rPr>
        <w:t>The project covers covering approximately 5,800 hectares of the Antofalla and basin in the Province of Catamarca, Argentina</w:t>
      </w:r>
    </w:p>
    <w:p>
      <w:pPr>
        <w:spacing w:after="0" w:line="295" w:lineRule="exact"/>
        <w:rPr>
          <w:sz w:val="20"/>
          <w:szCs w:val="20"/>
          <w:color w:val="auto"/>
        </w:rPr>
      </w:pPr>
    </w:p>
    <w:p>
      <w:pPr>
        <w:spacing w:after="0" w:line="336" w:lineRule="auto"/>
        <w:rPr>
          <w:sz w:val="20"/>
          <w:szCs w:val="20"/>
          <w:color w:val="auto"/>
        </w:rPr>
      </w:pPr>
      <w:r>
        <w:rPr>
          <w:rFonts w:ascii="Arial" w:cs="Arial" w:eastAsia="Arial" w:hAnsi="Arial"/>
          <w:sz w:val="19"/>
          <w:szCs w:val="19"/>
          <w:color w:val="auto"/>
        </w:rPr>
        <w:t>Valid permit for surface water extraction. The Exploration DIA has been submitted to proceed with drilling, and it is under evaluation by the authoriti</w:t>
      </w:r>
    </w:p>
    <w:p>
      <w:pPr>
        <w:spacing w:after="0" w:line="200" w:lineRule="exact"/>
        <w:rPr>
          <w:sz w:val="20"/>
          <w:szCs w:val="20"/>
          <w:color w:val="auto"/>
        </w:rPr>
      </w:pPr>
    </w:p>
    <w:p>
      <w:pPr>
        <w:sectPr>
          <w:pgSz w:w="11900" w:h="16838" w:orient="portrait"/>
          <w:cols w:equalWidth="0" w:num="2">
            <w:col w:w="3640" w:space="220"/>
            <w:col w:w="660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65 / 65</w:t>
      </w:r>
    </w:p>
    <w:p>
      <w:pPr>
        <w:sectPr>
          <w:pgSz w:w="11900" w:h="16838" w:orient="portrait"/>
          <w:cols w:equalWidth="0" w:num="1">
            <w:col w:w="10460"/>
          </w:cols>
          <w:pgMar w:left="1440" w:top="1440" w:right="6" w:bottom="0" w:gutter="0" w:footer="0" w:header="0"/>
          <w:type w:val="continuous"/>
        </w:sectPr>
      </w:pPr>
    </w:p>
    <w:bookmarkStart w:id="65" w:name="page66"/>
    <w:bookmarkEnd w:id="65"/>
    <w:p>
      <w:pPr>
        <w:spacing w:after="0"/>
        <w:rPr>
          <w:sz w:val="20"/>
          <w:szCs w:val="20"/>
          <w:color w:val="auto"/>
        </w:rPr>
      </w:pPr>
      <w:r>
        <w:rPr>
          <w:rFonts w:ascii="Arial" w:cs="Arial" w:eastAsia="Arial" w:hAnsi="Arial"/>
          <w:sz w:val="20"/>
          <w:szCs w:val="20"/>
          <w:b w:val="1"/>
          <w:bCs w:val="1"/>
          <w:color w:val="auto"/>
        </w:rPr>
        <w:t>Mine types and mineralization styles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Lithium brine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Processing plants and other facilities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None, Exploration Phase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236220</wp:posOffset>
            </wp:positionV>
            <wp:extent cx="6350" cy="2520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extLst>
                    </a:blip>
                    <a:srcRect/>
                    <a:stretch>
                      <a:fillRect/>
                    </a:stretch>
                  </pic:blipFill>
                  <pic:spPr bwMode="auto">
                    <a:xfrm>
                      <a:off x="0" y="0"/>
                      <a:ext cx="6350" cy="252095"/>
                    </a:xfrm>
                    <a:prstGeom prst="rect">
                      <a:avLst/>
                    </a:prstGeom>
                    <a:noFill/>
                  </pic:spPr>
                </pic:pic>
              </a:graphicData>
            </a:graphic>
          </wp:anchor>
        </w:drawing>
        <w:drawing>
          <wp:anchor simplePos="0" relativeHeight="251657728" behindDoc="1" locked="0" layoutInCell="0" allowOverlap="1">
            <wp:simplePos x="0" y="0"/>
            <wp:positionH relativeFrom="column">
              <wp:posOffset>915670</wp:posOffset>
            </wp:positionH>
            <wp:positionV relativeFrom="paragraph">
              <wp:posOffset>236220</wp:posOffset>
            </wp:positionV>
            <wp:extent cx="5048250" cy="2520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extLst>
                        <a:ext uri="{28A0092B-C50C-407E-A947-70E740481C1C}"/>
                      </a:extLst>
                    </a:blip>
                    <a:srcRect/>
                    <a:stretch>
                      <a:fillRect/>
                    </a:stretch>
                  </pic:blipFill>
                  <pic:spPr bwMode="auto">
                    <a:xfrm>
                      <a:off x="0" y="0"/>
                      <a:ext cx="5048250" cy="252095"/>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80" w:type="dxa"/>
            <w:vAlign w:val="bottom"/>
            <w:shd w:val="clear" w:color="auto" w:fill="153A57"/>
          </w:tcPr>
          <w:p>
            <w:pPr>
              <w:spacing w:after="0"/>
              <w:rPr>
                <w:sz w:val="15"/>
                <w:szCs w:val="15"/>
                <w:color w:val="auto"/>
              </w:rPr>
            </w:pPr>
          </w:p>
        </w:tc>
        <w:tc>
          <w:tcPr>
            <w:tcW w:w="2640" w:type="dxa"/>
            <w:vAlign w:val="bottom"/>
            <w:gridSpan w:val="6"/>
            <w:shd w:val="clear" w:color="auto" w:fill="153A57"/>
          </w:tcPr>
          <w:p>
            <w:pPr>
              <w:jc w:val="center"/>
              <w:ind w:left="40"/>
              <w:spacing w:after="0"/>
              <w:rPr>
                <w:sz w:val="20"/>
                <w:szCs w:val="20"/>
                <w:color w:val="auto"/>
              </w:rPr>
            </w:pPr>
            <w:r>
              <w:rPr>
                <w:rFonts w:ascii="Arial" w:cs="Arial" w:eastAsia="Arial" w:hAnsi="Arial"/>
                <w:sz w:val="12"/>
                <w:szCs w:val="12"/>
                <w:b w:val="1"/>
                <w:bCs w:val="1"/>
                <w:color w:val="FFFFFF"/>
                <w:w w:val="99"/>
              </w:rPr>
              <w:t>Measured Mineral Resources as</w:t>
            </w:r>
          </w:p>
        </w:tc>
        <w:tc>
          <w:tcPr>
            <w:tcW w:w="320" w:type="dxa"/>
            <w:vAlign w:val="bottom"/>
            <w:shd w:val="clear" w:color="auto" w:fill="153A57"/>
          </w:tcPr>
          <w:p>
            <w:pPr>
              <w:spacing w:after="0"/>
              <w:rPr>
                <w:sz w:val="15"/>
                <w:szCs w:val="15"/>
                <w:color w:val="auto"/>
              </w:rPr>
            </w:pPr>
          </w:p>
        </w:tc>
        <w:tc>
          <w:tcPr>
            <w:tcW w:w="2320" w:type="dxa"/>
            <w:vAlign w:val="bottom"/>
            <w:gridSpan w:val="7"/>
            <w:shd w:val="clear" w:color="auto" w:fill="153A57"/>
          </w:tcPr>
          <w:p>
            <w:pPr>
              <w:ind w:left="180"/>
              <w:spacing w:after="0"/>
              <w:rPr>
                <w:sz w:val="20"/>
                <w:szCs w:val="20"/>
                <w:color w:val="auto"/>
              </w:rPr>
            </w:pPr>
            <w:r>
              <w:rPr>
                <w:rFonts w:ascii="Arial" w:cs="Arial" w:eastAsia="Arial" w:hAnsi="Arial"/>
                <w:sz w:val="12"/>
                <w:szCs w:val="12"/>
                <w:b w:val="1"/>
                <w:bCs w:val="1"/>
                <w:color w:val="FFFFFF"/>
              </w:rPr>
              <w:t>Indicated Mineral Resources as</w:t>
            </w:r>
          </w:p>
        </w:tc>
        <w:tc>
          <w:tcPr>
            <w:tcW w:w="2740" w:type="dxa"/>
            <w:vAlign w:val="bottom"/>
            <w:gridSpan w:val="5"/>
            <w:shd w:val="clear" w:color="auto" w:fill="153A57"/>
          </w:tcPr>
          <w:p>
            <w:pPr>
              <w:jc w:val="right"/>
              <w:spacing w:after="0"/>
              <w:rPr>
                <w:sz w:val="20"/>
                <w:szCs w:val="20"/>
                <w:color w:val="auto"/>
              </w:rPr>
            </w:pPr>
            <w:r>
              <w:rPr>
                <w:rFonts w:ascii="Arial" w:cs="Arial" w:eastAsia="Arial" w:hAnsi="Arial"/>
                <w:sz w:val="12"/>
                <w:szCs w:val="12"/>
                <w:b w:val="1"/>
                <w:bCs w:val="1"/>
                <w:color w:val="FFFFFF"/>
              </w:rPr>
              <w:t>Total Measured and Indicated Resources as</w:t>
            </w:r>
          </w:p>
        </w:tc>
        <w:tc>
          <w:tcPr>
            <w:tcW w:w="1240" w:type="dxa"/>
            <w:vAlign w:val="bottom"/>
          </w:tcPr>
          <w:p>
            <w:pPr>
              <w:spacing w:after="0"/>
              <w:rPr>
                <w:sz w:val="15"/>
                <w:szCs w:val="15"/>
                <w:color w:val="auto"/>
              </w:rPr>
            </w:pPr>
          </w:p>
        </w:tc>
      </w:tr>
      <w:tr>
        <w:trPr>
          <w:trHeight w:val="181"/>
        </w:trPr>
        <w:tc>
          <w:tcPr>
            <w:tcW w:w="1380" w:type="dxa"/>
            <w:vAlign w:val="bottom"/>
            <w:shd w:val="clear" w:color="auto" w:fill="153A57"/>
          </w:tcPr>
          <w:p>
            <w:pPr>
              <w:spacing w:after="0"/>
              <w:rPr>
                <w:sz w:val="15"/>
                <w:szCs w:val="15"/>
                <w:color w:val="auto"/>
              </w:rPr>
            </w:pPr>
          </w:p>
        </w:tc>
        <w:tc>
          <w:tcPr>
            <w:tcW w:w="700" w:type="dxa"/>
            <w:vAlign w:val="bottom"/>
            <w:shd w:val="clear" w:color="auto" w:fill="153A57"/>
          </w:tcPr>
          <w:p>
            <w:pPr>
              <w:spacing w:after="0"/>
              <w:rPr>
                <w:sz w:val="15"/>
                <w:szCs w:val="15"/>
                <w:color w:val="auto"/>
              </w:rPr>
            </w:pPr>
          </w:p>
        </w:tc>
        <w:tc>
          <w:tcPr>
            <w:tcW w:w="40" w:type="dxa"/>
            <w:vAlign w:val="bottom"/>
            <w:shd w:val="clear" w:color="auto" w:fill="153A57"/>
          </w:tcPr>
          <w:p>
            <w:pPr>
              <w:spacing w:after="0"/>
              <w:rPr>
                <w:sz w:val="15"/>
                <w:szCs w:val="15"/>
                <w:color w:val="auto"/>
              </w:rPr>
            </w:pPr>
          </w:p>
        </w:tc>
        <w:tc>
          <w:tcPr>
            <w:tcW w:w="1240" w:type="dxa"/>
            <w:vAlign w:val="bottom"/>
            <w:gridSpan w:val="2"/>
            <w:shd w:val="clear" w:color="auto" w:fill="153A57"/>
          </w:tcPr>
          <w:p>
            <w:pPr>
              <w:jc w:val="center"/>
              <w:spacing w:after="0"/>
              <w:rPr>
                <w:sz w:val="20"/>
                <w:szCs w:val="20"/>
                <w:color w:val="auto"/>
              </w:rPr>
            </w:pPr>
            <w:r>
              <w:rPr>
                <w:rFonts w:ascii="Arial" w:cs="Arial" w:eastAsia="Arial" w:hAnsi="Arial"/>
                <w:sz w:val="12"/>
                <w:szCs w:val="12"/>
                <w:b w:val="1"/>
                <w:bCs w:val="1"/>
                <w:color w:val="FFFFFF"/>
                <w:w w:val="99"/>
              </w:rPr>
              <w:t>at December 31, 2025</w:t>
            </w:r>
          </w:p>
        </w:tc>
        <w:tc>
          <w:tcPr>
            <w:tcW w:w="140" w:type="dxa"/>
            <w:vAlign w:val="bottom"/>
            <w:shd w:val="clear" w:color="auto" w:fill="153A57"/>
          </w:tcPr>
          <w:p>
            <w:pPr>
              <w:spacing w:after="0"/>
              <w:rPr>
                <w:sz w:val="15"/>
                <w:szCs w:val="15"/>
                <w:color w:val="auto"/>
              </w:rPr>
            </w:pPr>
          </w:p>
        </w:tc>
        <w:tc>
          <w:tcPr>
            <w:tcW w:w="520" w:type="dxa"/>
            <w:vAlign w:val="bottom"/>
            <w:shd w:val="clear" w:color="auto" w:fill="153A57"/>
          </w:tcPr>
          <w:p>
            <w:pPr>
              <w:spacing w:after="0"/>
              <w:rPr>
                <w:sz w:val="15"/>
                <w:szCs w:val="15"/>
                <w:color w:val="auto"/>
              </w:rPr>
            </w:pPr>
          </w:p>
        </w:tc>
        <w:tc>
          <w:tcPr>
            <w:tcW w:w="320" w:type="dxa"/>
            <w:vAlign w:val="bottom"/>
            <w:shd w:val="clear" w:color="auto" w:fill="153A57"/>
          </w:tcPr>
          <w:p>
            <w:pPr>
              <w:spacing w:after="0"/>
              <w:rPr>
                <w:sz w:val="15"/>
                <w:szCs w:val="15"/>
                <w:color w:val="auto"/>
              </w:rPr>
            </w:pPr>
          </w:p>
        </w:tc>
        <w:tc>
          <w:tcPr>
            <w:tcW w:w="300" w:type="dxa"/>
            <w:vAlign w:val="bottom"/>
            <w:shd w:val="clear" w:color="auto" w:fill="153A57"/>
          </w:tcPr>
          <w:p>
            <w:pPr>
              <w:spacing w:after="0"/>
              <w:rPr>
                <w:sz w:val="15"/>
                <w:szCs w:val="15"/>
                <w:color w:val="auto"/>
              </w:rPr>
            </w:pPr>
          </w:p>
        </w:tc>
        <w:tc>
          <w:tcPr>
            <w:tcW w:w="1400" w:type="dxa"/>
            <w:vAlign w:val="bottom"/>
            <w:gridSpan w:val="5"/>
            <w:shd w:val="clear" w:color="auto" w:fill="153A57"/>
          </w:tcPr>
          <w:p>
            <w:pPr>
              <w:ind w:left="160"/>
              <w:spacing w:after="0"/>
              <w:rPr>
                <w:sz w:val="20"/>
                <w:szCs w:val="20"/>
                <w:color w:val="auto"/>
              </w:rPr>
            </w:pPr>
            <w:r>
              <w:rPr>
                <w:rFonts w:ascii="Arial" w:cs="Arial" w:eastAsia="Arial" w:hAnsi="Arial"/>
                <w:sz w:val="12"/>
                <w:szCs w:val="12"/>
                <w:b w:val="1"/>
                <w:bCs w:val="1"/>
                <w:color w:val="FFFFFF"/>
                <w:w w:val="99"/>
              </w:rPr>
              <w:t>at December 31, 2025</w:t>
            </w:r>
          </w:p>
        </w:tc>
        <w:tc>
          <w:tcPr>
            <w:tcW w:w="620" w:type="dxa"/>
            <w:vAlign w:val="bottom"/>
            <w:shd w:val="clear" w:color="auto" w:fill="153A57"/>
          </w:tcPr>
          <w:p>
            <w:pPr>
              <w:spacing w:after="0"/>
              <w:rPr>
                <w:sz w:val="15"/>
                <w:szCs w:val="15"/>
                <w:color w:val="auto"/>
              </w:rPr>
            </w:pPr>
          </w:p>
        </w:tc>
        <w:tc>
          <w:tcPr>
            <w:tcW w:w="540" w:type="dxa"/>
            <w:vAlign w:val="bottom"/>
            <w:shd w:val="clear" w:color="auto" w:fill="153A57"/>
          </w:tcPr>
          <w:p>
            <w:pPr>
              <w:spacing w:after="0"/>
              <w:rPr>
                <w:sz w:val="15"/>
                <w:szCs w:val="15"/>
                <w:color w:val="auto"/>
              </w:rPr>
            </w:pPr>
          </w:p>
        </w:tc>
        <w:tc>
          <w:tcPr>
            <w:tcW w:w="120" w:type="dxa"/>
            <w:vAlign w:val="bottom"/>
            <w:shd w:val="clear" w:color="auto" w:fill="153A57"/>
          </w:tcPr>
          <w:p>
            <w:pPr>
              <w:spacing w:after="0"/>
              <w:rPr>
                <w:sz w:val="15"/>
                <w:szCs w:val="15"/>
                <w:color w:val="auto"/>
              </w:rPr>
            </w:pPr>
          </w:p>
        </w:tc>
        <w:tc>
          <w:tcPr>
            <w:tcW w:w="2080" w:type="dxa"/>
            <w:vAlign w:val="bottom"/>
            <w:gridSpan w:val="3"/>
            <w:shd w:val="clear" w:color="auto" w:fill="153A57"/>
          </w:tcPr>
          <w:p>
            <w:pPr>
              <w:jc w:val="right"/>
              <w:ind w:right="660"/>
              <w:spacing w:after="0"/>
              <w:rPr>
                <w:sz w:val="20"/>
                <w:szCs w:val="20"/>
                <w:color w:val="auto"/>
              </w:rPr>
            </w:pPr>
            <w:r>
              <w:rPr>
                <w:rFonts w:ascii="Arial" w:cs="Arial" w:eastAsia="Arial" w:hAnsi="Arial"/>
                <w:sz w:val="12"/>
                <w:szCs w:val="12"/>
                <w:b w:val="1"/>
                <w:bCs w:val="1"/>
                <w:color w:val="FFFFFF"/>
              </w:rPr>
              <w:t>at December 31, 2025</w:t>
            </w:r>
          </w:p>
        </w:tc>
        <w:tc>
          <w:tcPr>
            <w:tcW w:w="1240" w:type="dxa"/>
            <w:vAlign w:val="bottom"/>
          </w:tcPr>
          <w:p>
            <w:pPr>
              <w:spacing w:after="0"/>
              <w:rPr>
                <w:sz w:val="15"/>
                <w:szCs w:val="15"/>
                <w:color w:val="auto"/>
              </w:rPr>
            </w:pPr>
          </w:p>
        </w:tc>
      </w:tr>
      <w:tr>
        <w:trPr>
          <w:trHeight w:val="206"/>
        </w:trPr>
        <w:tc>
          <w:tcPr>
            <w:tcW w:w="1380" w:type="dxa"/>
            <w:vAlign w:val="bottom"/>
            <w:shd w:val="clear" w:color="auto" w:fill="153A57"/>
          </w:tcPr>
          <w:p>
            <w:pPr>
              <w:spacing w:after="0"/>
              <w:rPr>
                <w:sz w:val="17"/>
                <w:szCs w:val="17"/>
                <w:color w:val="auto"/>
              </w:rPr>
            </w:pPr>
          </w:p>
        </w:tc>
        <w:tc>
          <w:tcPr>
            <w:tcW w:w="700" w:type="dxa"/>
            <w:vAlign w:val="bottom"/>
            <w:shd w:val="clear" w:color="auto" w:fill="153A57"/>
          </w:tcPr>
          <w:p>
            <w:pPr>
              <w:jc w:val="center"/>
              <w:spacing w:after="0"/>
              <w:rPr>
                <w:sz w:val="20"/>
                <w:szCs w:val="20"/>
                <w:color w:val="auto"/>
              </w:rPr>
            </w:pPr>
            <w:r>
              <w:rPr>
                <w:rFonts w:ascii="Arial" w:cs="Arial" w:eastAsia="Arial" w:hAnsi="Arial"/>
                <w:sz w:val="12"/>
                <w:szCs w:val="12"/>
                <w:b w:val="1"/>
                <w:bCs w:val="1"/>
                <w:color w:val="FFFFFF"/>
                <w:w w:val="97"/>
              </w:rPr>
              <w:t>Total</w:t>
            </w:r>
          </w:p>
        </w:tc>
        <w:tc>
          <w:tcPr>
            <w:tcW w:w="40" w:type="dxa"/>
            <w:vAlign w:val="bottom"/>
            <w:shd w:val="clear" w:color="auto" w:fill="153A57"/>
          </w:tcPr>
          <w:p>
            <w:pPr>
              <w:spacing w:after="0"/>
              <w:rPr>
                <w:sz w:val="17"/>
                <w:szCs w:val="17"/>
                <w:color w:val="auto"/>
              </w:rPr>
            </w:pPr>
          </w:p>
        </w:tc>
        <w:tc>
          <w:tcPr>
            <w:tcW w:w="540" w:type="dxa"/>
            <w:vAlign w:val="bottom"/>
            <w:shd w:val="clear" w:color="auto" w:fill="153A57"/>
          </w:tcPr>
          <w:p>
            <w:pPr>
              <w:spacing w:after="0"/>
              <w:rPr>
                <w:sz w:val="17"/>
                <w:szCs w:val="17"/>
                <w:color w:val="auto"/>
              </w:rPr>
            </w:pPr>
          </w:p>
        </w:tc>
        <w:tc>
          <w:tcPr>
            <w:tcW w:w="700" w:type="dxa"/>
            <w:vAlign w:val="bottom"/>
            <w:shd w:val="clear" w:color="auto" w:fill="153A57"/>
          </w:tcPr>
          <w:p>
            <w:pPr>
              <w:spacing w:after="0"/>
              <w:rPr>
                <w:sz w:val="17"/>
                <w:szCs w:val="17"/>
                <w:color w:val="auto"/>
              </w:rPr>
            </w:pPr>
          </w:p>
        </w:tc>
        <w:tc>
          <w:tcPr>
            <w:tcW w:w="140" w:type="dxa"/>
            <w:vAlign w:val="bottom"/>
            <w:shd w:val="clear" w:color="auto" w:fill="153A57"/>
          </w:tcPr>
          <w:p>
            <w:pPr>
              <w:spacing w:after="0"/>
              <w:rPr>
                <w:sz w:val="17"/>
                <w:szCs w:val="17"/>
                <w:color w:val="auto"/>
              </w:rPr>
            </w:pPr>
          </w:p>
        </w:tc>
        <w:tc>
          <w:tcPr>
            <w:tcW w:w="520" w:type="dxa"/>
            <w:vAlign w:val="bottom"/>
            <w:shd w:val="clear" w:color="auto" w:fill="153A57"/>
          </w:tcPr>
          <w:p>
            <w:pPr>
              <w:spacing w:after="0"/>
              <w:rPr>
                <w:sz w:val="17"/>
                <w:szCs w:val="17"/>
                <w:color w:val="auto"/>
              </w:rPr>
            </w:pPr>
          </w:p>
        </w:tc>
        <w:tc>
          <w:tcPr>
            <w:tcW w:w="620" w:type="dxa"/>
            <w:vAlign w:val="bottom"/>
            <w:gridSpan w:val="2"/>
            <w:shd w:val="clear" w:color="auto" w:fill="153A57"/>
          </w:tcPr>
          <w:p>
            <w:pPr>
              <w:jc w:val="center"/>
              <w:spacing w:after="0"/>
              <w:rPr>
                <w:sz w:val="20"/>
                <w:szCs w:val="20"/>
                <w:color w:val="auto"/>
              </w:rPr>
            </w:pPr>
            <w:r>
              <w:rPr>
                <w:rFonts w:ascii="Arial" w:cs="Arial" w:eastAsia="Arial" w:hAnsi="Arial"/>
                <w:sz w:val="12"/>
                <w:szCs w:val="12"/>
                <w:b w:val="1"/>
                <w:bCs w:val="1"/>
                <w:color w:val="FFFFFF"/>
              </w:rPr>
              <w:t>Total</w:t>
            </w:r>
          </w:p>
        </w:tc>
        <w:tc>
          <w:tcPr>
            <w:tcW w:w="360" w:type="dxa"/>
            <w:vAlign w:val="bottom"/>
            <w:shd w:val="clear" w:color="auto" w:fill="153A57"/>
          </w:tcPr>
          <w:p>
            <w:pPr>
              <w:spacing w:after="0"/>
              <w:rPr>
                <w:sz w:val="17"/>
                <w:szCs w:val="17"/>
                <w:color w:val="auto"/>
              </w:rPr>
            </w:pPr>
          </w:p>
        </w:tc>
        <w:tc>
          <w:tcPr>
            <w:tcW w:w="100" w:type="dxa"/>
            <w:vAlign w:val="bottom"/>
            <w:shd w:val="clear" w:color="auto" w:fill="153A57"/>
          </w:tcPr>
          <w:p>
            <w:pPr>
              <w:spacing w:after="0"/>
              <w:rPr>
                <w:sz w:val="17"/>
                <w:szCs w:val="17"/>
                <w:color w:val="auto"/>
              </w:rPr>
            </w:pPr>
          </w:p>
        </w:tc>
        <w:tc>
          <w:tcPr>
            <w:tcW w:w="100" w:type="dxa"/>
            <w:vAlign w:val="bottom"/>
            <w:shd w:val="clear" w:color="auto" w:fill="153A57"/>
          </w:tcPr>
          <w:p>
            <w:pPr>
              <w:spacing w:after="0"/>
              <w:rPr>
                <w:sz w:val="17"/>
                <w:szCs w:val="17"/>
                <w:color w:val="auto"/>
              </w:rPr>
            </w:pPr>
          </w:p>
        </w:tc>
        <w:tc>
          <w:tcPr>
            <w:tcW w:w="500" w:type="dxa"/>
            <w:vAlign w:val="bottom"/>
            <w:shd w:val="clear" w:color="auto" w:fill="153A57"/>
          </w:tcPr>
          <w:p>
            <w:pPr>
              <w:spacing w:after="0"/>
              <w:rPr>
                <w:sz w:val="17"/>
                <w:szCs w:val="17"/>
                <w:color w:val="auto"/>
              </w:rPr>
            </w:pPr>
          </w:p>
        </w:tc>
        <w:tc>
          <w:tcPr>
            <w:tcW w:w="340" w:type="dxa"/>
            <w:vAlign w:val="bottom"/>
            <w:shd w:val="clear" w:color="auto" w:fill="153A57"/>
          </w:tcPr>
          <w:p>
            <w:pPr>
              <w:spacing w:after="0"/>
              <w:rPr>
                <w:sz w:val="17"/>
                <w:szCs w:val="17"/>
                <w:color w:val="auto"/>
              </w:rPr>
            </w:pPr>
          </w:p>
        </w:tc>
        <w:tc>
          <w:tcPr>
            <w:tcW w:w="620" w:type="dxa"/>
            <w:vAlign w:val="bottom"/>
            <w:shd w:val="clear" w:color="auto" w:fill="153A57"/>
          </w:tcPr>
          <w:p>
            <w:pPr>
              <w:spacing w:after="0"/>
              <w:rPr>
                <w:sz w:val="17"/>
                <w:szCs w:val="17"/>
                <w:color w:val="auto"/>
              </w:rPr>
            </w:pPr>
          </w:p>
        </w:tc>
        <w:tc>
          <w:tcPr>
            <w:tcW w:w="540" w:type="dxa"/>
            <w:vAlign w:val="bottom"/>
            <w:shd w:val="clear" w:color="auto" w:fill="153A57"/>
          </w:tcPr>
          <w:p>
            <w:pPr>
              <w:jc w:val="center"/>
              <w:ind w:left="180"/>
              <w:spacing w:after="0"/>
              <w:rPr>
                <w:sz w:val="20"/>
                <w:szCs w:val="20"/>
                <w:color w:val="auto"/>
              </w:rPr>
            </w:pPr>
            <w:r>
              <w:rPr>
                <w:rFonts w:ascii="Arial" w:cs="Arial" w:eastAsia="Arial" w:hAnsi="Arial"/>
                <w:sz w:val="12"/>
                <w:szCs w:val="12"/>
                <w:b w:val="1"/>
                <w:bCs w:val="1"/>
                <w:color w:val="FFFFFF"/>
              </w:rPr>
              <w:t>Total</w:t>
            </w:r>
          </w:p>
        </w:tc>
        <w:tc>
          <w:tcPr>
            <w:tcW w:w="120" w:type="dxa"/>
            <w:vAlign w:val="bottom"/>
            <w:shd w:val="clear" w:color="auto" w:fill="153A57"/>
          </w:tcPr>
          <w:p>
            <w:pPr>
              <w:spacing w:after="0"/>
              <w:rPr>
                <w:sz w:val="17"/>
                <w:szCs w:val="17"/>
                <w:color w:val="auto"/>
              </w:rPr>
            </w:pPr>
          </w:p>
        </w:tc>
        <w:tc>
          <w:tcPr>
            <w:tcW w:w="560" w:type="dxa"/>
            <w:vAlign w:val="bottom"/>
            <w:shd w:val="clear" w:color="auto" w:fill="153A57"/>
          </w:tcPr>
          <w:p>
            <w:pPr>
              <w:spacing w:after="0"/>
              <w:rPr>
                <w:sz w:val="17"/>
                <w:szCs w:val="17"/>
                <w:color w:val="auto"/>
              </w:rPr>
            </w:pPr>
          </w:p>
        </w:tc>
        <w:tc>
          <w:tcPr>
            <w:tcW w:w="720" w:type="dxa"/>
            <w:vAlign w:val="bottom"/>
            <w:shd w:val="clear" w:color="auto" w:fill="153A57"/>
          </w:tcPr>
          <w:p>
            <w:pPr>
              <w:spacing w:after="0"/>
              <w:rPr>
                <w:sz w:val="17"/>
                <w:szCs w:val="17"/>
                <w:color w:val="auto"/>
              </w:rPr>
            </w:pPr>
          </w:p>
        </w:tc>
        <w:tc>
          <w:tcPr>
            <w:tcW w:w="800" w:type="dxa"/>
            <w:vAlign w:val="bottom"/>
            <w:shd w:val="clear" w:color="auto" w:fill="153A57"/>
          </w:tcPr>
          <w:p>
            <w:pPr>
              <w:spacing w:after="0"/>
              <w:rPr>
                <w:sz w:val="17"/>
                <w:szCs w:val="17"/>
                <w:color w:val="auto"/>
              </w:rPr>
            </w:pPr>
          </w:p>
        </w:tc>
        <w:tc>
          <w:tcPr>
            <w:tcW w:w="1240" w:type="dxa"/>
            <w:vAlign w:val="bottom"/>
          </w:tcPr>
          <w:p>
            <w:pPr>
              <w:spacing w:after="0"/>
              <w:rPr>
                <w:sz w:val="17"/>
                <w:szCs w:val="17"/>
                <w:color w:val="auto"/>
              </w:rPr>
            </w:pPr>
          </w:p>
        </w:tc>
      </w:tr>
      <w:tr>
        <w:trPr>
          <w:trHeight w:val="181"/>
        </w:trPr>
        <w:tc>
          <w:tcPr>
            <w:tcW w:w="1380" w:type="dxa"/>
            <w:vAlign w:val="bottom"/>
            <w:shd w:val="clear" w:color="auto" w:fill="153A57"/>
          </w:tcPr>
          <w:p>
            <w:pPr>
              <w:spacing w:after="0"/>
              <w:rPr>
                <w:sz w:val="15"/>
                <w:szCs w:val="15"/>
                <w:color w:val="auto"/>
              </w:rPr>
            </w:pPr>
          </w:p>
        </w:tc>
        <w:tc>
          <w:tcPr>
            <w:tcW w:w="700" w:type="dxa"/>
            <w:vAlign w:val="bottom"/>
            <w:shd w:val="clear" w:color="auto" w:fill="153A57"/>
          </w:tcPr>
          <w:p>
            <w:pPr>
              <w:jc w:val="center"/>
              <w:spacing w:after="0"/>
              <w:rPr>
                <w:sz w:val="20"/>
                <w:szCs w:val="20"/>
                <w:color w:val="auto"/>
              </w:rPr>
            </w:pPr>
            <w:r>
              <w:rPr>
                <w:rFonts w:ascii="Arial" w:cs="Arial" w:eastAsia="Arial" w:hAnsi="Arial"/>
                <w:sz w:val="12"/>
                <w:szCs w:val="12"/>
                <w:b w:val="1"/>
                <w:bCs w:val="1"/>
                <w:color w:val="FFFFFF"/>
                <w:w w:val="95"/>
              </w:rPr>
              <w:t>brine</w:t>
            </w:r>
          </w:p>
        </w:tc>
        <w:tc>
          <w:tcPr>
            <w:tcW w:w="40" w:type="dxa"/>
            <w:vAlign w:val="bottom"/>
            <w:shd w:val="clear" w:color="auto" w:fill="153A57"/>
          </w:tcPr>
          <w:p>
            <w:pPr>
              <w:spacing w:after="0"/>
              <w:rPr>
                <w:sz w:val="15"/>
                <w:szCs w:val="15"/>
                <w:color w:val="auto"/>
              </w:rPr>
            </w:pPr>
          </w:p>
        </w:tc>
        <w:tc>
          <w:tcPr>
            <w:tcW w:w="540" w:type="dxa"/>
            <w:vAlign w:val="bottom"/>
            <w:shd w:val="clear" w:color="auto" w:fill="153A57"/>
          </w:tcPr>
          <w:p>
            <w:pPr>
              <w:spacing w:after="0"/>
              <w:rPr>
                <w:sz w:val="15"/>
                <w:szCs w:val="15"/>
                <w:color w:val="auto"/>
              </w:rPr>
            </w:pPr>
          </w:p>
        </w:tc>
        <w:tc>
          <w:tcPr>
            <w:tcW w:w="700" w:type="dxa"/>
            <w:vAlign w:val="bottom"/>
            <w:shd w:val="clear" w:color="auto" w:fill="153A57"/>
          </w:tcPr>
          <w:p>
            <w:pPr>
              <w:jc w:val="center"/>
              <w:ind w:right="80"/>
              <w:spacing w:after="0"/>
              <w:rPr>
                <w:sz w:val="20"/>
                <w:szCs w:val="20"/>
                <w:color w:val="auto"/>
              </w:rPr>
            </w:pPr>
            <w:r>
              <w:rPr>
                <w:rFonts w:ascii="Arial" w:cs="Arial" w:eastAsia="Arial" w:hAnsi="Arial"/>
                <w:sz w:val="12"/>
                <w:szCs w:val="12"/>
                <w:b w:val="1"/>
                <w:bCs w:val="1"/>
                <w:color w:val="FFFFFF"/>
              </w:rPr>
              <w:t>Lithium</w:t>
            </w:r>
          </w:p>
        </w:tc>
        <w:tc>
          <w:tcPr>
            <w:tcW w:w="140" w:type="dxa"/>
            <w:vAlign w:val="bottom"/>
            <w:shd w:val="clear" w:color="auto" w:fill="153A57"/>
          </w:tcPr>
          <w:p>
            <w:pPr>
              <w:spacing w:after="0"/>
              <w:rPr>
                <w:sz w:val="15"/>
                <w:szCs w:val="15"/>
                <w:color w:val="auto"/>
              </w:rPr>
            </w:pPr>
          </w:p>
        </w:tc>
        <w:tc>
          <w:tcPr>
            <w:tcW w:w="520" w:type="dxa"/>
            <w:vAlign w:val="bottom"/>
            <w:shd w:val="clear" w:color="auto" w:fill="153A57"/>
          </w:tcPr>
          <w:p>
            <w:pPr>
              <w:spacing w:after="0"/>
              <w:rPr>
                <w:sz w:val="15"/>
                <w:szCs w:val="15"/>
                <w:color w:val="auto"/>
              </w:rPr>
            </w:pPr>
          </w:p>
        </w:tc>
        <w:tc>
          <w:tcPr>
            <w:tcW w:w="620" w:type="dxa"/>
            <w:vAlign w:val="bottom"/>
            <w:gridSpan w:val="2"/>
            <w:shd w:val="clear" w:color="auto" w:fill="153A57"/>
          </w:tcPr>
          <w:p>
            <w:pPr>
              <w:jc w:val="center"/>
              <w:spacing w:after="0"/>
              <w:rPr>
                <w:sz w:val="20"/>
                <w:szCs w:val="20"/>
                <w:color w:val="auto"/>
              </w:rPr>
            </w:pPr>
            <w:r>
              <w:rPr>
                <w:rFonts w:ascii="Arial" w:cs="Arial" w:eastAsia="Arial" w:hAnsi="Arial"/>
                <w:sz w:val="12"/>
                <w:szCs w:val="12"/>
                <w:b w:val="1"/>
                <w:bCs w:val="1"/>
                <w:color w:val="FFFFFF"/>
              </w:rPr>
              <w:t>brine</w:t>
            </w:r>
          </w:p>
        </w:tc>
        <w:tc>
          <w:tcPr>
            <w:tcW w:w="360" w:type="dxa"/>
            <w:vAlign w:val="bottom"/>
            <w:shd w:val="clear" w:color="auto" w:fill="153A57"/>
          </w:tcPr>
          <w:p>
            <w:pPr>
              <w:spacing w:after="0"/>
              <w:rPr>
                <w:sz w:val="15"/>
                <w:szCs w:val="15"/>
                <w:color w:val="auto"/>
              </w:rPr>
            </w:pPr>
          </w:p>
        </w:tc>
        <w:tc>
          <w:tcPr>
            <w:tcW w:w="100" w:type="dxa"/>
            <w:vAlign w:val="bottom"/>
            <w:shd w:val="clear" w:color="auto" w:fill="153A57"/>
          </w:tcPr>
          <w:p>
            <w:pPr>
              <w:spacing w:after="0"/>
              <w:rPr>
                <w:sz w:val="15"/>
                <w:szCs w:val="15"/>
                <w:color w:val="auto"/>
              </w:rPr>
            </w:pPr>
          </w:p>
        </w:tc>
        <w:tc>
          <w:tcPr>
            <w:tcW w:w="100" w:type="dxa"/>
            <w:vAlign w:val="bottom"/>
            <w:shd w:val="clear" w:color="auto" w:fill="153A57"/>
          </w:tcPr>
          <w:p>
            <w:pPr>
              <w:spacing w:after="0"/>
              <w:rPr>
                <w:sz w:val="15"/>
                <w:szCs w:val="15"/>
                <w:color w:val="auto"/>
              </w:rPr>
            </w:pPr>
          </w:p>
        </w:tc>
        <w:tc>
          <w:tcPr>
            <w:tcW w:w="840" w:type="dxa"/>
            <w:vAlign w:val="bottom"/>
            <w:gridSpan w:val="2"/>
            <w:shd w:val="clear" w:color="auto" w:fill="153A57"/>
          </w:tcPr>
          <w:p>
            <w:pPr>
              <w:jc w:val="center"/>
              <w:ind w:left="160"/>
              <w:spacing w:after="0"/>
              <w:rPr>
                <w:sz w:val="20"/>
                <w:szCs w:val="20"/>
                <w:color w:val="auto"/>
              </w:rPr>
            </w:pPr>
            <w:r>
              <w:rPr>
                <w:rFonts w:ascii="Arial" w:cs="Arial" w:eastAsia="Arial" w:hAnsi="Arial"/>
                <w:sz w:val="12"/>
                <w:szCs w:val="12"/>
                <w:b w:val="1"/>
                <w:bCs w:val="1"/>
                <w:color w:val="FFFFFF"/>
                <w:w w:val="96"/>
              </w:rPr>
              <w:t>Lithium</w:t>
            </w:r>
          </w:p>
        </w:tc>
        <w:tc>
          <w:tcPr>
            <w:tcW w:w="620" w:type="dxa"/>
            <w:vAlign w:val="bottom"/>
            <w:shd w:val="clear" w:color="auto" w:fill="153A57"/>
          </w:tcPr>
          <w:p>
            <w:pPr>
              <w:spacing w:after="0"/>
              <w:rPr>
                <w:sz w:val="15"/>
                <w:szCs w:val="15"/>
                <w:color w:val="auto"/>
              </w:rPr>
            </w:pPr>
          </w:p>
        </w:tc>
        <w:tc>
          <w:tcPr>
            <w:tcW w:w="540" w:type="dxa"/>
            <w:vAlign w:val="bottom"/>
            <w:shd w:val="clear" w:color="auto" w:fill="153A57"/>
          </w:tcPr>
          <w:p>
            <w:pPr>
              <w:jc w:val="center"/>
              <w:ind w:left="180"/>
              <w:spacing w:after="0"/>
              <w:rPr>
                <w:sz w:val="20"/>
                <w:szCs w:val="20"/>
                <w:color w:val="auto"/>
              </w:rPr>
            </w:pPr>
            <w:r>
              <w:rPr>
                <w:rFonts w:ascii="Arial" w:cs="Arial" w:eastAsia="Arial" w:hAnsi="Arial"/>
                <w:sz w:val="12"/>
                <w:szCs w:val="12"/>
                <w:b w:val="1"/>
                <w:bCs w:val="1"/>
                <w:color w:val="FFFFFF"/>
              </w:rPr>
              <w:t>brine</w:t>
            </w:r>
          </w:p>
        </w:tc>
        <w:tc>
          <w:tcPr>
            <w:tcW w:w="120" w:type="dxa"/>
            <w:vAlign w:val="bottom"/>
            <w:shd w:val="clear" w:color="auto" w:fill="153A57"/>
          </w:tcPr>
          <w:p>
            <w:pPr>
              <w:spacing w:after="0"/>
              <w:rPr>
                <w:sz w:val="15"/>
                <w:szCs w:val="15"/>
                <w:color w:val="auto"/>
              </w:rPr>
            </w:pPr>
          </w:p>
        </w:tc>
        <w:tc>
          <w:tcPr>
            <w:tcW w:w="560" w:type="dxa"/>
            <w:vAlign w:val="bottom"/>
            <w:shd w:val="clear" w:color="auto" w:fill="153A57"/>
          </w:tcPr>
          <w:p>
            <w:pPr>
              <w:spacing w:after="0"/>
              <w:rPr>
                <w:sz w:val="15"/>
                <w:szCs w:val="15"/>
                <w:color w:val="auto"/>
              </w:rPr>
            </w:pPr>
          </w:p>
        </w:tc>
        <w:tc>
          <w:tcPr>
            <w:tcW w:w="720" w:type="dxa"/>
            <w:vAlign w:val="bottom"/>
            <w:shd w:val="clear" w:color="auto" w:fill="153A57"/>
          </w:tcPr>
          <w:p>
            <w:pPr>
              <w:jc w:val="center"/>
              <w:spacing w:after="0"/>
              <w:rPr>
                <w:sz w:val="20"/>
                <w:szCs w:val="20"/>
                <w:color w:val="auto"/>
              </w:rPr>
            </w:pPr>
            <w:r>
              <w:rPr>
                <w:rFonts w:ascii="Arial" w:cs="Arial" w:eastAsia="Arial" w:hAnsi="Arial"/>
                <w:sz w:val="12"/>
                <w:szCs w:val="12"/>
                <w:b w:val="1"/>
                <w:bCs w:val="1"/>
                <w:color w:val="FFFFFF"/>
              </w:rPr>
              <w:t>Lithium</w:t>
            </w:r>
          </w:p>
        </w:tc>
        <w:tc>
          <w:tcPr>
            <w:tcW w:w="800" w:type="dxa"/>
            <w:vAlign w:val="bottom"/>
            <w:shd w:val="clear" w:color="auto" w:fill="153A57"/>
          </w:tcPr>
          <w:p>
            <w:pPr>
              <w:spacing w:after="0"/>
              <w:rPr>
                <w:sz w:val="15"/>
                <w:szCs w:val="15"/>
                <w:color w:val="auto"/>
              </w:rPr>
            </w:pPr>
          </w:p>
        </w:tc>
        <w:tc>
          <w:tcPr>
            <w:tcW w:w="1240" w:type="dxa"/>
            <w:vAlign w:val="bottom"/>
          </w:tcPr>
          <w:p>
            <w:pPr>
              <w:spacing w:after="0"/>
              <w:rPr>
                <w:sz w:val="15"/>
                <w:szCs w:val="15"/>
                <w:color w:val="auto"/>
              </w:rPr>
            </w:pPr>
          </w:p>
        </w:tc>
      </w:tr>
      <w:tr>
        <w:trPr>
          <w:trHeight w:val="197"/>
        </w:trPr>
        <w:tc>
          <w:tcPr>
            <w:tcW w:w="1380" w:type="dxa"/>
            <w:vAlign w:val="bottom"/>
            <w:tcBorders>
              <w:bottom w:val="single" w:sz="8" w:color="153A57"/>
            </w:tcBorders>
            <w:shd w:val="clear" w:color="auto" w:fill="153A57"/>
          </w:tcPr>
          <w:p>
            <w:pPr>
              <w:spacing w:after="0"/>
              <w:rPr>
                <w:sz w:val="17"/>
                <w:szCs w:val="17"/>
                <w:color w:val="auto"/>
              </w:rPr>
            </w:pPr>
          </w:p>
        </w:tc>
        <w:tc>
          <w:tcPr>
            <w:tcW w:w="700" w:type="dxa"/>
            <w:vAlign w:val="bottom"/>
            <w:tcBorders>
              <w:bottom w:val="single" w:sz="8" w:color="153A57"/>
            </w:tcBorders>
            <w:shd w:val="clear" w:color="auto" w:fill="153A57"/>
          </w:tcPr>
          <w:p>
            <w:pPr>
              <w:jc w:val="center"/>
              <w:spacing w:after="0"/>
              <w:rPr>
                <w:sz w:val="20"/>
                <w:szCs w:val="20"/>
                <w:color w:val="auto"/>
              </w:rPr>
            </w:pPr>
            <w:r>
              <w:rPr>
                <w:rFonts w:ascii="Arial" w:cs="Arial" w:eastAsia="Arial" w:hAnsi="Arial"/>
                <w:sz w:val="12"/>
                <w:szCs w:val="12"/>
                <w:b w:val="1"/>
                <w:bCs w:val="1"/>
                <w:color w:val="FFFFFF"/>
                <w:w w:val="99"/>
              </w:rPr>
              <w:t>volume</w:t>
            </w:r>
          </w:p>
        </w:tc>
        <w:tc>
          <w:tcPr>
            <w:tcW w:w="580" w:type="dxa"/>
            <w:vAlign w:val="bottom"/>
            <w:tcBorders>
              <w:bottom w:val="single" w:sz="8" w:color="153A57"/>
            </w:tcBorders>
            <w:gridSpan w:val="2"/>
            <w:shd w:val="clear" w:color="auto" w:fill="153A57"/>
          </w:tcPr>
          <w:p>
            <w:pPr>
              <w:jc w:val="center"/>
              <w:ind w:right="100"/>
              <w:spacing w:after="0"/>
              <w:rPr>
                <w:sz w:val="20"/>
                <w:szCs w:val="20"/>
                <w:color w:val="auto"/>
              </w:rPr>
            </w:pPr>
            <w:r>
              <w:rPr>
                <w:rFonts w:ascii="Arial" w:cs="Arial" w:eastAsia="Arial" w:hAnsi="Arial"/>
                <w:sz w:val="12"/>
                <w:szCs w:val="12"/>
                <w:b w:val="1"/>
                <w:bCs w:val="1"/>
                <w:color w:val="FFFFFF"/>
                <w:w w:val="97"/>
              </w:rPr>
              <w:t>Grade</w:t>
            </w:r>
          </w:p>
        </w:tc>
        <w:tc>
          <w:tcPr>
            <w:tcW w:w="700" w:type="dxa"/>
            <w:vAlign w:val="bottom"/>
            <w:tcBorders>
              <w:bottom w:val="single" w:sz="8" w:color="153A57"/>
            </w:tcBorders>
            <w:shd w:val="clear" w:color="auto" w:fill="153A57"/>
          </w:tcPr>
          <w:p>
            <w:pPr>
              <w:jc w:val="center"/>
              <w:ind w:right="80"/>
              <w:spacing w:after="0"/>
              <w:rPr>
                <w:sz w:val="20"/>
                <w:szCs w:val="20"/>
                <w:color w:val="auto"/>
              </w:rPr>
            </w:pPr>
            <w:r>
              <w:rPr>
                <w:rFonts w:ascii="Arial" w:cs="Arial" w:eastAsia="Arial" w:hAnsi="Arial"/>
                <w:sz w:val="12"/>
                <w:szCs w:val="12"/>
                <w:b w:val="1"/>
                <w:bCs w:val="1"/>
                <w:color w:val="FFFFFF"/>
              </w:rPr>
              <w:t>metal</w:t>
            </w:r>
          </w:p>
        </w:tc>
        <w:tc>
          <w:tcPr>
            <w:tcW w:w="140" w:type="dxa"/>
            <w:vAlign w:val="bottom"/>
            <w:tcBorders>
              <w:bottom w:val="single" w:sz="8" w:color="153A57"/>
            </w:tcBorders>
            <w:shd w:val="clear" w:color="auto" w:fill="153A57"/>
          </w:tcPr>
          <w:p>
            <w:pPr>
              <w:spacing w:after="0"/>
              <w:rPr>
                <w:sz w:val="17"/>
                <w:szCs w:val="17"/>
                <w:color w:val="auto"/>
              </w:rPr>
            </w:pPr>
          </w:p>
        </w:tc>
        <w:tc>
          <w:tcPr>
            <w:tcW w:w="520" w:type="dxa"/>
            <w:vAlign w:val="bottom"/>
            <w:tcBorders>
              <w:bottom w:val="single" w:sz="8" w:color="153A57"/>
            </w:tcBorders>
            <w:shd w:val="clear" w:color="auto" w:fill="153A57"/>
          </w:tcPr>
          <w:p>
            <w:pPr>
              <w:jc w:val="center"/>
              <w:ind w:right="100"/>
              <w:spacing w:after="0"/>
              <w:rPr>
                <w:sz w:val="20"/>
                <w:szCs w:val="20"/>
                <w:color w:val="auto"/>
              </w:rPr>
            </w:pPr>
            <w:r>
              <w:rPr>
                <w:rFonts w:ascii="Arial" w:cs="Arial" w:eastAsia="Arial" w:hAnsi="Arial"/>
                <w:sz w:val="12"/>
                <w:szCs w:val="12"/>
                <w:b w:val="1"/>
                <w:bCs w:val="1"/>
                <w:color w:val="FFFFFF"/>
                <w:w w:val="99"/>
              </w:rPr>
              <w:t>LCE</w:t>
            </w:r>
          </w:p>
        </w:tc>
        <w:tc>
          <w:tcPr>
            <w:tcW w:w="620" w:type="dxa"/>
            <w:vAlign w:val="bottom"/>
            <w:tcBorders>
              <w:bottom w:val="single" w:sz="8" w:color="153A57"/>
            </w:tcBorders>
            <w:gridSpan w:val="2"/>
            <w:shd w:val="clear" w:color="auto" w:fill="153A57"/>
          </w:tcPr>
          <w:p>
            <w:pPr>
              <w:jc w:val="center"/>
              <w:spacing w:after="0"/>
              <w:rPr>
                <w:sz w:val="20"/>
                <w:szCs w:val="20"/>
                <w:color w:val="auto"/>
              </w:rPr>
            </w:pPr>
            <w:r>
              <w:rPr>
                <w:rFonts w:ascii="Arial" w:cs="Arial" w:eastAsia="Arial" w:hAnsi="Arial"/>
                <w:sz w:val="12"/>
                <w:szCs w:val="12"/>
                <w:b w:val="1"/>
                <w:bCs w:val="1"/>
                <w:color w:val="FFFFFF"/>
                <w:w w:val="99"/>
              </w:rPr>
              <w:t>volume</w:t>
            </w:r>
          </w:p>
        </w:tc>
        <w:tc>
          <w:tcPr>
            <w:tcW w:w="560" w:type="dxa"/>
            <w:vAlign w:val="bottom"/>
            <w:tcBorders>
              <w:bottom w:val="single" w:sz="8" w:color="153A57"/>
            </w:tcBorders>
            <w:gridSpan w:val="3"/>
            <w:shd w:val="clear" w:color="auto" w:fill="153A57"/>
          </w:tcPr>
          <w:p>
            <w:pPr>
              <w:jc w:val="center"/>
              <w:ind w:left="80"/>
              <w:spacing w:after="0"/>
              <w:rPr>
                <w:sz w:val="20"/>
                <w:szCs w:val="20"/>
                <w:color w:val="auto"/>
              </w:rPr>
            </w:pPr>
            <w:r>
              <w:rPr>
                <w:rFonts w:ascii="Arial" w:cs="Arial" w:eastAsia="Arial" w:hAnsi="Arial"/>
                <w:sz w:val="12"/>
                <w:szCs w:val="12"/>
                <w:b w:val="1"/>
                <w:bCs w:val="1"/>
                <w:color w:val="FFFFFF"/>
                <w:w w:val="97"/>
              </w:rPr>
              <w:t>Grade</w:t>
            </w:r>
          </w:p>
        </w:tc>
        <w:tc>
          <w:tcPr>
            <w:tcW w:w="840" w:type="dxa"/>
            <w:vAlign w:val="bottom"/>
            <w:tcBorders>
              <w:bottom w:val="single" w:sz="8" w:color="153A57"/>
            </w:tcBorders>
            <w:gridSpan w:val="2"/>
            <w:shd w:val="clear" w:color="auto" w:fill="153A57"/>
          </w:tcPr>
          <w:p>
            <w:pPr>
              <w:jc w:val="center"/>
              <w:ind w:left="160"/>
              <w:spacing w:after="0"/>
              <w:rPr>
                <w:sz w:val="20"/>
                <w:szCs w:val="20"/>
                <w:color w:val="auto"/>
              </w:rPr>
            </w:pPr>
            <w:r>
              <w:rPr>
                <w:rFonts w:ascii="Arial" w:cs="Arial" w:eastAsia="Arial" w:hAnsi="Arial"/>
                <w:sz w:val="12"/>
                <w:szCs w:val="12"/>
                <w:b w:val="1"/>
                <w:bCs w:val="1"/>
                <w:color w:val="FFFFFF"/>
                <w:w w:val="95"/>
              </w:rPr>
              <w:t>metal</w:t>
            </w:r>
          </w:p>
        </w:tc>
        <w:tc>
          <w:tcPr>
            <w:tcW w:w="620" w:type="dxa"/>
            <w:vAlign w:val="bottom"/>
            <w:tcBorders>
              <w:bottom w:val="single" w:sz="8" w:color="153A57"/>
            </w:tcBorders>
            <w:shd w:val="clear" w:color="auto" w:fill="153A57"/>
          </w:tcPr>
          <w:p>
            <w:pPr>
              <w:jc w:val="center"/>
              <w:ind w:left="121"/>
              <w:spacing w:after="0"/>
              <w:rPr>
                <w:sz w:val="20"/>
                <w:szCs w:val="20"/>
                <w:color w:val="auto"/>
              </w:rPr>
            </w:pPr>
            <w:r>
              <w:rPr>
                <w:rFonts w:ascii="Arial" w:cs="Arial" w:eastAsia="Arial" w:hAnsi="Arial"/>
                <w:sz w:val="12"/>
                <w:szCs w:val="12"/>
                <w:b w:val="1"/>
                <w:bCs w:val="1"/>
                <w:color w:val="FFFFFF"/>
                <w:w w:val="99"/>
              </w:rPr>
              <w:t>LCE</w:t>
            </w:r>
          </w:p>
        </w:tc>
        <w:tc>
          <w:tcPr>
            <w:tcW w:w="660" w:type="dxa"/>
            <w:vAlign w:val="bottom"/>
            <w:tcBorders>
              <w:bottom w:val="single" w:sz="8" w:color="153A57"/>
            </w:tcBorders>
            <w:gridSpan w:val="2"/>
            <w:shd w:val="clear" w:color="auto" w:fill="153A57"/>
          </w:tcPr>
          <w:p>
            <w:pPr>
              <w:jc w:val="center"/>
              <w:ind w:left="60"/>
              <w:spacing w:after="0"/>
              <w:rPr>
                <w:sz w:val="20"/>
                <w:szCs w:val="20"/>
                <w:color w:val="auto"/>
              </w:rPr>
            </w:pPr>
            <w:r>
              <w:rPr>
                <w:rFonts w:ascii="Arial" w:cs="Arial" w:eastAsia="Arial" w:hAnsi="Arial"/>
                <w:sz w:val="12"/>
                <w:szCs w:val="12"/>
                <w:b w:val="1"/>
                <w:bCs w:val="1"/>
                <w:color w:val="FFFFFF"/>
                <w:w w:val="99"/>
              </w:rPr>
              <w:t>volume</w:t>
            </w:r>
          </w:p>
        </w:tc>
        <w:tc>
          <w:tcPr>
            <w:tcW w:w="560" w:type="dxa"/>
            <w:vAlign w:val="bottom"/>
            <w:tcBorders>
              <w:bottom w:val="single" w:sz="8" w:color="153A57"/>
            </w:tcBorders>
            <w:shd w:val="clear" w:color="auto" w:fill="153A57"/>
          </w:tcPr>
          <w:p>
            <w:pPr>
              <w:jc w:val="center"/>
              <w:spacing w:after="0"/>
              <w:rPr>
                <w:sz w:val="20"/>
                <w:szCs w:val="20"/>
                <w:color w:val="auto"/>
              </w:rPr>
            </w:pPr>
            <w:r>
              <w:rPr>
                <w:rFonts w:ascii="Arial" w:cs="Arial" w:eastAsia="Arial" w:hAnsi="Arial"/>
                <w:sz w:val="12"/>
                <w:szCs w:val="12"/>
                <w:b w:val="1"/>
                <w:bCs w:val="1"/>
                <w:color w:val="FFFFFF"/>
                <w:w w:val="97"/>
              </w:rPr>
              <w:t>Grade</w:t>
            </w:r>
          </w:p>
        </w:tc>
        <w:tc>
          <w:tcPr>
            <w:tcW w:w="720" w:type="dxa"/>
            <w:vAlign w:val="bottom"/>
            <w:tcBorders>
              <w:bottom w:val="single" w:sz="8" w:color="153A57"/>
            </w:tcBorders>
            <w:shd w:val="clear" w:color="auto" w:fill="153A57"/>
          </w:tcPr>
          <w:p>
            <w:pPr>
              <w:jc w:val="center"/>
              <w:spacing w:after="0"/>
              <w:rPr>
                <w:sz w:val="20"/>
                <w:szCs w:val="20"/>
                <w:color w:val="auto"/>
              </w:rPr>
            </w:pPr>
            <w:r>
              <w:rPr>
                <w:rFonts w:ascii="Arial" w:cs="Arial" w:eastAsia="Arial" w:hAnsi="Arial"/>
                <w:sz w:val="12"/>
                <w:szCs w:val="12"/>
                <w:b w:val="1"/>
                <w:bCs w:val="1"/>
                <w:color w:val="FFFFFF"/>
              </w:rPr>
              <w:t>metal</w:t>
            </w:r>
          </w:p>
        </w:tc>
        <w:tc>
          <w:tcPr>
            <w:tcW w:w="800" w:type="dxa"/>
            <w:vAlign w:val="bottom"/>
            <w:tcBorders>
              <w:bottom w:val="single" w:sz="8" w:color="153A57"/>
            </w:tcBorders>
            <w:shd w:val="clear" w:color="auto" w:fill="153A57"/>
          </w:tcPr>
          <w:p>
            <w:pPr>
              <w:jc w:val="right"/>
              <w:ind w:right="220"/>
              <w:spacing w:after="0"/>
              <w:rPr>
                <w:sz w:val="20"/>
                <w:szCs w:val="20"/>
                <w:color w:val="auto"/>
              </w:rPr>
            </w:pPr>
            <w:r>
              <w:rPr>
                <w:rFonts w:ascii="Arial" w:cs="Arial" w:eastAsia="Arial" w:hAnsi="Arial"/>
                <w:sz w:val="12"/>
                <w:szCs w:val="12"/>
                <w:b w:val="1"/>
                <w:bCs w:val="1"/>
                <w:color w:val="FFFFFF"/>
              </w:rPr>
              <w:t>LCE</w:t>
            </w:r>
          </w:p>
        </w:tc>
        <w:tc>
          <w:tcPr>
            <w:tcW w:w="1240" w:type="dxa"/>
            <w:vAlign w:val="bottom"/>
          </w:tcPr>
          <w:p>
            <w:pPr>
              <w:spacing w:after="0"/>
              <w:rPr>
                <w:sz w:val="17"/>
                <w:szCs w:val="17"/>
                <w:color w:val="auto"/>
              </w:rPr>
            </w:pPr>
          </w:p>
        </w:tc>
      </w:tr>
      <w:tr>
        <w:trPr>
          <w:trHeight w:val="170"/>
        </w:trPr>
        <w:tc>
          <w:tcPr>
            <w:tcW w:w="1380" w:type="dxa"/>
            <w:vAlign w:val="bottom"/>
          </w:tcPr>
          <w:p>
            <w:pPr>
              <w:ind w:left="160"/>
              <w:spacing w:after="0"/>
              <w:rPr>
                <w:sz w:val="20"/>
                <w:szCs w:val="20"/>
                <w:color w:val="auto"/>
              </w:rPr>
            </w:pPr>
            <w:r>
              <w:rPr>
                <w:rFonts w:ascii="Arial" w:cs="Arial" w:eastAsia="Arial" w:hAnsi="Arial"/>
                <w:sz w:val="12"/>
                <w:szCs w:val="12"/>
                <w:color w:val="auto"/>
              </w:rPr>
              <w:t>Project</w:t>
            </w:r>
          </w:p>
        </w:tc>
        <w:tc>
          <w:tcPr>
            <w:tcW w:w="700" w:type="dxa"/>
            <w:vAlign w:val="bottom"/>
          </w:tcPr>
          <w:p>
            <w:pPr>
              <w:jc w:val="center"/>
              <w:spacing w:after="0"/>
              <w:rPr>
                <w:sz w:val="20"/>
                <w:szCs w:val="20"/>
                <w:color w:val="auto"/>
              </w:rPr>
            </w:pPr>
            <w:r>
              <w:rPr>
                <w:rFonts w:ascii="Arial" w:cs="Arial" w:eastAsia="Arial" w:hAnsi="Arial"/>
                <w:sz w:val="12"/>
                <w:szCs w:val="12"/>
                <w:color w:val="auto"/>
                <w:w w:val="95"/>
              </w:rPr>
              <w:t>m3</w:t>
            </w:r>
          </w:p>
        </w:tc>
        <w:tc>
          <w:tcPr>
            <w:tcW w:w="580" w:type="dxa"/>
            <w:vAlign w:val="bottom"/>
            <w:gridSpan w:val="2"/>
          </w:tcPr>
          <w:p>
            <w:pPr>
              <w:jc w:val="center"/>
              <w:ind w:right="120"/>
              <w:spacing w:after="0"/>
              <w:rPr>
                <w:sz w:val="20"/>
                <w:szCs w:val="20"/>
                <w:color w:val="auto"/>
              </w:rPr>
            </w:pPr>
            <w:r>
              <w:rPr>
                <w:rFonts w:ascii="Arial" w:cs="Arial" w:eastAsia="Arial" w:hAnsi="Arial"/>
                <w:sz w:val="12"/>
                <w:szCs w:val="12"/>
                <w:color w:val="auto"/>
              </w:rPr>
              <w:t>mg/L Li</w:t>
            </w:r>
          </w:p>
        </w:tc>
        <w:tc>
          <w:tcPr>
            <w:tcW w:w="700" w:type="dxa"/>
            <w:vAlign w:val="bottom"/>
          </w:tcPr>
          <w:p>
            <w:pPr>
              <w:jc w:val="center"/>
              <w:ind w:right="80"/>
              <w:spacing w:after="0"/>
              <w:rPr>
                <w:sz w:val="20"/>
                <w:szCs w:val="20"/>
                <w:color w:val="auto"/>
              </w:rPr>
            </w:pPr>
            <w:r>
              <w:rPr>
                <w:rFonts w:ascii="Arial" w:cs="Arial" w:eastAsia="Arial" w:hAnsi="Arial"/>
                <w:sz w:val="12"/>
                <w:szCs w:val="12"/>
                <w:color w:val="auto"/>
              </w:rPr>
              <w:t>t</w:t>
            </w:r>
          </w:p>
        </w:tc>
        <w:tc>
          <w:tcPr>
            <w:tcW w:w="140" w:type="dxa"/>
            <w:vAlign w:val="bottom"/>
          </w:tcPr>
          <w:p>
            <w:pPr>
              <w:spacing w:after="0"/>
              <w:rPr>
                <w:sz w:val="14"/>
                <w:szCs w:val="14"/>
                <w:color w:val="auto"/>
              </w:rPr>
            </w:pPr>
          </w:p>
        </w:tc>
        <w:tc>
          <w:tcPr>
            <w:tcW w:w="520" w:type="dxa"/>
            <w:vAlign w:val="bottom"/>
          </w:tcPr>
          <w:p>
            <w:pPr>
              <w:jc w:val="center"/>
              <w:ind w:right="100"/>
              <w:spacing w:after="0"/>
              <w:rPr>
                <w:sz w:val="20"/>
                <w:szCs w:val="20"/>
                <w:color w:val="auto"/>
              </w:rPr>
            </w:pPr>
            <w:r>
              <w:rPr>
                <w:rFonts w:ascii="Arial" w:cs="Arial" w:eastAsia="Arial" w:hAnsi="Arial"/>
                <w:sz w:val="12"/>
                <w:szCs w:val="12"/>
                <w:color w:val="auto"/>
              </w:rPr>
              <w:t>t</w:t>
            </w:r>
          </w:p>
        </w:tc>
        <w:tc>
          <w:tcPr>
            <w:tcW w:w="620" w:type="dxa"/>
            <w:vAlign w:val="bottom"/>
            <w:gridSpan w:val="2"/>
          </w:tcPr>
          <w:p>
            <w:pPr>
              <w:jc w:val="center"/>
              <w:spacing w:after="0"/>
              <w:rPr>
                <w:sz w:val="20"/>
                <w:szCs w:val="20"/>
                <w:color w:val="auto"/>
              </w:rPr>
            </w:pPr>
            <w:r>
              <w:rPr>
                <w:rFonts w:ascii="Arial" w:cs="Arial" w:eastAsia="Arial" w:hAnsi="Arial"/>
                <w:sz w:val="12"/>
                <w:szCs w:val="12"/>
                <w:color w:val="auto"/>
              </w:rPr>
              <w:t>m3</w:t>
            </w:r>
          </w:p>
        </w:tc>
        <w:tc>
          <w:tcPr>
            <w:tcW w:w="560" w:type="dxa"/>
            <w:vAlign w:val="bottom"/>
            <w:gridSpan w:val="3"/>
          </w:tcPr>
          <w:p>
            <w:pPr>
              <w:jc w:val="center"/>
              <w:ind w:left="60"/>
              <w:spacing w:after="0"/>
              <w:rPr>
                <w:sz w:val="20"/>
                <w:szCs w:val="20"/>
                <w:color w:val="auto"/>
              </w:rPr>
            </w:pPr>
            <w:r>
              <w:rPr>
                <w:rFonts w:ascii="Arial" w:cs="Arial" w:eastAsia="Arial" w:hAnsi="Arial"/>
                <w:sz w:val="12"/>
                <w:szCs w:val="12"/>
                <w:color w:val="auto"/>
              </w:rPr>
              <w:t>mg/L Li</w:t>
            </w:r>
          </w:p>
        </w:tc>
        <w:tc>
          <w:tcPr>
            <w:tcW w:w="500" w:type="dxa"/>
            <w:vAlign w:val="bottom"/>
          </w:tcPr>
          <w:p>
            <w:pPr>
              <w:spacing w:after="0"/>
              <w:rPr>
                <w:sz w:val="14"/>
                <w:szCs w:val="14"/>
                <w:color w:val="auto"/>
              </w:rPr>
            </w:pPr>
          </w:p>
        </w:tc>
        <w:tc>
          <w:tcPr>
            <w:tcW w:w="340" w:type="dxa"/>
            <w:vAlign w:val="bottom"/>
          </w:tcPr>
          <w:p>
            <w:pPr>
              <w:jc w:val="center"/>
              <w:ind w:right="222"/>
              <w:spacing w:after="0"/>
              <w:rPr>
                <w:sz w:val="20"/>
                <w:szCs w:val="20"/>
                <w:color w:val="auto"/>
              </w:rPr>
            </w:pPr>
            <w:r>
              <w:rPr>
                <w:rFonts w:ascii="Arial" w:cs="Arial" w:eastAsia="Arial" w:hAnsi="Arial"/>
                <w:sz w:val="10"/>
                <w:szCs w:val="10"/>
                <w:color w:val="auto"/>
                <w:w w:val="70"/>
              </w:rPr>
              <w:t>t</w:t>
            </w:r>
          </w:p>
        </w:tc>
        <w:tc>
          <w:tcPr>
            <w:tcW w:w="620" w:type="dxa"/>
            <w:vAlign w:val="bottom"/>
          </w:tcPr>
          <w:p>
            <w:pPr>
              <w:jc w:val="center"/>
              <w:ind w:left="101"/>
              <w:spacing w:after="0"/>
              <w:rPr>
                <w:sz w:val="20"/>
                <w:szCs w:val="20"/>
                <w:color w:val="auto"/>
              </w:rPr>
            </w:pPr>
            <w:r>
              <w:rPr>
                <w:rFonts w:ascii="Arial" w:cs="Arial" w:eastAsia="Arial" w:hAnsi="Arial"/>
                <w:sz w:val="10"/>
                <w:szCs w:val="10"/>
                <w:color w:val="auto"/>
                <w:w w:val="70"/>
              </w:rPr>
              <w:t>t</w:t>
            </w:r>
          </w:p>
        </w:tc>
        <w:tc>
          <w:tcPr>
            <w:tcW w:w="540" w:type="dxa"/>
            <w:vAlign w:val="bottom"/>
          </w:tcPr>
          <w:p>
            <w:pPr>
              <w:jc w:val="center"/>
              <w:ind w:left="180"/>
              <w:spacing w:after="0"/>
              <w:rPr>
                <w:sz w:val="20"/>
                <w:szCs w:val="20"/>
                <w:color w:val="auto"/>
              </w:rPr>
            </w:pPr>
            <w:r>
              <w:rPr>
                <w:rFonts w:ascii="Arial" w:cs="Arial" w:eastAsia="Arial" w:hAnsi="Arial"/>
                <w:sz w:val="12"/>
                <w:szCs w:val="12"/>
                <w:b w:val="1"/>
                <w:bCs w:val="1"/>
                <w:color w:val="auto"/>
              </w:rPr>
              <w:t>m3</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8"/>
              </w:rPr>
              <w:t>mg/L Li</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8"/>
              </w:rPr>
              <w:t>t</w:t>
            </w:r>
          </w:p>
        </w:tc>
        <w:tc>
          <w:tcPr>
            <w:tcW w:w="800" w:type="dxa"/>
            <w:vAlign w:val="bottom"/>
          </w:tcPr>
          <w:p>
            <w:pPr>
              <w:jc w:val="right"/>
              <w:ind w:right="320"/>
              <w:spacing w:after="0"/>
              <w:rPr>
                <w:sz w:val="20"/>
                <w:szCs w:val="20"/>
                <w:color w:val="auto"/>
              </w:rPr>
            </w:pPr>
            <w:r>
              <w:rPr>
                <w:rFonts w:ascii="Arial" w:cs="Arial" w:eastAsia="Arial" w:hAnsi="Arial"/>
                <w:sz w:val="12"/>
                <w:szCs w:val="12"/>
                <w:b w:val="1"/>
                <w:bCs w:val="1"/>
                <w:color w:val="auto"/>
              </w:rPr>
              <w:t>t</w:t>
            </w:r>
          </w:p>
        </w:tc>
        <w:tc>
          <w:tcPr>
            <w:tcW w:w="1240" w:type="dxa"/>
            <w:vAlign w:val="bottom"/>
          </w:tcPr>
          <w:p>
            <w:pPr>
              <w:spacing w:after="0"/>
              <w:rPr>
                <w:sz w:val="14"/>
                <w:szCs w:val="14"/>
                <w:color w:val="auto"/>
              </w:rPr>
            </w:pPr>
          </w:p>
        </w:tc>
      </w:tr>
      <w:tr>
        <w:trPr>
          <w:trHeight w:val="206"/>
        </w:trPr>
        <w:tc>
          <w:tcPr>
            <w:tcW w:w="1380" w:type="dxa"/>
            <w:vAlign w:val="bottom"/>
          </w:tcPr>
          <w:p>
            <w:pPr>
              <w:ind w:left="160"/>
              <w:spacing w:after="0"/>
              <w:rPr>
                <w:sz w:val="20"/>
                <w:szCs w:val="20"/>
                <w:color w:val="auto"/>
              </w:rPr>
            </w:pPr>
            <w:r>
              <w:rPr>
                <w:rFonts w:ascii="Arial" w:cs="Arial" w:eastAsia="Arial" w:hAnsi="Arial"/>
                <w:sz w:val="12"/>
                <w:szCs w:val="12"/>
                <w:color w:val="auto"/>
              </w:rPr>
              <w:t>Cauchari-Olaroz</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1"/>
        </w:trPr>
        <w:tc>
          <w:tcPr>
            <w:tcW w:w="1380" w:type="dxa"/>
            <w:vAlign w:val="bottom"/>
          </w:tcPr>
          <w:p>
            <w:pPr>
              <w:ind w:left="160"/>
              <w:spacing w:after="0"/>
              <w:rPr>
                <w:sz w:val="20"/>
                <w:szCs w:val="20"/>
                <w:color w:val="auto"/>
              </w:rPr>
            </w:pPr>
            <w:r>
              <w:rPr>
                <w:rFonts w:ascii="Arial" w:cs="Arial" w:eastAsia="Arial" w:hAnsi="Arial"/>
                <w:sz w:val="12"/>
                <w:szCs w:val="12"/>
                <w:color w:val="auto"/>
              </w:rPr>
              <w:t>(Argentina)</w:t>
            </w:r>
          </w:p>
        </w:tc>
        <w:tc>
          <w:tcPr>
            <w:tcW w:w="700" w:type="dxa"/>
            <w:vAlign w:val="bottom"/>
          </w:tcPr>
          <w:p>
            <w:pPr>
              <w:jc w:val="center"/>
              <w:spacing w:after="0"/>
              <w:rPr>
                <w:sz w:val="20"/>
                <w:szCs w:val="20"/>
                <w:color w:val="auto"/>
              </w:rPr>
            </w:pPr>
            <w:r>
              <w:rPr>
                <w:rFonts w:ascii="Arial" w:cs="Arial" w:eastAsia="Arial" w:hAnsi="Arial"/>
                <w:sz w:val="12"/>
                <w:szCs w:val="12"/>
                <w:color w:val="auto"/>
              </w:rPr>
              <w:t>5.89E+09</w:t>
            </w:r>
          </w:p>
        </w:tc>
        <w:tc>
          <w:tcPr>
            <w:tcW w:w="40" w:type="dxa"/>
            <w:vAlign w:val="bottom"/>
          </w:tcPr>
          <w:p>
            <w:pPr>
              <w:spacing w:after="0"/>
              <w:rPr>
                <w:sz w:val="15"/>
                <w:szCs w:val="15"/>
                <w:color w:val="auto"/>
              </w:rPr>
            </w:pPr>
          </w:p>
        </w:tc>
        <w:tc>
          <w:tcPr>
            <w:tcW w:w="540" w:type="dxa"/>
            <w:vAlign w:val="bottom"/>
          </w:tcPr>
          <w:p>
            <w:pPr>
              <w:jc w:val="center"/>
              <w:ind w:right="160"/>
              <w:spacing w:after="0"/>
              <w:rPr>
                <w:sz w:val="20"/>
                <w:szCs w:val="20"/>
                <w:color w:val="auto"/>
              </w:rPr>
            </w:pPr>
            <w:r>
              <w:rPr>
                <w:rFonts w:ascii="Arial" w:cs="Arial" w:eastAsia="Arial" w:hAnsi="Arial"/>
                <w:sz w:val="12"/>
                <w:szCs w:val="12"/>
                <w:color w:val="auto"/>
                <w:w w:val="99"/>
              </w:rPr>
              <w:t>557</w:t>
            </w:r>
          </w:p>
        </w:tc>
        <w:tc>
          <w:tcPr>
            <w:tcW w:w="700" w:type="dxa"/>
            <w:vAlign w:val="bottom"/>
          </w:tcPr>
          <w:p>
            <w:pPr>
              <w:jc w:val="center"/>
              <w:ind w:right="80"/>
              <w:spacing w:after="0"/>
              <w:rPr>
                <w:sz w:val="20"/>
                <w:szCs w:val="20"/>
                <w:color w:val="auto"/>
              </w:rPr>
            </w:pPr>
            <w:r>
              <w:rPr>
                <w:rFonts w:ascii="Arial" w:cs="Arial" w:eastAsia="Arial" w:hAnsi="Arial"/>
                <w:sz w:val="12"/>
                <w:szCs w:val="12"/>
                <w:color w:val="auto"/>
                <w:w w:val="97"/>
              </w:rPr>
              <w:t>2,742,686</w:t>
            </w:r>
          </w:p>
        </w:tc>
        <w:tc>
          <w:tcPr>
            <w:tcW w:w="660" w:type="dxa"/>
            <w:vAlign w:val="bottom"/>
            <w:gridSpan w:val="2"/>
          </w:tcPr>
          <w:p>
            <w:pPr>
              <w:jc w:val="center"/>
              <w:spacing w:after="0"/>
              <w:rPr>
                <w:sz w:val="20"/>
                <w:szCs w:val="20"/>
                <w:color w:val="auto"/>
              </w:rPr>
            </w:pPr>
            <w:r>
              <w:rPr>
                <w:rFonts w:ascii="Arial" w:cs="Arial" w:eastAsia="Arial" w:hAnsi="Arial"/>
                <w:sz w:val="12"/>
                <w:szCs w:val="12"/>
                <w:color w:val="auto"/>
                <w:w w:val="99"/>
              </w:rPr>
              <w:t>14,599,317</w:t>
            </w:r>
          </w:p>
        </w:tc>
        <w:tc>
          <w:tcPr>
            <w:tcW w:w="620" w:type="dxa"/>
            <w:vAlign w:val="bottom"/>
            <w:gridSpan w:val="2"/>
          </w:tcPr>
          <w:p>
            <w:pPr>
              <w:jc w:val="center"/>
              <w:spacing w:after="0"/>
              <w:rPr>
                <w:sz w:val="20"/>
                <w:szCs w:val="20"/>
                <w:color w:val="auto"/>
              </w:rPr>
            </w:pPr>
            <w:r>
              <w:rPr>
                <w:rFonts w:ascii="Arial" w:cs="Arial" w:eastAsia="Arial" w:hAnsi="Arial"/>
                <w:sz w:val="12"/>
                <w:szCs w:val="12"/>
                <w:color w:val="auto"/>
              </w:rPr>
              <w:t>3.82E+09</w:t>
            </w:r>
          </w:p>
        </w:tc>
        <w:tc>
          <w:tcPr>
            <w:tcW w:w="460" w:type="dxa"/>
            <w:vAlign w:val="bottom"/>
            <w:gridSpan w:val="2"/>
          </w:tcPr>
          <w:p>
            <w:pPr>
              <w:jc w:val="center"/>
              <w:ind w:left="160"/>
              <w:spacing w:after="0"/>
              <w:rPr>
                <w:sz w:val="20"/>
                <w:szCs w:val="20"/>
                <w:color w:val="auto"/>
              </w:rPr>
            </w:pPr>
            <w:r>
              <w:rPr>
                <w:rFonts w:ascii="Arial" w:cs="Arial" w:eastAsia="Arial" w:hAnsi="Arial"/>
                <w:sz w:val="12"/>
                <w:szCs w:val="12"/>
                <w:color w:val="auto"/>
                <w:w w:val="99"/>
              </w:rPr>
              <w:t>571</w:t>
            </w:r>
          </w:p>
        </w:tc>
        <w:tc>
          <w:tcPr>
            <w:tcW w:w="100" w:type="dxa"/>
            <w:vAlign w:val="bottom"/>
          </w:tcPr>
          <w:p>
            <w:pPr>
              <w:spacing w:after="0"/>
              <w:rPr>
                <w:sz w:val="15"/>
                <w:szCs w:val="15"/>
                <w:color w:val="auto"/>
              </w:rPr>
            </w:pPr>
          </w:p>
        </w:tc>
        <w:tc>
          <w:tcPr>
            <w:tcW w:w="840" w:type="dxa"/>
            <w:vAlign w:val="bottom"/>
            <w:gridSpan w:val="2"/>
          </w:tcPr>
          <w:p>
            <w:pPr>
              <w:jc w:val="center"/>
              <w:ind w:left="160"/>
              <w:spacing w:after="0"/>
              <w:rPr>
                <w:sz w:val="20"/>
                <w:szCs w:val="20"/>
                <w:color w:val="auto"/>
              </w:rPr>
            </w:pPr>
            <w:r>
              <w:rPr>
                <w:rFonts w:ascii="Arial" w:cs="Arial" w:eastAsia="Arial" w:hAnsi="Arial"/>
                <w:sz w:val="12"/>
                <w:szCs w:val="12"/>
                <w:color w:val="auto"/>
              </w:rPr>
              <w:t>2,122,708</w:t>
            </w:r>
          </w:p>
        </w:tc>
        <w:tc>
          <w:tcPr>
            <w:tcW w:w="1280" w:type="dxa"/>
            <w:vAlign w:val="bottom"/>
            <w:gridSpan w:val="3"/>
          </w:tcPr>
          <w:p>
            <w:pPr>
              <w:jc w:val="right"/>
              <w:spacing w:after="0"/>
              <w:rPr>
                <w:sz w:val="20"/>
                <w:szCs w:val="20"/>
                <w:color w:val="auto"/>
              </w:rPr>
            </w:pPr>
            <w:r>
              <w:rPr>
                <w:rFonts w:ascii="Arial" w:cs="Arial" w:eastAsia="Arial" w:hAnsi="Arial"/>
                <w:sz w:val="12"/>
                <w:szCs w:val="12"/>
                <w:color w:val="auto"/>
              </w:rPr>
              <w:t>11,299,172 9.71E+09</w:t>
            </w:r>
          </w:p>
        </w:tc>
        <w:tc>
          <w:tcPr>
            <w:tcW w:w="560" w:type="dxa"/>
            <w:vAlign w:val="bottom"/>
          </w:tcPr>
          <w:p>
            <w:pPr>
              <w:jc w:val="center"/>
              <w:spacing w:after="0"/>
              <w:rPr>
                <w:sz w:val="20"/>
                <w:szCs w:val="20"/>
                <w:color w:val="auto"/>
              </w:rPr>
            </w:pPr>
            <w:r>
              <w:rPr>
                <w:rFonts w:ascii="Arial" w:cs="Arial" w:eastAsia="Arial" w:hAnsi="Arial"/>
                <w:sz w:val="12"/>
                <w:szCs w:val="12"/>
                <w:color w:val="auto"/>
                <w:w w:val="99"/>
              </w:rPr>
              <w:t>562</w:t>
            </w:r>
          </w:p>
        </w:tc>
        <w:tc>
          <w:tcPr>
            <w:tcW w:w="720" w:type="dxa"/>
            <w:vAlign w:val="bottom"/>
          </w:tcPr>
          <w:p>
            <w:pPr>
              <w:jc w:val="center"/>
              <w:spacing w:after="0"/>
              <w:rPr>
                <w:sz w:val="20"/>
                <w:szCs w:val="20"/>
                <w:color w:val="auto"/>
              </w:rPr>
            </w:pPr>
            <w:r>
              <w:rPr>
                <w:rFonts w:ascii="Arial" w:cs="Arial" w:eastAsia="Arial" w:hAnsi="Arial"/>
                <w:sz w:val="12"/>
                <w:szCs w:val="12"/>
                <w:color w:val="auto"/>
              </w:rPr>
              <w:t>4,865,394</w:t>
            </w:r>
          </w:p>
        </w:tc>
        <w:tc>
          <w:tcPr>
            <w:tcW w:w="800" w:type="dxa"/>
            <w:vAlign w:val="bottom"/>
          </w:tcPr>
          <w:p>
            <w:pPr>
              <w:ind w:left="100"/>
              <w:spacing w:after="0"/>
              <w:rPr>
                <w:sz w:val="20"/>
                <w:szCs w:val="20"/>
                <w:color w:val="auto"/>
              </w:rPr>
            </w:pPr>
            <w:r>
              <w:rPr>
                <w:rFonts w:ascii="Arial" w:cs="Arial" w:eastAsia="Arial" w:hAnsi="Arial"/>
                <w:sz w:val="12"/>
                <w:szCs w:val="12"/>
                <w:color w:val="auto"/>
              </w:rPr>
              <w:t>25,898,489</w:t>
            </w:r>
          </w:p>
        </w:tc>
        <w:tc>
          <w:tcPr>
            <w:tcW w:w="1240" w:type="dxa"/>
            <w:vAlign w:val="bottom"/>
          </w:tcPr>
          <w:p>
            <w:pPr>
              <w:spacing w:after="0"/>
              <w:rPr>
                <w:sz w:val="15"/>
                <w:szCs w:val="15"/>
                <w:color w:val="auto"/>
              </w:rPr>
            </w:pPr>
          </w:p>
        </w:tc>
      </w:tr>
      <w:tr>
        <w:trPr>
          <w:trHeight w:val="206"/>
        </w:trPr>
        <w:tc>
          <w:tcPr>
            <w:tcW w:w="1380" w:type="dxa"/>
            <w:vAlign w:val="bottom"/>
          </w:tcPr>
          <w:p>
            <w:pPr>
              <w:ind w:left="160"/>
              <w:spacing w:after="0"/>
              <w:rPr>
                <w:sz w:val="20"/>
                <w:szCs w:val="20"/>
                <w:color w:val="auto"/>
              </w:rPr>
            </w:pPr>
            <w:r>
              <w:rPr>
                <w:rFonts w:ascii="Arial" w:cs="Arial" w:eastAsia="Arial" w:hAnsi="Arial"/>
                <w:sz w:val="12"/>
                <w:szCs w:val="12"/>
                <w:color w:val="auto"/>
              </w:rPr>
              <w:t>Pozuelos (Argentina)</w:t>
            </w:r>
          </w:p>
        </w:tc>
        <w:tc>
          <w:tcPr>
            <w:tcW w:w="700" w:type="dxa"/>
            <w:vAlign w:val="bottom"/>
          </w:tcPr>
          <w:p>
            <w:pPr>
              <w:jc w:val="center"/>
              <w:spacing w:after="0"/>
              <w:rPr>
                <w:sz w:val="20"/>
                <w:szCs w:val="20"/>
                <w:color w:val="auto"/>
              </w:rPr>
            </w:pPr>
            <w:r>
              <w:rPr>
                <w:rFonts w:ascii="Arial" w:cs="Arial" w:eastAsia="Arial" w:hAnsi="Arial"/>
                <w:sz w:val="12"/>
                <w:szCs w:val="12"/>
                <w:color w:val="auto"/>
              </w:rPr>
              <w:t>2.21E+09</w:t>
            </w:r>
          </w:p>
        </w:tc>
        <w:tc>
          <w:tcPr>
            <w:tcW w:w="40" w:type="dxa"/>
            <w:vAlign w:val="bottom"/>
          </w:tcPr>
          <w:p>
            <w:pPr>
              <w:spacing w:after="0"/>
              <w:rPr>
                <w:sz w:val="17"/>
                <w:szCs w:val="17"/>
                <w:color w:val="auto"/>
              </w:rPr>
            </w:pPr>
          </w:p>
        </w:tc>
        <w:tc>
          <w:tcPr>
            <w:tcW w:w="540" w:type="dxa"/>
            <w:vAlign w:val="bottom"/>
          </w:tcPr>
          <w:p>
            <w:pPr>
              <w:jc w:val="center"/>
              <w:ind w:right="160"/>
              <w:spacing w:after="0"/>
              <w:rPr>
                <w:sz w:val="20"/>
                <w:szCs w:val="20"/>
                <w:color w:val="auto"/>
              </w:rPr>
            </w:pPr>
            <w:r>
              <w:rPr>
                <w:rFonts w:ascii="Arial" w:cs="Arial" w:eastAsia="Arial" w:hAnsi="Arial"/>
                <w:sz w:val="12"/>
                <w:szCs w:val="12"/>
                <w:color w:val="auto"/>
                <w:w w:val="99"/>
              </w:rPr>
              <w:t>491</w:t>
            </w:r>
          </w:p>
        </w:tc>
        <w:tc>
          <w:tcPr>
            <w:tcW w:w="700" w:type="dxa"/>
            <w:vAlign w:val="bottom"/>
          </w:tcPr>
          <w:p>
            <w:pPr>
              <w:jc w:val="center"/>
              <w:ind w:right="80"/>
              <w:spacing w:after="0"/>
              <w:rPr>
                <w:sz w:val="20"/>
                <w:szCs w:val="20"/>
                <w:color w:val="auto"/>
              </w:rPr>
            </w:pPr>
            <w:r>
              <w:rPr>
                <w:rFonts w:ascii="Arial" w:cs="Arial" w:eastAsia="Arial" w:hAnsi="Arial"/>
                <w:sz w:val="12"/>
                <w:szCs w:val="12"/>
                <w:color w:val="auto"/>
                <w:w w:val="97"/>
              </w:rPr>
              <w:t>1,097,038</w:t>
            </w:r>
          </w:p>
        </w:tc>
        <w:tc>
          <w:tcPr>
            <w:tcW w:w="660" w:type="dxa"/>
            <w:vAlign w:val="bottom"/>
            <w:gridSpan w:val="2"/>
          </w:tcPr>
          <w:p>
            <w:pPr>
              <w:jc w:val="center"/>
              <w:spacing w:after="0"/>
              <w:rPr>
                <w:sz w:val="20"/>
                <w:szCs w:val="20"/>
                <w:color w:val="auto"/>
              </w:rPr>
            </w:pPr>
            <w:r>
              <w:rPr>
                <w:rFonts w:ascii="Arial" w:cs="Arial" w:eastAsia="Arial" w:hAnsi="Arial"/>
                <w:sz w:val="12"/>
                <w:szCs w:val="12"/>
                <w:color w:val="auto"/>
                <w:w w:val="97"/>
              </w:rPr>
              <w:t>5,836,244</w:t>
            </w:r>
          </w:p>
        </w:tc>
        <w:tc>
          <w:tcPr>
            <w:tcW w:w="620" w:type="dxa"/>
            <w:vAlign w:val="bottom"/>
            <w:gridSpan w:val="2"/>
          </w:tcPr>
          <w:p>
            <w:pPr>
              <w:jc w:val="center"/>
              <w:spacing w:after="0"/>
              <w:rPr>
                <w:sz w:val="20"/>
                <w:szCs w:val="20"/>
                <w:color w:val="auto"/>
              </w:rPr>
            </w:pPr>
            <w:r>
              <w:rPr>
                <w:rFonts w:ascii="Arial" w:cs="Arial" w:eastAsia="Arial" w:hAnsi="Arial"/>
                <w:sz w:val="12"/>
                <w:szCs w:val="12"/>
                <w:color w:val="auto"/>
              </w:rPr>
              <w:t>4.10E+08</w:t>
            </w:r>
          </w:p>
        </w:tc>
        <w:tc>
          <w:tcPr>
            <w:tcW w:w="460" w:type="dxa"/>
            <w:vAlign w:val="bottom"/>
            <w:gridSpan w:val="2"/>
          </w:tcPr>
          <w:p>
            <w:pPr>
              <w:jc w:val="center"/>
              <w:ind w:left="160"/>
              <w:spacing w:after="0"/>
              <w:rPr>
                <w:sz w:val="20"/>
                <w:szCs w:val="20"/>
                <w:color w:val="auto"/>
              </w:rPr>
            </w:pPr>
            <w:r>
              <w:rPr>
                <w:rFonts w:ascii="Arial" w:cs="Arial" w:eastAsia="Arial" w:hAnsi="Arial"/>
                <w:sz w:val="12"/>
                <w:szCs w:val="12"/>
                <w:color w:val="auto"/>
                <w:w w:val="99"/>
              </w:rPr>
              <w:t>529</w:t>
            </w:r>
          </w:p>
        </w:tc>
        <w:tc>
          <w:tcPr>
            <w:tcW w:w="100" w:type="dxa"/>
            <w:vAlign w:val="bottom"/>
          </w:tcPr>
          <w:p>
            <w:pPr>
              <w:spacing w:after="0"/>
              <w:rPr>
                <w:sz w:val="17"/>
                <w:szCs w:val="17"/>
                <w:color w:val="auto"/>
              </w:rPr>
            </w:pPr>
          </w:p>
        </w:tc>
        <w:tc>
          <w:tcPr>
            <w:tcW w:w="840" w:type="dxa"/>
            <w:vAlign w:val="bottom"/>
            <w:gridSpan w:val="2"/>
          </w:tcPr>
          <w:p>
            <w:pPr>
              <w:jc w:val="center"/>
              <w:ind w:left="160"/>
              <w:spacing w:after="0"/>
              <w:rPr>
                <w:sz w:val="20"/>
                <w:szCs w:val="20"/>
                <w:color w:val="auto"/>
              </w:rPr>
            </w:pPr>
            <w:r>
              <w:rPr>
                <w:rFonts w:ascii="Arial" w:cs="Arial" w:eastAsia="Arial" w:hAnsi="Arial"/>
                <w:sz w:val="12"/>
                <w:szCs w:val="12"/>
                <w:color w:val="auto"/>
                <w:w w:val="96"/>
              </w:rPr>
              <w:t>221,877</w:t>
            </w:r>
          </w:p>
        </w:tc>
        <w:tc>
          <w:tcPr>
            <w:tcW w:w="1280" w:type="dxa"/>
            <w:vAlign w:val="bottom"/>
            <w:gridSpan w:val="3"/>
          </w:tcPr>
          <w:p>
            <w:pPr>
              <w:jc w:val="right"/>
              <w:spacing w:after="0"/>
              <w:rPr>
                <w:sz w:val="20"/>
                <w:szCs w:val="20"/>
                <w:color w:val="auto"/>
              </w:rPr>
            </w:pPr>
            <w:r>
              <w:rPr>
                <w:rFonts w:ascii="Arial" w:cs="Arial" w:eastAsia="Arial" w:hAnsi="Arial"/>
                <w:sz w:val="12"/>
                <w:szCs w:val="12"/>
                <w:color w:val="auto"/>
              </w:rPr>
              <w:t>1,180,384  2.62E+09</w:t>
            </w:r>
          </w:p>
        </w:tc>
        <w:tc>
          <w:tcPr>
            <w:tcW w:w="560" w:type="dxa"/>
            <w:vAlign w:val="bottom"/>
          </w:tcPr>
          <w:p>
            <w:pPr>
              <w:jc w:val="center"/>
              <w:spacing w:after="0"/>
              <w:rPr>
                <w:sz w:val="20"/>
                <w:szCs w:val="20"/>
                <w:color w:val="auto"/>
              </w:rPr>
            </w:pPr>
            <w:r>
              <w:rPr>
                <w:rFonts w:ascii="Arial" w:cs="Arial" w:eastAsia="Arial" w:hAnsi="Arial"/>
                <w:sz w:val="12"/>
                <w:szCs w:val="12"/>
                <w:color w:val="auto"/>
                <w:w w:val="99"/>
              </w:rPr>
              <w:t>510</w:t>
            </w:r>
          </w:p>
        </w:tc>
        <w:tc>
          <w:tcPr>
            <w:tcW w:w="720" w:type="dxa"/>
            <w:vAlign w:val="bottom"/>
          </w:tcPr>
          <w:p>
            <w:pPr>
              <w:jc w:val="center"/>
              <w:spacing w:after="0"/>
              <w:rPr>
                <w:sz w:val="20"/>
                <w:szCs w:val="20"/>
                <w:color w:val="auto"/>
              </w:rPr>
            </w:pPr>
            <w:r>
              <w:rPr>
                <w:rFonts w:ascii="Arial" w:cs="Arial" w:eastAsia="Arial" w:hAnsi="Arial"/>
                <w:sz w:val="12"/>
                <w:szCs w:val="12"/>
                <w:color w:val="auto"/>
              </w:rPr>
              <w:t>1,318,915</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7,016,628</w:t>
            </w:r>
          </w:p>
        </w:tc>
        <w:tc>
          <w:tcPr>
            <w:tcW w:w="1240" w:type="dxa"/>
            <w:vAlign w:val="bottom"/>
          </w:tcPr>
          <w:p>
            <w:pPr>
              <w:spacing w:after="0"/>
              <w:rPr>
                <w:sz w:val="17"/>
                <w:szCs w:val="17"/>
                <w:color w:val="auto"/>
              </w:rPr>
            </w:pPr>
          </w:p>
        </w:tc>
      </w:tr>
      <w:tr>
        <w:trPr>
          <w:trHeight w:val="206"/>
        </w:trPr>
        <w:tc>
          <w:tcPr>
            <w:tcW w:w="1380" w:type="dxa"/>
            <w:vAlign w:val="bottom"/>
          </w:tcPr>
          <w:p>
            <w:pPr>
              <w:ind w:left="160"/>
              <w:spacing w:after="0"/>
              <w:rPr>
                <w:sz w:val="20"/>
                <w:szCs w:val="20"/>
                <w:color w:val="auto"/>
              </w:rPr>
            </w:pPr>
            <w:r>
              <w:rPr>
                <w:rFonts w:ascii="Arial" w:cs="Arial" w:eastAsia="Arial" w:hAnsi="Arial"/>
                <w:sz w:val="12"/>
                <w:szCs w:val="12"/>
                <w:color w:val="auto"/>
              </w:rPr>
              <w:t>Pastos Grandes</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1"/>
        </w:trPr>
        <w:tc>
          <w:tcPr>
            <w:tcW w:w="1380" w:type="dxa"/>
            <w:vAlign w:val="bottom"/>
          </w:tcPr>
          <w:p>
            <w:pPr>
              <w:ind w:left="160"/>
              <w:spacing w:after="0"/>
              <w:rPr>
                <w:sz w:val="20"/>
                <w:szCs w:val="20"/>
                <w:color w:val="auto"/>
              </w:rPr>
            </w:pPr>
            <w:r>
              <w:rPr>
                <w:rFonts w:ascii="Arial" w:cs="Arial" w:eastAsia="Arial" w:hAnsi="Arial"/>
                <w:sz w:val="12"/>
                <w:szCs w:val="12"/>
                <w:color w:val="auto"/>
              </w:rPr>
              <w:t>(Argentina)</w:t>
            </w:r>
          </w:p>
        </w:tc>
        <w:tc>
          <w:tcPr>
            <w:tcW w:w="700" w:type="dxa"/>
            <w:vAlign w:val="bottom"/>
          </w:tcPr>
          <w:p>
            <w:pPr>
              <w:jc w:val="center"/>
              <w:spacing w:after="0"/>
              <w:rPr>
                <w:sz w:val="20"/>
                <w:szCs w:val="20"/>
                <w:color w:val="auto"/>
              </w:rPr>
            </w:pPr>
            <w:r>
              <w:rPr>
                <w:rFonts w:ascii="Arial" w:cs="Arial" w:eastAsia="Arial" w:hAnsi="Arial"/>
                <w:sz w:val="12"/>
                <w:szCs w:val="12"/>
                <w:color w:val="auto"/>
              </w:rPr>
              <w:t>3.09E+09</w:t>
            </w:r>
          </w:p>
        </w:tc>
        <w:tc>
          <w:tcPr>
            <w:tcW w:w="40" w:type="dxa"/>
            <w:vAlign w:val="bottom"/>
          </w:tcPr>
          <w:p>
            <w:pPr>
              <w:spacing w:after="0"/>
              <w:rPr>
                <w:sz w:val="15"/>
                <w:szCs w:val="15"/>
                <w:color w:val="auto"/>
              </w:rPr>
            </w:pPr>
          </w:p>
        </w:tc>
        <w:tc>
          <w:tcPr>
            <w:tcW w:w="540" w:type="dxa"/>
            <w:vAlign w:val="bottom"/>
          </w:tcPr>
          <w:p>
            <w:pPr>
              <w:jc w:val="center"/>
              <w:ind w:right="160"/>
              <w:spacing w:after="0"/>
              <w:rPr>
                <w:sz w:val="20"/>
                <w:szCs w:val="20"/>
                <w:color w:val="auto"/>
              </w:rPr>
            </w:pPr>
            <w:r>
              <w:rPr>
                <w:rFonts w:ascii="Arial" w:cs="Arial" w:eastAsia="Arial" w:hAnsi="Arial"/>
                <w:sz w:val="12"/>
                <w:szCs w:val="12"/>
                <w:color w:val="auto"/>
                <w:w w:val="99"/>
              </w:rPr>
              <w:t>451</w:t>
            </w:r>
          </w:p>
        </w:tc>
        <w:tc>
          <w:tcPr>
            <w:tcW w:w="700" w:type="dxa"/>
            <w:vAlign w:val="bottom"/>
          </w:tcPr>
          <w:p>
            <w:pPr>
              <w:jc w:val="center"/>
              <w:ind w:right="80"/>
              <w:spacing w:after="0"/>
              <w:rPr>
                <w:sz w:val="20"/>
                <w:szCs w:val="20"/>
                <w:color w:val="auto"/>
              </w:rPr>
            </w:pPr>
            <w:r>
              <w:rPr>
                <w:rFonts w:ascii="Arial" w:cs="Arial" w:eastAsia="Arial" w:hAnsi="Arial"/>
                <w:sz w:val="12"/>
                <w:szCs w:val="12"/>
                <w:color w:val="auto"/>
                <w:w w:val="97"/>
              </w:rPr>
              <w:t>1,393,000</w:t>
            </w:r>
          </w:p>
        </w:tc>
        <w:tc>
          <w:tcPr>
            <w:tcW w:w="660" w:type="dxa"/>
            <w:vAlign w:val="bottom"/>
            <w:gridSpan w:val="2"/>
          </w:tcPr>
          <w:p>
            <w:pPr>
              <w:jc w:val="center"/>
              <w:spacing w:after="0"/>
              <w:rPr>
                <w:sz w:val="20"/>
                <w:szCs w:val="20"/>
                <w:color w:val="auto"/>
              </w:rPr>
            </w:pPr>
            <w:r>
              <w:rPr>
                <w:rFonts w:ascii="Arial" w:cs="Arial" w:eastAsia="Arial" w:hAnsi="Arial"/>
                <w:sz w:val="12"/>
                <w:szCs w:val="12"/>
                <w:color w:val="auto"/>
                <w:w w:val="97"/>
              </w:rPr>
              <w:t>7,414,640</w:t>
            </w:r>
          </w:p>
        </w:tc>
        <w:tc>
          <w:tcPr>
            <w:tcW w:w="620" w:type="dxa"/>
            <w:vAlign w:val="bottom"/>
            <w:gridSpan w:val="2"/>
          </w:tcPr>
          <w:p>
            <w:pPr>
              <w:jc w:val="center"/>
              <w:spacing w:after="0"/>
              <w:rPr>
                <w:sz w:val="20"/>
                <w:szCs w:val="20"/>
                <w:color w:val="auto"/>
              </w:rPr>
            </w:pPr>
            <w:r>
              <w:rPr>
                <w:rFonts w:ascii="Arial" w:cs="Arial" w:eastAsia="Arial" w:hAnsi="Arial"/>
                <w:sz w:val="12"/>
                <w:szCs w:val="12"/>
                <w:color w:val="auto"/>
              </w:rPr>
              <w:t>1.70E+08</w:t>
            </w:r>
          </w:p>
        </w:tc>
        <w:tc>
          <w:tcPr>
            <w:tcW w:w="460" w:type="dxa"/>
            <w:vAlign w:val="bottom"/>
            <w:gridSpan w:val="2"/>
          </w:tcPr>
          <w:p>
            <w:pPr>
              <w:jc w:val="center"/>
              <w:ind w:left="160"/>
              <w:spacing w:after="0"/>
              <w:rPr>
                <w:sz w:val="20"/>
                <w:szCs w:val="20"/>
                <w:color w:val="auto"/>
              </w:rPr>
            </w:pPr>
            <w:r>
              <w:rPr>
                <w:rFonts w:ascii="Arial" w:cs="Arial" w:eastAsia="Arial" w:hAnsi="Arial"/>
                <w:sz w:val="12"/>
                <w:szCs w:val="12"/>
                <w:color w:val="auto"/>
                <w:w w:val="99"/>
              </w:rPr>
              <w:t>166</w:t>
            </w:r>
          </w:p>
        </w:tc>
        <w:tc>
          <w:tcPr>
            <w:tcW w:w="100" w:type="dxa"/>
            <w:vAlign w:val="bottom"/>
          </w:tcPr>
          <w:p>
            <w:pPr>
              <w:spacing w:after="0"/>
              <w:rPr>
                <w:sz w:val="15"/>
                <w:szCs w:val="15"/>
                <w:color w:val="auto"/>
              </w:rPr>
            </w:pPr>
          </w:p>
        </w:tc>
        <w:tc>
          <w:tcPr>
            <w:tcW w:w="840" w:type="dxa"/>
            <w:vAlign w:val="bottom"/>
            <w:gridSpan w:val="2"/>
          </w:tcPr>
          <w:p>
            <w:pPr>
              <w:jc w:val="center"/>
              <w:ind w:left="160"/>
              <w:spacing w:after="0"/>
              <w:rPr>
                <w:sz w:val="20"/>
                <w:szCs w:val="20"/>
                <w:color w:val="auto"/>
              </w:rPr>
            </w:pPr>
            <w:r>
              <w:rPr>
                <w:rFonts w:ascii="Arial" w:cs="Arial" w:eastAsia="Arial" w:hAnsi="Arial"/>
                <w:sz w:val="12"/>
                <w:szCs w:val="12"/>
                <w:color w:val="auto"/>
              </w:rPr>
              <w:t>28,000</w:t>
            </w:r>
          </w:p>
        </w:tc>
        <w:tc>
          <w:tcPr>
            <w:tcW w:w="620" w:type="dxa"/>
            <w:vAlign w:val="bottom"/>
          </w:tcPr>
          <w:p>
            <w:pPr>
              <w:jc w:val="center"/>
              <w:ind w:left="121"/>
              <w:spacing w:after="0"/>
              <w:rPr>
                <w:sz w:val="20"/>
                <w:szCs w:val="20"/>
                <w:color w:val="auto"/>
              </w:rPr>
            </w:pPr>
            <w:r>
              <w:rPr>
                <w:rFonts w:ascii="Arial" w:cs="Arial" w:eastAsia="Arial" w:hAnsi="Arial"/>
                <w:sz w:val="12"/>
                <w:szCs w:val="12"/>
                <w:color w:val="auto"/>
              </w:rPr>
              <w:t>149,038</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3.26E+09</w:t>
            </w:r>
          </w:p>
        </w:tc>
        <w:tc>
          <w:tcPr>
            <w:tcW w:w="560" w:type="dxa"/>
            <w:vAlign w:val="bottom"/>
          </w:tcPr>
          <w:p>
            <w:pPr>
              <w:jc w:val="center"/>
              <w:spacing w:after="0"/>
              <w:rPr>
                <w:sz w:val="20"/>
                <w:szCs w:val="20"/>
                <w:color w:val="auto"/>
              </w:rPr>
            </w:pPr>
            <w:r>
              <w:rPr>
                <w:rFonts w:ascii="Arial" w:cs="Arial" w:eastAsia="Arial" w:hAnsi="Arial"/>
                <w:sz w:val="12"/>
                <w:szCs w:val="12"/>
                <w:color w:val="auto"/>
                <w:w w:val="99"/>
              </w:rPr>
              <w:t>439</w:t>
            </w:r>
          </w:p>
        </w:tc>
        <w:tc>
          <w:tcPr>
            <w:tcW w:w="720" w:type="dxa"/>
            <w:vAlign w:val="bottom"/>
          </w:tcPr>
          <w:p>
            <w:pPr>
              <w:jc w:val="center"/>
              <w:spacing w:after="0"/>
              <w:rPr>
                <w:sz w:val="20"/>
                <w:szCs w:val="20"/>
                <w:color w:val="auto"/>
              </w:rPr>
            </w:pPr>
            <w:r>
              <w:rPr>
                <w:rFonts w:ascii="Arial" w:cs="Arial" w:eastAsia="Arial" w:hAnsi="Arial"/>
                <w:sz w:val="12"/>
                <w:szCs w:val="12"/>
                <w:color w:val="auto"/>
              </w:rPr>
              <w:t>1,421,000</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7,563,678</w:t>
            </w:r>
          </w:p>
        </w:tc>
        <w:tc>
          <w:tcPr>
            <w:tcW w:w="1240" w:type="dxa"/>
            <w:vAlign w:val="bottom"/>
          </w:tcPr>
          <w:p>
            <w:pPr>
              <w:spacing w:after="0"/>
              <w:rPr>
                <w:sz w:val="15"/>
                <w:szCs w:val="15"/>
                <w:color w:val="auto"/>
              </w:rPr>
            </w:pPr>
          </w:p>
        </w:tc>
      </w:tr>
      <w:tr>
        <w:trPr>
          <w:trHeight w:val="206"/>
        </w:trPr>
        <w:tc>
          <w:tcPr>
            <w:tcW w:w="1380" w:type="dxa"/>
            <w:vAlign w:val="bottom"/>
          </w:tcPr>
          <w:p>
            <w:pPr>
              <w:ind w:left="160"/>
              <w:spacing w:after="0"/>
              <w:rPr>
                <w:sz w:val="20"/>
                <w:szCs w:val="20"/>
                <w:color w:val="auto"/>
              </w:rPr>
            </w:pPr>
            <w:r>
              <w:rPr>
                <w:rFonts w:ascii="Arial" w:cs="Arial" w:eastAsia="Arial" w:hAnsi="Arial"/>
                <w:sz w:val="12"/>
                <w:szCs w:val="12"/>
                <w:b w:val="1"/>
                <w:bCs w:val="1"/>
                <w:color w:val="auto"/>
              </w:rPr>
              <w:t>Total</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1.12E+10</w:t>
            </w: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jc w:val="center"/>
              <w:ind w:right="80"/>
              <w:spacing w:after="0"/>
              <w:rPr>
                <w:sz w:val="20"/>
                <w:szCs w:val="20"/>
                <w:color w:val="auto"/>
              </w:rPr>
            </w:pPr>
            <w:r>
              <w:rPr>
                <w:rFonts w:ascii="Arial" w:cs="Arial" w:eastAsia="Arial" w:hAnsi="Arial"/>
                <w:sz w:val="12"/>
                <w:szCs w:val="12"/>
                <w:b w:val="1"/>
                <w:bCs w:val="1"/>
                <w:color w:val="auto"/>
                <w:w w:val="97"/>
              </w:rPr>
              <w:t>5,232,724</w:t>
            </w:r>
          </w:p>
        </w:tc>
        <w:tc>
          <w:tcPr>
            <w:tcW w:w="6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27,850,201</w:t>
            </w:r>
          </w:p>
        </w:tc>
        <w:tc>
          <w:tcPr>
            <w:tcW w:w="620" w:type="dxa"/>
            <w:vAlign w:val="bottom"/>
            <w:gridSpan w:val="2"/>
          </w:tcPr>
          <w:p>
            <w:pPr>
              <w:jc w:val="center"/>
              <w:spacing w:after="0"/>
              <w:rPr>
                <w:sz w:val="20"/>
                <w:szCs w:val="20"/>
                <w:color w:val="auto"/>
              </w:rPr>
            </w:pPr>
            <w:r>
              <w:rPr>
                <w:rFonts w:ascii="Arial" w:cs="Arial" w:eastAsia="Arial" w:hAnsi="Arial"/>
                <w:sz w:val="12"/>
                <w:szCs w:val="12"/>
                <w:b w:val="1"/>
                <w:bCs w:val="1"/>
                <w:color w:val="auto"/>
              </w:rPr>
              <w:t>4.40E+09</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left="160"/>
              <w:spacing w:after="0"/>
              <w:rPr>
                <w:sz w:val="20"/>
                <w:szCs w:val="20"/>
                <w:color w:val="auto"/>
              </w:rPr>
            </w:pPr>
            <w:r>
              <w:rPr>
                <w:rFonts w:ascii="Arial" w:cs="Arial" w:eastAsia="Arial" w:hAnsi="Arial"/>
                <w:sz w:val="12"/>
                <w:szCs w:val="12"/>
                <w:b w:val="1"/>
                <w:bCs w:val="1"/>
                <w:color w:val="auto"/>
              </w:rPr>
              <w:t>2,372,585</w:t>
            </w:r>
          </w:p>
        </w:tc>
        <w:tc>
          <w:tcPr>
            <w:tcW w:w="1280" w:type="dxa"/>
            <w:vAlign w:val="bottom"/>
            <w:gridSpan w:val="3"/>
          </w:tcPr>
          <w:p>
            <w:pPr>
              <w:jc w:val="right"/>
              <w:spacing w:after="0"/>
              <w:rPr>
                <w:sz w:val="20"/>
                <w:szCs w:val="20"/>
                <w:color w:val="auto"/>
              </w:rPr>
            </w:pPr>
            <w:r>
              <w:rPr>
                <w:rFonts w:ascii="Arial" w:cs="Arial" w:eastAsia="Arial" w:hAnsi="Arial"/>
                <w:sz w:val="12"/>
                <w:szCs w:val="12"/>
                <w:b w:val="1"/>
                <w:bCs w:val="1"/>
                <w:color w:val="auto"/>
              </w:rPr>
              <w:t>12,628,594 1.56E+10</w:t>
            </w:r>
          </w:p>
        </w:tc>
        <w:tc>
          <w:tcPr>
            <w:tcW w:w="5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7,605,309</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40,478,795</w:t>
            </w:r>
          </w:p>
        </w:tc>
        <w:tc>
          <w:tcPr>
            <w:tcW w:w="1240" w:type="dxa"/>
            <w:vAlign w:val="bottom"/>
          </w:tcPr>
          <w:p>
            <w:pPr>
              <w:spacing w:after="0"/>
              <w:rPr>
                <w:sz w:val="17"/>
                <w:szCs w:val="17"/>
                <w:color w:val="auto"/>
              </w:rPr>
            </w:pPr>
          </w:p>
        </w:tc>
      </w:tr>
      <w:tr>
        <w:trPr>
          <w:trHeight w:val="367"/>
        </w:trPr>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40" w:type="dxa"/>
            <w:vAlign w:val="bottom"/>
            <w:gridSpan w:val="5"/>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3"/>
          </w:tcPr>
          <w:p>
            <w:pPr>
              <w:spacing w:after="0"/>
              <w:rPr>
                <w:sz w:val="24"/>
                <w:szCs w:val="24"/>
                <w:color w:val="auto"/>
              </w:rPr>
            </w:pPr>
          </w:p>
        </w:tc>
        <w:tc>
          <w:tcPr>
            <w:tcW w:w="1240" w:type="dxa"/>
            <w:vAlign w:val="bottom"/>
          </w:tcPr>
          <w:p>
            <w:pPr>
              <w:spacing w:after="0"/>
              <w:rPr>
                <w:sz w:val="24"/>
                <w:szCs w:val="24"/>
                <w:color w:val="auto"/>
              </w:rPr>
            </w:pPr>
          </w:p>
        </w:tc>
      </w:tr>
      <w:tr>
        <w:trPr>
          <w:trHeight w:val="180"/>
        </w:trPr>
        <w:tc>
          <w:tcPr>
            <w:tcW w:w="1380" w:type="dxa"/>
            <w:vAlign w:val="bottom"/>
            <w:shd w:val="clear" w:color="auto" w:fill="153A57"/>
          </w:tcPr>
          <w:p>
            <w:pPr>
              <w:spacing w:after="0"/>
              <w:rPr>
                <w:sz w:val="15"/>
                <w:szCs w:val="15"/>
                <w:color w:val="auto"/>
              </w:rPr>
            </w:pPr>
          </w:p>
        </w:tc>
        <w:tc>
          <w:tcPr>
            <w:tcW w:w="700" w:type="dxa"/>
            <w:vAlign w:val="bottom"/>
            <w:shd w:val="clear" w:color="auto" w:fill="153A57"/>
          </w:tcPr>
          <w:p>
            <w:pPr>
              <w:spacing w:after="0"/>
              <w:rPr>
                <w:sz w:val="15"/>
                <w:szCs w:val="15"/>
                <w:color w:val="auto"/>
              </w:rPr>
            </w:pPr>
          </w:p>
        </w:tc>
        <w:tc>
          <w:tcPr>
            <w:tcW w:w="1940" w:type="dxa"/>
            <w:vAlign w:val="bottom"/>
            <w:gridSpan w:val="5"/>
            <w:shd w:val="clear" w:color="auto" w:fill="153A57"/>
          </w:tcPr>
          <w:p>
            <w:pPr>
              <w:jc w:val="center"/>
              <w:ind w:right="120"/>
              <w:spacing w:after="0"/>
              <w:rPr>
                <w:sz w:val="20"/>
                <w:szCs w:val="20"/>
                <w:color w:val="auto"/>
              </w:rPr>
            </w:pPr>
            <w:r>
              <w:rPr>
                <w:rFonts w:ascii="Arial" w:cs="Arial" w:eastAsia="Arial" w:hAnsi="Arial"/>
                <w:sz w:val="12"/>
                <w:szCs w:val="12"/>
                <w:b w:val="1"/>
                <w:bCs w:val="1"/>
                <w:color w:val="FFFFFF"/>
              </w:rPr>
              <w:t>Inferred Mineral Resources as</w:t>
            </w:r>
          </w:p>
        </w:tc>
        <w:tc>
          <w:tcPr>
            <w:tcW w:w="320" w:type="dxa"/>
            <w:vAlign w:val="bottom"/>
            <w:shd w:val="clear" w:color="auto" w:fill="153A57"/>
          </w:tcPr>
          <w:p>
            <w:pPr>
              <w:spacing w:after="0"/>
              <w:rPr>
                <w:sz w:val="15"/>
                <w:szCs w:val="15"/>
                <w:color w:val="auto"/>
              </w:rPr>
            </w:pPr>
          </w:p>
        </w:tc>
        <w:tc>
          <w:tcPr>
            <w:tcW w:w="300" w:type="dxa"/>
            <w:vAlign w:val="bottom"/>
            <w:shd w:val="clear" w:color="auto" w:fill="153A57"/>
          </w:tcPr>
          <w:p>
            <w:pPr>
              <w:spacing w:after="0"/>
              <w:rPr>
                <w:sz w:val="15"/>
                <w:szCs w:val="15"/>
                <w:color w:val="auto"/>
              </w:rPr>
            </w:pPr>
          </w:p>
        </w:tc>
        <w:tc>
          <w:tcPr>
            <w:tcW w:w="2020" w:type="dxa"/>
            <w:vAlign w:val="bottom"/>
            <w:gridSpan w:val="6"/>
            <w:shd w:val="clear" w:color="auto" w:fill="153A57"/>
          </w:tcPr>
          <w:p>
            <w:pPr>
              <w:jc w:val="center"/>
              <w:ind w:right="321"/>
              <w:spacing w:after="0"/>
              <w:rPr>
                <w:sz w:val="20"/>
                <w:szCs w:val="20"/>
                <w:color w:val="auto"/>
              </w:rPr>
            </w:pPr>
            <w:r>
              <w:rPr>
                <w:rFonts w:ascii="Arial" w:cs="Arial" w:eastAsia="Arial" w:hAnsi="Arial"/>
                <w:sz w:val="12"/>
                <w:szCs w:val="12"/>
                <w:b w:val="1"/>
                <w:bCs w:val="1"/>
                <w:color w:val="FFFFFF"/>
              </w:rPr>
              <w:t>Total Mineral Resources as</w:t>
            </w:r>
          </w:p>
        </w:tc>
        <w:tc>
          <w:tcPr>
            <w:tcW w:w="540" w:type="dxa"/>
            <w:vAlign w:val="bottom"/>
            <w:shd w:val="clear" w:color="auto" w:fill="153A57"/>
          </w:tcPr>
          <w:p>
            <w:pPr>
              <w:spacing w:after="0"/>
              <w:rPr>
                <w:sz w:val="15"/>
                <w:szCs w:val="15"/>
                <w:color w:val="auto"/>
              </w:rPr>
            </w:pPr>
          </w:p>
        </w:tc>
        <w:tc>
          <w:tcPr>
            <w:tcW w:w="120" w:type="dxa"/>
            <w:vAlign w:val="bottom"/>
            <w:shd w:val="clear" w:color="auto" w:fill="153A57"/>
          </w:tcPr>
          <w:p>
            <w:pPr>
              <w:spacing w:after="0"/>
              <w:rPr>
                <w:sz w:val="15"/>
                <w:szCs w:val="15"/>
                <w:color w:val="auto"/>
              </w:rPr>
            </w:pPr>
          </w:p>
        </w:tc>
        <w:tc>
          <w:tcPr>
            <w:tcW w:w="2080" w:type="dxa"/>
            <w:vAlign w:val="bottom"/>
            <w:gridSpan w:val="3"/>
            <w:shd w:val="clear" w:color="auto" w:fill="153A57"/>
          </w:tcPr>
          <w:p>
            <w:pPr>
              <w:jc w:val="right"/>
              <w:ind w:right="280"/>
              <w:spacing w:after="0"/>
              <w:rPr>
                <w:sz w:val="20"/>
                <w:szCs w:val="20"/>
                <w:color w:val="auto"/>
              </w:rPr>
            </w:pPr>
            <w:r>
              <w:rPr>
                <w:rFonts w:ascii="Arial" w:cs="Arial" w:eastAsia="Arial" w:hAnsi="Arial"/>
                <w:sz w:val="12"/>
                <w:szCs w:val="12"/>
                <w:b w:val="1"/>
                <w:bCs w:val="1"/>
                <w:color w:val="FFFFFF"/>
              </w:rPr>
              <w:t>Total Mineral Resources as</w:t>
            </w:r>
          </w:p>
        </w:tc>
        <w:tc>
          <w:tcPr>
            <w:tcW w:w="1240" w:type="dxa"/>
            <w:vAlign w:val="bottom"/>
          </w:tcPr>
          <w:p>
            <w:pPr>
              <w:spacing w:after="0"/>
              <w:rPr>
                <w:sz w:val="15"/>
                <w:szCs w:val="15"/>
                <w:color w:val="auto"/>
              </w:rPr>
            </w:pPr>
          </w:p>
        </w:tc>
      </w:tr>
      <w:tr>
        <w:trPr>
          <w:trHeight w:val="181"/>
        </w:trPr>
        <w:tc>
          <w:tcPr>
            <w:tcW w:w="1380" w:type="dxa"/>
            <w:vAlign w:val="bottom"/>
            <w:shd w:val="clear" w:color="auto" w:fill="153A57"/>
          </w:tcPr>
          <w:p>
            <w:pPr>
              <w:spacing w:after="0"/>
              <w:rPr>
                <w:sz w:val="15"/>
                <w:szCs w:val="15"/>
                <w:color w:val="auto"/>
              </w:rPr>
            </w:pPr>
          </w:p>
        </w:tc>
        <w:tc>
          <w:tcPr>
            <w:tcW w:w="700" w:type="dxa"/>
            <w:vAlign w:val="bottom"/>
            <w:shd w:val="clear" w:color="auto" w:fill="153A57"/>
          </w:tcPr>
          <w:p>
            <w:pPr>
              <w:spacing w:after="0"/>
              <w:rPr>
                <w:sz w:val="15"/>
                <w:szCs w:val="15"/>
                <w:color w:val="auto"/>
              </w:rPr>
            </w:pPr>
          </w:p>
        </w:tc>
        <w:tc>
          <w:tcPr>
            <w:tcW w:w="40" w:type="dxa"/>
            <w:vAlign w:val="bottom"/>
            <w:shd w:val="clear" w:color="auto" w:fill="153A57"/>
          </w:tcPr>
          <w:p>
            <w:pPr>
              <w:spacing w:after="0"/>
              <w:rPr>
                <w:sz w:val="15"/>
                <w:szCs w:val="15"/>
                <w:color w:val="auto"/>
              </w:rPr>
            </w:pPr>
          </w:p>
        </w:tc>
        <w:tc>
          <w:tcPr>
            <w:tcW w:w="1900" w:type="dxa"/>
            <w:vAlign w:val="bottom"/>
            <w:gridSpan w:val="4"/>
            <w:shd w:val="clear" w:color="auto" w:fill="153A57"/>
          </w:tcPr>
          <w:p>
            <w:pPr>
              <w:jc w:val="center"/>
              <w:ind w:right="180"/>
              <w:spacing w:after="0"/>
              <w:rPr>
                <w:sz w:val="20"/>
                <w:szCs w:val="20"/>
                <w:color w:val="auto"/>
              </w:rPr>
            </w:pPr>
            <w:r>
              <w:rPr>
                <w:rFonts w:ascii="Arial" w:cs="Arial" w:eastAsia="Arial" w:hAnsi="Arial"/>
                <w:sz w:val="12"/>
                <w:szCs w:val="12"/>
                <w:b w:val="1"/>
                <w:bCs w:val="1"/>
                <w:color w:val="FFFFFF"/>
                <w:w w:val="99"/>
              </w:rPr>
              <w:t>at December 31, 2025</w:t>
            </w:r>
          </w:p>
        </w:tc>
        <w:tc>
          <w:tcPr>
            <w:tcW w:w="320" w:type="dxa"/>
            <w:vAlign w:val="bottom"/>
            <w:shd w:val="clear" w:color="auto" w:fill="153A57"/>
          </w:tcPr>
          <w:p>
            <w:pPr>
              <w:spacing w:after="0"/>
              <w:rPr>
                <w:sz w:val="15"/>
                <w:szCs w:val="15"/>
                <w:color w:val="auto"/>
              </w:rPr>
            </w:pPr>
          </w:p>
        </w:tc>
        <w:tc>
          <w:tcPr>
            <w:tcW w:w="300" w:type="dxa"/>
            <w:vAlign w:val="bottom"/>
            <w:shd w:val="clear" w:color="auto" w:fill="153A57"/>
          </w:tcPr>
          <w:p>
            <w:pPr>
              <w:spacing w:after="0"/>
              <w:rPr>
                <w:sz w:val="15"/>
                <w:szCs w:val="15"/>
                <w:color w:val="auto"/>
              </w:rPr>
            </w:pPr>
          </w:p>
        </w:tc>
        <w:tc>
          <w:tcPr>
            <w:tcW w:w="2020" w:type="dxa"/>
            <w:vAlign w:val="bottom"/>
            <w:gridSpan w:val="6"/>
            <w:shd w:val="clear" w:color="auto" w:fill="153A57"/>
          </w:tcPr>
          <w:p>
            <w:pPr>
              <w:jc w:val="center"/>
              <w:ind w:right="301"/>
              <w:spacing w:after="0"/>
              <w:rPr>
                <w:sz w:val="20"/>
                <w:szCs w:val="20"/>
                <w:color w:val="auto"/>
              </w:rPr>
            </w:pPr>
            <w:r>
              <w:rPr>
                <w:rFonts w:ascii="Arial" w:cs="Arial" w:eastAsia="Arial" w:hAnsi="Arial"/>
                <w:sz w:val="12"/>
                <w:szCs w:val="12"/>
                <w:b w:val="1"/>
                <w:bCs w:val="1"/>
                <w:color w:val="FFFFFF"/>
                <w:w w:val="99"/>
              </w:rPr>
              <w:t>at December 31, 2025</w:t>
            </w:r>
          </w:p>
        </w:tc>
        <w:tc>
          <w:tcPr>
            <w:tcW w:w="540" w:type="dxa"/>
            <w:vAlign w:val="bottom"/>
            <w:shd w:val="clear" w:color="auto" w:fill="153A57"/>
          </w:tcPr>
          <w:p>
            <w:pPr>
              <w:spacing w:after="0"/>
              <w:rPr>
                <w:sz w:val="15"/>
                <w:szCs w:val="15"/>
                <w:color w:val="auto"/>
              </w:rPr>
            </w:pPr>
          </w:p>
        </w:tc>
        <w:tc>
          <w:tcPr>
            <w:tcW w:w="120" w:type="dxa"/>
            <w:vAlign w:val="bottom"/>
            <w:shd w:val="clear" w:color="auto" w:fill="153A57"/>
          </w:tcPr>
          <w:p>
            <w:pPr>
              <w:spacing w:after="0"/>
              <w:rPr>
                <w:sz w:val="15"/>
                <w:szCs w:val="15"/>
                <w:color w:val="auto"/>
              </w:rPr>
            </w:pPr>
          </w:p>
        </w:tc>
        <w:tc>
          <w:tcPr>
            <w:tcW w:w="2080" w:type="dxa"/>
            <w:vAlign w:val="bottom"/>
            <w:gridSpan w:val="3"/>
            <w:shd w:val="clear" w:color="auto" w:fill="153A57"/>
          </w:tcPr>
          <w:p>
            <w:pPr>
              <w:jc w:val="center"/>
              <w:ind w:right="100"/>
              <w:spacing w:after="0"/>
              <w:rPr>
                <w:sz w:val="20"/>
                <w:szCs w:val="20"/>
                <w:color w:val="auto"/>
              </w:rPr>
            </w:pPr>
            <w:r>
              <w:rPr>
                <w:rFonts w:ascii="Arial" w:cs="Arial" w:eastAsia="Arial" w:hAnsi="Arial"/>
                <w:sz w:val="12"/>
                <w:szCs w:val="12"/>
                <w:b w:val="1"/>
                <w:bCs w:val="1"/>
                <w:color w:val="FFFFFF"/>
                <w:w w:val="99"/>
              </w:rPr>
              <w:t>at December 31, 2025 for LAR</w:t>
            </w:r>
          </w:p>
        </w:tc>
        <w:tc>
          <w:tcPr>
            <w:tcW w:w="1240" w:type="dxa"/>
            <w:vAlign w:val="bottom"/>
          </w:tcPr>
          <w:p>
            <w:pPr>
              <w:spacing w:after="0"/>
              <w:rPr>
                <w:sz w:val="15"/>
                <w:szCs w:val="15"/>
                <w:color w:val="auto"/>
              </w:rPr>
            </w:pPr>
          </w:p>
        </w:tc>
      </w:tr>
      <w:tr>
        <w:trPr>
          <w:trHeight w:val="206"/>
        </w:trPr>
        <w:tc>
          <w:tcPr>
            <w:tcW w:w="1380" w:type="dxa"/>
            <w:vAlign w:val="bottom"/>
            <w:shd w:val="clear" w:color="auto" w:fill="153A57"/>
          </w:tcPr>
          <w:p>
            <w:pPr>
              <w:spacing w:after="0"/>
              <w:rPr>
                <w:sz w:val="17"/>
                <w:szCs w:val="17"/>
                <w:color w:val="auto"/>
              </w:rPr>
            </w:pPr>
          </w:p>
        </w:tc>
        <w:tc>
          <w:tcPr>
            <w:tcW w:w="700" w:type="dxa"/>
            <w:vAlign w:val="bottom"/>
            <w:shd w:val="clear" w:color="auto" w:fill="153A57"/>
          </w:tcPr>
          <w:p>
            <w:pPr>
              <w:jc w:val="center"/>
              <w:ind w:left="200"/>
              <w:spacing w:after="0"/>
              <w:rPr>
                <w:sz w:val="20"/>
                <w:szCs w:val="20"/>
                <w:color w:val="auto"/>
              </w:rPr>
            </w:pPr>
            <w:r>
              <w:rPr>
                <w:rFonts w:ascii="Arial" w:cs="Arial" w:eastAsia="Arial" w:hAnsi="Arial"/>
                <w:sz w:val="12"/>
                <w:szCs w:val="12"/>
                <w:b w:val="1"/>
                <w:bCs w:val="1"/>
                <w:color w:val="FFFFFF"/>
                <w:w w:val="97"/>
              </w:rPr>
              <w:t>Total</w:t>
            </w:r>
          </w:p>
        </w:tc>
        <w:tc>
          <w:tcPr>
            <w:tcW w:w="40" w:type="dxa"/>
            <w:vAlign w:val="bottom"/>
            <w:shd w:val="clear" w:color="auto" w:fill="153A57"/>
          </w:tcPr>
          <w:p>
            <w:pPr>
              <w:spacing w:after="0"/>
              <w:rPr>
                <w:sz w:val="17"/>
                <w:szCs w:val="17"/>
                <w:color w:val="auto"/>
              </w:rPr>
            </w:pPr>
          </w:p>
        </w:tc>
        <w:tc>
          <w:tcPr>
            <w:tcW w:w="540" w:type="dxa"/>
            <w:vAlign w:val="bottom"/>
            <w:shd w:val="clear" w:color="auto" w:fill="153A57"/>
          </w:tcPr>
          <w:p>
            <w:pPr>
              <w:spacing w:after="0"/>
              <w:rPr>
                <w:sz w:val="17"/>
                <w:szCs w:val="17"/>
                <w:color w:val="auto"/>
              </w:rPr>
            </w:pPr>
          </w:p>
        </w:tc>
        <w:tc>
          <w:tcPr>
            <w:tcW w:w="700" w:type="dxa"/>
            <w:vAlign w:val="bottom"/>
            <w:shd w:val="clear" w:color="auto" w:fill="153A57"/>
          </w:tcPr>
          <w:p>
            <w:pPr>
              <w:spacing w:after="0"/>
              <w:rPr>
                <w:sz w:val="17"/>
                <w:szCs w:val="17"/>
                <w:color w:val="auto"/>
              </w:rPr>
            </w:pPr>
          </w:p>
        </w:tc>
        <w:tc>
          <w:tcPr>
            <w:tcW w:w="140" w:type="dxa"/>
            <w:vAlign w:val="bottom"/>
            <w:shd w:val="clear" w:color="auto" w:fill="153A57"/>
          </w:tcPr>
          <w:p>
            <w:pPr>
              <w:spacing w:after="0"/>
              <w:rPr>
                <w:sz w:val="17"/>
                <w:szCs w:val="17"/>
                <w:color w:val="auto"/>
              </w:rPr>
            </w:pPr>
          </w:p>
        </w:tc>
        <w:tc>
          <w:tcPr>
            <w:tcW w:w="520" w:type="dxa"/>
            <w:vAlign w:val="bottom"/>
            <w:shd w:val="clear" w:color="auto" w:fill="153A57"/>
          </w:tcPr>
          <w:p>
            <w:pPr>
              <w:spacing w:after="0"/>
              <w:rPr>
                <w:sz w:val="17"/>
                <w:szCs w:val="17"/>
                <w:color w:val="auto"/>
              </w:rPr>
            </w:pPr>
          </w:p>
        </w:tc>
        <w:tc>
          <w:tcPr>
            <w:tcW w:w="320" w:type="dxa"/>
            <w:vAlign w:val="bottom"/>
            <w:shd w:val="clear" w:color="auto" w:fill="153A57"/>
          </w:tcPr>
          <w:p>
            <w:pPr>
              <w:spacing w:after="0"/>
              <w:rPr>
                <w:sz w:val="17"/>
                <w:szCs w:val="17"/>
                <w:color w:val="auto"/>
              </w:rPr>
            </w:pPr>
          </w:p>
        </w:tc>
        <w:tc>
          <w:tcPr>
            <w:tcW w:w="660" w:type="dxa"/>
            <w:vAlign w:val="bottom"/>
            <w:gridSpan w:val="2"/>
            <w:shd w:val="clear" w:color="auto" w:fill="153A57"/>
          </w:tcPr>
          <w:p>
            <w:pPr>
              <w:ind w:left="180"/>
              <w:spacing w:after="0"/>
              <w:rPr>
                <w:sz w:val="20"/>
                <w:szCs w:val="20"/>
                <w:color w:val="auto"/>
              </w:rPr>
            </w:pPr>
            <w:r>
              <w:rPr>
                <w:rFonts w:ascii="Arial" w:cs="Arial" w:eastAsia="Arial" w:hAnsi="Arial"/>
                <w:sz w:val="12"/>
                <w:szCs w:val="12"/>
                <w:b w:val="1"/>
                <w:bCs w:val="1"/>
                <w:color w:val="FFFFFF"/>
              </w:rPr>
              <w:t>Total</w:t>
            </w:r>
          </w:p>
        </w:tc>
        <w:tc>
          <w:tcPr>
            <w:tcW w:w="100" w:type="dxa"/>
            <w:vAlign w:val="bottom"/>
            <w:shd w:val="clear" w:color="auto" w:fill="153A57"/>
          </w:tcPr>
          <w:p>
            <w:pPr>
              <w:spacing w:after="0"/>
              <w:rPr>
                <w:sz w:val="17"/>
                <w:szCs w:val="17"/>
                <w:color w:val="auto"/>
              </w:rPr>
            </w:pPr>
          </w:p>
        </w:tc>
        <w:tc>
          <w:tcPr>
            <w:tcW w:w="100" w:type="dxa"/>
            <w:vAlign w:val="bottom"/>
            <w:shd w:val="clear" w:color="auto" w:fill="153A57"/>
          </w:tcPr>
          <w:p>
            <w:pPr>
              <w:spacing w:after="0"/>
              <w:rPr>
                <w:sz w:val="17"/>
                <w:szCs w:val="17"/>
                <w:color w:val="auto"/>
              </w:rPr>
            </w:pPr>
          </w:p>
        </w:tc>
        <w:tc>
          <w:tcPr>
            <w:tcW w:w="500" w:type="dxa"/>
            <w:vAlign w:val="bottom"/>
            <w:shd w:val="clear" w:color="auto" w:fill="153A57"/>
          </w:tcPr>
          <w:p>
            <w:pPr>
              <w:spacing w:after="0"/>
              <w:rPr>
                <w:sz w:val="17"/>
                <w:szCs w:val="17"/>
                <w:color w:val="auto"/>
              </w:rPr>
            </w:pPr>
          </w:p>
        </w:tc>
        <w:tc>
          <w:tcPr>
            <w:tcW w:w="340" w:type="dxa"/>
            <w:vAlign w:val="bottom"/>
            <w:shd w:val="clear" w:color="auto" w:fill="153A57"/>
          </w:tcPr>
          <w:p>
            <w:pPr>
              <w:spacing w:after="0"/>
              <w:rPr>
                <w:sz w:val="17"/>
                <w:szCs w:val="17"/>
                <w:color w:val="auto"/>
              </w:rPr>
            </w:pPr>
          </w:p>
        </w:tc>
        <w:tc>
          <w:tcPr>
            <w:tcW w:w="620" w:type="dxa"/>
            <w:vAlign w:val="bottom"/>
            <w:shd w:val="clear" w:color="auto" w:fill="153A57"/>
          </w:tcPr>
          <w:p>
            <w:pPr>
              <w:spacing w:after="0"/>
              <w:rPr>
                <w:sz w:val="17"/>
                <w:szCs w:val="17"/>
                <w:color w:val="auto"/>
              </w:rPr>
            </w:pPr>
          </w:p>
        </w:tc>
        <w:tc>
          <w:tcPr>
            <w:tcW w:w="540" w:type="dxa"/>
            <w:vAlign w:val="bottom"/>
            <w:shd w:val="clear" w:color="auto" w:fill="153A57"/>
          </w:tcPr>
          <w:p>
            <w:pPr>
              <w:jc w:val="center"/>
              <w:ind w:right="60"/>
              <w:spacing w:after="0"/>
              <w:rPr>
                <w:sz w:val="20"/>
                <w:szCs w:val="20"/>
                <w:color w:val="auto"/>
              </w:rPr>
            </w:pPr>
            <w:r>
              <w:rPr>
                <w:rFonts w:ascii="Arial" w:cs="Arial" w:eastAsia="Arial" w:hAnsi="Arial"/>
                <w:sz w:val="12"/>
                <w:szCs w:val="12"/>
                <w:b w:val="1"/>
                <w:bCs w:val="1"/>
                <w:color w:val="FFFFFF"/>
                <w:w w:val="93"/>
              </w:rPr>
              <w:t>%</w:t>
            </w:r>
          </w:p>
        </w:tc>
        <w:tc>
          <w:tcPr>
            <w:tcW w:w="120" w:type="dxa"/>
            <w:vAlign w:val="bottom"/>
            <w:shd w:val="clear" w:color="auto" w:fill="153A57"/>
          </w:tcPr>
          <w:p>
            <w:pPr>
              <w:spacing w:after="0"/>
              <w:rPr>
                <w:sz w:val="17"/>
                <w:szCs w:val="17"/>
                <w:color w:val="auto"/>
              </w:rPr>
            </w:pPr>
          </w:p>
        </w:tc>
        <w:tc>
          <w:tcPr>
            <w:tcW w:w="560" w:type="dxa"/>
            <w:vAlign w:val="bottom"/>
            <w:shd w:val="clear" w:color="auto" w:fill="153A57"/>
          </w:tcPr>
          <w:p>
            <w:pPr>
              <w:jc w:val="center"/>
              <w:ind w:right="180"/>
              <w:spacing w:after="0"/>
              <w:rPr>
                <w:sz w:val="20"/>
                <w:szCs w:val="20"/>
                <w:color w:val="auto"/>
              </w:rPr>
            </w:pPr>
            <w:r>
              <w:rPr>
                <w:rFonts w:ascii="Arial" w:cs="Arial" w:eastAsia="Arial" w:hAnsi="Arial"/>
                <w:sz w:val="12"/>
                <w:szCs w:val="12"/>
                <w:b w:val="1"/>
                <w:bCs w:val="1"/>
                <w:color w:val="FFFFFF"/>
                <w:w w:val="97"/>
              </w:rPr>
              <w:t>Total</w:t>
            </w:r>
          </w:p>
        </w:tc>
        <w:tc>
          <w:tcPr>
            <w:tcW w:w="720" w:type="dxa"/>
            <w:vAlign w:val="bottom"/>
            <w:shd w:val="clear" w:color="auto" w:fill="153A57"/>
          </w:tcPr>
          <w:p>
            <w:pPr>
              <w:spacing w:after="0"/>
              <w:rPr>
                <w:sz w:val="17"/>
                <w:szCs w:val="17"/>
                <w:color w:val="auto"/>
              </w:rPr>
            </w:pPr>
          </w:p>
        </w:tc>
        <w:tc>
          <w:tcPr>
            <w:tcW w:w="800" w:type="dxa"/>
            <w:vAlign w:val="bottom"/>
            <w:shd w:val="clear" w:color="auto" w:fill="153A57"/>
          </w:tcPr>
          <w:p>
            <w:pPr>
              <w:spacing w:after="0"/>
              <w:rPr>
                <w:sz w:val="17"/>
                <w:szCs w:val="17"/>
                <w:color w:val="auto"/>
              </w:rPr>
            </w:pPr>
          </w:p>
        </w:tc>
        <w:tc>
          <w:tcPr>
            <w:tcW w:w="1240" w:type="dxa"/>
            <w:vAlign w:val="bottom"/>
          </w:tcPr>
          <w:p>
            <w:pPr>
              <w:spacing w:after="0"/>
              <w:rPr>
                <w:sz w:val="17"/>
                <w:szCs w:val="17"/>
                <w:color w:val="auto"/>
              </w:rPr>
            </w:pPr>
          </w:p>
        </w:tc>
      </w:tr>
      <w:tr>
        <w:trPr>
          <w:trHeight w:val="181"/>
        </w:trPr>
        <w:tc>
          <w:tcPr>
            <w:tcW w:w="1380" w:type="dxa"/>
            <w:vAlign w:val="bottom"/>
            <w:shd w:val="clear" w:color="auto" w:fill="153A57"/>
          </w:tcPr>
          <w:p>
            <w:pPr>
              <w:spacing w:after="0"/>
              <w:rPr>
                <w:sz w:val="15"/>
                <w:szCs w:val="15"/>
                <w:color w:val="auto"/>
              </w:rPr>
            </w:pPr>
          </w:p>
        </w:tc>
        <w:tc>
          <w:tcPr>
            <w:tcW w:w="700" w:type="dxa"/>
            <w:vAlign w:val="bottom"/>
            <w:shd w:val="clear" w:color="auto" w:fill="153A57"/>
          </w:tcPr>
          <w:p>
            <w:pPr>
              <w:jc w:val="center"/>
              <w:ind w:left="180"/>
              <w:spacing w:after="0"/>
              <w:rPr>
                <w:sz w:val="20"/>
                <w:szCs w:val="20"/>
                <w:color w:val="auto"/>
              </w:rPr>
            </w:pPr>
            <w:r>
              <w:rPr>
                <w:rFonts w:ascii="Arial" w:cs="Arial" w:eastAsia="Arial" w:hAnsi="Arial"/>
                <w:sz w:val="12"/>
                <w:szCs w:val="12"/>
                <w:b w:val="1"/>
                <w:bCs w:val="1"/>
                <w:color w:val="FFFFFF"/>
              </w:rPr>
              <w:t>brine</w:t>
            </w:r>
          </w:p>
        </w:tc>
        <w:tc>
          <w:tcPr>
            <w:tcW w:w="40" w:type="dxa"/>
            <w:vAlign w:val="bottom"/>
            <w:shd w:val="clear" w:color="auto" w:fill="153A57"/>
          </w:tcPr>
          <w:p>
            <w:pPr>
              <w:spacing w:after="0"/>
              <w:rPr>
                <w:sz w:val="15"/>
                <w:szCs w:val="15"/>
                <w:color w:val="auto"/>
              </w:rPr>
            </w:pPr>
          </w:p>
        </w:tc>
        <w:tc>
          <w:tcPr>
            <w:tcW w:w="540" w:type="dxa"/>
            <w:vAlign w:val="bottom"/>
            <w:shd w:val="clear" w:color="auto" w:fill="153A57"/>
          </w:tcPr>
          <w:p>
            <w:pPr>
              <w:spacing w:after="0"/>
              <w:rPr>
                <w:sz w:val="15"/>
                <w:szCs w:val="15"/>
                <w:color w:val="auto"/>
              </w:rPr>
            </w:pPr>
          </w:p>
        </w:tc>
        <w:tc>
          <w:tcPr>
            <w:tcW w:w="840" w:type="dxa"/>
            <w:vAlign w:val="bottom"/>
            <w:gridSpan w:val="2"/>
            <w:shd w:val="clear" w:color="auto" w:fill="153A57"/>
          </w:tcPr>
          <w:p>
            <w:pPr>
              <w:jc w:val="center"/>
              <w:ind w:left="100"/>
              <w:spacing w:after="0"/>
              <w:rPr>
                <w:sz w:val="20"/>
                <w:szCs w:val="20"/>
                <w:color w:val="auto"/>
              </w:rPr>
            </w:pPr>
            <w:r>
              <w:rPr>
                <w:rFonts w:ascii="Arial" w:cs="Arial" w:eastAsia="Arial" w:hAnsi="Arial"/>
                <w:sz w:val="12"/>
                <w:szCs w:val="12"/>
                <w:b w:val="1"/>
                <w:bCs w:val="1"/>
                <w:color w:val="FFFFFF"/>
              </w:rPr>
              <w:t>Lithium</w:t>
            </w:r>
          </w:p>
        </w:tc>
        <w:tc>
          <w:tcPr>
            <w:tcW w:w="520" w:type="dxa"/>
            <w:vAlign w:val="bottom"/>
            <w:shd w:val="clear" w:color="auto" w:fill="153A57"/>
          </w:tcPr>
          <w:p>
            <w:pPr>
              <w:spacing w:after="0"/>
              <w:rPr>
                <w:sz w:val="15"/>
                <w:szCs w:val="15"/>
                <w:color w:val="auto"/>
              </w:rPr>
            </w:pPr>
          </w:p>
        </w:tc>
        <w:tc>
          <w:tcPr>
            <w:tcW w:w="320" w:type="dxa"/>
            <w:vAlign w:val="bottom"/>
            <w:shd w:val="clear" w:color="auto" w:fill="153A57"/>
          </w:tcPr>
          <w:p>
            <w:pPr>
              <w:spacing w:after="0"/>
              <w:rPr>
                <w:sz w:val="15"/>
                <w:szCs w:val="15"/>
                <w:color w:val="auto"/>
              </w:rPr>
            </w:pPr>
          </w:p>
        </w:tc>
        <w:tc>
          <w:tcPr>
            <w:tcW w:w="660" w:type="dxa"/>
            <w:vAlign w:val="bottom"/>
            <w:gridSpan w:val="2"/>
            <w:shd w:val="clear" w:color="auto" w:fill="153A57"/>
          </w:tcPr>
          <w:p>
            <w:pPr>
              <w:ind w:left="180"/>
              <w:spacing w:after="0"/>
              <w:rPr>
                <w:sz w:val="20"/>
                <w:szCs w:val="20"/>
                <w:color w:val="auto"/>
              </w:rPr>
            </w:pPr>
            <w:r>
              <w:rPr>
                <w:rFonts w:ascii="Arial" w:cs="Arial" w:eastAsia="Arial" w:hAnsi="Arial"/>
                <w:sz w:val="12"/>
                <w:szCs w:val="12"/>
                <w:b w:val="1"/>
                <w:bCs w:val="1"/>
                <w:color w:val="FFFFFF"/>
              </w:rPr>
              <w:t>brine</w:t>
            </w:r>
          </w:p>
        </w:tc>
        <w:tc>
          <w:tcPr>
            <w:tcW w:w="100" w:type="dxa"/>
            <w:vAlign w:val="bottom"/>
            <w:shd w:val="clear" w:color="auto" w:fill="153A57"/>
          </w:tcPr>
          <w:p>
            <w:pPr>
              <w:spacing w:after="0"/>
              <w:rPr>
                <w:sz w:val="15"/>
                <w:szCs w:val="15"/>
                <w:color w:val="auto"/>
              </w:rPr>
            </w:pPr>
          </w:p>
        </w:tc>
        <w:tc>
          <w:tcPr>
            <w:tcW w:w="600" w:type="dxa"/>
            <w:vAlign w:val="bottom"/>
            <w:gridSpan w:val="2"/>
            <w:shd w:val="clear" w:color="auto" w:fill="153A57"/>
          </w:tcPr>
          <w:p>
            <w:pPr>
              <w:jc w:val="center"/>
              <w:spacing w:after="0"/>
              <w:rPr>
                <w:sz w:val="20"/>
                <w:szCs w:val="20"/>
                <w:color w:val="auto"/>
              </w:rPr>
            </w:pPr>
            <w:r>
              <w:rPr>
                <w:rFonts w:ascii="Arial" w:cs="Arial" w:eastAsia="Arial" w:hAnsi="Arial"/>
                <w:sz w:val="12"/>
                <w:szCs w:val="12"/>
                <w:b w:val="1"/>
                <w:bCs w:val="1"/>
                <w:color w:val="FFFFFF"/>
                <w:w w:val="96"/>
              </w:rPr>
              <w:t>Lithium</w:t>
            </w:r>
          </w:p>
        </w:tc>
        <w:tc>
          <w:tcPr>
            <w:tcW w:w="340" w:type="dxa"/>
            <w:vAlign w:val="bottom"/>
            <w:shd w:val="clear" w:color="auto" w:fill="153A57"/>
          </w:tcPr>
          <w:p>
            <w:pPr>
              <w:spacing w:after="0"/>
              <w:rPr>
                <w:sz w:val="15"/>
                <w:szCs w:val="15"/>
                <w:color w:val="auto"/>
              </w:rPr>
            </w:pPr>
          </w:p>
        </w:tc>
        <w:tc>
          <w:tcPr>
            <w:tcW w:w="620" w:type="dxa"/>
            <w:vAlign w:val="bottom"/>
            <w:shd w:val="clear" w:color="auto" w:fill="153A57"/>
          </w:tcPr>
          <w:p>
            <w:pPr>
              <w:spacing w:after="0"/>
              <w:rPr>
                <w:sz w:val="15"/>
                <w:szCs w:val="15"/>
                <w:color w:val="auto"/>
              </w:rPr>
            </w:pPr>
          </w:p>
        </w:tc>
        <w:tc>
          <w:tcPr>
            <w:tcW w:w="540" w:type="dxa"/>
            <w:vAlign w:val="bottom"/>
            <w:shd w:val="clear" w:color="auto" w:fill="153A57"/>
          </w:tcPr>
          <w:p>
            <w:pPr>
              <w:jc w:val="center"/>
              <w:ind w:right="60"/>
              <w:spacing w:after="0"/>
              <w:rPr>
                <w:sz w:val="20"/>
                <w:szCs w:val="20"/>
                <w:color w:val="auto"/>
              </w:rPr>
            </w:pPr>
            <w:r>
              <w:rPr>
                <w:rFonts w:ascii="Arial" w:cs="Arial" w:eastAsia="Arial" w:hAnsi="Arial"/>
                <w:sz w:val="12"/>
                <w:szCs w:val="12"/>
                <w:b w:val="1"/>
                <w:bCs w:val="1"/>
                <w:color w:val="FFFFFF"/>
                <w:w w:val="96"/>
              </w:rPr>
              <w:t>Interest</w:t>
            </w:r>
          </w:p>
        </w:tc>
        <w:tc>
          <w:tcPr>
            <w:tcW w:w="120" w:type="dxa"/>
            <w:vAlign w:val="bottom"/>
            <w:shd w:val="clear" w:color="auto" w:fill="153A57"/>
          </w:tcPr>
          <w:p>
            <w:pPr>
              <w:spacing w:after="0"/>
              <w:rPr>
                <w:sz w:val="15"/>
                <w:szCs w:val="15"/>
                <w:color w:val="auto"/>
              </w:rPr>
            </w:pPr>
          </w:p>
        </w:tc>
        <w:tc>
          <w:tcPr>
            <w:tcW w:w="560" w:type="dxa"/>
            <w:vAlign w:val="bottom"/>
            <w:shd w:val="clear" w:color="auto" w:fill="153A57"/>
          </w:tcPr>
          <w:p>
            <w:pPr>
              <w:jc w:val="center"/>
              <w:ind w:right="180"/>
              <w:spacing w:after="0"/>
              <w:rPr>
                <w:sz w:val="20"/>
                <w:szCs w:val="20"/>
                <w:color w:val="auto"/>
              </w:rPr>
            </w:pPr>
            <w:r>
              <w:rPr>
                <w:rFonts w:ascii="Arial" w:cs="Arial" w:eastAsia="Arial" w:hAnsi="Arial"/>
                <w:sz w:val="12"/>
                <w:szCs w:val="12"/>
                <w:b w:val="1"/>
                <w:bCs w:val="1"/>
                <w:color w:val="FFFFFF"/>
                <w:w w:val="95"/>
              </w:rPr>
              <w:t>brine</w:t>
            </w:r>
          </w:p>
        </w:tc>
        <w:tc>
          <w:tcPr>
            <w:tcW w:w="720" w:type="dxa"/>
            <w:vAlign w:val="bottom"/>
            <w:shd w:val="clear" w:color="auto" w:fill="153A57"/>
          </w:tcPr>
          <w:p>
            <w:pPr>
              <w:jc w:val="center"/>
              <w:ind w:right="60"/>
              <w:spacing w:after="0"/>
              <w:rPr>
                <w:sz w:val="20"/>
                <w:szCs w:val="20"/>
                <w:color w:val="auto"/>
              </w:rPr>
            </w:pPr>
            <w:r>
              <w:rPr>
                <w:rFonts w:ascii="Arial" w:cs="Arial" w:eastAsia="Arial" w:hAnsi="Arial"/>
                <w:sz w:val="12"/>
                <w:szCs w:val="12"/>
                <w:b w:val="1"/>
                <w:bCs w:val="1"/>
                <w:color w:val="FFFFFF"/>
              </w:rPr>
              <w:t>Lithium</w:t>
            </w:r>
          </w:p>
        </w:tc>
        <w:tc>
          <w:tcPr>
            <w:tcW w:w="800" w:type="dxa"/>
            <w:vAlign w:val="bottom"/>
            <w:shd w:val="clear" w:color="auto" w:fill="153A57"/>
          </w:tcPr>
          <w:p>
            <w:pPr>
              <w:spacing w:after="0"/>
              <w:rPr>
                <w:sz w:val="15"/>
                <w:szCs w:val="15"/>
                <w:color w:val="auto"/>
              </w:rPr>
            </w:pPr>
          </w:p>
        </w:tc>
        <w:tc>
          <w:tcPr>
            <w:tcW w:w="1240" w:type="dxa"/>
            <w:vAlign w:val="bottom"/>
          </w:tcPr>
          <w:p>
            <w:pPr>
              <w:spacing w:after="0"/>
              <w:rPr>
                <w:sz w:val="15"/>
                <w:szCs w:val="15"/>
                <w:color w:val="auto"/>
              </w:rPr>
            </w:pPr>
          </w:p>
        </w:tc>
      </w:tr>
      <w:tr>
        <w:trPr>
          <w:trHeight w:val="197"/>
        </w:trPr>
        <w:tc>
          <w:tcPr>
            <w:tcW w:w="1380" w:type="dxa"/>
            <w:vAlign w:val="bottom"/>
            <w:tcBorders>
              <w:bottom w:val="single" w:sz="8" w:color="153A57"/>
            </w:tcBorders>
            <w:shd w:val="clear" w:color="auto" w:fill="153A57"/>
          </w:tcPr>
          <w:p>
            <w:pPr>
              <w:spacing w:after="0"/>
              <w:rPr>
                <w:sz w:val="17"/>
                <w:szCs w:val="17"/>
                <w:color w:val="auto"/>
              </w:rPr>
            </w:pPr>
          </w:p>
        </w:tc>
        <w:tc>
          <w:tcPr>
            <w:tcW w:w="700" w:type="dxa"/>
            <w:vAlign w:val="bottom"/>
            <w:tcBorders>
              <w:bottom w:val="single" w:sz="8" w:color="153A57"/>
            </w:tcBorders>
            <w:shd w:val="clear" w:color="auto" w:fill="153A57"/>
          </w:tcPr>
          <w:p>
            <w:pPr>
              <w:jc w:val="center"/>
              <w:ind w:left="180"/>
              <w:spacing w:after="0"/>
              <w:rPr>
                <w:sz w:val="20"/>
                <w:szCs w:val="20"/>
                <w:color w:val="auto"/>
              </w:rPr>
            </w:pPr>
            <w:r>
              <w:rPr>
                <w:rFonts w:ascii="Arial" w:cs="Arial" w:eastAsia="Arial" w:hAnsi="Arial"/>
                <w:sz w:val="12"/>
                <w:szCs w:val="12"/>
                <w:b w:val="1"/>
                <w:bCs w:val="1"/>
                <w:color w:val="FFFFFF"/>
                <w:w w:val="99"/>
              </w:rPr>
              <w:t>volume</w:t>
            </w:r>
          </w:p>
        </w:tc>
        <w:tc>
          <w:tcPr>
            <w:tcW w:w="40" w:type="dxa"/>
            <w:vAlign w:val="bottom"/>
            <w:tcBorders>
              <w:bottom w:val="single" w:sz="8" w:color="153A57"/>
            </w:tcBorders>
            <w:shd w:val="clear" w:color="auto" w:fill="153A57"/>
          </w:tcPr>
          <w:p>
            <w:pPr>
              <w:spacing w:after="0"/>
              <w:rPr>
                <w:sz w:val="17"/>
                <w:szCs w:val="17"/>
                <w:color w:val="auto"/>
              </w:rPr>
            </w:pPr>
          </w:p>
        </w:tc>
        <w:tc>
          <w:tcPr>
            <w:tcW w:w="540" w:type="dxa"/>
            <w:vAlign w:val="bottom"/>
            <w:tcBorders>
              <w:bottom w:val="single" w:sz="8" w:color="153A57"/>
            </w:tcBorders>
            <w:shd w:val="clear" w:color="auto" w:fill="153A57"/>
          </w:tcPr>
          <w:p>
            <w:pPr>
              <w:jc w:val="center"/>
              <w:ind w:left="80"/>
              <w:spacing w:after="0"/>
              <w:rPr>
                <w:sz w:val="20"/>
                <w:szCs w:val="20"/>
                <w:color w:val="auto"/>
              </w:rPr>
            </w:pPr>
            <w:r>
              <w:rPr>
                <w:rFonts w:ascii="Arial" w:cs="Arial" w:eastAsia="Arial" w:hAnsi="Arial"/>
                <w:sz w:val="12"/>
                <w:szCs w:val="12"/>
                <w:b w:val="1"/>
                <w:bCs w:val="1"/>
                <w:color w:val="FFFFFF"/>
              </w:rPr>
              <w:t>Grade</w:t>
            </w:r>
          </w:p>
        </w:tc>
        <w:tc>
          <w:tcPr>
            <w:tcW w:w="700" w:type="dxa"/>
            <w:vAlign w:val="bottom"/>
            <w:tcBorders>
              <w:bottom w:val="single" w:sz="8" w:color="153A57"/>
            </w:tcBorders>
            <w:shd w:val="clear" w:color="auto" w:fill="153A57"/>
          </w:tcPr>
          <w:p>
            <w:pPr>
              <w:jc w:val="center"/>
              <w:ind w:left="240"/>
              <w:spacing w:after="0"/>
              <w:rPr>
                <w:sz w:val="20"/>
                <w:szCs w:val="20"/>
                <w:color w:val="auto"/>
              </w:rPr>
            </w:pPr>
            <w:r>
              <w:rPr>
                <w:rFonts w:ascii="Arial" w:cs="Arial" w:eastAsia="Arial" w:hAnsi="Arial"/>
                <w:sz w:val="12"/>
                <w:szCs w:val="12"/>
                <w:b w:val="1"/>
                <w:bCs w:val="1"/>
                <w:color w:val="FFFFFF"/>
              </w:rPr>
              <w:t>metal</w:t>
            </w:r>
          </w:p>
        </w:tc>
        <w:tc>
          <w:tcPr>
            <w:tcW w:w="140" w:type="dxa"/>
            <w:vAlign w:val="bottom"/>
            <w:tcBorders>
              <w:bottom w:val="single" w:sz="8" w:color="153A57"/>
            </w:tcBorders>
            <w:shd w:val="clear" w:color="auto" w:fill="153A57"/>
          </w:tcPr>
          <w:p>
            <w:pPr>
              <w:spacing w:after="0"/>
              <w:rPr>
                <w:sz w:val="17"/>
                <w:szCs w:val="17"/>
                <w:color w:val="auto"/>
              </w:rPr>
            </w:pPr>
          </w:p>
        </w:tc>
        <w:tc>
          <w:tcPr>
            <w:tcW w:w="840" w:type="dxa"/>
            <w:vAlign w:val="bottom"/>
            <w:tcBorders>
              <w:bottom w:val="single" w:sz="8" w:color="153A57"/>
            </w:tcBorders>
            <w:gridSpan w:val="2"/>
            <w:shd w:val="clear" w:color="auto" w:fill="153A57"/>
          </w:tcPr>
          <w:p>
            <w:pPr>
              <w:jc w:val="center"/>
              <w:ind w:left="20"/>
              <w:spacing w:after="0"/>
              <w:rPr>
                <w:sz w:val="20"/>
                <w:szCs w:val="20"/>
                <w:color w:val="auto"/>
              </w:rPr>
            </w:pPr>
            <w:r>
              <w:rPr>
                <w:rFonts w:ascii="Arial" w:cs="Arial" w:eastAsia="Arial" w:hAnsi="Arial"/>
                <w:sz w:val="12"/>
                <w:szCs w:val="12"/>
                <w:b w:val="1"/>
                <w:bCs w:val="1"/>
                <w:color w:val="FFFFFF"/>
                <w:w w:val="99"/>
              </w:rPr>
              <w:t>LCE</w:t>
            </w:r>
          </w:p>
        </w:tc>
        <w:tc>
          <w:tcPr>
            <w:tcW w:w="660" w:type="dxa"/>
            <w:vAlign w:val="bottom"/>
            <w:tcBorders>
              <w:bottom w:val="single" w:sz="8" w:color="153A57"/>
            </w:tcBorders>
            <w:gridSpan w:val="2"/>
            <w:shd w:val="clear" w:color="auto" w:fill="153A57"/>
          </w:tcPr>
          <w:p>
            <w:pPr>
              <w:ind w:left="120"/>
              <w:spacing w:after="0"/>
              <w:rPr>
                <w:sz w:val="20"/>
                <w:szCs w:val="20"/>
                <w:color w:val="auto"/>
              </w:rPr>
            </w:pPr>
            <w:r>
              <w:rPr>
                <w:rFonts w:ascii="Arial" w:cs="Arial" w:eastAsia="Arial" w:hAnsi="Arial"/>
                <w:sz w:val="12"/>
                <w:szCs w:val="12"/>
                <w:b w:val="1"/>
                <w:bCs w:val="1"/>
                <w:color w:val="FFFFFF"/>
              </w:rPr>
              <w:t>volume</w:t>
            </w:r>
          </w:p>
        </w:tc>
        <w:tc>
          <w:tcPr>
            <w:tcW w:w="100" w:type="dxa"/>
            <w:vAlign w:val="bottom"/>
            <w:tcBorders>
              <w:bottom w:val="single" w:sz="8" w:color="153A57"/>
            </w:tcBorders>
            <w:shd w:val="clear" w:color="auto" w:fill="153A57"/>
          </w:tcPr>
          <w:p>
            <w:pPr>
              <w:spacing w:after="0"/>
              <w:rPr>
                <w:sz w:val="17"/>
                <w:szCs w:val="17"/>
                <w:color w:val="auto"/>
              </w:rPr>
            </w:pPr>
          </w:p>
        </w:tc>
        <w:tc>
          <w:tcPr>
            <w:tcW w:w="100" w:type="dxa"/>
            <w:vAlign w:val="bottom"/>
            <w:tcBorders>
              <w:bottom w:val="single" w:sz="8" w:color="153A57"/>
            </w:tcBorders>
            <w:shd w:val="clear" w:color="auto" w:fill="153A57"/>
          </w:tcPr>
          <w:p>
            <w:pPr>
              <w:spacing w:after="0"/>
              <w:rPr>
                <w:sz w:val="17"/>
                <w:szCs w:val="17"/>
                <w:color w:val="auto"/>
              </w:rPr>
            </w:pPr>
          </w:p>
        </w:tc>
        <w:tc>
          <w:tcPr>
            <w:tcW w:w="500" w:type="dxa"/>
            <w:vAlign w:val="bottom"/>
            <w:tcBorders>
              <w:bottom w:val="single" w:sz="8" w:color="153A57"/>
            </w:tcBorders>
            <w:shd w:val="clear" w:color="auto" w:fill="153A57"/>
          </w:tcPr>
          <w:p>
            <w:pPr>
              <w:jc w:val="center"/>
              <w:ind w:right="100"/>
              <w:spacing w:after="0"/>
              <w:rPr>
                <w:sz w:val="20"/>
                <w:szCs w:val="20"/>
                <w:color w:val="auto"/>
              </w:rPr>
            </w:pPr>
            <w:r>
              <w:rPr>
                <w:rFonts w:ascii="Arial" w:cs="Arial" w:eastAsia="Arial" w:hAnsi="Arial"/>
                <w:sz w:val="12"/>
                <w:szCs w:val="12"/>
                <w:b w:val="1"/>
                <w:bCs w:val="1"/>
                <w:color w:val="FFFFFF"/>
                <w:w w:val="95"/>
              </w:rPr>
              <w:t>metal</w:t>
            </w:r>
          </w:p>
        </w:tc>
        <w:tc>
          <w:tcPr>
            <w:tcW w:w="340" w:type="dxa"/>
            <w:vAlign w:val="bottom"/>
            <w:tcBorders>
              <w:bottom w:val="single" w:sz="8" w:color="153A57"/>
            </w:tcBorders>
            <w:shd w:val="clear" w:color="auto" w:fill="153A57"/>
          </w:tcPr>
          <w:p>
            <w:pPr>
              <w:spacing w:after="0"/>
              <w:rPr>
                <w:sz w:val="17"/>
                <w:szCs w:val="17"/>
                <w:color w:val="auto"/>
              </w:rPr>
            </w:pPr>
          </w:p>
        </w:tc>
        <w:tc>
          <w:tcPr>
            <w:tcW w:w="620" w:type="dxa"/>
            <w:vAlign w:val="bottom"/>
            <w:tcBorders>
              <w:bottom w:val="single" w:sz="8" w:color="153A57"/>
            </w:tcBorders>
            <w:shd w:val="clear" w:color="auto" w:fill="153A57"/>
          </w:tcPr>
          <w:p>
            <w:pPr>
              <w:jc w:val="center"/>
              <w:ind w:right="321"/>
              <w:spacing w:after="0"/>
              <w:rPr>
                <w:sz w:val="20"/>
                <w:szCs w:val="20"/>
                <w:color w:val="auto"/>
              </w:rPr>
            </w:pPr>
            <w:r>
              <w:rPr>
                <w:rFonts w:ascii="Arial" w:cs="Arial" w:eastAsia="Arial" w:hAnsi="Arial"/>
                <w:sz w:val="12"/>
                <w:szCs w:val="12"/>
                <w:b w:val="1"/>
                <w:bCs w:val="1"/>
                <w:color w:val="FFFFFF"/>
                <w:w w:val="99"/>
              </w:rPr>
              <w:t>LCE</w:t>
            </w:r>
          </w:p>
        </w:tc>
        <w:tc>
          <w:tcPr>
            <w:tcW w:w="540" w:type="dxa"/>
            <w:vAlign w:val="bottom"/>
            <w:tcBorders>
              <w:bottom w:val="single" w:sz="8" w:color="153A57"/>
            </w:tcBorders>
            <w:shd w:val="clear" w:color="auto" w:fill="153A57"/>
          </w:tcPr>
          <w:p>
            <w:pPr>
              <w:jc w:val="center"/>
              <w:ind w:right="60"/>
              <w:spacing w:after="0"/>
              <w:rPr>
                <w:sz w:val="20"/>
                <w:szCs w:val="20"/>
                <w:color w:val="auto"/>
              </w:rPr>
            </w:pPr>
            <w:r>
              <w:rPr>
                <w:rFonts w:ascii="Arial" w:cs="Arial" w:eastAsia="Arial" w:hAnsi="Arial"/>
                <w:sz w:val="12"/>
                <w:szCs w:val="12"/>
                <w:b w:val="1"/>
                <w:bCs w:val="1"/>
                <w:color w:val="FFFFFF"/>
              </w:rPr>
              <w:t>LAR</w:t>
            </w:r>
          </w:p>
        </w:tc>
        <w:tc>
          <w:tcPr>
            <w:tcW w:w="680" w:type="dxa"/>
            <w:vAlign w:val="bottom"/>
            <w:tcBorders>
              <w:bottom w:val="single" w:sz="8" w:color="153A57"/>
            </w:tcBorders>
            <w:gridSpan w:val="2"/>
            <w:shd w:val="clear" w:color="auto" w:fill="153A57"/>
          </w:tcPr>
          <w:p>
            <w:pPr>
              <w:jc w:val="center"/>
              <w:ind w:right="80"/>
              <w:spacing w:after="0"/>
              <w:rPr>
                <w:sz w:val="20"/>
                <w:szCs w:val="20"/>
                <w:color w:val="auto"/>
              </w:rPr>
            </w:pPr>
            <w:r>
              <w:rPr>
                <w:rFonts w:ascii="Arial" w:cs="Arial" w:eastAsia="Arial" w:hAnsi="Arial"/>
                <w:sz w:val="12"/>
                <w:szCs w:val="12"/>
                <w:b w:val="1"/>
                <w:bCs w:val="1"/>
                <w:color w:val="FFFFFF"/>
                <w:w w:val="99"/>
              </w:rPr>
              <w:t>volume</w:t>
            </w:r>
          </w:p>
        </w:tc>
        <w:tc>
          <w:tcPr>
            <w:tcW w:w="720" w:type="dxa"/>
            <w:vAlign w:val="bottom"/>
            <w:tcBorders>
              <w:bottom w:val="single" w:sz="8" w:color="153A57"/>
            </w:tcBorders>
            <w:shd w:val="clear" w:color="auto" w:fill="153A57"/>
          </w:tcPr>
          <w:p>
            <w:pPr>
              <w:jc w:val="center"/>
              <w:ind w:right="60"/>
              <w:spacing w:after="0"/>
              <w:rPr>
                <w:sz w:val="20"/>
                <w:szCs w:val="20"/>
                <w:color w:val="auto"/>
              </w:rPr>
            </w:pPr>
            <w:r>
              <w:rPr>
                <w:rFonts w:ascii="Arial" w:cs="Arial" w:eastAsia="Arial" w:hAnsi="Arial"/>
                <w:sz w:val="12"/>
                <w:szCs w:val="12"/>
                <w:b w:val="1"/>
                <w:bCs w:val="1"/>
                <w:color w:val="FFFFFF"/>
              </w:rPr>
              <w:t>metal</w:t>
            </w:r>
          </w:p>
        </w:tc>
        <w:tc>
          <w:tcPr>
            <w:tcW w:w="800" w:type="dxa"/>
            <w:vAlign w:val="bottom"/>
            <w:tcBorders>
              <w:bottom w:val="single" w:sz="8" w:color="153A57"/>
            </w:tcBorders>
            <w:shd w:val="clear" w:color="auto" w:fill="153A57"/>
          </w:tcPr>
          <w:p>
            <w:pPr>
              <w:jc w:val="right"/>
              <w:ind w:right="240"/>
              <w:spacing w:after="0"/>
              <w:rPr>
                <w:sz w:val="20"/>
                <w:szCs w:val="20"/>
                <w:color w:val="auto"/>
              </w:rPr>
            </w:pPr>
            <w:r>
              <w:rPr>
                <w:rFonts w:ascii="Arial" w:cs="Arial" w:eastAsia="Arial" w:hAnsi="Arial"/>
                <w:sz w:val="12"/>
                <w:szCs w:val="12"/>
                <w:b w:val="1"/>
                <w:bCs w:val="1"/>
                <w:color w:val="FFFFFF"/>
              </w:rPr>
              <w:t>LCE</w:t>
            </w:r>
          </w:p>
        </w:tc>
        <w:tc>
          <w:tcPr>
            <w:tcW w:w="1240" w:type="dxa"/>
            <w:vAlign w:val="bottom"/>
          </w:tcPr>
          <w:p>
            <w:pPr>
              <w:spacing w:after="0"/>
              <w:rPr>
                <w:sz w:val="17"/>
                <w:szCs w:val="17"/>
                <w:color w:val="auto"/>
              </w:rPr>
            </w:pPr>
          </w:p>
        </w:tc>
      </w:tr>
      <w:tr>
        <w:trPr>
          <w:trHeight w:val="170"/>
        </w:trPr>
        <w:tc>
          <w:tcPr>
            <w:tcW w:w="1380" w:type="dxa"/>
            <w:vAlign w:val="bottom"/>
          </w:tcPr>
          <w:p>
            <w:pPr>
              <w:ind w:left="160"/>
              <w:spacing w:after="0"/>
              <w:rPr>
                <w:sz w:val="20"/>
                <w:szCs w:val="20"/>
                <w:color w:val="auto"/>
              </w:rPr>
            </w:pPr>
            <w:r>
              <w:rPr>
                <w:rFonts w:ascii="Arial" w:cs="Arial" w:eastAsia="Arial" w:hAnsi="Arial"/>
                <w:sz w:val="12"/>
                <w:szCs w:val="12"/>
                <w:color w:val="auto"/>
              </w:rPr>
              <w:t>Project</w:t>
            </w:r>
          </w:p>
        </w:tc>
        <w:tc>
          <w:tcPr>
            <w:tcW w:w="700" w:type="dxa"/>
            <w:vAlign w:val="bottom"/>
          </w:tcPr>
          <w:p>
            <w:pPr>
              <w:jc w:val="center"/>
              <w:ind w:left="200"/>
              <w:spacing w:after="0"/>
              <w:rPr>
                <w:sz w:val="20"/>
                <w:szCs w:val="20"/>
                <w:color w:val="auto"/>
              </w:rPr>
            </w:pPr>
            <w:r>
              <w:rPr>
                <w:rFonts w:ascii="Arial" w:cs="Arial" w:eastAsia="Arial" w:hAnsi="Arial"/>
                <w:sz w:val="12"/>
                <w:szCs w:val="12"/>
                <w:color w:val="auto"/>
                <w:w w:val="95"/>
              </w:rPr>
              <w:t>m3</w:t>
            </w:r>
          </w:p>
        </w:tc>
        <w:tc>
          <w:tcPr>
            <w:tcW w:w="40" w:type="dxa"/>
            <w:vAlign w:val="bottom"/>
          </w:tcPr>
          <w:p>
            <w:pPr>
              <w:spacing w:after="0"/>
              <w:rPr>
                <w:sz w:val="14"/>
                <w:szCs w:val="14"/>
                <w:color w:val="auto"/>
              </w:rPr>
            </w:pPr>
          </w:p>
        </w:tc>
        <w:tc>
          <w:tcPr>
            <w:tcW w:w="540" w:type="dxa"/>
            <w:vAlign w:val="bottom"/>
          </w:tcPr>
          <w:p>
            <w:pPr>
              <w:jc w:val="center"/>
              <w:ind w:left="80"/>
              <w:spacing w:after="0"/>
              <w:rPr>
                <w:sz w:val="20"/>
                <w:szCs w:val="20"/>
                <w:color w:val="auto"/>
              </w:rPr>
            </w:pPr>
            <w:r>
              <w:rPr>
                <w:rFonts w:ascii="Arial" w:cs="Arial" w:eastAsia="Arial" w:hAnsi="Arial"/>
                <w:sz w:val="12"/>
                <w:szCs w:val="12"/>
                <w:color w:val="auto"/>
              </w:rPr>
              <w:t>mg/L Li</w:t>
            </w:r>
          </w:p>
        </w:tc>
        <w:tc>
          <w:tcPr>
            <w:tcW w:w="700" w:type="dxa"/>
            <w:vAlign w:val="bottom"/>
          </w:tcPr>
          <w:p>
            <w:pPr>
              <w:jc w:val="center"/>
              <w:ind w:left="240"/>
              <w:spacing w:after="0"/>
              <w:rPr>
                <w:sz w:val="20"/>
                <w:szCs w:val="20"/>
                <w:color w:val="auto"/>
              </w:rPr>
            </w:pPr>
            <w:r>
              <w:rPr>
                <w:rFonts w:ascii="Arial" w:cs="Arial" w:eastAsia="Arial" w:hAnsi="Arial"/>
                <w:sz w:val="12"/>
                <w:szCs w:val="12"/>
                <w:color w:val="auto"/>
              </w:rPr>
              <w:t>t</w:t>
            </w:r>
          </w:p>
        </w:tc>
        <w:tc>
          <w:tcPr>
            <w:tcW w:w="140" w:type="dxa"/>
            <w:vAlign w:val="bottom"/>
          </w:tcPr>
          <w:p>
            <w:pPr>
              <w:spacing w:after="0"/>
              <w:rPr>
                <w:sz w:val="14"/>
                <w:szCs w:val="14"/>
                <w:color w:val="auto"/>
              </w:rPr>
            </w:pPr>
          </w:p>
        </w:tc>
        <w:tc>
          <w:tcPr>
            <w:tcW w:w="520" w:type="dxa"/>
            <w:vAlign w:val="bottom"/>
          </w:tcPr>
          <w:p>
            <w:pPr>
              <w:jc w:val="center"/>
              <w:ind w:left="340"/>
              <w:spacing w:after="0"/>
              <w:rPr>
                <w:sz w:val="20"/>
                <w:szCs w:val="20"/>
                <w:color w:val="auto"/>
              </w:rPr>
            </w:pPr>
            <w:r>
              <w:rPr>
                <w:rFonts w:ascii="Arial" w:cs="Arial" w:eastAsia="Arial" w:hAnsi="Arial"/>
                <w:sz w:val="12"/>
                <w:szCs w:val="12"/>
                <w:color w:val="auto"/>
              </w:rPr>
              <w:t>t</w:t>
            </w:r>
          </w:p>
        </w:tc>
        <w:tc>
          <w:tcPr>
            <w:tcW w:w="3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2"/>
                <w:szCs w:val="12"/>
                <w:b w:val="1"/>
                <w:bCs w:val="1"/>
                <w:color w:val="auto"/>
              </w:rPr>
              <w:t>m3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80"/>
              <w:spacing w:after="0"/>
              <w:rPr>
                <w:sz w:val="20"/>
                <w:szCs w:val="20"/>
                <w:color w:val="auto"/>
              </w:rPr>
            </w:pPr>
            <w:r>
              <w:rPr>
                <w:rFonts w:ascii="Arial" w:cs="Arial" w:eastAsia="Arial" w:hAnsi="Arial"/>
                <w:sz w:val="12"/>
                <w:szCs w:val="12"/>
                <w:b w:val="1"/>
                <w:bCs w:val="1"/>
                <w:color w:val="auto"/>
                <w:w w:val="98"/>
              </w:rPr>
              <w:t>t</w:t>
            </w:r>
          </w:p>
        </w:tc>
        <w:tc>
          <w:tcPr>
            <w:tcW w:w="340" w:type="dxa"/>
            <w:vAlign w:val="bottom"/>
          </w:tcPr>
          <w:p>
            <w:pPr>
              <w:spacing w:after="0"/>
              <w:rPr>
                <w:sz w:val="14"/>
                <w:szCs w:val="14"/>
                <w:color w:val="auto"/>
              </w:rPr>
            </w:pPr>
          </w:p>
        </w:tc>
        <w:tc>
          <w:tcPr>
            <w:tcW w:w="620" w:type="dxa"/>
            <w:vAlign w:val="bottom"/>
          </w:tcPr>
          <w:p>
            <w:pPr>
              <w:jc w:val="center"/>
              <w:ind w:right="321"/>
              <w:spacing w:after="0"/>
              <w:rPr>
                <w:sz w:val="20"/>
                <w:szCs w:val="20"/>
                <w:color w:val="auto"/>
              </w:rPr>
            </w:pPr>
            <w:r>
              <w:rPr>
                <w:rFonts w:ascii="Arial" w:cs="Arial" w:eastAsia="Arial" w:hAnsi="Arial"/>
                <w:sz w:val="12"/>
                <w:szCs w:val="12"/>
                <w:b w:val="1"/>
                <w:bCs w:val="1"/>
                <w:color w:val="auto"/>
                <w:w w:val="98"/>
              </w:rPr>
              <w:t>t</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180"/>
              <w:spacing w:after="0"/>
              <w:rPr>
                <w:sz w:val="20"/>
                <w:szCs w:val="20"/>
                <w:color w:val="auto"/>
              </w:rPr>
            </w:pPr>
            <w:r>
              <w:rPr>
                <w:rFonts w:ascii="Arial" w:cs="Arial" w:eastAsia="Arial" w:hAnsi="Arial"/>
                <w:sz w:val="12"/>
                <w:szCs w:val="12"/>
                <w:color w:val="auto"/>
                <w:w w:val="95"/>
              </w:rPr>
              <w:t>m3</w:t>
            </w:r>
          </w:p>
        </w:tc>
        <w:tc>
          <w:tcPr>
            <w:tcW w:w="720" w:type="dxa"/>
            <w:vAlign w:val="bottom"/>
          </w:tcPr>
          <w:p>
            <w:pPr>
              <w:jc w:val="center"/>
              <w:ind w:right="60"/>
              <w:spacing w:after="0"/>
              <w:rPr>
                <w:sz w:val="20"/>
                <w:szCs w:val="20"/>
                <w:color w:val="auto"/>
              </w:rPr>
            </w:pPr>
            <w:r>
              <w:rPr>
                <w:rFonts w:ascii="Arial" w:cs="Arial" w:eastAsia="Arial" w:hAnsi="Arial"/>
                <w:sz w:val="12"/>
                <w:szCs w:val="12"/>
                <w:color w:val="auto"/>
              </w:rPr>
              <w:t>t</w:t>
            </w:r>
          </w:p>
        </w:tc>
        <w:tc>
          <w:tcPr>
            <w:tcW w:w="800" w:type="dxa"/>
            <w:vAlign w:val="bottom"/>
          </w:tcPr>
          <w:p>
            <w:pPr>
              <w:jc w:val="right"/>
              <w:ind w:right="340"/>
              <w:spacing w:after="0"/>
              <w:rPr>
                <w:sz w:val="20"/>
                <w:szCs w:val="20"/>
                <w:color w:val="auto"/>
              </w:rPr>
            </w:pPr>
            <w:r>
              <w:rPr>
                <w:rFonts w:ascii="Arial" w:cs="Arial" w:eastAsia="Arial" w:hAnsi="Arial"/>
                <w:sz w:val="12"/>
                <w:szCs w:val="12"/>
                <w:color w:val="auto"/>
              </w:rPr>
              <w:t>t</w:t>
            </w:r>
          </w:p>
        </w:tc>
        <w:tc>
          <w:tcPr>
            <w:tcW w:w="1240" w:type="dxa"/>
            <w:vAlign w:val="bottom"/>
          </w:tcPr>
          <w:p>
            <w:pPr>
              <w:spacing w:after="0"/>
              <w:rPr>
                <w:sz w:val="14"/>
                <w:szCs w:val="14"/>
                <w:color w:val="auto"/>
              </w:rPr>
            </w:pPr>
          </w:p>
        </w:tc>
      </w:tr>
      <w:tr>
        <w:trPr>
          <w:trHeight w:val="206"/>
        </w:trPr>
        <w:tc>
          <w:tcPr>
            <w:tcW w:w="1380" w:type="dxa"/>
            <w:vAlign w:val="bottom"/>
          </w:tcPr>
          <w:p>
            <w:pPr>
              <w:ind w:left="160"/>
              <w:spacing w:after="0"/>
              <w:rPr>
                <w:sz w:val="20"/>
                <w:szCs w:val="20"/>
                <w:color w:val="auto"/>
              </w:rPr>
            </w:pPr>
            <w:r>
              <w:rPr>
                <w:rFonts w:ascii="Arial" w:cs="Arial" w:eastAsia="Arial" w:hAnsi="Arial"/>
                <w:sz w:val="12"/>
                <w:szCs w:val="12"/>
                <w:color w:val="auto"/>
              </w:rPr>
              <w:t>Cauchari-Olaroz</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1"/>
        </w:trPr>
        <w:tc>
          <w:tcPr>
            <w:tcW w:w="1380" w:type="dxa"/>
            <w:vAlign w:val="bottom"/>
          </w:tcPr>
          <w:p>
            <w:pPr>
              <w:ind w:left="160"/>
              <w:spacing w:after="0"/>
              <w:rPr>
                <w:sz w:val="20"/>
                <w:szCs w:val="20"/>
                <w:color w:val="auto"/>
              </w:rPr>
            </w:pPr>
            <w:r>
              <w:rPr>
                <w:rFonts w:ascii="Arial" w:cs="Arial" w:eastAsia="Arial" w:hAnsi="Arial"/>
                <w:sz w:val="12"/>
                <w:szCs w:val="12"/>
                <w:color w:val="auto"/>
              </w:rPr>
              <w:t>(Argentina)</w:t>
            </w:r>
          </w:p>
        </w:tc>
        <w:tc>
          <w:tcPr>
            <w:tcW w:w="740" w:type="dxa"/>
            <w:vAlign w:val="bottom"/>
            <w:gridSpan w:val="2"/>
          </w:tcPr>
          <w:p>
            <w:pPr>
              <w:jc w:val="center"/>
              <w:ind w:left="160"/>
              <w:spacing w:after="0"/>
              <w:rPr>
                <w:sz w:val="20"/>
                <w:szCs w:val="20"/>
                <w:color w:val="auto"/>
              </w:rPr>
            </w:pPr>
            <w:r>
              <w:rPr>
                <w:rFonts w:ascii="Arial" w:cs="Arial" w:eastAsia="Arial" w:hAnsi="Arial"/>
                <w:sz w:val="12"/>
                <w:szCs w:val="12"/>
                <w:color w:val="auto"/>
              </w:rPr>
              <w:t>3.24E+09</w:t>
            </w:r>
          </w:p>
        </w:tc>
        <w:tc>
          <w:tcPr>
            <w:tcW w:w="540" w:type="dxa"/>
            <w:vAlign w:val="bottom"/>
          </w:tcPr>
          <w:p>
            <w:pPr>
              <w:jc w:val="center"/>
              <w:ind w:left="80"/>
              <w:spacing w:after="0"/>
              <w:rPr>
                <w:sz w:val="20"/>
                <w:szCs w:val="20"/>
                <w:color w:val="auto"/>
              </w:rPr>
            </w:pPr>
            <w:r>
              <w:rPr>
                <w:rFonts w:ascii="Arial" w:cs="Arial" w:eastAsia="Arial" w:hAnsi="Arial"/>
                <w:sz w:val="12"/>
                <w:szCs w:val="12"/>
                <w:color w:val="auto"/>
                <w:w w:val="99"/>
              </w:rPr>
              <w:t>567</w:t>
            </w:r>
          </w:p>
        </w:tc>
        <w:tc>
          <w:tcPr>
            <w:tcW w:w="840" w:type="dxa"/>
            <w:vAlign w:val="bottom"/>
            <w:gridSpan w:val="2"/>
          </w:tcPr>
          <w:p>
            <w:pPr>
              <w:jc w:val="center"/>
              <w:ind w:left="120"/>
              <w:spacing w:after="0"/>
              <w:rPr>
                <w:sz w:val="20"/>
                <w:szCs w:val="20"/>
                <w:color w:val="auto"/>
              </w:rPr>
            </w:pPr>
            <w:r>
              <w:rPr>
                <w:rFonts w:ascii="Arial" w:cs="Arial" w:eastAsia="Arial" w:hAnsi="Arial"/>
                <w:sz w:val="12"/>
                <w:szCs w:val="12"/>
                <w:color w:val="auto"/>
              </w:rPr>
              <w:t>1,806,125</w:t>
            </w:r>
          </w:p>
        </w:tc>
        <w:tc>
          <w:tcPr>
            <w:tcW w:w="840" w:type="dxa"/>
            <w:vAlign w:val="bottom"/>
            <w:gridSpan w:val="2"/>
          </w:tcPr>
          <w:p>
            <w:pPr>
              <w:jc w:val="center"/>
              <w:ind w:left="40"/>
              <w:spacing w:after="0"/>
              <w:rPr>
                <w:sz w:val="20"/>
                <w:szCs w:val="20"/>
                <w:color w:val="auto"/>
              </w:rPr>
            </w:pPr>
            <w:r>
              <w:rPr>
                <w:rFonts w:ascii="Arial" w:cs="Arial" w:eastAsia="Arial" w:hAnsi="Arial"/>
                <w:sz w:val="12"/>
                <w:szCs w:val="12"/>
                <w:color w:val="auto"/>
              </w:rPr>
              <w:t>9,614,004</w:t>
            </w:r>
          </w:p>
        </w:tc>
        <w:tc>
          <w:tcPr>
            <w:tcW w:w="660" w:type="dxa"/>
            <w:vAlign w:val="bottom"/>
            <w:gridSpan w:val="2"/>
          </w:tcPr>
          <w:p>
            <w:pPr>
              <w:jc w:val="center"/>
              <w:spacing w:after="0"/>
              <w:rPr>
                <w:sz w:val="20"/>
                <w:szCs w:val="20"/>
                <w:color w:val="auto"/>
              </w:rPr>
            </w:pPr>
            <w:r>
              <w:rPr>
                <w:rFonts w:ascii="Arial" w:cs="Arial" w:eastAsia="Arial" w:hAnsi="Arial"/>
                <w:sz w:val="12"/>
                <w:szCs w:val="12"/>
                <w:color w:val="auto"/>
              </w:rPr>
              <w:t>1.30E+10</w:t>
            </w:r>
          </w:p>
        </w:tc>
        <w:tc>
          <w:tcPr>
            <w:tcW w:w="100" w:type="dxa"/>
            <w:vAlign w:val="bottom"/>
          </w:tcPr>
          <w:p>
            <w:pPr>
              <w:spacing w:after="0"/>
              <w:rPr>
                <w:sz w:val="15"/>
                <w:szCs w:val="15"/>
                <w:color w:val="auto"/>
              </w:rPr>
            </w:pPr>
          </w:p>
        </w:tc>
        <w:tc>
          <w:tcPr>
            <w:tcW w:w="600" w:type="dxa"/>
            <w:vAlign w:val="bottom"/>
            <w:gridSpan w:val="2"/>
          </w:tcPr>
          <w:p>
            <w:pPr>
              <w:jc w:val="center"/>
              <w:spacing w:after="0"/>
              <w:rPr>
                <w:sz w:val="20"/>
                <w:szCs w:val="20"/>
                <w:color w:val="auto"/>
              </w:rPr>
            </w:pPr>
            <w:r>
              <w:rPr>
                <w:rFonts w:ascii="Arial" w:cs="Arial" w:eastAsia="Arial" w:hAnsi="Arial"/>
                <w:sz w:val="12"/>
                <w:szCs w:val="12"/>
                <w:color w:val="auto"/>
              </w:rPr>
              <w:t>6,671,519</w:t>
            </w:r>
          </w:p>
        </w:tc>
        <w:tc>
          <w:tcPr>
            <w:tcW w:w="960" w:type="dxa"/>
            <w:vAlign w:val="bottom"/>
            <w:gridSpan w:val="2"/>
          </w:tcPr>
          <w:p>
            <w:pPr>
              <w:jc w:val="center"/>
              <w:spacing w:after="0"/>
              <w:rPr>
                <w:sz w:val="20"/>
                <w:szCs w:val="20"/>
                <w:color w:val="auto"/>
              </w:rPr>
            </w:pPr>
            <w:r>
              <w:rPr>
                <w:rFonts w:ascii="Arial" w:cs="Arial" w:eastAsia="Arial" w:hAnsi="Arial"/>
                <w:sz w:val="12"/>
                <w:szCs w:val="12"/>
                <w:color w:val="auto"/>
                <w:w w:val="99"/>
              </w:rPr>
              <w:t>35,512,493</w:t>
            </w:r>
          </w:p>
        </w:tc>
        <w:tc>
          <w:tcPr>
            <w:tcW w:w="540" w:type="dxa"/>
            <w:vAlign w:val="bottom"/>
          </w:tcPr>
          <w:p>
            <w:pPr>
              <w:jc w:val="center"/>
              <w:ind w:right="60"/>
              <w:spacing w:after="0"/>
              <w:rPr>
                <w:sz w:val="20"/>
                <w:szCs w:val="20"/>
                <w:color w:val="auto"/>
              </w:rPr>
            </w:pPr>
            <w:r>
              <w:rPr>
                <w:rFonts w:ascii="Arial" w:cs="Arial" w:eastAsia="Arial" w:hAnsi="Arial"/>
                <w:sz w:val="12"/>
                <w:szCs w:val="12"/>
                <w:color w:val="auto"/>
                <w:w w:val="99"/>
              </w:rPr>
              <w:t>44.8%</w:t>
            </w:r>
          </w:p>
        </w:tc>
        <w:tc>
          <w:tcPr>
            <w:tcW w:w="680" w:type="dxa"/>
            <w:vAlign w:val="bottom"/>
            <w:gridSpan w:val="2"/>
          </w:tcPr>
          <w:p>
            <w:pPr>
              <w:jc w:val="center"/>
              <w:ind w:right="60"/>
              <w:spacing w:after="0"/>
              <w:rPr>
                <w:sz w:val="20"/>
                <w:szCs w:val="20"/>
                <w:color w:val="auto"/>
              </w:rPr>
            </w:pPr>
            <w:r>
              <w:rPr>
                <w:rFonts w:ascii="Arial" w:cs="Arial" w:eastAsia="Arial" w:hAnsi="Arial"/>
                <w:sz w:val="12"/>
                <w:szCs w:val="12"/>
                <w:color w:val="auto"/>
              </w:rPr>
              <w:t>5.80E+09</w:t>
            </w:r>
          </w:p>
        </w:tc>
        <w:tc>
          <w:tcPr>
            <w:tcW w:w="720" w:type="dxa"/>
            <w:vAlign w:val="bottom"/>
          </w:tcPr>
          <w:p>
            <w:pPr>
              <w:jc w:val="center"/>
              <w:ind w:right="60"/>
              <w:spacing w:after="0"/>
              <w:rPr>
                <w:sz w:val="20"/>
                <w:szCs w:val="20"/>
                <w:color w:val="auto"/>
              </w:rPr>
            </w:pPr>
            <w:r>
              <w:rPr>
                <w:rFonts w:ascii="Arial" w:cs="Arial" w:eastAsia="Arial" w:hAnsi="Arial"/>
                <w:sz w:val="12"/>
                <w:szCs w:val="12"/>
                <w:color w:val="auto"/>
                <w:w w:val="97"/>
              </w:rPr>
              <w:t>2,988,841</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15,909,597</w:t>
            </w:r>
          </w:p>
        </w:tc>
        <w:tc>
          <w:tcPr>
            <w:tcW w:w="1240" w:type="dxa"/>
            <w:vAlign w:val="bottom"/>
          </w:tcPr>
          <w:p>
            <w:pPr>
              <w:spacing w:after="0"/>
              <w:rPr>
                <w:sz w:val="15"/>
                <w:szCs w:val="15"/>
                <w:color w:val="auto"/>
              </w:rPr>
            </w:pPr>
          </w:p>
        </w:tc>
      </w:tr>
      <w:tr>
        <w:trPr>
          <w:trHeight w:val="206"/>
        </w:trPr>
        <w:tc>
          <w:tcPr>
            <w:tcW w:w="1380" w:type="dxa"/>
            <w:vAlign w:val="bottom"/>
          </w:tcPr>
          <w:p>
            <w:pPr>
              <w:ind w:left="160"/>
              <w:spacing w:after="0"/>
              <w:rPr>
                <w:sz w:val="20"/>
                <w:szCs w:val="20"/>
                <w:color w:val="auto"/>
              </w:rPr>
            </w:pPr>
            <w:r>
              <w:rPr>
                <w:rFonts w:ascii="Arial" w:cs="Arial" w:eastAsia="Arial" w:hAnsi="Arial"/>
                <w:sz w:val="12"/>
                <w:szCs w:val="12"/>
                <w:color w:val="auto"/>
              </w:rPr>
              <w:t>Pozuelos (Argentina)</w:t>
            </w:r>
          </w:p>
        </w:tc>
        <w:tc>
          <w:tcPr>
            <w:tcW w:w="740" w:type="dxa"/>
            <w:vAlign w:val="bottom"/>
            <w:gridSpan w:val="2"/>
          </w:tcPr>
          <w:p>
            <w:pPr>
              <w:jc w:val="center"/>
              <w:ind w:left="160"/>
              <w:spacing w:after="0"/>
              <w:rPr>
                <w:sz w:val="20"/>
                <w:szCs w:val="20"/>
                <w:color w:val="auto"/>
              </w:rPr>
            </w:pPr>
            <w:r>
              <w:rPr>
                <w:rFonts w:ascii="Arial" w:cs="Arial" w:eastAsia="Arial" w:hAnsi="Arial"/>
                <w:sz w:val="12"/>
                <w:szCs w:val="12"/>
                <w:color w:val="auto"/>
              </w:rPr>
              <w:t>1.25E+09</w:t>
            </w:r>
          </w:p>
        </w:tc>
        <w:tc>
          <w:tcPr>
            <w:tcW w:w="540" w:type="dxa"/>
            <w:vAlign w:val="bottom"/>
          </w:tcPr>
          <w:p>
            <w:pPr>
              <w:jc w:val="center"/>
              <w:ind w:left="80"/>
              <w:spacing w:after="0"/>
              <w:rPr>
                <w:sz w:val="20"/>
                <w:szCs w:val="20"/>
                <w:color w:val="auto"/>
              </w:rPr>
            </w:pPr>
            <w:r>
              <w:rPr>
                <w:rFonts w:ascii="Arial" w:cs="Arial" w:eastAsia="Arial" w:hAnsi="Arial"/>
                <w:sz w:val="12"/>
                <w:szCs w:val="12"/>
                <w:color w:val="auto"/>
                <w:w w:val="99"/>
              </w:rPr>
              <w:t>581</w:t>
            </w:r>
          </w:p>
        </w:tc>
        <w:tc>
          <w:tcPr>
            <w:tcW w:w="840" w:type="dxa"/>
            <w:vAlign w:val="bottom"/>
            <w:gridSpan w:val="2"/>
          </w:tcPr>
          <w:p>
            <w:pPr>
              <w:jc w:val="center"/>
              <w:ind w:left="100"/>
              <w:spacing w:after="0"/>
              <w:rPr>
                <w:sz w:val="20"/>
                <w:szCs w:val="20"/>
                <w:color w:val="auto"/>
              </w:rPr>
            </w:pPr>
            <w:r>
              <w:rPr>
                <w:rFonts w:ascii="Arial" w:cs="Arial" w:eastAsia="Arial" w:hAnsi="Arial"/>
                <w:sz w:val="12"/>
                <w:szCs w:val="12"/>
                <w:color w:val="auto"/>
              </w:rPr>
              <w:t>736,924</w:t>
            </w:r>
          </w:p>
        </w:tc>
        <w:tc>
          <w:tcPr>
            <w:tcW w:w="840" w:type="dxa"/>
            <w:vAlign w:val="bottom"/>
            <w:gridSpan w:val="2"/>
          </w:tcPr>
          <w:p>
            <w:pPr>
              <w:jc w:val="center"/>
              <w:ind w:left="40"/>
              <w:spacing w:after="0"/>
              <w:rPr>
                <w:sz w:val="20"/>
                <w:szCs w:val="20"/>
                <w:color w:val="auto"/>
              </w:rPr>
            </w:pPr>
            <w:r>
              <w:rPr>
                <w:rFonts w:ascii="Arial" w:cs="Arial" w:eastAsia="Arial" w:hAnsi="Arial"/>
                <w:sz w:val="12"/>
                <w:szCs w:val="12"/>
                <w:color w:val="auto"/>
              </w:rPr>
              <w:t>3,920,437</w:t>
            </w:r>
          </w:p>
        </w:tc>
        <w:tc>
          <w:tcPr>
            <w:tcW w:w="660" w:type="dxa"/>
            <w:vAlign w:val="bottom"/>
            <w:gridSpan w:val="2"/>
          </w:tcPr>
          <w:p>
            <w:pPr>
              <w:jc w:val="center"/>
              <w:spacing w:after="0"/>
              <w:rPr>
                <w:sz w:val="20"/>
                <w:szCs w:val="20"/>
                <w:color w:val="auto"/>
              </w:rPr>
            </w:pPr>
            <w:r>
              <w:rPr>
                <w:rFonts w:ascii="Arial" w:cs="Arial" w:eastAsia="Arial" w:hAnsi="Arial"/>
                <w:sz w:val="12"/>
                <w:szCs w:val="12"/>
                <w:color w:val="auto"/>
              </w:rPr>
              <w:t>3.87E+09</w:t>
            </w:r>
          </w:p>
        </w:tc>
        <w:tc>
          <w:tcPr>
            <w:tcW w:w="100" w:type="dxa"/>
            <w:vAlign w:val="bottom"/>
          </w:tcPr>
          <w:p>
            <w:pPr>
              <w:spacing w:after="0"/>
              <w:rPr>
                <w:sz w:val="17"/>
                <w:szCs w:val="17"/>
                <w:color w:val="auto"/>
              </w:rPr>
            </w:pPr>
          </w:p>
        </w:tc>
        <w:tc>
          <w:tcPr>
            <w:tcW w:w="600" w:type="dxa"/>
            <w:vAlign w:val="bottom"/>
            <w:gridSpan w:val="2"/>
          </w:tcPr>
          <w:p>
            <w:pPr>
              <w:jc w:val="center"/>
              <w:spacing w:after="0"/>
              <w:rPr>
                <w:sz w:val="20"/>
                <w:szCs w:val="20"/>
                <w:color w:val="auto"/>
              </w:rPr>
            </w:pPr>
            <w:r>
              <w:rPr>
                <w:rFonts w:ascii="Arial" w:cs="Arial" w:eastAsia="Arial" w:hAnsi="Arial"/>
                <w:sz w:val="12"/>
                <w:szCs w:val="12"/>
                <w:color w:val="auto"/>
              </w:rPr>
              <w:t>2,055,839</w:t>
            </w:r>
          </w:p>
        </w:tc>
        <w:tc>
          <w:tcPr>
            <w:tcW w:w="960" w:type="dxa"/>
            <w:vAlign w:val="bottom"/>
            <w:gridSpan w:val="2"/>
          </w:tcPr>
          <w:p>
            <w:pPr>
              <w:jc w:val="center"/>
              <w:spacing w:after="0"/>
              <w:rPr>
                <w:sz w:val="20"/>
                <w:szCs w:val="20"/>
                <w:color w:val="auto"/>
              </w:rPr>
            </w:pPr>
            <w:r>
              <w:rPr>
                <w:rFonts w:ascii="Arial" w:cs="Arial" w:eastAsia="Arial" w:hAnsi="Arial"/>
                <w:sz w:val="12"/>
                <w:szCs w:val="12"/>
                <w:color w:val="auto"/>
                <w:w w:val="99"/>
              </w:rPr>
              <w:t>10,937,065</w:t>
            </w:r>
          </w:p>
        </w:tc>
        <w:tc>
          <w:tcPr>
            <w:tcW w:w="540" w:type="dxa"/>
            <w:vAlign w:val="bottom"/>
          </w:tcPr>
          <w:p>
            <w:pPr>
              <w:jc w:val="center"/>
              <w:ind w:right="60"/>
              <w:spacing w:after="0"/>
              <w:rPr>
                <w:sz w:val="20"/>
                <w:szCs w:val="20"/>
                <w:color w:val="auto"/>
              </w:rPr>
            </w:pPr>
            <w:r>
              <w:rPr>
                <w:rFonts w:ascii="Arial" w:cs="Arial" w:eastAsia="Arial" w:hAnsi="Arial"/>
                <w:sz w:val="12"/>
                <w:szCs w:val="12"/>
                <w:color w:val="auto"/>
                <w:w w:val="99"/>
              </w:rPr>
              <w:t>33.0%</w:t>
            </w:r>
          </w:p>
        </w:tc>
        <w:tc>
          <w:tcPr>
            <w:tcW w:w="680" w:type="dxa"/>
            <w:vAlign w:val="bottom"/>
            <w:gridSpan w:val="2"/>
          </w:tcPr>
          <w:p>
            <w:pPr>
              <w:jc w:val="center"/>
              <w:ind w:right="60"/>
              <w:spacing w:after="0"/>
              <w:rPr>
                <w:sz w:val="20"/>
                <w:szCs w:val="20"/>
                <w:color w:val="auto"/>
              </w:rPr>
            </w:pPr>
            <w:r>
              <w:rPr>
                <w:rFonts w:ascii="Arial" w:cs="Arial" w:eastAsia="Arial" w:hAnsi="Arial"/>
                <w:sz w:val="12"/>
                <w:szCs w:val="12"/>
                <w:color w:val="auto"/>
              </w:rPr>
              <w:t>1.28E+09</w:t>
            </w:r>
          </w:p>
        </w:tc>
        <w:tc>
          <w:tcPr>
            <w:tcW w:w="720" w:type="dxa"/>
            <w:vAlign w:val="bottom"/>
          </w:tcPr>
          <w:p>
            <w:pPr>
              <w:jc w:val="center"/>
              <w:ind w:right="60"/>
              <w:spacing w:after="0"/>
              <w:rPr>
                <w:sz w:val="20"/>
                <w:szCs w:val="20"/>
                <w:color w:val="auto"/>
              </w:rPr>
            </w:pPr>
            <w:r>
              <w:rPr>
                <w:rFonts w:ascii="Arial" w:cs="Arial" w:eastAsia="Arial" w:hAnsi="Arial"/>
                <w:sz w:val="12"/>
                <w:szCs w:val="12"/>
                <w:color w:val="auto"/>
              </w:rPr>
              <w:t>678,427</w:t>
            </w:r>
          </w:p>
        </w:tc>
        <w:tc>
          <w:tcPr>
            <w:tcW w:w="800" w:type="dxa"/>
            <w:vAlign w:val="bottom"/>
          </w:tcPr>
          <w:p>
            <w:pPr>
              <w:ind w:left="120"/>
              <w:spacing w:after="0"/>
              <w:rPr>
                <w:sz w:val="20"/>
                <w:szCs w:val="20"/>
                <w:color w:val="auto"/>
              </w:rPr>
            </w:pPr>
            <w:r>
              <w:rPr>
                <w:rFonts w:ascii="Arial" w:cs="Arial" w:eastAsia="Arial" w:hAnsi="Arial"/>
                <w:sz w:val="12"/>
                <w:szCs w:val="12"/>
                <w:color w:val="auto"/>
              </w:rPr>
              <w:t>3,609,231</w:t>
            </w:r>
          </w:p>
        </w:tc>
        <w:tc>
          <w:tcPr>
            <w:tcW w:w="1240" w:type="dxa"/>
            <w:vAlign w:val="bottom"/>
          </w:tcPr>
          <w:p>
            <w:pPr>
              <w:spacing w:after="0"/>
              <w:rPr>
                <w:sz w:val="17"/>
                <w:szCs w:val="17"/>
                <w:color w:val="auto"/>
              </w:rPr>
            </w:pPr>
          </w:p>
        </w:tc>
      </w:tr>
      <w:tr>
        <w:trPr>
          <w:trHeight w:val="206"/>
        </w:trPr>
        <w:tc>
          <w:tcPr>
            <w:tcW w:w="1380" w:type="dxa"/>
            <w:vAlign w:val="bottom"/>
          </w:tcPr>
          <w:p>
            <w:pPr>
              <w:ind w:left="160"/>
              <w:spacing w:after="0"/>
              <w:rPr>
                <w:sz w:val="20"/>
                <w:szCs w:val="20"/>
                <w:color w:val="auto"/>
              </w:rPr>
            </w:pPr>
            <w:r>
              <w:rPr>
                <w:rFonts w:ascii="Arial" w:cs="Arial" w:eastAsia="Arial" w:hAnsi="Arial"/>
                <w:sz w:val="12"/>
                <w:szCs w:val="12"/>
                <w:color w:val="auto"/>
              </w:rPr>
              <w:t>Pastos Grandes</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1"/>
        </w:trPr>
        <w:tc>
          <w:tcPr>
            <w:tcW w:w="1380" w:type="dxa"/>
            <w:vAlign w:val="bottom"/>
          </w:tcPr>
          <w:p>
            <w:pPr>
              <w:ind w:left="160"/>
              <w:spacing w:after="0"/>
              <w:rPr>
                <w:sz w:val="20"/>
                <w:szCs w:val="20"/>
                <w:color w:val="auto"/>
              </w:rPr>
            </w:pPr>
            <w:r>
              <w:rPr>
                <w:rFonts w:ascii="Arial" w:cs="Arial" w:eastAsia="Arial" w:hAnsi="Arial"/>
                <w:sz w:val="12"/>
                <w:szCs w:val="12"/>
                <w:color w:val="auto"/>
              </w:rPr>
              <w:t>(Argentina)</w:t>
            </w:r>
          </w:p>
        </w:tc>
        <w:tc>
          <w:tcPr>
            <w:tcW w:w="740" w:type="dxa"/>
            <w:vAlign w:val="bottom"/>
            <w:gridSpan w:val="2"/>
          </w:tcPr>
          <w:p>
            <w:pPr>
              <w:jc w:val="center"/>
              <w:ind w:left="160"/>
              <w:spacing w:after="0"/>
              <w:rPr>
                <w:sz w:val="20"/>
                <w:szCs w:val="20"/>
                <w:color w:val="auto"/>
              </w:rPr>
            </w:pPr>
            <w:r>
              <w:rPr>
                <w:rFonts w:ascii="Arial" w:cs="Arial" w:eastAsia="Arial" w:hAnsi="Arial"/>
                <w:sz w:val="12"/>
                <w:szCs w:val="12"/>
                <w:color w:val="auto"/>
              </w:rPr>
              <w:t>1.18E+09</w:t>
            </w:r>
          </w:p>
        </w:tc>
        <w:tc>
          <w:tcPr>
            <w:tcW w:w="540" w:type="dxa"/>
            <w:vAlign w:val="bottom"/>
          </w:tcPr>
          <w:p>
            <w:pPr>
              <w:jc w:val="center"/>
              <w:ind w:left="80"/>
              <w:spacing w:after="0"/>
              <w:rPr>
                <w:sz w:val="20"/>
                <w:szCs w:val="20"/>
                <w:color w:val="auto"/>
              </w:rPr>
            </w:pPr>
            <w:r>
              <w:rPr>
                <w:rFonts w:ascii="Arial" w:cs="Arial" w:eastAsia="Arial" w:hAnsi="Arial"/>
                <w:sz w:val="12"/>
                <w:szCs w:val="12"/>
                <w:color w:val="auto"/>
                <w:w w:val="99"/>
              </w:rPr>
              <w:t>456</w:t>
            </w:r>
          </w:p>
        </w:tc>
        <w:tc>
          <w:tcPr>
            <w:tcW w:w="840" w:type="dxa"/>
            <w:vAlign w:val="bottom"/>
            <w:gridSpan w:val="2"/>
          </w:tcPr>
          <w:p>
            <w:pPr>
              <w:jc w:val="center"/>
              <w:ind w:left="100"/>
              <w:spacing w:after="0"/>
              <w:rPr>
                <w:sz w:val="20"/>
                <w:szCs w:val="20"/>
                <w:color w:val="auto"/>
              </w:rPr>
            </w:pPr>
            <w:r>
              <w:rPr>
                <w:rFonts w:ascii="Arial" w:cs="Arial" w:eastAsia="Arial" w:hAnsi="Arial"/>
                <w:sz w:val="12"/>
                <w:szCs w:val="12"/>
                <w:color w:val="auto"/>
              </w:rPr>
              <w:t>525,000</w:t>
            </w:r>
          </w:p>
        </w:tc>
        <w:tc>
          <w:tcPr>
            <w:tcW w:w="840" w:type="dxa"/>
            <w:vAlign w:val="bottom"/>
            <w:gridSpan w:val="2"/>
          </w:tcPr>
          <w:p>
            <w:pPr>
              <w:jc w:val="center"/>
              <w:ind w:left="40"/>
              <w:spacing w:after="0"/>
              <w:rPr>
                <w:sz w:val="20"/>
                <w:szCs w:val="20"/>
                <w:color w:val="auto"/>
              </w:rPr>
            </w:pPr>
            <w:r>
              <w:rPr>
                <w:rFonts w:ascii="Arial" w:cs="Arial" w:eastAsia="Arial" w:hAnsi="Arial"/>
                <w:sz w:val="12"/>
                <w:szCs w:val="12"/>
                <w:color w:val="auto"/>
              </w:rPr>
              <w:t>2,794,462</w:t>
            </w:r>
          </w:p>
        </w:tc>
        <w:tc>
          <w:tcPr>
            <w:tcW w:w="660" w:type="dxa"/>
            <w:vAlign w:val="bottom"/>
            <w:gridSpan w:val="2"/>
          </w:tcPr>
          <w:p>
            <w:pPr>
              <w:jc w:val="center"/>
              <w:spacing w:after="0"/>
              <w:rPr>
                <w:sz w:val="20"/>
                <w:szCs w:val="20"/>
                <w:color w:val="auto"/>
              </w:rPr>
            </w:pPr>
            <w:r>
              <w:rPr>
                <w:rFonts w:ascii="Arial" w:cs="Arial" w:eastAsia="Arial" w:hAnsi="Arial"/>
                <w:sz w:val="12"/>
                <w:szCs w:val="12"/>
                <w:color w:val="auto"/>
              </w:rPr>
              <w:t>4.44E+09</w:t>
            </w:r>
          </w:p>
        </w:tc>
        <w:tc>
          <w:tcPr>
            <w:tcW w:w="100" w:type="dxa"/>
            <w:vAlign w:val="bottom"/>
          </w:tcPr>
          <w:p>
            <w:pPr>
              <w:spacing w:after="0"/>
              <w:rPr>
                <w:sz w:val="15"/>
                <w:szCs w:val="15"/>
                <w:color w:val="auto"/>
              </w:rPr>
            </w:pPr>
          </w:p>
        </w:tc>
        <w:tc>
          <w:tcPr>
            <w:tcW w:w="600" w:type="dxa"/>
            <w:vAlign w:val="bottom"/>
            <w:gridSpan w:val="2"/>
          </w:tcPr>
          <w:p>
            <w:pPr>
              <w:jc w:val="center"/>
              <w:spacing w:after="0"/>
              <w:rPr>
                <w:sz w:val="20"/>
                <w:szCs w:val="20"/>
                <w:color w:val="auto"/>
              </w:rPr>
            </w:pPr>
            <w:r>
              <w:rPr>
                <w:rFonts w:ascii="Arial" w:cs="Arial" w:eastAsia="Arial" w:hAnsi="Arial"/>
                <w:sz w:val="12"/>
                <w:szCs w:val="12"/>
                <w:color w:val="auto"/>
              </w:rPr>
              <w:t>1,946,000</w:t>
            </w:r>
          </w:p>
        </w:tc>
        <w:tc>
          <w:tcPr>
            <w:tcW w:w="960" w:type="dxa"/>
            <w:vAlign w:val="bottom"/>
            <w:gridSpan w:val="2"/>
          </w:tcPr>
          <w:p>
            <w:pPr>
              <w:jc w:val="center"/>
              <w:spacing w:after="0"/>
              <w:rPr>
                <w:sz w:val="20"/>
                <w:szCs w:val="20"/>
                <w:color w:val="auto"/>
              </w:rPr>
            </w:pPr>
            <w:r>
              <w:rPr>
                <w:rFonts w:ascii="Arial" w:cs="Arial" w:eastAsia="Arial" w:hAnsi="Arial"/>
                <w:sz w:val="12"/>
                <w:szCs w:val="12"/>
                <w:color w:val="auto"/>
                <w:w w:val="99"/>
              </w:rPr>
              <w:t>10,358,140</w:t>
            </w:r>
          </w:p>
        </w:tc>
        <w:tc>
          <w:tcPr>
            <w:tcW w:w="540" w:type="dxa"/>
            <w:vAlign w:val="bottom"/>
          </w:tcPr>
          <w:p>
            <w:pPr>
              <w:jc w:val="center"/>
              <w:ind w:right="60"/>
              <w:spacing w:after="0"/>
              <w:rPr>
                <w:sz w:val="20"/>
                <w:szCs w:val="20"/>
                <w:color w:val="auto"/>
              </w:rPr>
            </w:pPr>
            <w:r>
              <w:rPr>
                <w:rFonts w:ascii="Arial" w:cs="Arial" w:eastAsia="Arial" w:hAnsi="Arial"/>
                <w:sz w:val="12"/>
                <w:szCs w:val="12"/>
                <w:color w:val="auto"/>
                <w:w w:val="99"/>
              </w:rPr>
              <w:t>33.0%</w:t>
            </w:r>
          </w:p>
        </w:tc>
        <w:tc>
          <w:tcPr>
            <w:tcW w:w="680" w:type="dxa"/>
            <w:vAlign w:val="bottom"/>
            <w:gridSpan w:val="2"/>
          </w:tcPr>
          <w:p>
            <w:pPr>
              <w:jc w:val="center"/>
              <w:ind w:right="60"/>
              <w:spacing w:after="0"/>
              <w:rPr>
                <w:sz w:val="20"/>
                <w:szCs w:val="20"/>
                <w:color w:val="auto"/>
              </w:rPr>
            </w:pPr>
            <w:r>
              <w:rPr>
                <w:rFonts w:ascii="Arial" w:cs="Arial" w:eastAsia="Arial" w:hAnsi="Arial"/>
                <w:sz w:val="12"/>
                <w:szCs w:val="12"/>
                <w:color w:val="auto"/>
              </w:rPr>
              <w:t>1.47E+09</w:t>
            </w:r>
          </w:p>
        </w:tc>
        <w:tc>
          <w:tcPr>
            <w:tcW w:w="720" w:type="dxa"/>
            <w:vAlign w:val="bottom"/>
          </w:tcPr>
          <w:p>
            <w:pPr>
              <w:jc w:val="center"/>
              <w:ind w:right="60"/>
              <w:spacing w:after="0"/>
              <w:rPr>
                <w:sz w:val="20"/>
                <w:szCs w:val="20"/>
                <w:color w:val="auto"/>
              </w:rPr>
            </w:pPr>
            <w:r>
              <w:rPr>
                <w:rFonts w:ascii="Arial" w:cs="Arial" w:eastAsia="Arial" w:hAnsi="Arial"/>
                <w:sz w:val="12"/>
                <w:szCs w:val="12"/>
                <w:color w:val="auto"/>
              </w:rPr>
              <w:t>642,180</w:t>
            </w:r>
          </w:p>
        </w:tc>
        <w:tc>
          <w:tcPr>
            <w:tcW w:w="800" w:type="dxa"/>
            <w:vAlign w:val="bottom"/>
          </w:tcPr>
          <w:p>
            <w:pPr>
              <w:ind w:left="120"/>
              <w:spacing w:after="0"/>
              <w:rPr>
                <w:sz w:val="20"/>
                <w:szCs w:val="20"/>
                <w:color w:val="auto"/>
              </w:rPr>
            </w:pPr>
            <w:r>
              <w:rPr>
                <w:rFonts w:ascii="Arial" w:cs="Arial" w:eastAsia="Arial" w:hAnsi="Arial"/>
                <w:sz w:val="12"/>
                <w:szCs w:val="12"/>
                <w:color w:val="auto"/>
              </w:rPr>
              <w:t>3,418,186</w:t>
            </w:r>
          </w:p>
        </w:tc>
        <w:tc>
          <w:tcPr>
            <w:tcW w:w="1240" w:type="dxa"/>
            <w:vAlign w:val="bottom"/>
          </w:tcPr>
          <w:p>
            <w:pPr>
              <w:spacing w:after="0"/>
              <w:rPr>
                <w:sz w:val="15"/>
                <w:szCs w:val="15"/>
                <w:color w:val="auto"/>
              </w:rPr>
            </w:pPr>
          </w:p>
        </w:tc>
      </w:tr>
      <w:tr>
        <w:trPr>
          <w:trHeight w:val="206"/>
        </w:trPr>
        <w:tc>
          <w:tcPr>
            <w:tcW w:w="1380" w:type="dxa"/>
            <w:vAlign w:val="bottom"/>
          </w:tcPr>
          <w:p>
            <w:pPr>
              <w:ind w:left="160"/>
              <w:spacing w:after="0"/>
              <w:rPr>
                <w:sz w:val="20"/>
                <w:szCs w:val="20"/>
                <w:color w:val="auto"/>
              </w:rPr>
            </w:pPr>
            <w:r>
              <w:rPr>
                <w:rFonts w:ascii="Arial" w:cs="Arial" w:eastAsia="Arial" w:hAnsi="Arial"/>
                <w:sz w:val="12"/>
                <w:szCs w:val="12"/>
                <w:b w:val="1"/>
                <w:bCs w:val="1"/>
                <w:color w:val="auto"/>
              </w:rPr>
              <w:t>Total</w:t>
            </w:r>
          </w:p>
        </w:tc>
        <w:tc>
          <w:tcPr>
            <w:tcW w:w="740" w:type="dxa"/>
            <w:vAlign w:val="bottom"/>
            <w:gridSpan w:val="2"/>
          </w:tcPr>
          <w:p>
            <w:pPr>
              <w:jc w:val="center"/>
              <w:ind w:left="160"/>
              <w:spacing w:after="0"/>
              <w:rPr>
                <w:sz w:val="20"/>
                <w:szCs w:val="20"/>
                <w:color w:val="auto"/>
              </w:rPr>
            </w:pPr>
            <w:r>
              <w:rPr>
                <w:rFonts w:ascii="Arial" w:cs="Arial" w:eastAsia="Arial" w:hAnsi="Arial"/>
                <w:sz w:val="12"/>
                <w:szCs w:val="12"/>
                <w:b w:val="1"/>
                <w:bCs w:val="1"/>
                <w:color w:val="auto"/>
              </w:rPr>
              <w:t>5.67E+09</w:t>
            </w:r>
          </w:p>
        </w:tc>
        <w:tc>
          <w:tcPr>
            <w:tcW w:w="540" w:type="dxa"/>
            <w:vAlign w:val="bottom"/>
          </w:tcPr>
          <w:p>
            <w:pPr>
              <w:spacing w:after="0"/>
              <w:rPr>
                <w:sz w:val="17"/>
                <w:szCs w:val="17"/>
                <w:color w:val="auto"/>
              </w:rPr>
            </w:pPr>
          </w:p>
        </w:tc>
        <w:tc>
          <w:tcPr>
            <w:tcW w:w="840" w:type="dxa"/>
            <w:vAlign w:val="bottom"/>
            <w:gridSpan w:val="2"/>
          </w:tcPr>
          <w:p>
            <w:pPr>
              <w:jc w:val="center"/>
              <w:ind w:left="120"/>
              <w:spacing w:after="0"/>
              <w:rPr>
                <w:sz w:val="20"/>
                <w:szCs w:val="20"/>
                <w:color w:val="auto"/>
              </w:rPr>
            </w:pPr>
            <w:r>
              <w:rPr>
                <w:rFonts w:ascii="Arial" w:cs="Arial" w:eastAsia="Arial" w:hAnsi="Arial"/>
                <w:sz w:val="12"/>
                <w:szCs w:val="12"/>
                <w:b w:val="1"/>
                <w:bCs w:val="1"/>
                <w:color w:val="auto"/>
              </w:rPr>
              <w:t>3,068,049</w:t>
            </w:r>
          </w:p>
        </w:tc>
        <w:tc>
          <w:tcPr>
            <w:tcW w:w="840" w:type="dxa"/>
            <w:vAlign w:val="bottom"/>
            <w:gridSpan w:val="2"/>
          </w:tcPr>
          <w:p>
            <w:pPr>
              <w:jc w:val="center"/>
              <w:ind w:left="20"/>
              <w:spacing w:after="0"/>
              <w:rPr>
                <w:sz w:val="20"/>
                <w:szCs w:val="20"/>
                <w:color w:val="auto"/>
              </w:rPr>
            </w:pPr>
            <w:r>
              <w:rPr>
                <w:rFonts w:ascii="Arial" w:cs="Arial" w:eastAsia="Arial" w:hAnsi="Arial"/>
                <w:sz w:val="12"/>
                <w:szCs w:val="12"/>
                <w:b w:val="1"/>
                <w:bCs w:val="1"/>
                <w:color w:val="auto"/>
                <w:w w:val="99"/>
              </w:rPr>
              <w:t>16,328,903</w:t>
            </w:r>
          </w:p>
        </w:tc>
        <w:tc>
          <w:tcPr>
            <w:tcW w:w="660" w:type="dxa"/>
            <w:vAlign w:val="bottom"/>
            <w:gridSpan w:val="2"/>
          </w:tcPr>
          <w:p>
            <w:pPr>
              <w:jc w:val="center"/>
              <w:spacing w:after="0"/>
              <w:rPr>
                <w:sz w:val="20"/>
                <w:szCs w:val="20"/>
                <w:color w:val="auto"/>
              </w:rPr>
            </w:pPr>
            <w:r>
              <w:rPr>
                <w:rFonts w:ascii="Arial" w:cs="Arial" w:eastAsia="Arial" w:hAnsi="Arial"/>
                <w:sz w:val="12"/>
                <w:szCs w:val="12"/>
                <w:b w:val="1"/>
                <w:bCs w:val="1"/>
                <w:color w:val="auto"/>
              </w:rPr>
              <w:t>2.13E+10</w:t>
            </w:r>
          </w:p>
        </w:tc>
        <w:tc>
          <w:tcPr>
            <w:tcW w:w="7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9"/>
              </w:rPr>
              <w:t>10,673,358</w:t>
            </w:r>
          </w:p>
        </w:tc>
        <w:tc>
          <w:tcPr>
            <w:tcW w:w="9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56,807,698</w:t>
            </w:r>
          </w:p>
        </w:tc>
        <w:tc>
          <w:tcPr>
            <w:tcW w:w="540" w:type="dxa"/>
            <w:vAlign w:val="bottom"/>
          </w:tcPr>
          <w:p>
            <w:pPr>
              <w:spacing w:after="0"/>
              <w:rPr>
                <w:sz w:val="17"/>
                <w:szCs w:val="17"/>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8.54E+09</w:t>
            </w:r>
          </w:p>
        </w:tc>
        <w:tc>
          <w:tcPr>
            <w:tcW w:w="720" w:type="dxa"/>
            <w:vAlign w:val="bottom"/>
          </w:tcPr>
          <w:p>
            <w:pPr>
              <w:jc w:val="center"/>
              <w:ind w:right="60"/>
              <w:spacing w:after="0"/>
              <w:rPr>
                <w:sz w:val="20"/>
                <w:szCs w:val="20"/>
                <w:color w:val="auto"/>
              </w:rPr>
            </w:pPr>
            <w:r>
              <w:rPr>
                <w:rFonts w:ascii="Arial" w:cs="Arial" w:eastAsia="Arial" w:hAnsi="Arial"/>
                <w:sz w:val="12"/>
                <w:szCs w:val="12"/>
                <w:b w:val="1"/>
                <w:bCs w:val="1"/>
                <w:color w:val="auto"/>
                <w:w w:val="97"/>
              </w:rPr>
              <w:t>4,309,447</w:t>
            </w:r>
          </w:p>
        </w:tc>
        <w:tc>
          <w:tcPr>
            <w:tcW w:w="800" w:type="dxa"/>
            <w:vAlign w:val="bottom"/>
          </w:tcPr>
          <w:p>
            <w:pPr>
              <w:jc w:val="right"/>
              <w:ind w:right="60"/>
              <w:spacing w:after="0"/>
              <w:rPr>
                <w:sz w:val="20"/>
                <w:szCs w:val="20"/>
                <w:color w:val="auto"/>
              </w:rPr>
            </w:pPr>
            <w:r>
              <w:rPr>
                <w:rFonts w:ascii="Arial" w:cs="Arial" w:eastAsia="Arial" w:hAnsi="Arial"/>
                <w:sz w:val="12"/>
                <w:szCs w:val="12"/>
                <w:b w:val="1"/>
                <w:bCs w:val="1"/>
                <w:color w:val="auto"/>
              </w:rPr>
              <w:t>22,937,015</w:t>
            </w:r>
          </w:p>
        </w:tc>
        <w:tc>
          <w:tcPr>
            <w:tcW w:w="1240" w:type="dxa"/>
            <w:vAlign w:val="bottom"/>
          </w:tcPr>
          <w:p>
            <w:pPr>
              <w:spacing w:after="0"/>
              <w:rPr>
                <w:sz w:val="17"/>
                <w:szCs w:val="17"/>
                <w:color w:val="auto"/>
              </w:rPr>
            </w:pPr>
          </w:p>
        </w:tc>
      </w:tr>
      <w:tr>
        <w:trPr>
          <w:trHeight w:val="2087"/>
        </w:trPr>
        <w:tc>
          <w:tcPr>
            <w:tcW w:w="138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12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-4263390</wp:posOffset>
            </wp:positionV>
            <wp:extent cx="5967730" cy="12433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a:extLst>
                        <a:ext uri="{28A0092B-C50C-407E-A947-70E740481C1C}"/>
                      </a:extLst>
                    </a:blip>
                    <a:srcRect/>
                    <a:stretch>
                      <a:fillRect/>
                    </a:stretch>
                  </pic:blipFill>
                  <pic:spPr bwMode="auto">
                    <a:xfrm>
                      <a:off x="0" y="0"/>
                      <a:ext cx="5967730" cy="124333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-2809875</wp:posOffset>
            </wp:positionV>
            <wp:extent cx="5967730" cy="14947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extLst>
                    </a:blip>
                    <a:srcRect/>
                    <a:stretch>
                      <a:fillRect/>
                    </a:stretch>
                  </pic:blipFill>
                  <pic:spPr bwMode="auto">
                    <a:xfrm>
                      <a:off x="0" y="0"/>
                      <a:ext cx="5967730" cy="14947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10640"/>
          </w:cols>
          <w:pgMar w:left="1260" w:top="13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 / 20</w:t>
      </w:r>
    </w:p>
    <w:p>
      <w:pPr>
        <w:sectPr>
          <w:pgSz w:w="11900" w:h="16838" w:orient="portrait"/>
          <w:cols w:equalWidth="0" w:num="1">
            <w:col w:w="10640"/>
          </w:cols>
          <w:pgMar w:left="1260" w:top="1365" w:right="6" w:bottom="0" w:gutter="0" w:footer="0" w:header="0"/>
          <w:type w:val="continuous"/>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auto"/>
        </w:rPr>
        <w:t>Summary of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2403475</wp:posOffset>
            </wp:positionH>
            <wp:positionV relativeFrom="paragraph">
              <wp:posOffset>236220</wp:posOffset>
            </wp:positionV>
            <wp:extent cx="435610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extLst>
                    </a:blip>
                    <a:srcRect/>
                    <a:stretch>
                      <a:fillRect/>
                    </a:stretch>
                  </pic:blipFill>
                  <pic:spPr bwMode="auto">
                    <a:xfrm>
                      <a:off x="0" y="0"/>
                      <a:ext cx="4356100" cy="137160"/>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80" w:type="dxa"/>
            <w:vAlign w:val="bottom"/>
          </w:tcPr>
          <w:p>
            <w:pPr>
              <w:spacing w:after="0"/>
              <w:rPr>
                <w:sz w:val="15"/>
                <w:szCs w:val="15"/>
                <w:color w:val="auto"/>
              </w:rPr>
            </w:pPr>
          </w:p>
        </w:tc>
        <w:tc>
          <w:tcPr>
            <w:tcW w:w="2500" w:type="dxa"/>
            <w:vAlign w:val="bottom"/>
            <w:shd w:val="clear" w:color="auto" w:fill="153A57"/>
          </w:tcPr>
          <w:p>
            <w:pPr>
              <w:spacing w:after="0"/>
              <w:rPr>
                <w:sz w:val="15"/>
                <w:szCs w:val="15"/>
                <w:color w:val="auto"/>
              </w:rPr>
            </w:pPr>
          </w:p>
        </w:tc>
        <w:tc>
          <w:tcPr>
            <w:tcW w:w="4180" w:type="dxa"/>
            <w:vAlign w:val="bottom"/>
            <w:gridSpan w:val="6"/>
            <w:shd w:val="clear" w:color="auto" w:fill="153A57"/>
          </w:tcPr>
          <w:p>
            <w:pPr>
              <w:jc w:val="right"/>
              <w:ind w:right="560"/>
              <w:spacing w:after="0"/>
              <w:rPr>
                <w:sz w:val="20"/>
                <w:szCs w:val="20"/>
                <w:color w:val="auto"/>
              </w:rPr>
            </w:pPr>
            <w:r>
              <w:rPr>
                <w:rFonts w:ascii="Arial" w:cs="Arial" w:eastAsia="Arial" w:hAnsi="Arial"/>
                <w:sz w:val="12"/>
                <w:szCs w:val="12"/>
                <w:b w:val="1"/>
                <w:bCs w:val="1"/>
                <w:color w:val="FFFFFF"/>
              </w:rPr>
              <w:t>Proven Mineral Reserves as at December 31, 2025</w:t>
            </w:r>
          </w:p>
        </w:tc>
        <w:tc>
          <w:tcPr>
            <w:tcW w:w="2880" w:type="dxa"/>
            <w:vAlign w:val="bottom"/>
            <w:gridSpan w:val="4"/>
            <w:shd w:val="clear" w:color="auto" w:fill="153A57"/>
          </w:tcPr>
          <w:p>
            <w:pPr>
              <w:jc w:val="right"/>
              <w:spacing w:after="0"/>
              <w:rPr>
                <w:sz w:val="20"/>
                <w:szCs w:val="20"/>
                <w:color w:val="auto"/>
              </w:rPr>
            </w:pPr>
            <w:r>
              <w:rPr>
                <w:rFonts w:ascii="Arial" w:cs="Arial" w:eastAsia="Arial" w:hAnsi="Arial"/>
                <w:sz w:val="12"/>
                <w:szCs w:val="12"/>
                <w:b w:val="1"/>
                <w:bCs w:val="1"/>
                <w:color w:val="FFFFFF"/>
              </w:rPr>
              <w:t>Probable Mineral Reserves as at December 31, 2</w:t>
            </w:r>
          </w:p>
        </w:tc>
      </w:tr>
      <w:tr>
        <w:trPr>
          <w:trHeight w:val="206"/>
        </w:trPr>
        <w:tc>
          <w:tcPr>
            <w:tcW w:w="1080" w:type="dxa"/>
            <w:vAlign w:val="bottom"/>
          </w:tcPr>
          <w:p>
            <w:pPr>
              <w:spacing w:after="0"/>
              <w:rPr>
                <w:sz w:val="17"/>
                <w:szCs w:val="17"/>
                <w:color w:val="auto"/>
              </w:rPr>
            </w:pPr>
          </w:p>
        </w:tc>
        <w:tc>
          <w:tcPr>
            <w:tcW w:w="2500" w:type="dxa"/>
            <w:vAlign w:val="bottom"/>
            <w:shd w:val="clear" w:color="auto" w:fill="153A57"/>
          </w:tcPr>
          <w:p>
            <w:pPr>
              <w:spacing w:after="0"/>
              <w:rPr>
                <w:sz w:val="17"/>
                <w:szCs w:val="17"/>
                <w:color w:val="auto"/>
              </w:rPr>
            </w:pPr>
          </w:p>
        </w:tc>
        <w:tc>
          <w:tcPr>
            <w:tcW w:w="1120" w:type="dxa"/>
            <w:vAlign w:val="bottom"/>
            <w:shd w:val="clear" w:color="auto" w:fill="153A57"/>
          </w:tcPr>
          <w:p>
            <w:pPr>
              <w:spacing w:after="0"/>
              <w:rPr>
                <w:sz w:val="17"/>
                <w:szCs w:val="17"/>
                <w:color w:val="auto"/>
              </w:rPr>
            </w:pPr>
          </w:p>
        </w:tc>
        <w:tc>
          <w:tcPr>
            <w:tcW w:w="120" w:type="dxa"/>
            <w:vAlign w:val="bottom"/>
            <w:shd w:val="clear" w:color="auto" w:fill="153A57"/>
          </w:tcPr>
          <w:p>
            <w:pPr>
              <w:spacing w:after="0"/>
              <w:rPr>
                <w:sz w:val="17"/>
                <w:szCs w:val="17"/>
                <w:color w:val="auto"/>
              </w:rPr>
            </w:pPr>
          </w:p>
        </w:tc>
        <w:tc>
          <w:tcPr>
            <w:tcW w:w="1340" w:type="dxa"/>
            <w:vAlign w:val="bottom"/>
            <w:gridSpan w:val="2"/>
            <w:shd w:val="clear" w:color="auto" w:fill="153A57"/>
          </w:tcPr>
          <w:p>
            <w:pPr>
              <w:jc w:val="center"/>
              <w:ind w:right="100"/>
              <w:spacing w:after="0"/>
              <w:rPr>
                <w:sz w:val="20"/>
                <w:szCs w:val="20"/>
                <w:color w:val="auto"/>
              </w:rPr>
            </w:pPr>
            <w:r>
              <w:rPr>
                <w:rFonts w:ascii="Arial" w:cs="Arial" w:eastAsia="Arial" w:hAnsi="Arial"/>
                <w:sz w:val="12"/>
                <w:szCs w:val="12"/>
                <w:b w:val="1"/>
                <w:bCs w:val="1"/>
                <w:color w:val="FFFFFF"/>
                <w:w w:val="99"/>
              </w:rPr>
              <w:t>Average lithium</w:t>
            </w:r>
          </w:p>
        </w:tc>
        <w:tc>
          <w:tcPr>
            <w:tcW w:w="900" w:type="dxa"/>
            <w:vAlign w:val="bottom"/>
            <w:shd w:val="clear" w:color="auto" w:fill="153A57"/>
          </w:tcPr>
          <w:p>
            <w:pPr>
              <w:jc w:val="center"/>
              <w:ind w:right="341"/>
              <w:spacing w:after="0"/>
              <w:rPr>
                <w:sz w:val="20"/>
                <w:szCs w:val="20"/>
                <w:color w:val="auto"/>
              </w:rPr>
            </w:pPr>
            <w:r>
              <w:rPr>
                <w:rFonts w:ascii="Arial" w:cs="Arial" w:eastAsia="Arial" w:hAnsi="Arial"/>
                <w:sz w:val="12"/>
                <w:szCs w:val="12"/>
                <w:b w:val="1"/>
                <w:bCs w:val="1"/>
                <w:color w:val="FFFFFF"/>
                <w:w w:val="96"/>
              </w:rPr>
              <w:t>Lithium</w:t>
            </w:r>
          </w:p>
        </w:tc>
        <w:tc>
          <w:tcPr>
            <w:tcW w:w="700" w:type="dxa"/>
            <w:vAlign w:val="bottom"/>
            <w:shd w:val="clear" w:color="auto" w:fill="153A57"/>
          </w:tcPr>
          <w:p>
            <w:pPr>
              <w:spacing w:after="0"/>
              <w:rPr>
                <w:sz w:val="17"/>
                <w:szCs w:val="17"/>
                <w:color w:val="auto"/>
              </w:rPr>
            </w:pPr>
          </w:p>
        </w:tc>
        <w:tc>
          <w:tcPr>
            <w:tcW w:w="960" w:type="dxa"/>
            <w:vAlign w:val="bottom"/>
            <w:shd w:val="clear" w:color="auto" w:fill="153A57"/>
          </w:tcPr>
          <w:p>
            <w:pPr>
              <w:jc w:val="center"/>
              <w:ind w:right="140"/>
              <w:spacing w:after="0"/>
              <w:rPr>
                <w:sz w:val="20"/>
                <w:szCs w:val="20"/>
                <w:color w:val="auto"/>
              </w:rPr>
            </w:pPr>
            <w:r>
              <w:rPr>
                <w:rFonts w:ascii="Arial" w:cs="Arial" w:eastAsia="Arial" w:hAnsi="Arial"/>
                <w:sz w:val="12"/>
                <w:szCs w:val="12"/>
                <w:b w:val="1"/>
                <w:bCs w:val="1"/>
                <w:color w:val="FFFFFF"/>
              </w:rPr>
              <w:t>Brine</w:t>
            </w:r>
          </w:p>
        </w:tc>
        <w:tc>
          <w:tcPr>
            <w:tcW w:w="800" w:type="dxa"/>
            <w:vAlign w:val="bottom"/>
            <w:shd w:val="clear" w:color="auto" w:fill="153A57"/>
          </w:tcPr>
          <w:p>
            <w:pPr>
              <w:jc w:val="center"/>
              <w:ind w:right="160"/>
              <w:spacing w:after="0"/>
              <w:rPr>
                <w:sz w:val="20"/>
                <w:szCs w:val="20"/>
                <w:color w:val="auto"/>
              </w:rPr>
            </w:pPr>
            <w:r>
              <w:rPr>
                <w:rFonts w:ascii="Arial" w:cs="Arial" w:eastAsia="Arial" w:hAnsi="Arial"/>
                <w:sz w:val="12"/>
                <w:szCs w:val="12"/>
                <w:b w:val="1"/>
                <w:bCs w:val="1"/>
                <w:color w:val="FFFFFF"/>
                <w:w w:val="98"/>
              </w:rPr>
              <w:t>Extracted</w:t>
            </w:r>
          </w:p>
        </w:tc>
        <w:tc>
          <w:tcPr>
            <w:tcW w:w="840" w:type="dxa"/>
            <w:vAlign w:val="bottom"/>
            <w:shd w:val="clear" w:color="auto" w:fill="153A57"/>
          </w:tcPr>
          <w:p>
            <w:pPr>
              <w:jc w:val="center"/>
              <w:ind w:right="180"/>
              <w:spacing w:after="0"/>
              <w:rPr>
                <w:sz w:val="20"/>
                <w:szCs w:val="20"/>
                <w:color w:val="auto"/>
              </w:rPr>
            </w:pPr>
            <w:r>
              <w:rPr>
                <w:rFonts w:ascii="Arial" w:cs="Arial" w:eastAsia="Arial" w:hAnsi="Arial"/>
                <w:sz w:val="12"/>
                <w:szCs w:val="12"/>
                <w:b w:val="1"/>
                <w:bCs w:val="1"/>
                <w:color w:val="FFFFFF"/>
              </w:rPr>
              <w:t>Lithium</w:t>
            </w:r>
          </w:p>
        </w:tc>
        <w:tc>
          <w:tcPr>
            <w:tcW w:w="280" w:type="dxa"/>
            <w:vAlign w:val="bottom"/>
            <w:shd w:val="clear" w:color="auto" w:fill="153A57"/>
          </w:tcPr>
          <w:p>
            <w:pPr>
              <w:spacing w:after="0"/>
              <w:rPr>
                <w:sz w:val="17"/>
                <w:szCs w:val="17"/>
                <w:color w:val="auto"/>
              </w:rPr>
            </w:pPr>
          </w:p>
        </w:tc>
      </w:tr>
      <w:tr>
        <w:trPr>
          <w:trHeight w:val="197"/>
        </w:trPr>
        <w:tc>
          <w:tcPr>
            <w:tcW w:w="1080" w:type="dxa"/>
            <w:vAlign w:val="bottom"/>
          </w:tcPr>
          <w:p>
            <w:pPr>
              <w:spacing w:after="0"/>
              <w:rPr>
                <w:sz w:val="17"/>
                <w:szCs w:val="17"/>
                <w:color w:val="auto"/>
              </w:rPr>
            </w:pPr>
          </w:p>
        </w:tc>
        <w:tc>
          <w:tcPr>
            <w:tcW w:w="2500" w:type="dxa"/>
            <w:vAlign w:val="bottom"/>
            <w:tcBorders>
              <w:bottom w:val="single" w:sz="8" w:color="153A57"/>
            </w:tcBorders>
            <w:shd w:val="clear" w:color="auto" w:fill="153A57"/>
          </w:tcPr>
          <w:p>
            <w:pPr>
              <w:spacing w:after="0"/>
              <w:rPr>
                <w:sz w:val="17"/>
                <w:szCs w:val="17"/>
                <w:color w:val="auto"/>
              </w:rPr>
            </w:pPr>
          </w:p>
        </w:tc>
        <w:tc>
          <w:tcPr>
            <w:tcW w:w="1120" w:type="dxa"/>
            <w:vAlign w:val="bottom"/>
            <w:tcBorders>
              <w:bottom w:val="single" w:sz="8" w:color="153A57"/>
            </w:tcBorders>
            <w:shd w:val="clear" w:color="auto" w:fill="153A57"/>
          </w:tcPr>
          <w:p>
            <w:pPr>
              <w:jc w:val="center"/>
              <w:ind w:left="240"/>
              <w:spacing w:after="0"/>
              <w:rPr>
                <w:sz w:val="20"/>
                <w:szCs w:val="20"/>
                <w:color w:val="auto"/>
              </w:rPr>
            </w:pPr>
            <w:r>
              <w:rPr>
                <w:rFonts w:ascii="Arial" w:cs="Arial" w:eastAsia="Arial" w:hAnsi="Arial"/>
                <w:sz w:val="12"/>
                <w:szCs w:val="12"/>
                <w:b w:val="1"/>
                <w:bCs w:val="1"/>
                <w:color w:val="FFFFFF"/>
              </w:rPr>
              <w:t>Brine pumped</w:t>
            </w:r>
          </w:p>
        </w:tc>
        <w:tc>
          <w:tcPr>
            <w:tcW w:w="120" w:type="dxa"/>
            <w:vAlign w:val="bottom"/>
            <w:tcBorders>
              <w:bottom w:val="single" w:sz="8" w:color="153A57"/>
            </w:tcBorders>
            <w:shd w:val="clear" w:color="auto" w:fill="153A57"/>
          </w:tcPr>
          <w:p>
            <w:pPr>
              <w:spacing w:after="0"/>
              <w:rPr>
                <w:sz w:val="17"/>
                <w:szCs w:val="17"/>
                <w:color w:val="auto"/>
              </w:rPr>
            </w:pPr>
          </w:p>
        </w:tc>
        <w:tc>
          <w:tcPr>
            <w:tcW w:w="1340" w:type="dxa"/>
            <w:vAlign w:val="bottom"/>
            <w:tcBorders>
              <w:bottom w:val="single" w:sz="8" w:color="153A57"/>
            </w:tcBorders>
            <w:gridSpan w:val="2"/>
            <w:shd w:val="clear" w:color="auto" w:fill="153A57"/>
          </w:tcPr>
          <w:p>
            <w:pPr>
              <w:jc w:val="center"/>
              <w:ind w:right="120"/>
              <w:spacing w:after="0"/>
              <w:rPr>
                <w:sz w:val="20"/>
                <w:szCs w:val="20"/>
                <w:color w:val="auto"/>
              </w:rPr>
            </w:pPr>
            <w:r>
              <w:rPr>
                <w:rFonts w:ascii="Arial" w:cs="Arial" w:eastAsia="Arial" w:hAnsi="Arial"/>
                <w:sz w:val="12"/>
                <w:szCs w:val="12"/>
                <w:b w:val="1"/>
                <w:bCs w:val="1"/>
                <w:color w:val="FFFFFF"/>
              </w:rPr>
              <w:t>concentration</w:t>
            </w:r>
          </w:p>
        </w:tc>
        <w:tc>
          <w:tcPr>
            <w:tcW w:w="900" w:type="dxa"/>
            <w:vAlign w:val="bottom"/>
            <w:tcBorders>
              <w:bottom w:val="single" w:sz="8" w:color="153A57"/>
            </w:tcBorders>
            <w:shd w:val="clear" w:color="auto" w:fill="153A57"/>
          </w:tcPr>
          <w:p>
            <w:pPr>
              <w:jc w:val="center"/>
              <w:ind w:right="341"/>
              <w:spacing w:after="0"/>
              <w:rPr>
                <w:sz w:val="20"/>
                <w:szCs w:val="20"/>
                <w:color w:val="auto"/>
              </w:rPr>
            </w:pPr>
            <w:r>
              <w:rPr>
                <w:rFonts w:ascii="Arial" w:cs="Arial" w:eastAsia="Arial" w:hAnsi="Arial"/>
                <w:sz w:val="12"/>
                <w:szCs w:val="12"/>
                <w:b w:val="1"/>
                <w:bCs w:val="1"/>
                <w:color w:val="FFFFFF"/>
                <w:w w:val="95"/>
              </w:rPr>
              <w:t>metal</w:t>
            </w:r>
          </w:p>
        </w:tc>
        <w:tc>
          <w:tcPr>
            <w:tcW w:w="700" w:type="dxa"/>
            <w:vAlign w:val="bottom"/>
            <w:tcBorders>
              <w:bottom w:val="single" w:sz="8" w:color="153A57"/>
            </w:tcBorders>
            <w:shd w:val="clear" w:color="auto" w:fill="153A57"/>
          </w:tcPr>
          <w:p>
            <w:pPr>
              <w:jc w:val="right"/>
              <w:ind w:right="300"/>
              <w:spacing w:after="0"/>
              <w:rPr>
                <w:sz w:val="20"/>
                <w:szCs w:val="20"/>
                <w:color w:val="auto"/>
              </w:rPr>
            </w:pPr>
            <w:r>
              <w:rPr>
                <w:rFonts w:ascii="Arial" w:cs="Arial" w:eastAsia="Arial" w:hAnsi="Arial"/>
                <w:sz w:val="12"/>
                <w:szCs w:val="12"/>
                <w:b w:val="1"/>
                <w:bCs w:val="1"/>
                <w:color w:val="FFFFFF"/>
              </w:rPr>
              <w:t>LCE</w:t>
            </w:r>
          </w:p>
        </w:tc>
        <w:tc>
          <w:tcPr>
            <w:tcW w:w="960" w:type="dxa"/>
            <w:vAlign w:val="bottom"/>
            <w:tcBorders>
              <w:bottom w:val="single" w:sz="8" w:color="153A57"/>
            </w:tcBorders>
            <w:shd w:val="clear" w:color="auto" w:fill="153A57"/>
          </w:tcPr>
          <w:p>
            <w:pPr>
              <w:jc w:val="center"/>
              <w:ind w:right="100"/>
              <w:spacing w:after="0"/>
              <w:rPr>
                <w:sz w:val="20"/>
                <w:szCs w:val="20"/>
                <w:color w:val="auto"/>
              </w:rPr>
            </w:pPr>
            <w:r>
              <w:rPr>
                <w:rFonts w:ascii="Arial" w:cs="Arial" w:eastAsia="Arial" w:hAnsi="Arial"/>
                <w:sz w:val="12"/>
                <w:szCs w:val="12"/>
                <w:b w:val="1"/>
                <w:bCs w:val="1"/>
                <w:color w:val="FFFFFF"/>
              </w:rPr>
              <w:t>pumped</w:t>
            </w:r>
          </w:p>
        </w:tc>
        <w:tc>
          <w:tcPr>
            <w:tcW w:w="800" w:type="dxa"/>
            <w:vAlign w:val="bottom"/>
            <w:tcBorders>
              <w:bottom w:val="single" w:sz="8" w:color="153A57"/>
            </w:tcBorders>
            <w:shd w:val="clear" w:color="auto" w:fill="153A57"/>
          </w:tcPr>
          <w:p>
            <w:pPr>
              <w:jc w:val="center"/>
              <w:ind w:right="160"/>
              <w:spacing w:after="0"/>
              <w:rPr>
                <w:sz w:val="20"/>
                <w:szCs w:val="20"/>
                <w:color w:val="auto"/>
              </w:rPr>
            </w:pPr>
            <w:r>
              <w:rPr>
                <w:rFonts w:ascii="Arial" w:cs="Arial" w:eastAsia="Arial" w:hAnsi="Arial"/>
                <w:sz w:val="12"/>
                <w:szCs w:val="12"/>
                <w:b w:val="1"/>
                <w:bCs w:val="1"/>
                <w:color w:val="FFFFFF"/>
                <w:w w:val="97"/>
              </w:rPr>
              <w:t>Grade</w:t>
            </w:r>
          </w:p>
        </w:tc>
        <w:tc>
          <w:tcPr>
            <w:tcW w:w="840" w:type="dxa"/>
            <w:vAlign w:val="bottom"/>
            <w:tcBorders>
              <w:bottom w:val="single" w:sz="8" w:color="153A57"/>
            </w:tcBorders>
            <w:shd w:val="clear" w:color="auto" w:fill="153A57"/>
          </w:tcPr>
          <w:p>
            <w:pPr>
              <w:jc w:val="center"/>
              <w:ind w:right="180"/>
              <w:spacing w:after="0"/>
              <w:rPr>
                <w:sz w:val="20"/>
                <w:szCs w:val="20"/>
                <w:color w:val="auto"/>
              </w:rPr>
            </w:pPr>
            <w:r>
              <w:rPr>
                <w:rFonts w:ascii="Arial" w:cs="Arial" w:eastAsia="Arial" w:hAnsi="Arial"/>
                <w:sz w:val="12"/>
                <w:szCs w:val="12"/>
                <w:b w:val="1"/>
                <w:bCs w:val="1"/>
                <w:color w:val="FFFFFF"/>
              </w:rPr>
              <w:t>metal</w:t>
            </w:r>
          </w:p>
        </w:tc>
        <w:tc>
          <w:tcPr>
            <w:tcW w:w="280" w:type="dxa"/>
            <w:vAlign w:val="bottom"/>
            <w:tcBorders>
              <w:bottom w:val="single" w:sz="8" w:color="153A57"/>
            </w:tcBorders>
            <w:shd w:val="clear" w:color="auto" w:fill="153A57"/>
          </w:tcPr>
          <w:p>
            <w:pPr>
              <w:jc w:val="right"/>
              <w:spacing w:after="0"/>
              <w:rPr>
                <w:sz w:val="20"/>
                <w:szCs w:val="20"/>
                <w:color w:val="auto"/>
              </w:rPr>
            </w:pPr>
            <w:r>
              <w:rPr>
                <w:rFonts w:ascii="Arial" w:cs="Arial" w:eastAsia="Arial" w:hAnsi="Arial"/>
                <w:sz w:val="12"/>
                <w:szCs w:val="12"/>
                <w:b w:val="1"/>
                <w:bCs w:val="1"/>
                <w:color w:val="FFFFFF"/>
              </w:rPr>
              <w:t>L</w:t>
            </w:r>
          </w:p>
        </w:tc>
      </w:tr>
      <w:tr>
        <w:trPr>
          <w:trHeight w:val="170"/>
        </w:trPr>
        <w:tc>
          <w:tcPr>
            <w:tcW w:w="1080" w:type="dxa"/>
            <w:vAlign w:val="bottom"/>
          </w:tcPr>
          <w:p>
            <w:pPr>
              <w:spacing w:after="0"/>
              <w:rPr>
                <w:sz w:val="14"/>
                <w:szCs w:val="14"/>
                <w:color w:val="auto"/>
              </w:rPr>
            </w:pPr>
          </w:p>
        </w:tc>
        <w:tc>
          <w:tcPr>
            <w:tcW w:w="2500" w:type="dxa"/>
            <w:vAlign w:val="bottom"/>
          </w:tcPr>
          <w:p>
            <w:pPr>
              <w:ind w:left="160"/>
              <w:spacing w:after="0"/>
              <w:rPr>
                <w:sz w:val="20"/>
                <w:szCs w:val="20"/>
                <w:color w:val="auto"/>
              </w:rPr>
            </w:pPr>
            <w:r>
              <w:rPr>
                <w:rFonts w:ascii="Arial" w:cs="Arial" w:eastAsia="Arial" w:hAnsi="Arial"/>
                <w:sz w:val="12"/>
                <w:szCs w:val="12"/>
                <w:color w:val="auto"/>
              </w:rPr>
              <w:t>Project</w:t>
            </w:r>
          </w:p>
        </w:tc>
        <w:tc>
          <w:tcPr>
            <w:tcW w:w="1120" w:type="dxa"/>
            <w:vAlign w:val="bottom"/>
          </w:tcPr>
          <w:p>
            <w:pPr>
              <w:jc w:val="center"/>
              <w:ind w:left="240"/>
              <w:spacing w:after="0"/>
              <w:rPr>
                <w:sz w:val="20"/>
                <w:szCs w:val="20"/>
                <w:color w:val="auto"/>
              </w:rPr>
            </w:pPr>
            <w:r>
              <w:rPr>
                <w:rFonts w:ascii="Arial" w:cs="Arial" w:eastAsia="Arial" w:hAnsi="Arial"/>
                <w:sz w:val="12"/>
                <w:szCs w:val="12"/>
                <w:color w:val="auto"/>
              </w:rPr>
              <w:t>m3</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2"/>
                <w:szCs w:val="12"/>
                <w:color w:val="auto"/>
              </w:rPr>
              <w:t>mg/L Li</w:t>
            </w:r>
          </w:p>
        </w:tc>
        <w:tc>
          <w:tcPr>
            <w:tcW w:w="900" w:type="dxa"/>
            <w:vAlign w:val="bottom"/>
          </w:tcPr>
          <w:p>
            <w:pPr>
              <w:jc w:val="center"/>
              <w:ind w:right="341"/>
              <w:spacing w:after="0"/>
              <w:rPr>
                <w:sz w:val="20"/>
                <w:szCs w:val="20"/>
                <w:color w:val="auto"/>
              </w:rPr>
            </w:pPr>
            <w:r>
              <w:rPr>
                <w:rFonts w:ascii="Arial" w:cs="Arial" w:eastAsia="Arial" w:hAnsi="Arial"/>
                <w:sz w:val="10"/>
                <w:szCs w:val="10"/>
                <w:color w:val="auto"/>
                <w:w w:val="70"/>
              </w:rPr>
              <w:t>t</w:t>
            </w:r>
          </w:p>
        </w:tc>
        <w:tc>
          <w:tcPr>
            <w:tcW w:w="700" w:type="dxa"/>
            <w:vAlign w:val="bottom"/>
          </w:tcPr>
          <w:p>
            <w:pPr>
              <w:jc w:val="right"/>
              <w:ind w:right="400"/>
              <w:spacing w:after="0"/>
              <w:rPr>
                <w:sz w:val="20"/>
                <w:szCs w:val="20"/>
                <w:color w:val="auto"/>
              </w:rPr>
            </w:pPr>
            <w:r>
              <w:rPr>
                <w:rFonts w:ascii="Arial" w:cs="Arial" w:eastAsia="Arial" w:hAnsi="Arial"/>
                <w:sz w:val="12"/>
                <w:szCs w:val="12"/>
                <w:color w:val="auto"/>
              </w:rPr>
              <w:t>t</w:t>
            </w:r>
          </w:p>
        </w:tc>
        <w:tc>
          <w:tcPr>
            <w:tcW w:w="960" w:type="dxa"/>
            <w:vAlign w:val="bottom"/>
          </w:tcPr>
          <w:p>
            <w:pPr>
              <w:jc w:val="center"/>
              <w:ind w:right="100"/>
              <w:spacing w:after="0"/>
              <w:rPr>
                <w:sz w:val="20"/>
                <w:szCs w:val="20"/>
                <w:color w:val="auto"/>
              </w:rPr>
            </w:pPr>
            <w:r>
              <w:rPr>
                <w:rFonts w:ascii="Arial" w:cs="Arial" w:eastAsia="Arial" w:hAnsi="Arial"/>
                <w:sz w:val="12"/>
                <w:szCs w:val="12"/>
                <w:color w:val="auto"/>
                <w:w w:val="95"/>
              </w:rPr>
              <w:t>m3</w:t>
            </w:r>
          </w:p>
        </w:tc>
        <w:tc>
          <w:tcPr>
            <w:tcW w:w="800" w:type="dxa"/>
            <w:vAlign w:val="bottom"/>
          </w:tcPr>
          <w:p>
            <w:pPr>
              <w:jc w:val="center"/>
              <w:ind w:right="140"/>
              <w:spacing w:after="0"/>
              <w:rPr>
                <w:sz w:val="20"/>
                <w:szCs w:val="20"/>
                <w:color w:val="auto"/>
              </w:rPr>
            </w:pPr>
            <w:r>
              <w:rPr>
                <w:rFonts w:ascii="Arial" w:cs="Arial" w:eastAsia="Arial" w:hAnsi="Arial"/>
                <w:sz w:val="12"/>
                <w:szCs w:val="12"/>
                <w:color w:val="auto"/>
              </w:rPr>
              <w:t>mg/L Li</w:t>
            </w:r>
          </w:p>
        </w:tc>
        <w:tc>
          <w:tcPr>
            <w:tcW w:w="840" w:type="dxa"/>
            <w:vAlign w:val="bottom"/>
          </w:tcPr>
          <w:p>
            <w:pPr>
              <w:jc w:val="center"/>
              <w:ind w:right="180"/>
              <w:spacing w:after="0"/>
              <w:rPr>
                <w:sz w:val="20"/>
                <w:szCs w:val="20"/>
                <w:color w:val="auto"/>
              </w:rPr>
            </w:pPr>
            <w:r>
              <w:rPr>
                <w:rFonts w:ascii="Arial" w:cs="Arial" w:eastAsia="Arial" w:hAnsi="Arial"/>
                <w:sz w:val="12"/>
                <w:szCs w:val="12"/>
                <w:color w:val="auto"/>
              </w:rPr>
              <w:t>t</w:t>
            </w:r>
          </w:p>
        </w:tc>
        <w:tc>
          <w:tcPr>
            <w:tcW w:w="280" w:type="dxa"/>
            <w:vAlign w:val="bottom"/>
          </w:tcPr>
          <w:p>
            <w:pPr>
              <w:spacing w:after="0"/>
              <w:rPr>
                <w:sz w:val="14"/>
                <w:szCs w:val="14"/>
                <w:color w:val="auto"/>
              </w:rPr>
            </w:pPr>
          </w:p>
        </w:tc>
      </w:tr>
      <w:tr>
        <w:trPr>
          <w:trHeight w:val="206"/>
        </w:trPr>
        <w:tc>
          <w:tcPr>
            <w:tcW w:w="1080" w:type="dxa"/>
            <w:vAlign w:val="bottom"/>
          </w:tcPr>
          <w:p>
            <w:pPr>
              <w:spacing w:after="0"/>
              <w:rPr>
                <w:sz w:val="17"/>
                <w:szCs w:val="17"/>
                <w:color w:val="auto"/>
              </w:rPr>
            </w:pPr>
          </w:p>
        </w:tc>
        <w:tc>
          <w:tcPr>
            <w:tcW w:w="2500" w:type="dxa"/>
            <w:vAlign w:val="bottom"/>
          </w:tcPr>
          <w:p>
            <w:pPr>
              <w:ind w:left="160"/>
              <w:spacing w:after="0"/>
              <w:rPr>
                <w:sz w:val="20"/>
                <w:szCs w:val="20"/>
                <w:color w:val="auto"/>
              </w:rPr>
            </w:pPr>
            <w:r>
              <w:rPr>
                <w:rFonts w:ascii="Arial" w:cs="Arial" w:eastAsia="Arial" w:hAnsi="Arial"/>
                <w:sz w:val="12"/>
                <w:szCs w:val="12"/>
                <w:color w:val="auto"/>
              </w:rPr>
              <w:t>Cauchari-Olaroz (Argentina)</w:t>
            </w:r>
          </w:p>
        </w:tc>
        <w:tc>
          <w:tcPr>
            <w:tcW w:w="1240" w:type="dxa"/>
            <w:vAlign w:val="bottom"/>
            <w:gridSpan w:val="2"/>
          </w:tcPr>
          <w:p>
            <w:pPr>
              <w:jc w:val="right"/>
              <w:spacing w:after="0"/>
              <w:rPr>
                <w:sz w:val="20"/>
                <w:szCs w:val="20"/>
                <w:color w:val="auto"/>
              </w:rPr>
            </w:pPr>
            <w:r>
              <w:rPr>
                <w:rFonts w:ascii="Arial" w:cs="Arial" w:eastAsia="Arial" w:hAnsi="Arial"/>
                <w:sz w:val="12"/>
                <w:szCs w:val="12"/>
                <w:color w:val="auto"/>
              </w:rPr>
              <w:t>227,782,565</w:t>
            </w:r>
          </w:p>
        </w:tc>
        <w:tc>
          <w:tcPr>
            <w:tcW w:w="640" w:type="dxa"/>
            <w:vAlign w:val="bottom"/>
          </w:tcPr>
          <w:p>
            <w:pPr>
              <w:spacing w:after="0"/>
              <w:rPr>
                <w:sz w:val="17"/>
                <w:szCs w:val="17"/>
                <w:color w:val="auto"/>
              </w:rPr>
            </w:pPr>
          </w:p>
        </w:tc>
        <w:tc>
          <w:tcPr>
            <w:tcW w:w="700" w:type="dxa"/>
            <w:vAlign w:val="bottom"/>
          </w:tcPr>
          <w:p>
            <w:pPr>
              <w:jc w:val="right"/>
              <w:ind w:right="200"/>
              <w:spacing w:after="0"/>
              <w:rPr>
                <w:sz w:val="20"/>
                <w:szCs w:val="20"/>
                <w:color w:val="auto"/>
              </w:rPr>
            </w:pPr>
            <w:r>
              <w:rPr>
                <w:rFonts w:ascii="Arial" w:cs="Arial" w:eastAsia="Arial" w:hAnsi="Arial"/>
                <w:sz w:val="12"/>
                <w:szCs w:val="12"/>
                <w:color w:val="auto"/>
              </w:rPr>
              <w:t>588.26</w:t>
            </w:r>
          </w:p>
        </w:tc>
        <w:tc>
          <w:tcPr>
            <w:tcW w:w="900" w:type="dxa"/>
            <w:vAlign w:val="bottom"/>
          </w:tcPr>
          <w:p>
            <w:pPr>
              <w:ind w:left="280"/>
              <w:spacing w:after="0"/>
              <w:rPr>
                <w:sz w:val="20"/>
                <w:szCs w:val="20"/>
                <w:color w:val="auto"/>
              </w:rPr>
            </w:pPr>
            <w:r>
              <w:rPr>
                <w:rFonts w:ascii="Arial" w:cs="Arial" w:eastAsia="Arial" w:hAnsi="Arial"/>
                <w:sz w:val="12"/>
                <w:szCs w:val="12"/>
                <w:color w:val="auto"/>
              </w:rPr>
              <w:t>75,315</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400,886</w:t>
            </w:r>
          </w:p>
        </w:tc>
        <w:tc>
          <w:tcPr>
            <w:tcW w:w="960" w:type="dxa"/>
            <w:vAlign w:val="bottom"/>
          </w:tcPr>
          <w:p>
            <w:pPr>
              <w:jc w:val="right"/>
              <w:ind w:right="100"/>
              <w:spacing w:after="0"/>
              <w:rPr>
                <w:sz w:val="20"/>
                <w:szCs w:val="20"/>
                <w:color w:val="auto"/>
              </w:rPr>
            </w:pPr>
            <w:r>
              <w:rPr>
                <w:rFonts w:ascii="Arial" w:cs="Arial" w:eastAsia="Arial" w:hAnsi="Arial"/>
                <w:sz w:val="12"/>
                <w:szCs w:val="12"/>
                <w:color w:val="auto"/>
              </w:rPr>
              <w:t>526,320,091</w:t>
            </w:r>
          </w:p>
        </w:tc>
        <w:tc>
          <w:tcPr>
            <w:tcW w:w="800" w:type="dxa"/>
            <w:vAlign w:val="bottom"/>
          </w:tcPr>
          <w:p>
            <w:pPr>
              <w:jc w:val="right"/>
              <w:ind w:right="100"/>
              <w:spacing w:after="0"/>
              <w:rPr>
                <w:sz w:val="20"/>
                <w:szCs w:val="20"/>
                <w:color w:val="auto"/>
              </w:rPr>
            </w:pPr>
            <w:r>
              <w:rPr>
                <w:rFonts w:ascii="Arial" w:cs="Arial" w:eastAsia="Arial" w:hAnsi="Arial"/>
                <w:sz w:val="12"/>
                <w:szCs w:val="12"/>
                <w:color w:val="auto"/>
              </w:rPr>
              <w:t>572.18</w:t>
            </w:r>
          </w:p>
        </w:tc>
        <w:tc>
          <w:tcPr>
            <w:tcW w:w="840" w:type="dxa"/>
            <w:vAlign w:val="bottom"/>
          </w:tcPr>
          <w:p>
            <w:pPr>
              <w:jc w:val="right"/>
              <w:ind w:right="140"/>
              <w:spacing w:after="0"/>
              <w:rPr>
                <w:sz w:val="20"/>
                <w:szCs w:val="20"/>
                <w:color w:val="auto"/>
              </w:rPr>
            </w:pPr>
            <w:r>
              <w:rPr>
                <w:rFonts w:ascii="Arial" w:cs="Arial" w:eastAsia="Arial" w:hAnsi="Arial"/>
                <w:sz w:val="12"/>
                <w:szCs w:val="12"/>
                <w:color w:val="auto"/>
              </w:rPr>
              <w:t>190,463</w:t>
            </w:r>
          </w:p>
        </w:tc>
        <w:tc>
          <w:tcPr>
            <w:tcW w:w="28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206"/>
        </w:trPr>
        <w:tc>
          <w:tcPr>
            <w:tcW w:w="1080" w:type="dxa"/>
            <w:vAlign w:val="bottom"/>
          </w:tcPr>
          <w:p>
            <w:pPr>
              <w:spacing w:after="0"/>
              <w:rPr>
                <w:sz w:val="17"/>
                <w:szCs w:val="17"/>
                <w:color w:val="auto"/>
              </w:rPr>
            </w:pPr>
          </w:p>
        </w:tc>
        <w:tc>
          <w:tcPr>
            <w:tcW w:w="2500" w:type="dxa"/>
            <w:vAlign w:val="bottom"/>
          </w:tcPr>
          <w:p>
            <w:pPr>
              <w:ind w:left="160"/>
              <w:spacing w:after="0"/>
              <w:rPr>
                <w:sz w:val="20"/>
                <w:szCs w:val="20"/>
                <w:color w:val="auto"/>
              </w:rPr>
            </w:pPr>
            <w:r>
              <w:rPr>
                <w:rFonts w:ascii="Arial" w:cs="Arial" w:eastAsia="Arial" w:hAnsi="Arial"/>
                <w:sz w:val="12"/>
                <w:szCs w:val="12"/>
                <w:color w:val="auto"/>
              </w:rPr>
              <w:t>Pozuelos-Pastos Grandes (Argentina)</w:t>
            </w:r>
          </w:p>
        </w:tc>
        <w:tc>
          <w:tcPr>
            <w:tcW w:w="1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0</w:t>
            </w:r>
          </w:p>
        </w:tc>
        <w:tc>
          <w:tcPr>
            <w:tcW w:w="640" w:type="dxa"/>
            <w:vAlign w:val="bottom"/>
          </w:tcPr>
          <w:p>
            <w:pPr>
              <w:spacing w:after="0"/>
              <w:rPr>
                <w:sz w:val="17"/>
                <w:szCs w:val="17"/>
                <w:color w:val="auto"/>
              </w:rPr>
            </w:pPr>
          </w:p>
        </w:tc>
        <w:tc>
          <w:tcPr>
            <w:tcW w:w="700" w:type="dxa"/>
            <w:vAlign w:val="bottom"/>
          </w:tcPr>
          <w:p>
            <w:pPr>
              <w:jc w:val="right"/>
              <w:ind w:right="200"/>
              <w:spacing w:after="0"/>
              <w:rPr>
                <w:sz w:val="20"/>
                <w:szCs w:val="20"/>
                <w:color w:val="auto"/>
              </w:rPr>
            </w:pPr>
            <w:r>
              <w:rPr>
                <w:rFonts w:ascii="Arial" w:cs="Arial" w:eastAsia="Arial" w:hAnsi="Arial"/>
                <w:sz w:val="12"/>
                <w:szCs w:val="12"/>
                <w:color w:val="auto"/>
              </w:rPr>
              <w:t>0</w:t>
            </w:r>
          </w:p>
        </w:tc>
        <w:tc>
          <w:tcPr>
            <w:tcW w:w="900" w:type="dxa"/>
            <w:vAlign w:val="bottom"/>
          </w:tcPr>
          <w:p>
            <w:pPr>
              <w:ind w:left="580"/>
              <w:spacing w:after="0"/>
              <w:rPr>
                <w:sz w:val="20"/>
                <w:szCs w:val="20"/>
                <w:color w:val="auto"/>
              </w:rPr>
            </w:pPr>
            <w:r>
              <w:rPr>
                <w:rFonts w:ascii="Arial" w:cs="Arial" w:eastAsia="Arial" w:hAnsi="Arial"/>
                <w:sz w:val="12"/>
                <w:szCs w:val="12"/>
                <w:color w:val="auto"/>
              </w:rPr>
              <w:t>0</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0</w:t>
            </w:r>
          </w:p>
        </w:tc>
        <w:tc>
          <w:tcPr>
            <w:tcW w:w="960" w:type="dxa"/>
            <w:vAlign w:val="bottom"/>
          </w:tcPr>
          <w:p>
            <w:pPr>
              <w:jc w:val="right"/>
              <w:ind w:right="10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100"/>
              <w:spacing w:after="0"/>
              <w:rPr>
                <w:sz w:val="20"/>
                <w:szCs w:val="20"/>
                <w:color w:val="auto"/>
              </w:rPr>
            </w:pPr>
            <w:r>
              <w:rPr>
                <w:rFonts w:ascii="Arial" w:cs="Arial" w:eastAsia="Arial" w:hAnsi="Arial"/>
                <w:sz w:val="12"/>
                <w:szCs w:val="12"/>
                <w:color w:val="auto"/>
              </w:rPr>
              <w:t>0</w:t>
            </w:r>
          </w:p>
        </w:tc>
        <w:tc>
          <w:tcPr>
            <w:tcW w:w="840" w:type="dxa"/>
            <w:vAlign w:val="bottom"/>
          </w:tcPr>
          <w:p>
            <w:pPr>
              <w:jc w:val="right"/>
              <w:ind w:right="140"/>
              <w:spacing w:after="0"/>
              <w:rPr>
                <w:sz w:val="20"/>
                <w:szCs w:val="20"/>
                <w:color w:val="auto"/>
              </w:rPr>
            </w:pPr>
            <w:r>
              <w:rPr>
                <w:rFonts w:ascii="Arial" w:cs="Arial" w:eastAsia="Arial" w:hAnsi="Arial"/>
                <w:sz w:val="12"/>
                <w:szCs w:val="12"/>
                <w:color w:val="auto"/>
              </w:rPr>
              <w:t>0</w:t>
            </w:r>
          </w:p>
        </w:tc>
        <w:tc>
          <w:tcPr>
            <w:tcW w:w="280" w:type="dxa"/>
            <w:vAlign w:val="bottom"/>
          </w:tcPr>
          <w:p>
            <w:pPr>
              <w:spacing w:after="0"/>
              <w:rPr>
                <w:sz w:val="17"/>
                <w:szCs w:val="17"/>
                <w:color w:val="auto"/>
              </w:rPr>
            </w:pPr>
          </w:p>
        </w:tc>
      </w:tr>
      <w:tr>
        <w:trPr>
          <w:trHeight w:val="206"/>
        </w:trPr>
        <w:tc>
          <w:tcPr>
            <w:tcW w:w="1080" w:type="dxa"/>
            <w:vAlign w:val="bottom"/>
          </w:tcPr>
          <w:p>
            <w:pPr>
              <w:spacing w:after="0"/>
              <w:rPr>
                <w:sz w:val="17"/>
                <w:szCs w:val="17"/>
                <w:color w:val="auto"/>
              </w:rPr>
            </w:pPr>
          </w:p>
        </w:tc>
        <w:tc>
          <w:tcPr>
            <w:tcW w:w="2500" w:type="dxa"/>
            <w:vAlign w:val="bottom"/>
          </w:tcPr>
          <w:p>
            <w:pPr>
              <w:ind w:left="160"/>
              <w:spacing w:after="0"/>
              <w:rPr>
                <w:sz w:val="20"/>
                <w:szCs w:val="20"/>
                <w:color w:val="auto"/>
              </w:rPr>
            </w:pPr>
            <w:r>
              <w:rPr>
                <w:rFonts w:ascii="Arial" w:cs="Arial" w:eastAsia="Arial" w:hAnsi="Arial"/>
                <w:sz w:val="12"/>
                <w:szCs w:val="12"/>
                <w:b w:val="1"/>
                <w:bCs w:val="1"/>
                <w:color w:val="auto"/>
              </w:rPr>
              <w:t>Total</w:t>
            </w:r>
          </w:p>
        </w:tc>
        <w:tc>
          <w:tcPr>
            <w:tcW w:w="1240" w:type="dxa"/>
            <w:vAlign w:val="bottom"/>
            <w:gridSpan w:val="2"/>
          </w:tcPr>
          <w:p>
            <w:pPr>
              <w:jc w:val="right"/>
              <w:spacing w:after="0"/>
              <w:rPr>
                <w:sz w:val="20"/>
                <w:szCs w:val="20"/>
                <w:color w:val="auto"/>
              </w:rPr>
            </w:pPr>
            <w:r>
              <w:rPr>
                <w:rFonts w:ascii="Arial" w:cs="Arial" w:eastAsia="Arial" w:hAnsi="Arial"/>
                <w:sz w:val="12"/>
                <w:szCs w:val="12"/>
                <w:b w:val="1"/>
                <w:bCs w:val="1"/>
                <w:color w:val="auto"/>
              </w:rPr>
              <w:t>227,782,565</w:t>
            </w:r>
          </w:p>
        </w:tc>
        <w:tc>
          <w:tcPr>
            <w:tcW w:w="640" w:type="dxa"/>
            <w:vAlign w:val="bottom"/>
          </w:tcPr>
          <w:p>
            <w:pPr>
              <w:spacing w:after="0"/>
              <w:rPr>
                <w:sz w:val="17"/>
                <w:szCs w:val="17"/>
                <w:color w:val="auto"/>
              </w:rPr>
            </w:pPr>
          </w:p>
        </w:tc>
        <w:tc>
          <w:tcPr>
            <w:tcW w:w="700" w:type="dxa"/>
            <w:vAlign w:val="bottom"/>
          </w:tcPr>
          <w:p>
            <w:pPr>
              <w:jc w:val="right"/>
              <w:ind w:right="200"/>
              <w:spacing w:after="0"/>
              <w:rPr>
                <w:sz w:val="20"/>
                <w:szCs w:val="20"/>
                <w:color w:val="auto"/>
              </w:rPr>
            </w:pPr>
            <w:r>
              <w:rPr>
                <w:rFonts w:ascii="Arial" w:cs="Arial" w:eastAsia="Arial" w:hAnsi="Arial"/>
                <w:sz w:val="12"/>
                <w:szCs w:val="12"/>
                <w:b w:val="1"/>
                <w:bCs w:val="1"/>
                <w:color w:val="auto"/>
              </w:rPr>
              <w:t>588.26</w:t>
            </w:r>
          </w:p>
        </w:tc>
        <w:tc>
          <w:tcPr>
            <w:tcW w:w="900" w:type="dxa"/>
            <w:vAlign w:val="bottom"/>
          </w:tcPr>
          <w:p>
            <w:pPr>
              <w:ind w:left="280"/>
              <w:spacing w:after="0"/>
              <w:rPr>
                <w:sz w:val="20"/>
                <w:szCs w:val="20"/>
                <w:color w:val="auto"/>
              </w:rPr>
            </w:pPr>
            <w:r>
              <w:rPr>
                <w:rFonts w:ascii="Arial" w:cs="Arial" w:eastAsia="Arial" w:hAnsi="Arial"/>
                <w:sz w:val="12"/>
                <w:szCs w:val="12"/>
                <w:b w:val="1"/>
                <w:bCs w:val="1"/>
                <w:color w:val="auto"/>
              </w:rPr>
              <w:t>75,315</w:t>
            </w:r>
          </w:p>
        </w:tc>
        <w:tc>
          <w:tcPr>
            <w:tcW w:w="700" w:type="dxa"/>
            <w:vAlign w:val="bottom"/>
          </w:tcPr>
          <w:p>
            <w:pPr>
              <w:jc w:val="right"/>
              <w:ind w:right="60"/>
              <w:spacing w:after="0"/>
              <w:rPr>
                <w:sz w:val="20"/>
                <w:szCs w:val="20"/>
                <w:color w:val="auto"/>
              </w:rPr>
            </w:pPr>
            <w:r>
              <w:rPr>
                <w:rFonts w:ascii="Arial" w:cs="Arial" w:eastAsia="Arial" w:hAnsi="Arial"/>
                <w:sz w:val="12"/>
                <w:szCs w:val="12"/>
                <w:b w:val="1"/>
                <w:bCs w:val="1"/>
                <w:color w:val="auto"/>
              </w:rPr>
              <w:t>400,886</w:t>
            </w:r>
          </w:p>
        </w:tc>
        <w:tc>
          <w:tcPr>
            <w:tcW w:w="960" w:type="dxa"/>
            <w:vAlign w:val="bottom"/>
          </w:tcPr>
          <w:p>
            <w:pPr>
              <w:jc w:val="right"/>
              <w:ind w:right="100"/>
              <w:spacing w:after="0"/>
              <w:rPr>
                <w:sz w:val="20"/>
                <w:szCs w:val="20"/>
                <w:color w:val="auto"/>
              </w:rPr>
            </w:pPr>
            <w:r>
              <w:rPr>
                <w:rFonts w:ascii="Arial" w:cs="Arial" w:eastAsia="Arial" w:hAnsi="Arial"/>
                <w:sz w:val="12"/>
                <w:szCs w:val="12"/>
                <w:b w:val="1"/>
                <w:bCs w:val="1"/>
                <w:color w:val="auto"/>
              </w:rPr>
              <w:t>526,320,091</w:t>
            </w:r>
          </w:p>
        </w:tc>
        <w:tc>
          <w:tcPr>
            <w:tcW w:w="800" w:type="dxa"/>
            <w:vAlign w:val="bottom"/>
          </w:tcPr>
          <w:p>
            <w:pPr>
              <w:jc w:val="right"/>
              <w:ind w:right="100"/>
              <w:spacing w:after="0"/>
              <w:rPr>
                <w:sz w:val="20"/>
                <w:szCs w:val="20"/>
                <w:color w:val="auto"/>
              </w:rPr>
            </w:pPr>
            <w:r>
              <w:rPr>
                <w:rFonts w:ascii="Arial" w:cs="Arial" w:eastAsia="Arial" w:hAnsi="Arial"/>
                <w:sz w:val="12"/>
                <w:szCs w:val="12"/>
                <w:b w:val="1"/>
                <w:bCs w:val="1"/>
                <w:color w:val="auto"/>
              </w:rPr>
              <w:t>572.18</w:t>
            </w:r>
          </w:p>
        </w:tc>
        <w:tc>
          <w:tcPr>
            <w:tcW w:w="840" w:type="dxa"/>
            <w:vAlign w:val="bottom"/>
          </w:tcPr>
          <w:p>
            <w:pPr>
              <w:jc w:val="right"/>
              <w:ind w:right="140"/>
              <w:spacing w:after="0"/>
              <w:rPr>
                <w:sz w:val="20"/>
                <w:szCs w:val="20"/>
                <w:color w:val="auto"/>
              </w:rPr>
            </w:pPr>
            <w:r>
              <w:rPr>
                <w:rFonts w:ascii="Arial" w:cs="Arial" w:eastAsia="Arial" w:hAnsi="Arial"/>
                <w:sz w:val="12"/>
                <w:szCs w:val="12"/>
                <w:b w:val="1"/>
                <w:bCs w:val="1"/>
                <w:color w:val="auto"/>
              </w:rPr>
              <w:t>190,463</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1,0</w:t>
            </w:r>
          </w:p>
        </w:tc>
      </w:tr>
      <w:tr>
        <w:trPr>
          <w:trHeight w:val="367"/>
        </w:trPr>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80" w:type="dxa"/>
            <w:vAlign w:val="bottom"/>
            <w:gridSpan w:val="5"/>
          </w:tcPr>
          <w:p>
            <w:pPr>
              <w:spacing w:after="0"/>
              <w:rPr>
                <w:sz w:val="24"/>
                <w:szCs w:val="24"/>
                <w:color w:val="auto"/>
              </w:rPr>
            </w:pPr>
          </w:p>
        </w:tc>
        <w:tc>
          <w:tcPr>
            <w:tcW w:w="700" w:type="dxa"/>
            <w:vAlign w:val="bottom"/>
          </w:tcPr>
          <w:p>
            <w:pPr>
              <w:spacing w:after="0"/>
              <w:rPr>
                <w:sz w:val="24"/>
                <w:szCs w:val="24"/>
                <w:color w:val="auto"/>
              </w:rPr>
            </w:pPr>
          </w:p>
        </w:tc>
        <w:tc>
          <w:tcPr>
            <w:tcW w:w="2880" w:type="dxa"/>
            <w:vAlign w:val="bottom"/>
            <w:gridSpan w:val="4"/>
          </w:tcPr>
          <w:p>
            <w:pPr>
              <w:spacing w:after="0"/>
              <w:rPr>
                <w:sz w:val="24"/>
                <w:szCs w:val="24"/>
                <w:color w:val="auto"/>
              </w:rPr>
            </w:pPr>
          </w:p>
        </w:tc>
      </w:tr>
      <w:tr>
        <w:trPr>
          <w:trHeight w:val="180"/>
        </w:trPr>
        <w:tc>
          <w:tcPr>
            <w:tcW w:w="1080" w:type="dxa"/>
            <w:vAlign w:val="bottom"/>
          </w:tcPr>
          <w:p>
            <w:pPr>
              <w:spacing w:after="0"/>
              <w:rPr>
                <w:sz w:val="15"/>
                <w:szCs w:val="15"/>
                <w:color w:val="auto"/>
              </w:rPr>
            </w:pPr>
          </w:p>
        </w:tc>
        <w:tc>
          <w:tcPr>
            <w:tcW w:w="2500" w:type="dxa"/>
            <w:vAlign w:val="bottom"/>
            <w:shd w:val="clear" w:color="auto" w:fill="153A57"/>
          </w:tcPr>
          <w:p>
            <w:pPr>
              <w:spacing w:after="0"/>
              <w:rPr>
                <w:sz w:val="15"/>
                <w:szCs w:val="15"/>
                <w:color w:val="auto"/>
              </w:rPr>
            </w:pPr>
          </w:p>
        </w:tc>
        <w:tc>
          <w:tcPr>
            <w:tcW w:w="3480" w:type="dxa"/>
            <w:vAlign w:val="bottom"/>
            <w:gridSpan w:val="5"/>
            <w:shd w:val="clear" w:color="auto" w:fill="153A57"/>
          </w:tcPr>
          <w:p>
            <w:pPr>
              <w:ind w:left="400"/>
              <w:spacing w:after="0"/>
              <w:rPr>
                <w:sz w:val="20"/>
                <w:szCs w:val="20"/>
                <w:color w:val="auto"/>
              </w:rPr>
            </w:pPr>
            <w:r>
              <w:rPr>
                <w:rFonts w:ascii="Arial" w:cs="Arial" w:eastAsia="Arial" w:hAnsi="Arial"/>
                <w:sz w:val="12"/>
                <w:szCs w:val="12"/>
                <w:b w:val="1"/>
                <w:bCs w:val="1"/>
                <w:color w:val="FFFFFF"/>
              </w:rPr>
              <w:t>Total Mineral Reserves as at December 31, 2025</w:t>
            </w:r>
          </w:p>
        </w:tc>
        <w:tc>
          <w:tcPr>
            <w:tcW w:w="700" w:type="dxa"/>
            <w:vAlign w:val="bottom"/>
            <w:shd w:val="clear" w:color="auto" w:fill="153A57"/>
          </w:tcPr>
          <w:p>
            <w:pPr>
              <w:spacing w:after="0"/>
              <w:rPr>
                <w:sz w:val="15"/>
                <w:szCs w:val="15"/>
                <w:color w:val="auto"/>
              </w:rPr>
            </w:pPr>
          </w:p>
        </w:tc>
        <w:tc>
          <w:tcPr>
            <w:tcW w:w="2880" w:type="dxa"/>
            <w:vAlign w:val="bottom"/>
            <w:gridSpan w:val="4"/>
            <w:shd w:val="clear" w:color="auto" w:fill="153A57"/>
          </w:tcPr>
          <w:p>
            <w:pPr>
              <w:jc w:val="right"/>
              <w:spacing w:after="0"/>
              <w:rPr>
                <w:sz w:val="20"/>
                <w:szCs w:val="20"/>
                <w:color w:val="auto"/>
              </w:rPr>
            </w:pPr>
            <w:r>
              <w:rPr>
                <w:rFonts w:ascii="Arial" w:cs="Arial" w:eastAsia="Arial" w:hAnsi="Arial"/>
                <w:sz w:val="12"/>
                <w:szCs w:val="12"/>
                <w:b w:val="1"/>
                <w:bCs w:val="1"/>
                <w:color w:val="FFFFFF"/>
              </w:rPr>
              <w:t>Total Mineral Reserves as at December 31, 2025 f</w:t>
            </w:r>
          </w:p>
        </w:tc>
      </w:tr>
      <w:tr>
        <w:trPr>
          <w:trHeight w:val="206"/>
        </w:trPr>
        <w:tc>
          <w:tcPr>
            <w:tcW w:w="1080" w:type="dxa"/>
            <w:vAlign w:val="bottom"/>
          </w:tcPr>
          <w:p>
            <w:pPr>
              <w:spacing w:after="0"/>
              <w:rPr>
                <w:sz w:val="17"/>
                <w:szCs w:val="17"/>
                <w:color w:val="auto"/>
              </w:rPr>
            </w:pPr>
          </w:p>
        </w:tc>
        <w:tc>
          <w:tcPr>
            <w:tcW w:w="2500" w:type="dxa"/>
            <w:vAlign w:val="bottom"/>
            <w:shd w:val="clear" w:color="auto" w:fill="153A57"/>
          </w:tcPr>
          <w:p>
            <w:pPr>
              <w:spacing w:after="0"/>
              <w:rPr>
                <w:sz w:val="17"/>
                <w:szCs w:val="17"/>
                <w:color w:val="auto"/>
              </w:rPr>
            </w:pPr>
          </w:p>
        </w:tc>
        <w:tc>
          <w:tcPr>
            <w:tcW w:w="1120" w:type="dxa"/>
            <w:vAlign w:val="bottom"/>
            <w:shd w:val="clear" w:color="auto" w:fill="153A57"/>
          </w:tcPr>
          <w:p>
            <w:pPr>
              <w:jc w:val="center"/>
              <w:spacing w:after="0"/>
              <w:rPr>
                <w:sz w:val="20"/>
                <w:szCs w:val="20"/>
                <w:color w:val="auto"/>
              </w:rPr>
            </w:pPr>
            <w:r>
              <w:rPr>
                <w:rFonts w:ascii="Arial" w:cs="Arial" w:eastAsia="Arial" w:hAnsi="Arial"/>
                <w:sz w:val="12"/>
                <w:szCs w:val="12"/>
                <w:b w:val="1"/>
                <w:bCs w:val="1"/>
                <w:color w:val="FFFFFF"/>
                <w:w w:val="97"/>
              </w:rPr>
              <w:t>Brine</w:t>
            </w:r>
          </w:p>
        </w:tc>
        <w:tc>
          <w:tcPr>
            <w:tcW w:w="760" w:type="dxa"/>
            <w:vAlign w:val="bottom"/>
            <w:gridSpan w:val="2"/>
            <w:shd w:val="clear" w:color="auto" w:fill="153A57"/>
          </w:tcPr>
          <w:p>
            <w:pPr>
              <w:jc w:val="center"/>
              <w:spacing w:after="0"/>
              <w:rPr>
                <w:sz w:val="20"/>
                <w:szCs w:val="20"/>
                <w:color w:val="auto"/>
              </w:rPr>
            </w:pPr>
            <w:r>
              <w:rPr>
                <w:rFonts w:ascii="Arial" w:cs="Arial" w:eastAsia="Arial" w:hAnsi="Arial"/>
                <w:sz w:val="12"/>
                <w:szCs w:val="12"/>
                <w:b w:val="1"/>
                <w:bCs w:val="1"/>
                <w:color w:val="FFFFFF"/>
                <w:w w:val="98"/>
              </w:rPr>
              <w:t>Extracted</w:t>
            </w:r>
          </w:p>
        </w:tc>
        <w:tc>
          <w:tcPr>
            <w:tcW w:w="700" w:type="dxa"/>
            <w:vAlign w:val="bottom"/>
            <w:shd w:val="clear" w:color="auto" w:fill="153A57"/>
          </w:tcPr>
          <w:p>
            <w:pPr>
              <w:jc w:val="center"/>
              <w:spacing w:after="0"/>
              <w:rPr>
                <w:sz w:val="20"/>
                <w:szCs w:val="20"/>
                <w:color w:val="auto"/>
              </w:rPr>
            </w:pPr>
            <w:r>
              <w:rPr>
                <w:rFonts w:ascii="Arial" w:cs="Arial" w:eastAsia="Arial" w:hAnsi="Arial"/>
                <w:sz w:val="12"/>
                <w:szCs w:val="12"/>
                <w:b w:val="1"/>
                <w:bCs w:val="1"/>
                <w:color w:val="FFFFFF"/>
              </w:rPr>
              <w:t>Lithium</w:t>
            </w:r>
          </w:p>
        </w:tc>
        <w:tc>
          <w:tcPr>
            <w:tcW w:w="900" w:type="dxa"/>
            <w:vAlign w:val="bottom"/>
            <w:shd w:val="clear" w:color="auto" w:fill="153A57"/>
          </w:tcPr>
          <w:p>
            <w:pPr>
              <w:spacing w:after="0"/>
              <w:rPr>
                <w:sz w:val="17"/>
                <w:szCs w:val="17"/>
                <w:color w:val="auto"/>
              </w:rPr>
            </w:pPr>
          </w:p>
        </w:tc>
        <w:tc>
          <w:tcPr>
            <w:tcW w:w="700" w:type="dxa"/>
            <w:vAlign w:val="bottom"/>
            <w:shd w:val="clear" w:color="auto" w:fill="153A57"/>
          </w:tcPr>
          <w:p>
            <w:pPr>
              <w:jc w:val="center"/>
              <w:spacing w:after="0"/>
              <w:rPr>
                <w:sz w:val="20"/>
                <w:szCs w:val="20"/>
                <w:color w:val="auto"/>
              </w:rPr>
            </w:pPr>
            <w:r>
              <w:rPr>
                <w:rFonts w:ascii="Arial" w:cs="Arial" w:eastAsia="Arial" w:hAnsi="Arial"/>
                <w:sz w:val="12"/>
                <w:szCs w:val="12"/>
                <w:b w:val="1"/>
                <w:bCs w:val="1"/>
                <w:color w:val="FFFFFF"/>
              </w:rPr>
              <w:t>% Interest</w:t>
            </w:r>
          </w:p>
        </w:tc>
        <w:tc>
          <w:tcPr>
            <w:tcW w:w="960" w:type="dxa"/>
            <w:vAlign w:val="bottom"/>
            <w:shd w:val="clear" w:color="auto" w:fill="153A57"/>
          </w:tcPr>
          <w:p>
            <w:pPr>
              <w:jc w:val="center"/>
              <w:spacing w:after="0"/>
              <w:rPr>
                <w:sz w:val="20"/>
                <w:szCs w:val="20"/>
                <w:color w:val="auto"/>
              </w:rPr>
            </w:pPr>
            <w:r>
              <w:rPr>
                <w:rFonts w:ascii="Arial" w:cs="Arial" w:eastAsia="Arial" w:hAnsi="Arial"/>
                <w:sz w:val="12"/>
                <w:szCs w:val="12"/>
                <w:b w:val="1"/>
                <w:bCs w:val="1"/>
                <w:color w:val="FFFFFF"/>
                <w:w w:val="97"/>
              </w:rPr>
              <w:t>Brine</w:t>
            </w:r>
          </w:p>
        </w:tc>
        <w:tc>
          <w:tcPr>
            <w:tcW w:w="800" w:type="dxa"/>
            <w:vAlign w:val="bottom"/>
            <w:shd w:val="clear" w:color="auto" w:fill="153A57"/>
          </w:tcPr>
          <w:p>
            <w:pPr>
              <w:jc w:val="center"/>
              <w:spacing w:after="0"/>
              <w:rPr>
                <w:sz w:val="20"/>
                <w:szCs w:val="20"/>
                <w:color w:val="auto"/>
              </w:rPr>
            </w:pPr>
            <w:r>
              <w:rPr>
                <w:rFonts w:ascii="Arial" w:cs="Arial" w:eastAsia="Arial" w:hAnsi="Arial"/>
                <w:sz w:val="12"/>
                <w:szCs w:val="12"/>
                <w:b w:val="1"/>
                <w:bCs w:val="1"/>
                <w:color w:val="FFFFFF"/>
              </w:rPr>
              <w:t>Extracted</w:t>
            </w:r>
          </w:p>
        </w:tc>
        <w:tc>
          <w:tcPr>
            <w:tcW w:w="840" w:type="dxa"/>
            <w:vAlign w:val="bottom"/>
            <w:shd w:val="clear" w:color="auto" w:fill="153A57"/>
          </w:tcPr>
          <w:p>
            <w:pPr>
              <w:jc w:val="center"/>
              <w:ind w:right="60"/>
              <w:spacing w:after="0"/>
              <w:rPr>
                <w:sz w:val="20"/>
                <w:szCs w:val="20"/>
                <w:color w:val="auto"/>
              </w:rPr>
            </w:pPr>
            <w:r>
              <w:rPr>
                <w:rFonts w:ascii="Arial" w:cs="Arial" w:eastAsia="Arial" w:hAnsi="Arial"/>
                <w:sz w:val="12"/>
                <w:szCs w:val="12"/>
                <w:b w:val="1"/>
                <w:bCs w:val="1"/>
                <w:color w:val="FFFFFF"/>
              </w:rPr>
              <w:t>Lithium</w:t>
            </w:r>
          </w:p>
        </w:tc>
        <w:tc>
          <w:tcPr>
            <w:tcW w:w="280" w:type="dxa"/>
            <w:vAlign w:val="bottom"/>
            <w:shd w:val="clear" w:color="auto" w:fill="153A57"/>
          </w:tcPr>
          <w:p>
            <w:pPr>
              <w:spacing w:after="0"/>
              <w:rPr>
                <w:sz w:val="17"/>
                <w:szCs w:val="17"/>
                <w:color w:val="auto"/>
              </w:rPr>
            </w:pPr>
          </w:p>
        </w:tc>
      </w:tr>
      <w:tr>
        <w:trPr>
          <w:trHeight w:val="197"/>
        </w:trPr>
        <w:tc>
          <w:tcPr>
            <w:tcW w:w="1080" w:type="dxa"/>
            <w:vAlign w:val="bottom"/>
          </w:tcPr>
          <w:p>
            <w:pPr>
              <w:spacing w:after="0"/>
              <w:rPr>
                <w:sz w:val="17"/>
                <w:szCs w:val="17"/>
                <w:color w:val="auto"/>
              </w:rPr>
            </w:pPr>
          </w:p>
        </w:tc>
        <w:tc>
          <w:tcPr>
            <w:tcW w:w="2500" w:type="dxa"/>
            <w:vAlign w:val="bottom"/>
            <w:tcBorders>
              <w:bottom w:val="single" w:sz="8" w:color="153A57"/>
            </w:tcBorders>
            <w:shd w:val="clear" w:color="auto" w:fill="153A57"/>
          </w:tcPr>
          <w:p>
            <w:pPr>
              <w:spacing w:after="0"/>
              <w:rPr>
                <w:sz w:val="17"/>
                <w:szCs w:val="17"/>
                <w:color w:val="auto"/>
              </w:rPr>
            </w:pPr>
          </w:p>
        </w:tc>
        <w:tc>
          <w:tcPr>
            <w:tcW w:w="1120" w:type="dxa"/>
            <w:vAlign w:val="bottom"/>
            <w:tcBorders>
              <w:bottom w:val="single" w:sz="8" w:color="153A57"/>
            </w:tcBorders>
            <w:shd w:val="clear" w:color="auto" w:fill="153A57"/>
          </w:tcPr>
          <w:p>
            <w:pPr>
              <w:jc w:val="center"/>
              <w:spacing w:after="0"/>
              <w:rPr>
                <w:sz w:val="20"/>
                <w:szCs w:val="20"/>
                <w:color w:val="auto"/>
              </w:rPr>
            </w:pPr>
            <w:r>
              <w:rPr>
                <w:rFonts w:ascii="Arial" w:cs="Arial" w:eastAsia="Arial" w:hAnsi="Arial"/>
                <w:sz w:val="12"/>
                <w:szCs w:val="12"/>
                <w:b w:val="1"/>
                <w:bCs w:val="1"/>
                <w:color w:val="FFFFFF"/>
                <w:w w:val="98"/>
              </w:rPr>
              <w:t>pumped</w:t>
            </w:r>
          </w:p>
        </w:tc>
        <w:tc>
          <w:tcPr>
            <w:tcW w:w="120" w:type="dxa"/>
            <w:vAlign w:val="bottom"/>
            <w:tcBorders>
              <w:bottom w:val="single" w:sz="8" w:color="153A57"/>
            </w:tcBorders>
            <w:shd w:val="clear" w:color="auto" w:fill="153A57"/>
          </w:tcPr>
          <w:p>
            <w:pPr>
              <w:spacing w:after="0"/>
              <w:rPr>
                <w:sz w:val="17"/>
                <w:szCs w:val="17"/>
                <w:color w:val="auto"/>
              </w:rPr>
            </w:pPr>
          </w:p>
        </w:tc>
        <w:tc>
          <w:tcPr>
            <w:tcW w:w="640" w:type="dxa"/>
            <w:vAlign w:val="bottom"/>
            <w:tcBorders>
              <w:bottom w:val="single" w:sz="8" w:color="153A57"/>
            </w:tcBorders>
            <w:shd w:val="clear" w:color="auto" w:fill="153A57"/>
          </w:tcPr>
          <w:p>
            <w:pPr>
              <w:jc w:val="center"/>
              <w:ind w:right="120"/>
              <w:spacing w:after="0"/>
              <w:rPr>
                <w:sz w:val="20"/>
                <w:szCs w:val="20"/>
                <w:color w:val="auto"/>
              </w:rPr>
            </w:pPr>
            <w:r>
              <w:rPr>
                <w:rFonts w:ascii="Arial" w:cs="Arial" w:eastAsia="Arial" w:hAnsi="Arial"/>
                <w:sz w:val="12"/>
                <w:szCs w:val="12"/>
                <w:b w:val="1"/>
                <w:bCs w:val="1"/>
                <w:color w:val="FFFFFF"/>
                <w:w w:val="97"/>
              </w:rPr>
              <w:t>Grade</w:t>
            </w:r>
          </w:p>
        </w:tc>
        <w:tc>
          <w:tcPr>
            <w:tcW w:w="700" w:type="dxa"/>
            <w:vAlign w:val="bottom"/>
            <w:tcBorders>
              <w:bottom w:val="single" w:sz="8" w:color="153A57"/>
            </w:tcBorders>
            <w:shd w:val="clear" w:color="auto" w:fill="153A57"/>
          </w:tcPr>
          <w:p>
            <w:pPr>
              <w:jc w:val="center"/>
              <w:spacing w:after="0"/>
              <w:rPr>
                <w:sz w:val="20"/>
                <w:szCs w:val="20"/>
                <w:color w:val="auto"/>
              </w:rPr>
            </w:pPr>
            <w:r>
              <w:rPr>
                <w:rFonts w:ascii="Arial" w:cs="Arial" w:eastAsia="Arial" w:hAnsi="Arial"/>
                <w:sz w:val="12"/>
                <w:szCs w:val="12"/>
                <w:b w:val="1"/>
                <w:bCs w:val="1"/>
                <w:color w:val="FFFFFF"/>
              </w:rPr>
              <w:t>metal</w:t>
            </w:r>
          </w:p>
        </w:tc>
        <w:tc>
          <w:tcPr>
            <w:tcW w:w="900" w:type="dxa"/>
            <w:vAlign w:val="bottom"/>
            <w:tcBorders>
              <w:bottom w:val="single" w:sz="8" w:color="153A57"/>
            </w:tcBorders>
            <w:shd w:val="clear" w:color="auto" w:fill="153A57"/>
          </w:tcPr>
          <w:p>
            <w:pPr>
              <w:ind w:left="340"/>
              <w:spacing w:after="0"/>
              <w:rPr>
                <w:sz w:val="20"/>
                <w:szCs w:val="20"/>
                <w:color w:val="auto"/>
              </w:rPr>
            </w:pPr>
            <w:r>
              <w:rPr>
                <w:rFonts w:ascii="Arial" w:cs="Arial" w:eastAsia="Arial" w:hAnsi="Arial"/>
                <w:sz w:val="12"/>
                <w:szCs w:val="12"/>
                <w:b w:val="1"/>
                <w:bCs w:val="1"/>
                <w:color w:val="FFFFFF"/>
              </w:rPr>
              <w:t>LCE</w:t>
            </w:r>
          </w:p>
        </w:tc>
        <w:tc>
          <w:tcPr>
            <w:tcW w:w="700" w:type="dxa"/>
            <w:vAlign w:val="bottom"/>
            <w:tcBorders>
              <w:bottom w:val="single" w:sz="8" w:color="153A57"/>
            </w:tcBorders>
            <w:shd w:val="clear" w:color="auto" w:fill="153A57"/>
          </w:tcPr>
          <w:p>
            <w:pPr>
              <w:jc w:val="center"/>
              <w:spacing w:after="0"/>
              <w:rPr>
                <w:sz w:val="20"/>
                <w:szCs w:val="20"/>
                <w:color w:val="auto"/>
              </w:rPr>
            </w:pPr>
            <w:r>
              <w:rPr>
                <w:rFonts w:ascii="Arial" w:cs="Arial" w:eastAsia="Arial" w:hAnsi="Arial"/>
                <w:sz w:val="12"/>
                <w:szCs w:val="12"/>
                <w:b w:val="1"/>
                <w:bCs w:val="1"/>
                <w:color w:val="FFFFFF"/>
                <w:w w:val="97"/>
              </w:rPr>
              <w:t>LAR</w:t>
            </w:r>
          </w:p>
        </w:tc>
        <w:tc>
          <w:tcPr>
            <w:tcW w:w="960" w:type="dxa"/>
            <w:vAlign w:val="bottom"/>
            <w:tcBorders>
              <w:bottom w:val="single" w:sz="8" w:color="153A57"/>
            </w:tcBorders>
            <w:shd w:val="clear" w:color="auto" w:fill="153A57"/>
          </w:tcPr>
          <w:p>
            <w:pPr>
              <w:jc w:val="center"/>
              <w:spacing w:after="0"/>
              <w:rPr>
                <w:sz w:val="20"/>
                <w:szCs w:val="20"/>
                <w:color w:val="auto"/>
              </w:rPr>
            </w:pPr>
            <w:r>
              <w:rPr>
                <w:rFonts w:ascii="Arial" w:cs="Arial" w:eastAsia="Arial" w:hAnsi="Arial"/>
                <w:sz w:val="12"/>
                <w:szCs w:val="12"/>
                <w:b w:val="1"/>
                <w:bCs w:val="1"/>
                <w:color w:val="FFFFFF"/>
                <w:w w:val="98"/>
              </w:rPr>
              <w:t>pumped</w:t>
            </w:r>
          </w:p>
        </w:tc>
        <w:tc>
          <w:tcPr>
            <w:tcW w:w="800" w:type="dxa"/>
            <w:vAlign w:val="bottom"/>
            <w:tcBorders>
              <w:bottom w:val="single" w:sz="8" w:color="153A57"/>
            </w:tcBorders>
            <w:shd w:val="clear" w:color="auto" w:fill="153A57"/>
          </w:tcPr>
          <w:p>
            <w:pPr>
              <w:jc w:val="center"/>
              <w:spacing w:after="0"/>
              <w:rPr>
                <w:sz w:val="20"/>
                <w:szCs w:val="20"/>
                <w:color w:val="auto"/>
              </w:rPr>
            </w:pPr>
            <w:r>
              <w:rPr>
                <w:rFonts w:ascii="Arial" w:cs="Arial" w:eastAsia="Arial" w:hAnsi="Arial"/>
                <w:sz w:val="12"/>
                <w:szCs w:val="12"/>
                <w:b w:val="1"/>
                <w:bCs w:val="1"/>
                <w:color w:val="FFFFFF"/>
              </w:rPr>
              <w:t>Grade</w:t>
            </w:r>
          </w:p>
        </w:tc>
        <w:tc>
          <w:tcPr>
            <w:tcW w:w="840" w:type="dxa"/>
            <w:vAlign w:val="bottom"/>
            <w:tcBorders>
              <w:bottom w:val="single" w:sz="8" w:color="153A57"/>
            </w:tcBorders>
            <w:shd w:val="clear" w:color="auto" w:fill="153A57"/>
          </w:tcPr>
          <w:p>
            <w:pPr>
              <w:jc w:val="center"/>
              <w:ind w:right="60"/>
              <w:spacing w:after="0"/>
              <w:rPr>
                <w:sz w:val="20"/>
                <w:szCs w:val="20"/>
                <w:color w:val="auto"/>
              </w:rPr>
            </w:pPr>
            <w:r>
              <w:rPr>
                <w:rFonts w:ascii="Arial" w:cs="Arial" w:eastAsia="Arial" w:hAnsi="Arial"/>
                <w:sz w:val="12"/>
                <w:szCs w:val="12"/>
                <w:b w:val="1"/>
                <w:bCs w:val="1"/>
                <w:color w:val="FFFFFF"/>
              </w:rPr>
              <w:t>metal</w:t>
            </w:r>
          </w:p>
        </w:tc>
        <w:tc>
          <w:tcPr>
            <w:tcW w:w="280" w:type="dxa"/>
            <w:vAlign w:val="bottom"/>
            <w:tcBorders>
              <w:bottom w:val="single" w:sz="8" w:color="153A57"/>
            </w:tcBorders>
            <w:shd w:val="clear" w:color="auto" w:fill="153A57"/>
          </w:tcPr>
          <w:p>
            <w:pPr>
              <w:jc w:val="right"/>
              <w:spacing w:after="0"/>
              <w:rPr>
                <w:sz w:val="20"/>
                <w:szCs w:val="20"/>
                <w:color w:val="auto"/>
              </w:rPr>
            </w:pPr>
            <w:r>
              <w:rPr>
                <w:rFonts w:ascii="Arial" w:cs="Arial" w:eastAsia="Arial" w:hAnsi="Arial"/>
                <w:sz w:val="12"/>
                <w:szCs w:val="12"/>
                <w:b w:val="1"/>
                <w:bCs w:val="1"/>
                <w:color w:val="FFFFFF"/>
              </w:rPr>
              <w:t>L</w:t>
            </w:r>
          </w:p>
        </w:tc>
      </w:tr>
      <w:tr>
        <w:trPr>
          <w:trHeight w:val="170"/>
        </w:trPr>
        <w:tc>
          <w:tcPr>
            <w:tcW w:w="1080" w:type="dxa"/>
            <w:vAlign w:val="bottom"/>
          </w:tcPr>
          <w:p>
            <w:pPr>
              <w:spacing w:after="0"/>
              <w:rPr>
                <w:sz w:val="14"/>
                <w:szCs w:val="14"/>
                <w:color w:val="auto"/>
              </w:rPr>
            </w:pPr>
          </w:p>
        </w:tc>
        <w:tc>
          <w:tcPr>
            <w:tcW w:w="2500" w:type="dxa"/>
            <w:vAlign w:val="bottom"/>
          </w:tcPr>
          <w:p>
            <w:pPr>
              <w:ind w:left="160"/>
              <w:spacing w:after="0"/>
              <w:rPr>
                <w:sz w:val="20"/>
                <w:szCs w:val="20"/>
                <w:color w:val="auto"/>
              </w:rPr>
            </w:pPr>
            <w:r>
              <w:rPr>
                <w:rFonts w:ascii="Arial" w:cs="Arial" w:eastAsia="Arial" w:hAnsi="Arial"/>
                <w:sz w:val="12"/>
                <w:szCs w:val="12"/>
                <w:color w:val="auto"/>
              </w:rPr>
              <w:t>Project</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m3</w:t>
            </w:r>
          </w:p>
        </w:tc>
        <w:tc>
          <w:tcPr>
            <w:tcW w:w="120" w:type="dxa"/>
            <w:vAlign w:val="bottom"/>
          </w:tcPr>
          <w:p>
            <w:pPr>
              <w:spacing w:after="0"/>
              <w:rPr>
                <w:sz w:val="14"/>
                <w:szCs w:val="14"/>
                <w:color w:val="auto"/>
              </w:rPr>
            </w:pPr>
          </w:p>
        </w:tc>
        <w:tc>
          <w:tcPr>
            <w:tcW w:w="640" w:type="dxa"/>
            <w:vAlign w:val="bottom"/>
          </w:tcPr>
          <w:p>
            <w:pPr>
              <w:jc w:val="center"/>
              <w:ind w:right="120"/>
              <w:spacing w:after="0"/>
              <w:rPr>
                <w:sz w:val="20"/>
                <w:szCs w:val="20"/>
                <w:color w:val="auto"/>
              </w:rPr>
            </w:pPr>
            <w:r>
              <w:rPr>
                <w:rFonts w:ascii="Arial" w:cs="Arial" w:eastAsia="Arial" w:hAnsi="Arial"/>
                <w:sz w:val="12"/>
                <w:szCs w:val="12"/>
                <w:b w:val="1"/>
                <w:bCs w:val="1"/>
                <w:color w:val="auto"/>
                <w:w w:val="98"/>
              </w:rPr>
              <w:t>mg/L Li</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8"/>
              </w:rPr>
              <w:t>t</w:t>
            </w:r>
          </w:p>
        </w:tc>
        <w:tc>
          <w:tcPr>
            <w:tcW w:w="900" w:type="dxa"/>
            <w:vAlign w:val="bottom"/>
          </w:tcPr>
          <w:p>
            <w:pPr>
              <w:ind w:left="440"/>
              <w:spacing w:after="0"/>
              <w:rPr>
                <w:sz w:val="20"/>
                <w:szCs w:val="20"/>
                <w:color w:val="auto"/>
              </w:rPr>
            </w:pPr>
            <w:r>
              <w:rPr>
                <w:rFonts w:ascii="Arial" w:cs="Arial" w:eastAsia="Arial" w:hAnsi="Arial"/>
                <w:sz w:val="12"/>
                <w:szCs w:val="12"/>
                <w:b w:val="1"/>
                <w:bCs w:val="1"/>
                <w:color w:val="auto"/>
              </w:rPr>
              <w:t>t</w:t>
            </w:r>
          </w:p>
        </w:tc>
        <w:tc>
          <w:tcPr>
            <w:tcW w:w="7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rPr>
              <w:t>m3</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mg/L Li</w:t>
            </w:r>
          </w:p>
        </w:tc>
        <w:tc>
          <w:tcPr>
            <w:tcW w:w="840" w:type="dxa"/>
            <w:vAlign w:val="bottom"/>
          </w:tcPr>
          <w:p>
            <w:pPr>
              <w:jc w:val="center"/>
              <w:ind w:right="60"/>
              <w:spacing w:after="0"/>
              <w:rPr>
                <w:sz w:val="20"/>
                <w:szCs w:val="20"/>
                <w:color w:val="auto"/>
              </w:rPr>
            </w:pPr>
            <w:r>
              <w:rPr>
                <w:rFonts w:ascii="Arial" w:cs="Arial" w:eastAsia="Arial" w:hAnsi="Arial"/>
                <w:sz w:val="12"/>
                <w:szCs w:val="12"/>
                <w:b w:val="1"/>
                <w:bCs w:val="1"/>
                <w:color w:val="auto"/>
                <w:w w:val="98"/>
              </w:rPr>
              <w:t>t</w:t>
            </w:r>
          </w:p>
        </w:tc>
        <w:tc>
          <w:tcPr>
            <w:tcW w:w="280" w:type="dxa"/>
            <w:vAlign w:val="bottom"/>
          </w:tcPr>
          <w:p>
            <w:pPr>
              <w:spacing w:after="0"/>
              <w:rPr>
                <w:sz w:val="14"/>
                <w:szCs w:val="14"/>
                <w:color w:val="auto"/>
              </w:rPr>
            </w:pPr>
          </w:p>
        </w:tc>
      </w:tr>
      <w:tr>
        <w:trPr>
          <w:trHeight w:val="206"/>
        </w:trPr>
        <w:tc>
          <w:tcPr>
            <w:tcW w:w="1080" w:type="dxa"/>
            <w:vAlign w:val="bottom"/>
          </w:tcPr>
          <w:p>
            <w:pPr>
              <w:spacing w:after="0"/>
              <w:rPr>
                <w:sz w:val="17"/>
                <w:szCs w:val="17"/>
                <w:color w:val="auto"/>
              </w:rPr>
            </w:pPr>
          </w:p>
        </w:tc>
        <w:tc>
          <w:tcPr>
            <w:tcW w:w="2500" w:type="dxa"/>
            <w:vAlign w:val="bottom"/>
          </w:tcPr>
          <w:p>
            <w:pPr>
              <w:ind w:left="160"/>
              <w:spacing w:after="0"/>
              <w:rPr>
                <w:sz w:val="20"/>
                <w:szCs w:val="20"/>
                <w:color w:val="auto"/>
              </w:rPr>
            </w:pPr>
            <w:r>
              <w:rPr>
                <w:rFonts w:ascii="Arial" w:cs="Arial" w:eastAsia="Arial" w:hAnsi="Arial"/>
                <w:sz w:val="12"/>
                <w:szCs w:val="12"/>
                <w:color w:val="auto"/>
              </w:rPr>
              <w:t>Cauchari-Olaroz (Argentina)</w:t>
            </w:r>
          </w:p>
        </w:tc>
        <w:tc>
          <w:tcPr>
            <w:tcW w:w="1120" w:type="dxa"/>
            <w:vAlign w:val="bottom"/>
          </w:tcPr>
          <w:p>
            <w:pPr>
              <w:jc w:val="center"/>
              <w:ind w:left="220"/>
              <w:spacing w:after="0"/>
              <w:rPr>
                <w:sz w:val="20"/>
                <w:szCs w:val="20"/>
                <w:color w:val="auto"/>
              </w:rPr>
            </w:pPr>
            <w:r>
              <w:rPr>
                <w:rFonts w:ascii="Arial" w:cs="Arial" w:eastAsia="Arial" w:hAnsi="Arial"/>
                <w:sz w:val="12"/>
                <w:szCs w:val="12"/>
                <w:color w:val="auto"/>
              </w:rPr>
              <w:t>754,102,655</w:t>
            </w:r>
          </w:p>
        </w:tc>
        <w:tc>
          <w:tcPr>
            <w:tcW w:w="120" w:type="dxa"/>
            <w:vAlign w:val="bottom"/>
          </w:tcPr>
          <w:p>
            <w:pPr>
              <w:spacing w:after="0"/>
              <w:rPr>
                <w:sz w:val="17"/>
                <w:szCs w:val="17"/>
                <w:color w:val="auto"/>
              </w:rPr>
            </w:pPr>
          </w:p>
        </w:tc>
        <w:tc>
          <w:tcPr>
            <w:tcW w:w="640" w:type="dxa"/>
            <w:vAlign w:val="bottom"/>
          </w:tcPr>
          <w:p>
            <w:pPr>
              <w:jc w:val="right"/>
              <w:ind w:right="20"/>
              <w:spacing w:after="0"/>
              <w:rPr>
                <w:sz w:val="20"/>
                <w:szCs w:val="20"/>
                <w:color w:val="auto"/>
              </w:rPr>
            </w:pPr>
            <w:r>
              <w:rPr>
                <w:rFonts w:ascii="Arial" w:cs="Arial" w:eastAsia="Arial" w:hAnsi="Arial"/>
                <w:sz w:val="12"/>
                <w:szCs w:val="12"/>
                <w:color w:val="auto"/>
              </w:rPr>
              <w:t>580</w:t>
            </w:r>
          </w:p>
        </w:tc>
        <w:tc>
          <w:tcPr>
            <w:tcW w:w="700" w:type="dxa"/>
            <w:vAlign w:val="bottom"/>
          </w:tcPr>
          <w:p>
            <w:pPr>
              <w:jc w:val="right"/>
              <w:spacing w:after="0"/>
              <w:rPr>
                <w:sz w:val="20"/>
                <w:szCs w:val="20"/>
                <w:color w:val="auto"/>
              </w:rPr>
            </w:pPr>
            <w:r>
              <w:rPr>
                <w:rFonts w:ascii="Arial" w:cs="Arial" w:eastAsia="Arial" w:hAnsi="Arial"/>
                <w:sz w:val="12"/>
                <w:szCs w:val="12"/>
                <w:color w:val="auto"/>
              </w:rPr>
              <w:t>265,779</w:t>
            </w:r>
          </w:p>
        </w:tc>
        <w:tc>
          <w:tcPr>
            <w:tcW w:w="900" w:type="dxa"/>
            <w:vAlign w:val="bottom"/>
          </w:tcPr>
          <w:p>
            <w:pPr>
              <w:ind w:left="280"/>
              <w:spacing w:after="0"/>
              <w:rPr>
                <w:sz w:val="20"/>
                <w:szCs w:val="20"/>
                <w:color w:val="auto"/>
              </w:rPr>
            </w:pPr>
            <w:r>
              <w:rPr>
                <w:rFonts w:ascii="Arial" w:cs="Arial" w:eastAsia="Arial" w:hAnsi="Arial"/>
                <w:sz w:val="12"/>
                <w:szCs w:val="12"/>
                <w:color w:val="auto"/>
              </w:rPr>
              <w:t>1,414,682</w:t>
            </w:r>
          </w:p>
        </w:tc>
        <w:tc>
          <w:tcPr>
            <w:tcW w:w="700" w:type="dxa"/>
            <w:vAlign w:val="bottom"/>
          </w:tcPr>
          <w:p>
            <w:pPr>
              <w:jc w:val="center"/>
              <w:spacing w:after="0"/>
              <w:rPr>
                <w:sz w:val="20"/>
                <w:szCs w:val="20"/>
                <w:color w:val="auto"/>
              </w:rPr>
            </w:pPr>
            <w:r>
              <w:rPr>
                <w:rFonts w:ascii="Arial" w:cs="Arial" w:eastAsia="Arial" w:hAnsi="Arial"/>
                <w:sz w:val="12"/>
                <w:szCs w:val="12"/>
                <w:color w:val="auto"/>
                <w:w w:val="99"/>
              </w:rPr>
              <w:t>44.8%</w:t>
            </w:r>
          </w:p>
        </w:tc>
        <w:tc>
          <w:tcPr>
            <w:tcW w:w="960" w:type="dxa"/>
            <w:vAlign w:val="bottom"/>
          </w:tcPr>
          <w:p>
            <w:pPr>
              <w:jc w:val="right"/>
              <w:spacing w:after="0"/>
              <w:rPr>
                <w:sz w:val="20"/>
                <w:szCs w:val="20"/>
                <w:color w:val="auto"/>
              </w:rPr>
            </w:pPr>
            <w:r>
              <w:rPr>
                <w:rFonts w:ascii="Arial" w:cs="Arial" w:eastAsia="Arial" w:hAnsi="Arial"/>
                <w:sz w:val="12"/>
                <w:szCs w:val="12"/>
                <w:color w:val="auto"/>
              </w:rPr>
              <w:t>337,837,989</w:t>
            </w:r>
          </w:p>
        </w:tc>
        <w:tc>
          <w:tcPr>
            <w:tcW w:w="800" w:type="dxa"/>
            <w:vAlign w:val="bottom"/>
          </w:tcPr>
          <w:p>
            <w:pPr>
              <w:jc w:val="right"/>
              <w:ind w:right="20"/>
              <w:spacing w:after="0"/>
              <w:rPr>
                <w:sz w:val="20"/>
                <w:szCs w:val="20"/>
                <w:color w:val="auto"/>
              </w:rPr>
            </w:pPr>
            <w:r>
              <w:rPr>
                <w:rFonts w:ascii="Arial" w:cs="Arial" w:eastAsia="Arial" w:hAnsi="Arial"/>
                <w:sz w:val="12"/>
                <w:szCs w:val="12"/>
                <w:color w:val="auto"/>
              </w:rPr>
              <w:t>580</w:t>
            </w: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119,069</w:t>
            </w:r>
          </w:p>
        </w:tc>
        <w:tc>
          <w:tcPr>
            <w:tcW w:w="28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206"/>
        </w:trPr>
        <w:tc>
          <w:tcPr>
            <w:tcW w:w="1080" w:type="dxa"/>
            <w:vAlign w:val="bottom"/>
          </w:tcPr>
          <w:p>
            <w:pPr>
              <w:spacing w:after="0"/>
              <w:rPr>
                <w:sz w:val="17"/>
                <w:szCs w:val="17"/>
                <w:color w:val="auto"/>
              </w:rPr>
            </w:pPr>
          </w:p>
        </w:tc>
        <w:tc>
          <w:tcPr>
            <w:tcW w:w="2500" w:type="dxa"/>
            <w:vAlign w:val="bottom"/>
          </w:tcPr>
          <w:p>
            <w:pPr>
              <w:ind w:left="160"/>
              <w:spacing w:after="0"/>
              <w:rPr>
                <w:sz w:val="20"/>
                <w:szCs w:val="20"/>
                <w:color w:val="auto"/>
              </w:rPr>
            </w:pPr>
            <w:r>
              <w:rPr>
                <w:rFonts w:ascii="Arial" w:cs="Arial" w:eastAsia="Arial" w:hAnsi="Arial"/>
                <w:sz w:val="12"/>
                <w:szCs w:val="12"/>
                <w:color w:val="auto"/>
              </w:rPr>
              <w:t>Pozuelos-Pastos Grandes (Argentina)</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9"/>
              </w:rPr>
              <w:t>33.0%</w:t>
            </w: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6"/>
        </w:trPr>
        <w:tc>
          <w:tcPr>
            <w:tcW w:w="1080" w:type="dxa"/>
            <w:vAlign w:val="bottom"/>
          </w:tcPr>
          <w:p>
            <w:pPr>
              <w:spacing w:after="0"/>
              <w:rPr>
                <w:sz w:val="17"/>
                <w:szCs w:val="17"/>
                <w:color w:val="auto"/>
              </w:rPr>
            </w:pPr>
          </w:p>
        </w:tc>
        <w:tc>
          <w:tcPr>
            <w:tcW w:w="2500" w:type="dxa"/>
            <w:vAlign w:val="bottom"/>
          </w:tcPr>
          <w:p>
            <w:pPr>
              <w:ind w:left="160"/>
              <w:spacing w:after="0"/>
              <w:rPr>
                <w:sz w:val="20"/>
                <w:szCs w:val="20"/>
                <w:color w:val="auto"/>
              </w:rPr>
            </w:pPr>
            <w:r>
              <w:rPr>
                <w:rFonts w:ascii="Arial" w:cs="Arial" w:eastAsia="Arial" w:hAnsi="Arial"/>
                <w:sz w:val="12"/>
                <w:szCs w:val="12"/>
                <w:b w:val="1"/>
                <w:bCs w:val="1"/>
                <w:color w:val="auto"/>
              </w:rPr>
              <w:t>Total</w:t>
            </w:r>
          </w:p>
        </w:tc>
        <w:tc>
          <w:tcPr>
            <w:tcW w:w="1120" w:type="dxa"/>
            <w:vAlign w:val="bottom"/>
          </w:tcPr>
          <w:p>
            <w:pPr>
              <w:jc w:val="center"/>
              <w:ind w:left="220"/>
              <w:spacing w:after="0"/>
              <w:rPr>
                <w:sz w:val="20"/>
                <w:szCs w:val="20"/>
                <w:color w:val="auto"/>
              </w:rPr>
            </w:pPr>
            <w:r>
              <w:rPr>
                <w:rFonts w:ascii="Arial" w:cs="Arial" w:eastAsia="Arial" w:hAnsi="Arial"/>
                <w:sz w:val="12"/>
                <w:szCs w:val="12"/>
                <w:b w:val="1"/>
                <w:bCs w:val="1"/>
                <w:color w:val="auto"/>
              </w:rPr>
              <w:t>754,102,655</w:t>
            </w:r>
          </w:p>
        </w:tc>
        <w:tc>
          <w:tcPr>
            <w:tcW w:w="120" w:type="dxa"/>
            <w:vAlign w:val="bottom"/>
          </w:tcPr>
          <w:p>
            <w:pPr>
              <w:spacing w:after="0"/>
              <w:rPr>
                <w:sz w:val="17"/>
                <w:szCs w:val="17"/>
                <w:color w:val="auto"/>
              </w:rPr>
            </w:pPr>
          </w:p>
        </w:tc>
        <w:tc>
          <w:tcPr>
            <w:tcW w:w="640" w:type="dxa"/>
            <w:vAlign w:val="bottom"/>
          </w:tcPr>
          <w:p>
            <w:pPr>
              <w:jc w:val="right"/>
              <w:ind w:right="20"/>
              <w:spacing w:after="0"/>
              <w:rPr>
                <w:sz w:val="20"/>
                <w:szCs w:val="20"/>
                <w:color w:val="auto"/>
              </w:rPr>
            </w:pPr>
            <w:r>
              <w:rPr>
                <w:rFonts w:ascii="Arial" w:cs="Arial" w:eastAsia="Arial" w:hAnsi="Arial"/>
                <w:sz w:val="12"/>
                <w:szCs w:val="12"/>
                <w:b w:val="1"/>
                <w:bCs w:val="1"/>
                <w:color w:val="auto"/>
              </w:rPr>
              <w:t>580</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265,779</w:t>
            </w:r>
          </w:p>
        </w:tc>
        <w:tc>
          <w:tcPr>
            <w:tcW w:w="900" w:type="dxa"/>
            <w:vAlign w:val="bottom"/>
          </w:tcPr>
          <w:p>
            <w:pPr>
              <w:ind w:left="280"/>
              <w:spacing w:after="0"/>
              <w:rPr>
                <w:sz w:val="20"/>
                <w:szCs w:val="20"/>
                <w:color w:val="auto"/>
              </w:rPr>
            </w:pPr>
            <w:r>
              <w:rPr>
                <w:rFonts w:ascii="Arial" w:cs="Arial" w:eastAsia="Arial" w:hAnsi="Arial"/>
                <w:sz w:val="12"/>
                <w:szCs w:val="12"/>
                <w:b w:val="1"/>
                <w:bCs w:val="1"/>
                <w:color w:val="auto"/>
              </w:rPr>
              <w:t>1,414,682</w:t>
            </w:r>
          </w:p>
        </w:tc>
        <w:tc>
          <w:tcPr>
            <w:tcW w:w="7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337,837,989</w:t>
            </w:r>
          </w:p>
        </w:tc>
        <w:tc>
          <w:tcPr>
            <w:tcW w:w="800" w:type="dxa"/>
            <w:vAlign w:val="bottom"/>
          </w:tcPr>
          <w:p>
            <w:pPr>
              <w:jc w:val="right"/>
              <w:ind w:right="20"/>
              <w:spacing w:after="0"/>
              <w:rPr>
                <w:sz w:val="20"/>
                <w:szCs w:val="20"/>
                <w:color w:val="auto"/>
              </w:rPr>
            </w:pPr>
            <w:r>
              <w:rPr>
                <w:rFonts w:ascii="Arial" w:cs="Arial" w:eastAsia="Arial" w:hAnsi="Arial"/>
                <w:sz w:val="12"/>
                <w:szCs w:val="12"/>
                <w:b w:val="1"/>
                <w:bCs w:val="1"/>
                <w:color w:val="auto"/>
              </w:rPr>
              <w:t>580</w:t>
            </w:r>
          </w:p>
        </w:tc>
        <w:tc>
          <w:tcPr>
            <w:tcW w:w="840" w:type="dxa"/>
            <w:vAlign w:val="bottom"/>
          </w:tcPr>
          <w:p>
            <w:pPr>
              <w:jc w:val="right"/>
              <w:ind w:right="100"/>
              <w:spacing w:after="0"/>
              <w:rPr>
                <w:sz w:val="20"/>
                <w:szCs w:val="20"/>
                <w:color w:val="auto"/>
              </w:rPr>
            </w:pPr>
            <w:r>
              <w:rPr>
                <w:rFonts w:ascii="Arial" w:cs="Arial" w:eastAsia="Arial" w:hAnsi="Arial"/>
                <w:sz w:val="12"/>
                <w:szCs w:val="12"/>
                <w:b w:val="1"/>
                <w:bCs w:val="1"/>
                <w:color w:val="auto"/>
              </w:rPr>
              <w:t>119,069</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6</w:t>
            </w:r>
          </w:p>
        </w:tc>
      </w:tr>
      <w:tr>
        <w:trPr>
          <w:trHeight w:val="2389"/>
        </w:trPr>
        <w:tc>
          <w:tcPr>
            <w:tcW w:w="1080" w:type="dxa"/>
            <w:vAlign w:val="bottom"/>
            <w:tcBorders>
              <w:bottom w:val="single" w:sz="8" w:color="010101"/>
            </w:tcBorders>
          </w:tcPr>
          <w:p>
            <w:pPr>
              <w:spacing w:after="0"/>
              <w:rPr>
                <w:sz w:val="24"/>
                <w:szCs w:val="24"/>
                <w:color w:val="auto"/>
              </w:rPr>
            </w:pPr>
          </w:p>
        </w:tc>
        <w:tc>
          <w:tcPr>
            <w:tcW w:w="250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96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-3395345</wp:posOffset>
            </wp:positionV>
            <wp:extent cx="6078220" cy="774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extLst>
                    </a:blip>
                    <a:srcRect/>
                    <a:stretch>
                      <a:fillRect/>
                    </a:stretch>
                  </pic:blipFill>
                  <pic:spPr bwMode="auto">
                    <a:xfrm>
                      <a:off x="0" y="0"/>
                      <a:ext cx="6078220" cy="77406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-3395345</wp:posOffset>
            </wp:positionV>
            <wp:extent cx="6078220" cy="774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a:extLst>
                        <a:ext uri="{28A0092B-C50C-407E-A947-70E740481C1C}"/>
                      </a:extLst>
                    </a:blip>
                    <a:srcRect/>
                    <a:stretch>
                      <a:fillRect/>
                    </a:stretch>
                  </pic:blipFill>
                  <pic:spPr bwMode="auto">
                    <a:xfrm>
                      <a:off x="0" y="0"/>
                      <a:ext cx="6078220" cy="77406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-2411095</wp:posOffset>
            </wp:positionV>
            <wp:extent cx="6078220" cy="904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9">
                      <a:extLst>
                        <a:ext uri="{28A0092B-C50C-407E-A947-70E740481C1C}"/>
                      </a:extLst>
                    </a:blip>
                    <a:srcRect/>
                    <a:stretch>
                      <a:fillRect/>
                    </a:stretch>
                  </pic:blipFill>
                  <pic:spPr bwMode="auto">
                    <a:xfrm>
                      <a:off x="0" y="0"/>
                      <a:ext cx="6078220" cy="904240"/>
                    </a:xfrm>
                    <a:prstGeom prst="rect">
                      <a:avLst/>
                    </a:prstGeom>
                    <a:noFill/>
                  </pic:spPr>
                </pic:pic>
              </a:graphicData>
            </a:graphic>
          </wp:anchor>
        </w:drawing>
      </w:r>
    </w:p>
    <w:p>
      <w:pPr>
        <w:sectPr>
          <w:pgSz w:w="11900" w:h="16838" w:orient="portrait"/>
          <w:cols w:equalWidth="0" w:num="1">
            <w:col w:w="10640"/>
          </w:cols>
          <w:pgMar w:left="126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2 / 20</w:t>
      </w:r>
    </w:p>
    <w:p>
      <w:pPr>
        <w:sectPr>
          <w:pgSz w:w="11900" w:h="16838" w:orient="portrait"/>
          <w:cols w:equalWidth="0" w:num="1">
            <w:col w:w="10640"/>
          </w:cols>
          <w:pgMar w:left="1260" w:top="1440" w:right="6" w:bottom="0" w:gutter="0" w:footer="0" w:header="0"/>
          <w:type w:val="continuous"/>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00"/>
        <w:spacing w:after="0"/>
        <w:rPr>
          <w:sz w:val="20"/>
          <w:szCs w:val="20"/>
          <w:color w:val="auto"/>
        </w:rPr>
      </w:pPr>
      <w:r>
        <w:rPr>
          <w:rFonts w:ascii="Arial" w:cs="Arial" w:eastAsia="Arial" w:hAnsi="Arial"/>
          <w:sz w:val="20"/>
          <w:szCs w:val="20"/>
          <w:b w:val="1"/>
          <w:bCs w:val="1"/>
          <w:u w:val="single" w:color="auto"/>
          <w:color w:val="auto"/>
        </w:rPr>
        <w:t>C</w:t>
      </w:r>
      <w:r>
        <w:rPr>
          <w:rFonts w:ascii="Arial" w:cs="Arial" w:eastAsia="Arial" w:hAnsi="Arial"/>
          <w:sz w:val="15"/>
          <w:szCs w:val="15"/>
          <w:b w:val="1"/>
          <w:bCs w:val="1"/>
          <w:u w:val="single" w:color="auto"/>
          <w:color w:val="auto"/>
        </w:rPr>
        <w:t>auChari</w:t>
      </w:r>
      <w:r>
        <w:rPr>
          <w:rFonts w:ascii="Arial" w:cs="Arial" w:eastAsia="Arial" w:hAnsi="Arial"/>
          <w:sz w:val="20"/>
          <w:szCs w:val="20"/>
          <w:b w:val="1"/>
          <w:bCs w:val="1"/>
          <w:u w:val="single" w:color="auto"/>
          <w:color w:val="auto"/>
        </w:rPr>
        <w:t>-O</w:t>
      </w:r>
      <w:r>
        <w:rPr>
          <w:rFonts w:ascii="Arial" w:cs="Arial" w:eastAsia="Arial" w:hAnsi="Arial"/>
          <w:sz w:val="15"/>
          <w:szCs w:val="15"/>
          <w:b w:val="1"/>
          <w:bCs w:val="1"/>
          <w:u w:val="single" w:color="auto"/>
          <w:color w:val="auto"/>
        </w:rPr>
        <w:t>larOz</w:t>
      </w:r>
      <w:r>
        <w:rPr>
          <w:rFonts w:ascii="Arial" w:cs="Arial" w:eastAsia="Arial" w:hAnsi="Arial"/>
          <w:sz w:val="20"/>
          <w:szCs w:val="20"/>
          <w:b w:val="1"/>
          <w:bCs w:val="1"/>
          <w:u w:val="single" w:color="auto"/>
          <w:color w:val="auto"/>
        </w:rPr>
        <w:t xml:space="preserve"> O</w:t>
      </w:r>
      <w:r>
        <w:rPr>
          <w:rFonts w:ascii="Arial" w:cs="Arial" w:eastAsia="Arial" w:hAnsi="Arial"/>
          <w:sz w:val="15"/>
          <w:szCs w:val="15"/>
          <w:b w:val="1"/>
          <w:bCs w:val="1"/>
          <w:u w:val="single" w:color="auto"/>
          <w:color w:val="auto"/>
        </w:rPr>
        <w:t>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224790</wp:posOffset>
            </wp:positionV>
            <wp:extent cx="5849620" cy="3962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0">
                      <a:extLst>
                        <a:ext uri="{28A0092B-C50C-407E-A947-70E740481C1C}"/>
                      </a:extLst>
                    </a:blip>
                    <a:srcRect/>
                    <a:stretch>
                      <a:fillRect/>
                    </a:stretch>
                  </pic:blipFill>
                  <pic:spPr bwMode="auto">
                    <a:xfrm>
                      <a:off x="0" y="0"/>
                      <a:ext cx="5849620" cy="396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Project Overview</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Commissioned in 2024, Cauchari-Olaroz has a nameplate capacity of 40,000 tpa of battery grade lit carbonate, with significant potential for expansion. Cauchari-Olaroz prioritizes efficient operations, w conservation and ecosystem preservation, and strong partnerships with local communities and leading g lithium leaders.</w:t>
      </w:r>
    </w:p>
    <w:p>
      <w:pPr>
        <w:spacing w:after="0" w:line="2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book value for our investment in the Cauchari-Olaroz Operation is $93.4 million as of December 31, 202 of December 31, 2025, the total outstanding loans advanced by the Company to Cauchari-Olaroz, inclu accrued interest, was $379.8 million (including $308.3 million provided to Exar through Exar Capital and $ million provided directly to Exar).</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Detailed Property Description</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Technical Information</w:t>
      </w:r>
    </w:p>
    <w:p>
      <w:pPr>
        <w:spacing w:after="0" w:line="27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All capitalized terms used in the disclosure below that are not otherwise defined shall have the meanings asc thereto in the Cauchari Technical Report Study (“Cauchari TRS”).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 / 20</w:t>
      </w:r>
    </w:p>
    <w:p>
      <w:pPr>
        <w:sectPr>
          <w:pgSz w:w="11900" w:h="16838" w:orient="portrait"/>
          <w:cols w:equalWidth="0" w:num="1">
            <w:col w:w="10460"/>
          </w:cols>
          <w:pgMar w:left="1440" w:top="1440" w:right="6" w:bottom="0" w:gutter="0" w:footer="0" w:header="0"/>
          <w:type w:val="continuous"/>
        </w:sectPr>
      </w:pPr>
    </w:p>
    <w:bookmarkStart w:id="68" w:name="page69"/>
    <w:bookmarkEnd w:id="68"/>
    <w:p>
      <w:pPr>
        <w:ind w:left="900"/>
        <w:spacing w:after="0" w:line="331" w:lineRule="auto"/>
        <w:rPr>
          <w:sz w:val="20"/>
          <w:szCs w:val="20"/>
          <w:color w:val="auto"/>
        </w:rPr>
      </w:pPr>
      <w:r>
        <w:rPr>
          <w:rFonts w:ascii="Arial" w:cs="Arial" w:eastAsia="Arial" w:hAnsi="Arial"/>
          <w:sz w:val="19"/>
          <w:szCs w:val="19"/>
          <w:b w:val="1"/>
          <w:bCs w:val="1"/>
          <w:color w:val="auto"/>
        </w:rPr>
        <w:t>Information contained in the Cauchari TRS, including (but not limited to) mineral extraction, proces and recovery operations, projected costs, and project economics for the Cauchari-Olaroz Opera (including, for greater certainty, revenue, net present value, cash flow and earnings) are presented the date of the Cauchari TRS based on criteria, assumptions, estimates and other information availab the time and therefore may not reflect actual results and outcomes, updated project economics, ca costs and/or operating costs for the project. As a result, actual results may differ from those prese</w:t>
      </w:r>
    </w:p>
    <w:p>
      <w:pPr>
        <w:ind w:left="900"/>
        <w:spacing w:after="0" w:line="236" w:lineRule="auto"/>
        <w:rPr>
          <w:sz w:val="20"/>
          <w:szCs w:val="20"/>
          <w:color w:val="auto"/>
        </w:rPr>
      </w:pPr>
      <w:r>
        <w:rPr>
          <w:rFonts w:ascii="Arial" w:cs="Arial" w:eastAsia="Arial" w:hAnsi="Arial"/>
          <w:sz w:val="20"/>
          <w:szCs w:val="20"/>
          <w:i w:val="1"/>
          <w:iCs w:val="1"/>
          <w:color w:val="auto"/>
        </w:rPr>
        <w:t>See “ Item 3.D - Risk Factors”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1131570</wp:posOffset>
            </wp:positionV>
            <wp:extent cx="676402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 / 20</w:t>
      </w:r>
    </w:p>
    <w:p>
      <w:pPr>
        <w:sectPr>
          <w:pgSz w:w="11900" w:h="16838" w:orient="portrait"/>
          <w:cols w:equalWidth="0" w:num="1">
            <w:col w:w="10460"/>
          </w:cols>
          <w:pgMar w:left="1440" w:top="1172" w:right="6" w:bottom="0" w:gutter="0" w:footer="0" w:header="0"/>
          <w:type w:val="continuous"/>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Property Description and Location</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Cauchari and Olaroz Salars are located in the Department of Susques in the Province of Juju northwestern Argentina, approximately 250 km northwest of San Salvador de Jujuy, the provincial capital. salars extend in a north-south direction from S23°18’ to S24°05’ and in an east-west direction from W66°3 W66°51’. The average elevation of the salars is 3,940 metres. The midpoint between the Olaroz and Cau Salars is located along National Highway 52, 55 km west of the Town of Susques. The nearest po Antofagasta (Chile), located 530 km west of the Project by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174625</wp:posOffset>
            </wp:positionV>
            <wp:extent cx="5438775" cy="33813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2">
                      <a:extLst>
                        <a:ext uri="{28A0092B-C50C-407E-A947-70E740481C1C}"/>
                      </a:extLst>
                    </a:blip>
                    <a:srcRect/>
                    <a:stretch>
                      <a:fillRect/>
                    </a:stretch>
                  </pic:blipFill>
                  <pic:spPr bwMode="auto">
                    <a:xfrm>
                      <a:off x="0" y="0"/>
                      <a:ext cx="5438775" cy="3381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Ownership</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b w:val="1"/>
          <w:bCs w:val="1"/>
          <w:color w:val="auto"/>
        </w:rPr>
        <w:t>Cauchari-Olaroz is owned by Exar, a company incorporated under the laws of Argentina. Exar, in tur 44.8% owned by the Company, 46.7% by Ganfeng and 8.5% by JEMSE, a mining investment com owned by the government of Jujuy Province in Argentina.</w:t>
      </w:r>
    </w:p>
    <w:p>
      <w:pPr>
        <w:spacing w:after="0" w:line="212" w:lineRule="exact"/>
        <w:rPr>
          <w:sz w:val="20"/>
          <w:szCs w:val="20"/>
          <w:color w:val="auto"/>
        </w:rPr>
      </w:pPr>
    </w:p>
    <w:p>
      <w:pPr>
        <w:jc w:val="both"/>
        <w:ind w:left="900"/>
        <w:spacing w:after="0" w:line="332" w:lineRule="auto"/>
        <w:rPr>
          <w:sz w:val="20"/>
          <w:szCs w:val="20"/>
          <w:color w:val="auto"/>
        </w:rPr>
      </w:pPr>
      <w:r>
        <w:rPr>
          <w:rFonts w:ascii="Arial" w:cs="Arial" w:eastAsia="Arial" w:hAnsi="Arial"/>
          <w:sz w:val="19"/>
          <w:szCs w:val="19"/>
          <w:color w:val="auto"/>
        </w:rPr>
        <w:t>Exar acquired mining and exploration permits applications through acquisition of such permits applications, request of permits from the applicable provincial mining authority and/ or through brines usufruct agreeme the Province of Jujuy, Argentina, covering a total of 60,712 ha in the Department of Susques, of which 28,71 can support the entire project. The claims are contiguous and cover most of the Cauchari Salar and the ea portion of the Olaroz Salar. The annual aggregate payment (canon rent) required by Exar to maintain the cla $1,364,667. Under Exar’s usufruct agreement with Borax Argentina S.A., Exar acquired Borax Argentina S usufruct rights on properties in the area in exchange for an annual royalty of $200,000 plus annual canon property payments to Jujuy Province. The area that contains the Mineral Resource and Mineral Reserve esti</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 / 20</w:t>
      </w:r>
    </w:p>
    <w:p>
      <w:pPr>
        <w:sectPr>
          <w:pgSz w:w="11900" w:h="16838" w:orient="portrait"/>
          <w:cols w:equalWidth="0" w:num="1">
            <w:col w:w="10460"/>
          </w:cols>
          <w:pgMar w:left="1440" w:top="1440" w:right="6" w:bottom="0" w:gutter="0" w:footer="0" w:header="0"/>
          <w:type w:val="continuous"/>
        </w:sectPr>
      </w:pPr>
    </w:p>
    <w:bookmarkStart w:id="70" w:name="page71"/>
    <w:bookmarkEnd w:id="70"/>
    <w:p>
      <w:pPr>
        <w:jc w:val="both"/>
        <w:ind w:left="900"/>
        <w:spacing w:after="0" w:line="311" w:lineRule="auto"/>
        <w:rPr>
          <w:sz w:val="20"/>
          <w:szCs w:val="20"/>
          <w:color w:val="auto"/>
        </w:rPr>
      </w:pPr>
      <w:r>
        <w:rPr>
          <w:rFonts w:ascii="Arial" w:cs="Arial" w:eastAsia="Arial" w:hAnsi="Arial"/>
          <w:sz w:val="20"/>
          <w:szCs w:val="20"/>
          <w:color w:val="auto"/>
        </w:rPr>
        <w:t xml:space="preserve">is covered by mining concessions which grant the holder a perpetual mining right, subject to the payment of and an agreed upon investment in accordance with the principal legislation that regulates the mining indus Argentina, the </w:t>
      </w:r>
      <w:r>
        <w:rPr>
          <w:rFonts w:ascii="Arial" w:cs="Arial" w:eastAsia="Arial" w:hAnsi="Arial"/>
          <w:sz w:val="20"/>
          <w:szCs w:val="20"/>
          <w:i w:val="1"/>
          <w:iCs w:val="1"/>
          <w:color w:val="auto"/>
        </w:rPr>
        <w:t>Código de Minería</w:t>
      </w:r>
      <w:r>
        <w:rPr>
          <w:rFonts w:ascii="Arial" w:cs="Arial" w:eastAsia="Arial" w:hAnsi="Arial"/>
          <w:sz w:val="20"/>
          <w:szCs w:val="20"/>
          <w:color w:val="auto"/>
        </w:rPr>
        <w:t>.</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On March 28, 2016, Exar entered into a purchase option agreement (“</w:t>
      </w:r>
      <w:r>
        <w:rPr>
          <w:rFonts w:ascii="Arial" w:cs="Arial" w:eastAsia="Arial" w:hAnsi="Arial"/>
          <w:sz w:val="20"/>
          <w:szCs w:val="20"/>
          <w:b w:val="1"/>
          <w:bCs w:val="1"/>
          <w:color w:val="auto"/>
        </w:rPr>
        <w:t>Option Agreement</w:t>
      </w:r>
      <w:r>
        <w:rPr>
          <w:rFonts w:ascii="Arial" w:cs="Arial" w:eastAsia="Arial" w:hAnsi="Arial"/>
          <w:sz w:val="20"/>
          <w:szCs w:val="20"/>
          <w:color w:val="auto"/>
        </w:rPr>
        <w:t>”) with Grupo M Los Boros (“</w:t>
      </w:r>
      <w:r>
        <w:rPr>
          <w:rFonts w:ascii="Arial" w:cs="Arial" w:eastAsia="Arial" w:hAnsi="Arial"/>
          <w:sz w:val="20"/>
          <w:szCs w:val="20"/>
          <w:b w:val="1"/>
          <w:bCs w:val="1"/>
          <w:color w:val="auto"/>
        </w:rPr>
        <w:t>Los Boros</w:t>
      </w:r>
      <w:r>
        <w:rPr>
          <w:rFonts w:ascii="Arial" w:cs="Arial" w:eastAsia="Arial" w:hAnsi="Arial"/>
          <w:sz w:val="20"/>
          <w:szCs w:val="20"/>
          <w:color w:val="auto"/>
        </w:rPr>
        <w:t>”) for the transfer of title to Exar for certain mining properties that comprised a porti the Cauchari-Olaroz Operation. Under the terms of the Option Agreement, Exar paid $100,000 upon signing obtained a right to exercise the purchase option at any time within 30 months for the total consideration o million payable in sixty quarterly installments of $200,000.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1087755</wp:posOffset>
            </wp:positionV>
            <wp:extent cx="676402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 / 20</w:t>
      </w:r>
    </w:p>
    <w:p>
      <w:pPr>
        <w:sectPr>
          <w:pgSz w:w="11900" w:h="16838" w:orient="portrait"/>
          <w:cols w:equalWidth="0" w:num="1">
            <w:col w:w="10460"/>
          </w:cols>
          <w:pgMar w:left="1440" w:top="1172" w:right="6" w:bottom="0" w:gutter="0" w:footer="0" w:header="0"/>
          <w:type w:val="continuous"/>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On November 12, 2018, Exar exercised the purchase option, acquired the properties by taking on the oblig to pay $12 million in 60 quarterly payments of $200,000 and, as a result, the following royalties became pa to Los Boros:</w:t>
      </w:r>
    </w:p>
    <w:p>
      <w:pPr>
        <w:spacing w:after="0" w:line="175" w:lineRule="exact"/>
        <w:rPr>
          <w:sz w:val="20"/>
          <w:szCs w:val="20"/>
          <w:color w:val="auto"/>
        </w:rPr>
      </w:pPr>
    </w:p>
    <w:p>
      <w:pPr>
        <w:ind w:left="1620" w:hanging="366"/>
        <w:spacing w:after="0" w:line="368" w:lineRule="auto"/>
        <w:tabs>
          <w:tab w:leader="none" w:pos="16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$300,000 was paid on November 27, 2018, because the commercial plant construction started (purc option established payment within 10 days of the commercial plant construction start date);</w:t>
      </w:r>
    </w:p>
    <w:p>
      <w:pPr>
        <w:spacing w:after="0" w:line="127" w:lineRule="exact"/>
        <w:rPr>
          <w:rFonts w:ascii="Arial" w:cs="Arial" w:eastAsia="Arial" w:hAnsi="Arial"/>
          <w:sz w:val="20"/>
          <w:szCs w:val="20"/>
          <w:color w:val="auto"/>
        </w:rPr>
      </w:pPr>
    </w:p>
    <w:p>
      <w:pPr>
        <w:ind w:left="1620" w:hanging="366"/>
        <w:spacing w:after="0"/>
        <w:tabs>
          <w:tab w:leader="none" w:pos="16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Quarterly installments of $200,000; and</w:t>
      </w:r>
    </w:p>
    <w:p>
      <w:pPr>
        <w:spacing w:after="0" w:line="257" w:lineRule="exact"/>
        <w:rPr>
          <w:rFonts w:ascii="Arial" w:cs="Arial" w:eastAsia="Arial" w:hAnsi="Arial"/>
          <w:sz w:val="20"/>
          <w:szCs w:val="20"/>
          <w:color w:val="auto"/>
        </w:rPr>
      </w:pPr>
    </w:p>
    <w:p>
      <w:pPr>
        <w:ind w:left="1620" w:right="20" w:hanging="366"/>
        <w:spacing w:after="0" w:line="368" w:lineRule="auto"/>
        <w:tabs>
          <w:tab w:leader="none" w:pos="16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3% net profit interest for 40 years, to be paid annually in Argentine pesos, within 10 business days calendar year end.</w:t>
      </w:r>
    </w:p>
    <w:p>
      <w:pPr>
        <w:spacing w:after="0" w:line="171" w:lineRule="exact"/>
        <w:rPr>
          <w:sz w:val="20"/>
          <w:szCs w:val="20"/>
          <w:color w:val="auto"/>
        </w:rPr>
      </w:pPr>
    </w:p>
    <w:p>
      <w:pPr>
        <w:jc w:val="both"/>
        <w:ind w:left="900" w:right="20"/>
        <w:spacing w:after="0" w:line="307" w:lineRule="auto"/>
        <w:rPr>
          <w:sz w:val="20"/>
          <w:szCs w:val="20"/>
          <w:color w:val="auto"/>
        </w:rPr>
      </w:pPr>
      <w:r>
        <w:rPr>
          <w:rFonts w:ascii="Arial" w:cs="Arial" w:eastAsia="Arial" w:hAnsi="Arial"/>
          <w:sz w:val="20"/>
          <w:szCs w:val="20"/>
          <w:color w:val="auto"/>
        </w:rPr>
        <w:t>Exar can cancel the first 20 years of net profit interest in exchange for a one-time payment of $7 million an second 20-year period for an additional $7 million.</w:t>
      </w:r>
    </w:p>
    <w:p>
      <w:pPr>
        <w:spacing w:after="0" w:line="215" w:lineRule="exact"/>
        <w:rPr>
          <w:sz w:val="20"/>
          <w:szCs w:val="20"/>
          <w:color w:val="auto"/>
        </w:rPr>
      </w:pPr>
    </w:p>
    <w:p>
      <w:pPr>
        <w:jc w:val="both"/>
        <w:ind w:left="900" w:right="20"/>
        <w:spacing w:after="0" w:line="307" w:lineRule="auto"/>
        <w:rPr>
          <w:sz w:val="20"/>
          <w:szCs w:val="20"/>
          <w:color w:val="auto"/>
        </w:rPr>
      </w:pPr>
      <w:r>
        <w:rPr>
          <w:rFonts w:ascii="Arial" w:cs="Arial" w:eastAsia="Arial" w:hAnsi="Arial"/>
          <w:sz w:val="20"/>
          <w:szCs w:val="20"/>
          <w:color w:val="auto"/>
        </w:rPr>
        <w:t>On March 28, 2016, Sociedad Química y Minera de Chile S.A. (“</w:t>
      </w:r>
      <w:r>
        <w:rPr>
          <w:rFonts w:ascii="Arial" w:cs="Arial" w:eastAsia="Arial" w:hAnsi="Arial"/>
          <w:sz w:val="20"/>
          <w:szCs w:val="20"/>
          <w:b w:val="1"/>
          <w:bCs w:val="1"/>
          <w:color w:val="auto"/>
        </w:rPr>
        <w:t>SQM</w:t>
      </w:r>
      <w:r>
        <w:rPr>
          <w:rFonts w:ascii="Arial" w:cs="Arial" w:eastAsia="Arial" w:hAnsi="Arial"/>
          <w:sz w:val="20"/>
          <w:szCs w:val="20"/>
          <w:color w:val="auto"/>
        </w:rPr>
        <w:t>”) and Exar executed a sharehol agreement that established the terms by which the parties planned to develop the Cauchari-Olaroz Operatio</w:t>
      </w:r>
    </w:p>
    <w:p>
      <w:pPr>
        <w:spacing w:after="0" w:line="2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On October 31, 2018, the Company closed a transaction with Ganfeng and SQM. Ganfeng agreed to purc SQM’s interest in the Cauchari-Olaroz Operation. The Company increased its interest in the Cauchari-O Operation from 50% to 62.5% with Ganfeng holding the remaining 37.5% interest and the parties entered i shareholder agreement to govern their ownership and business operations of Exar. Ganfeng also provide Company with a US$100 million unsecured, limited recourse subordinated loan facility as part of fundin 62.5% share of the project expenditure.</w:t>
      </w:r>
    </w:p>
    <w:p>
      <w:pPr>
        <w:spacing w:after="0" w:line="212" w:lineRule="exact"/>
        <w:rPr>
          <w:sz w:val="20"/>
          <w:szCs w:val="20"/>
          <w:color w:val="auto"/>
        </w:rPr>
      </w:pPr>
    </w:p>
    <w:p>
      <w:pPr>
        <w:ind w:left="900"/>
        <w:spacing w:after="0" w:line="332" w:lineRule="auto"/>
        <w:rPr>
          <w:sz w:val="20"/>
          <w:szCs w:val="20"/>
          <w:color w:val="auto"/>
        </w:rPr>
      </w:pPr>
      <w:r>
        <w:rPr>
          <w:rFonts w:ascii="Arial" w:cs="Arial" w:eastAsia="Arial" w:hAnsi="Arial"/>
          <w:sz w:val="19"/>
          <w:szCs w:val="19"/>
          <w:color w:val="auto"/>
        </w:rPr>
        <w:t>On August 19, 2019, the Company and Ganfeng completed a transaction whereby Ganfeng contributed US million in Exar and increased its participating interest in Exar to 50%. At such transaction closing, the Com and GFL International Co., Limited (“</w:t>
      </w:r>
      <w:r>
        <w:rPr>
          <w:rFonts w:ascii="Arial" w:cs="Arial" w:eastAsia="Arial" w:hAnsi="Arial"/>
          <w:sz w:val="19"/>
          <w:szCs w:val="19"/>
          <w:b w:val="1"/>
          <w:bCs w:val="1"/>
          <w:color w:val="auto"/>
        </w:rPr>
        <w:t>GFL</w:t>
      </w:r>
      <w:r>
        <w:rPr>
          <w:rFonts w:ascii="Arial" w:cs="Arial" w:eastAsia="Arial" w:hAnsi="Arial"/>
          <w:sz w:val="19"/>
          <w:szCs w:val="19"/>
          <w:color w:val="auto"/>
        </w:rPr>
        <w:t>”) each owned a 50% equity interest in Exar. The parties made ce consequential amendments to the shareholders’ agreement governing their relationship to refer to the new e ownership structure in Exar. The Company and GFL authorized Exar to undertake a feasibility study development plan to increase the initial production capacity from 25,000 tpa to 40,000 tpa of lithium carbona well as certain permitting and development work in advance of a decision to increase the project production r</w:t>
      </w:r>
    </w:p>
    <w:p>
      <w:pPr>
        <w:spacing w:after="0" w:line="197"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On August 27, 2020, the Company and Ganfeng closed a transaction whereby Ganfeng increased its partici interest in Exar to 51% by completion of a $16 million capital contribution to Exar. As part of this transa Ganfeng provided $40 million to Exar Capital in non-interest-bearing loans, repayable in 2029 (with a right f additional one-year extension) and contributed $600,000 to Exar Capital’s equity to increase its interest 37.5% to 51%. Proceeds of the loans from Ganfeng were used by Exar Capital to repay $40 million of loans to Lithium Argentina. At such transaction closing, GFL owned a 51% equity interest in Exar and Lithium Arge a 49%. The parties made certain consequential amendments to the shareholders’ agreement governing relationship to refer to the new equity ownership structure in Exar.</w:t>
      </w:r>
    </w:p>
    <w:p>
      <w:pPr>
        <w:spacing w:after="0" w:line="215"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On August 26, 2020, GFL, the Company and Exar entered into a Share Acquisition Option Execution Agree with JEMSE, a Province of Jujuy state company, setting the guidelines of JEMSE acquisition of an 8 participating interest in Exar, proportionally diluting GFL and the Company participating interest accordi</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 / 20</w:t>
      </w:r>
    </w:p>
    <w:p>
      <w:pPr>
        <w:sectPr>
          <w:pgSz w:w="11900" w:h="16838" w:orient="portrait"/>
          <w:cols w:equalWidth="0" w:num="1">
            <w:col w:w="10460"/>
          </w:cols>
          <w:pgMar w:left="1440" w:top="1440" w:right="6" w:bottom="0" w:gutter="0" w:footer="0" w:header="0"/>
          <w:type w:val="continuous"/>
        </w:sectPr>
      </w:pPr>
    </w:p>
    <w:bookmarkStart w:id="72" w:name="page73"/>
    <w:bookmarkEnd w:id="72"/>
    <w:p>
      <w:pPr>
        <w:jc w:val="both"/>
        <w:ind w:left="900"/>
        <w:spacing w:after="0" w:line="313" w:lineRule="auto"/>
        <w:rPr>
          <w:sz w:val="20"/>
          <w:szCs w:val="20"/>
          <w:color w:val="auto"/>
        </w:rPr>
      </w:pPr>
      <w:r>
        <w:rPr>
          <w:rFonts w:ascii="Arial" w:cs="Arial" w:eastAsia="Arial" w:hAnsi="Arial"/>
          <w:sz w:val="20"/>
          <w:szCs w:val="20"/>
          <w:color w:val="auto"/>
        </w:rPr>
        <w:t>JEMSE acquired the Exar shares for a consideration of US$1 plus an amount equal to 8.5% of the ca contributions in Exar. JEMSE will pay for the amount owed to the shareholders through the assignment o third of the dividends to be received by JEMSE from Exar after taxes. In accordance with the agreemen future equity contributions GFL and the Company are obliged to loan to JEMSE 8.5% of the contribu necessary for JEMSE to avoid dilution, which loans also would be repayable from the same one-third divid assignment, after taxes.</w:t>
      </w:r>
    </w:p>
    <w:p>
      <w:pPr>
        <w:spacing w:after="0" w:line="2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On October 3, 2023, the Company separated into two independent public companies, Lithium Amer (Argentina) Corp. and a new Lithium Americas Corp. The Company retained the Cauchari-Olaroz Operatio well as the Pastos Grandes Project and Sal de la Puna project in Argentina.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 / 20</w:t>
      </w:r>
    </w:p>
    <w:p>
      <w:pPr>
        <w:sectPr>
          <w:pgSz w:w="11900" w:h="16838" w:orient="portrait"/>
          <w:cols w:equalWidth="0" w:num="1">
            <w:col w:w="10460"/>
          </w:cols>
          <w:pgMar w:left="1440" w:top="1172" w:right="6" w:bottom="0" w:gutter="0" w:footer="0" w:header="0"/>
          <w:type w:val="continuous"/>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On January 23, 2025, the Company completed a corporate migration from British Columbia, Canad Switzerland, establishing corporate domicile in Switzerland and changing its name from Lithium Ame (Argentina) Corp. to Lithium Argentina AG (“LAR”).</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Current ownership of Cauchari-Olaroz is summarized in the following figure:</w:t>
      </w:r>
    </w:p>
    <w:p>
      <w:pPr>
        <w:spacing w:after="0" w:line="272"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auto"/>
        </w:rPr>
        <w:t>Ownership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217170</wp:posOffset>
            </wp:positionV>
            <wp:extent cx="5849620" cy="21240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5">
                      <a:extLst>
                        <a:ext uri="{28A0092B-C50C-407E-A947-70E740481C1C}"/>
                      </a:extLst>
                    </a:blip>
                    <a:srcRect/>
                    <a:stretch>
                      <a:fillRect/>
                    </a:stretch>
                  </pic:blipFill>
                  <pic:spPr bwMode="auto">
                    <a:xfrm>
                      <a:off x="0" y="0"/>
                      <a:ext cx="5849620" cy="2124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surface rights of the area subject to exploitation are local aboriginal communities’ land. Exar signed cont with each aboriginal community to have the right to explore the property and for surface use, water use, tr and building ponds and facilities. Most of these contracts also cover development and mining operations by For those contracts in which development and mining are not specifically addressed, Exar is working wit relevant community to extend the coverage of the contract to those areas. Exar has also agreed to support communities through a number of infrastructure and education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9 / 20</w:t>
      </w:r>
    </w:p>
    <w:p>
      <w:pPr>
        <w:sectPr>
          <w:pgSz w:w="11900" w:h="16838" w:orient="portrait"/>
          <w:cols w:equalWidth="0" w:num="1">
            <w:col w:w="10460"/>
          </w:cols>
          <w:pgMar w:left="1440" w:top="1440" w:right="6" w:bottom="0" w:gutter="0" w:footer="0" w:header="0"/>
          <w:type w:val="continuous"/>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History</w:t>
      </w:r>
    </w:p>
    <w:p>
      <w:pPr>
        <w:spacing w:after="0" w:line="279"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Mining activities on the western side of the Cauchari Salar by Rio Tinto and on the eastern side of the O Salar by Los Boros date back to the 1990s.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196215</wp:posOffset>
            </wp:positionV>
            <wp:extent cx="6078220"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7">
                      <a:extLst>
                        <a:ext uri="{28A0092B-C50C-407E-A947-70E740481C1C}"/>
                      </a:extLst>
                    </a:blip>
                    <a:srcRect/>
                    <a:stretch>
                      <a:fillRect/>
                    </a:stretch>
                  </pic:blipFill>
                  <pic:spPr bwMode="auto">
                    <a:xfrm>
                      <a:off x="0" y="0"/>
                      <a:ext cx="6078220" cy="12700"/>
                    </a:xfrm>
                    <a:prstGeom prst="rect">
                      <a:avLst/>
                    </a:prstGeom>
                    <a:noFill/>
                  </pic:spPr>
                </pic:pic>
              </a:graphicData>
            </a:graphic>
          </wp:anchor>
        </w:drawing>
      </w:r>
    </w:p>
    <w:p>
      <w:pPr>
        <w:spacing w:after="0" w:line="289" w:lineRule="exact"/>
        <w:rPr>
          <w:sz w:val="20"/>
          <w:szCs w:val="20"/>
          <w:color w:val="auto"/>
        </w:rPr>
      </w:pPr>
    </w:p>
    <w:tbl>
      <w:tblPr>
        <w:tblLayout w:type="fixed"/>
        <w:tblInd w:w="900" w:type="dxa"/>
        <w:tblCellMar>
          <w:top w:w="0" w:type="dxa"/>
          <w:left w:w="0" w:type="dxa"/>
          <w:bottom w:w="0" w:type="dxa"/>
          <w:right w:w="0" w:type="dxa"/>
        </w:tblCellMar>
      </w:tblPr>
      <w:tr>
        <w:trPr>
          <w:trHeight w:val="345"/>
        </w:trPr>
        <w:tc>
          <w:tcPr>
            <w:tcW w:w="1540" w:type="dxa"/>
            <w:vAlign w:val="bottom"/>
            <w:shd w:val="clear" w:color="auto" w:fill="F2F2F2"/>
          </w:tcPr>
          <w:p>
            <w:pPr>
              <w:spacing w:after="0"/>
              <w:rPr>
                <w:sz w:val="20"/>
                <w:szCs w:val="20"/>
                <w:color w:val="auto"/>
              </w:rPr>
            </w:pPr>
            <w:r>
              <w:rPr>
                <w:rFonts w:ascii="Arial" w:cs="Arial" w:eastAsia="Arial" w:hAnsi="Arial"/>
                <w:sz w:val="20"/>
                <w:szCs w:val="20"/>
                <w:b w:val="1"/>
                <w:bCs w:val="1"/>
                <w:color w:val="auto"/>
              </w:rPr>
              <w:t>2009 to 2010</w:t>
            </w:r>
          </w:p>
        </w:tc>
        <w:tc>
          <w:tcPr>
            <w:tcW w:w="560" w:type="dxa"/>
            <w:vAlign w:val="bottom"/>
            <w:shd w:val="clear" w:color="auto" w:fill="F2F2F2"/>
          </w:tcPr>
          <w:p>
            <w:pPr>
              <w:ind w:left="340"/>
              <w:spacing w:after="0"/>
              <w:rPr>
                <w:sz w:val="20"/>
                <w:szCs w:val="20"/>
                <w:color w:val="auto"/>
              </w:rPr>
            </w:pPr>
            <w:r>
              <w:rPr>
                <w:rFonts w:ascii="Arial" w:cs="Arial" w:eastAsia="Arial" w:hAnsi="Arial"/>
                <w:sz w:val="20"/>
                <w:szCs w:val="20"/>
                <w:color w:val="auto"/>
              </w:rPr>
              <w:t>▪</w:t>
            </w:r>
          </w:p>
        </w:tc>
        <w:tc>
          <w:tcPr>
            <w:tcW w:w="7460" w:type="dxa"/>
            <w:vAlign w:val="bottom"/>
            <w:shd w:val="clear" w:color="auto" w:fill="F2F2F2"/>
          </w:tcPr>
          <w:p>
            <w:pPr>
              <w:ind w:left="140"/>
              <w:spacing w:after="0"/>
              <w:rPr>
                <w:sz w:val="20"/>
                <w:szCs w:val="20"/>
                <w:color w:val="auto"/>
              </w:rPr>
            </w:pPr>
            <w:r>
              <w:rPr>
                <w:rFonts w:ascii="Arial" w:cs="Arial" w:eastAsia="Arial" w:hAnsi="Arial"/>
                <w:sz w:val="20"/>
                <w:szCs w:val="20"/>
                <w:color w:val="auto"/>
                <w:w w:val="99"/>
              </w:rPr>
              <w:t>Exar acquired mining and exploration permits across broad areas of the Cauchari a</w:t>
            </w:r>
          </w:p>
        </w:tc>
      </w:tr>
      <w:tr>
        <w:trPr>
          <w:trHeight w:val="360"/>
        </w:trPr>
        <w:tc>
          <w:tcPr>
            <w:tcW w:w="1540" w:type="dxa"/>
            <w:vAlign w:val="bottom"/>
            <w:shd w:val="clear" w:color="auto" w:fill="F2F2F2"/>
          </w:tcPr>
          <w:p>
            <w:pPr>
              <w:spacing w:after="0"/>
              <w:rPr>
                <w:sz w:val="24"/>
                <w:szCs w:val="24"/>
                <w:color w:val="auto"/>
              </w:rPr>
            </w:pPr>
          </w:p>
        </w:tc>
        <w:tc>
          <w:tcPr>
            <w:tcW w:w="560" w:type="dxa"/>
            <w:vAlign w:val="bottom"/>
            <w:shd w:val="clear" w:color="auto" w:fill="F2F2F2"/>
          </w:tcPr>
          <w:p>
            <w:pPr>
              <w:spacing w:after="0"/>
              <w:rPr>
                <w:sz w:val="24"/>
                <w:szCs w:val="24"/>
                <w:color w:val="auto"/>
              </w:rPr>
            </w:pPr>
          </w:p>
        </w:tc>
        <w:tc>
          <w:tcPr>
            <w:tcW w:w="7460" w:type="dxa"/>
            <w:vAlign w:val="bottom"/>
            <w:shd w:val="clear" w:color="auto" w:fill="F2F2F2"/>
          </w:tcPr>
          <w:p>
            <w:pPr>
              <w:ind w:left="140"/>
              <w:spacing w:after="0"/>
              <w:rPr>
                <w:sz w:val="20"/>
                <w:szCs w:val="20"/>
                <w:color w:val="auto"/>
              </w:rPr>
            </w:pPr>
            <w:r>
              <w:rPr>
                <w:rFonts w:ascii="Arial" w:cs="Arial" w:eastAsia="Arial" w:hAnsi="Arial"/>
                <w:sz w:val="20"/>
                <w:szCs w:val="20"/>
                <w:color w:val="auto"/>
              </w:rPr>
              <w:t>Olaroz Salars.</w:t>
            </w:r>
          </w:p>
        </w:tc>
      </w:tr>
      <w:tr>
        <w:trPr>
          <w:trHeight w:val="380"/>
        </w:trPr>
        <w:tc>
          <w:tcPr>
            <w:tcW w:w="1540" w:type="dxa"/>
            <w:vAlign w:val="bottom"/>
            <w:shd w:val="clear" w:color="auto" w:fill="F2F2F2"/>
          </w:tcPr>
          <w:p>
            <w:pPr>
              <w:spacing w:after="0"/>
              <w:rPr>
                <w:sz w:val="24"/>
                <w:szCs w:val="24"/>
                <w:color w:val="auto"/>
              </w:rPr>
            </w:pPr>
          </w:p>
        </w:tc>
        <w:tc>
          <w:tcPr>
            <w:tcW w:w="8020" w:type="dxa"/>
            <w:vAlign w:val="bottom"/>
            <w:gridSpan w:val="2"/>
            <w:shd w:val="clear" w:color="auto" w:fill="F2F2F2"/>
          </w:tcPr>
          <w:p>
            <w:pPr>
              <w:ind w:left="340"/>
              <w:spacing w:after="0"/>
              <w:rPr>
                <w:sz w:val="20"/>
                <w:szCs w:val="20"/>
                <w:color w:val="auto"/>
              </w:rPr>
            </w:pPr>
            <w:r>
              <w:rPr>
                <w:rFonts w:ascii="Arial" w:cs="Arial" w:eastAsia="Arial" w:hAnsi="Arial"/>
                <w:sz w:val="20"/>
                <w:szCs w:val="20"/>
                <w:color w:val="auto"/>
              </w:rPr>
              <w:t>▪Exploration programs focused on lithium and potassium were completed, which</w:t>
            </w:r>
          </w:p>
        </w:tc>
      </w:tr>
      <w:tr>
        <w:trPr>
          <w:trHeight w:val="360"/>
        </w:trPr>
        <w:tc>
          <w:tcPr>
            <w:tcW w:w="1540" w:type="dxa"/>
            <w:vAlign w:val="bottom"/>
            <w:shd w:val="clear" w:color="auto" w:fill="F2F2F2"/>
          </w:tcPr>
          <w:p>
            <w:pPr>
              <w:spacing w:after="0"/>
              <w:rPr>
                <w:sz w:val="24"/>
                <w:szCs w:val="24"/>
                <w:color w:val="auto"/>
              </w:rPr>
            </w:pPr>
          </w:p>
        </w:tc>
        <w:tc>
          <w:tcPr>
            <w:tcW w:w="560" w:type="dxa"/>
            <w:vAlign w:val="bottom"/>
            <w:shd w:val="clear" w:color="auto" w:fill="F2F2F2"/>
          </w:tcPr>
          <w:p>
            <w:pPr>
              <w:spacing w:after="0"/>
              <w:rPr>
                <w:sz w:val="24"/>
                <w:szCs w:val="24"/>
                <w:color w:val="auto"/>
              </w:rPr>
            </w:pPr>
          </w:p>
        </w:tc>
        <w:tc>
          <w:tcPr>
            <w:tcW w:w="7460" w:type="dxa"/>
            <w:vAlign w:val="bottom"/>
            <w:shd w:val="clear" w:color="auto" w:fill="F2F2F2"/>
          </w:tcPr>
          <w:p>
            <w:pPr>
              <w:ind w:left="140"/>
              <w:spacing w:after="0"/>
              <w:rPr>
                <w:sz w:val="20"/>
                <w:szCs w:val="20"/>
                <w:color w:val="auto"/>
              </w:rPr>
            </w:pPr>
            <w:r>
              <w:rPr>
                <w:rFonts w:ascii="Arial" w:cs="Arial" w:eastAsia="Arial" w:hAnsi="Arial"/>
                <w:sz w:val="20"/>
                <w:szCs w:val="20"/>
                <w:color w:val="auto"/>
              </w:rPr>
              <w:t>resulted in the preparation of a measured, indicated and inferred mineral resource</w:t>
            </w:r>
          </w:p>
        </w:tc>
      </w:tr>
      <w:tr>
        <w:trPr>
          <w:trHeight w:val="360"/>
        </w:trPr>
        <w:tc>
          <w:tcPr>
            <w:tcW w:w="1540" w:type="dxa"/>
            <w:vAlign w:val="bottom"/>
            <w:shd w:val="clear" w:color="auto" w:fill="F2F2F2"/>
          </w:tcPr>
          <w:p>
            <w:pPr>
              <w:spacing w:after="0"/>
              <w:rPr>
                <w:sz w:val="24"/>
                <w:szCs w:val="24"/>
                <w:color w:val="auto"/>
              </w:rPr>
            </w:pPr>
          </w:p>
        </w:tc>
        <w:tc>
          <w:tcPr>
            <w:tcW w:w="560" w:type="dxa"/>
            <w:vAlign w:val="bottom"/>
            <w:shd w:val="clear" w:color="auto" w:fill="F2F2F2"/>
          </w:tcPr>
          <w:p>
            <w:pPr>
              <w:spacing w:after="0"/>
              <w:rPr>
                <w:sz w:val="24"/>
                <w:szCs w:val="24"/>
                <w:color w:val="auto"/>
              </w:rPr>
            </w:pPr>
          </w:p>
        </w:tc>
        <w:tc>
          <w:tcPr>
            <w:tcW w:w="7460" w:type="dxa"/>
            <w:vAlign w:val="bottom"/>
            <w:shd w:val="clear" w:color="auto" w:fill="F2F2F2"/>
          </w:tcPr>
          <w:p>
            <w:pPr>
              <w:ind w:left="140"/>
              <w:spacing w:after="0"/>
              <w:rPr>
                <w:sz w:val="20"/>
                <w:szCs w:val="20"/>
                <w:color w:val="auto"/>
              </w:rPr>
            </w:pPr>
            <w:r>
              <w:rPr>
                <w:rFonts w:ascii="Arial" w:cs="Arial" w:eastAsia="Arial" w:hAnsi="Arial"/>
                <w:sz w:val="20"/>
                <w:szCs w:val="20"/>
                <w:color w:val="auto"/>
              </w:rPr>
              <w:t>report for potassium and lithium.</w:t>
            </w:r>
          </w:p>
        </w:tc>
      </w:tr>
      <w:tr>
        <w:trPr>
          <w:trHeight w:val="95"/>
        </w:trPr>
        <w:tc>
          <w:tcPr>
            <w:tcW w:w="1540" w:type="dxa"/>
            <w:vAlign w:val="bottom"/>
            <w:shd w:val="clear" w:color="auto" w:fill="F2F2F2"/>
          </w:tcPr>
          <w:p>
            <w:pPr>
              <w:spacing w:after="0"/>
              <w:rPr>
                <w:sz w:val="8"/>
                <w:szCs w:val="8"/>
                <w:color w:val="auto"/>
              </w:rPr>
            </w:pPr>
          </w:p>
        </w:tc>
        <w:tc>
          <w:tcPr>
            <w:tcW w:w="560" w:type="dxa"/>
            <w:vAlign w:val="bottom"/>
            <w:shd w:val="clear" w:color="auto" w:fill="F2F2F2"/>
          </w:tcPr>
          <w:p>
            <w:pPr>
              <w:spacing w:after="0"/>
              <w:rPr>
                <w:sz w:val="8"/>
                <w:szCs w:val="8"/>
                <w:color w:val="auto"/>
              </w:rPr>
            </w:pPr>
          </w:p>
        </w:tc>
        <w:tc>
          <w:tcPr>
            <w:tcW w:w="7460" w:type="dxa"/>
            <w:vAlign w:val="bottom"/>
            <w:shd w:val="clear" w:color="auto" w:fill="F2F2F2"/>
          </w:tcPr>
          <w:p>
            <w:pPr>
              <w:spacing w:after="0"/>
              <w:rPr>
                <w:sz w:val="8"/>
                <w:szCs w:val="8"/>
                <w:color w:val="auto"/>
              </w:rPr>
            </w:pPr>
          </w:p>
        </w:tc>
      </w:tr>
      <w:tr>
        <w:trPr>
          <w:trHeight w:val="325"/>
        </w:trPr>
        <w:tc>
          <w:tcPr>
            <w:tcW w:w="1540" w:type="dxa"/>
            <w:vAlign w:val="bottom"/>
          </w:tcPr>
          <w:p>
            <w:pPr>
              <w:spacing w:after="0"/>
              <w:rPr>
                <w:sz w:val="20"/>
                <w:szCs w:val="20"/>
                <w:color w:val="auto"/>
              </w:rPr>
            </w:pPr>
            <w:r>
              <w:rPr>
                <w:rFonts w:ascii="Arial" w:cs="Arial" w:eastAsia="Arial" w:hAnsi="Arial"/>
                <w:sz w:val="20"/>
                <w:szCs w:val="20"/>
                <w:b w:val="1"/>
                <w:bCs w:val="1"/>
                <w:color w:val="auto"/>
              </w:rPr>
              <w:t>2012</w:t>
            </w:r>
          </w:p>
        </w:tc>
        <w:tc>
          <w:tcPr>
            <w:tcW w:w="560" w:type="dxa"/>
            <w:vAlign w:val="bottom"/>
          </w:tcPr>
          <w:p>
            <w:pPr>
              <w:ind w:left="340"/>
              <w:spacing w:after="0"/>
              <w:rPr>
                <w:sz w:val="20"/>
                <w:szCs w:val="20"/>
                <w:color w:val="auto"/>
              </w:rPr>
            </w:pPr>
            <w:r>
              <w:rPr>
                <w:rFonts w:ascii="Arial" w:cs="Arial" w:eastAsia="Arial" w:hAnsi="Arial"/>
                <w:sz w:val="20"/>
                <w:szCs w:val="20"/>
                <w:color w:val="auto"/>
              </w:rPr>
              <w:t>▪</w:t>
            </w:r>
          </w:p>
        </w:tc>
        <w:tc>
          <w:tcPr>
            <w:tcW w:w="7460" w:type="dxa"/>
            <w:vAlign w:val="bottom"/>
          </w:tcPr>
          <w:p>
            <w:pPr>
              <w:ind w:left="140"/>
              <w:spacing w:after="0"/>
              <w:rPr>
                <w:sz w:val="20"/>
                <w:szCs w:val="20"/>
                <w:color w:val="auto"/>
              </w:rPr>
            </w:pPr>
            <w:r>
              <w:rPr>
                <w:rFonts w:ascii="Arial" w:cs="Arial" w:eastAsia="Arial" w:hAnsi="Arial"/>
                <w:sz w:val="20"/>
                <w:szCs w:val="20"/>
                <w:color w:val="auto"/>
              </w:rPr>
              <w:t>An initial feasibility study was completed.</w:t>
            </w:r>
          </w:p>
        </w:tc>
      </w:tr>
      <w:tr>
        <w:trPr>
          <w:trHeight w:val="95"/>
        </w:trPr>
        <w:tc>
          <w:tcPr>
            <w:tcW w:w="1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60" w:type="dxa"/>
            <w:vAlign w:val="bottom"/>
          </w:tcPr>
          <w:p>
            <w:pPr>
              <w:spacing w:after="0"/>
              <w:rPr>
                <w:sz w:val="8"/>
                <w:szCs w:val="8"/>
                <w:color w:val="auto"/>
              </w:rPr>
            </w:pPr>
          </w:p>
        </w:tc>
      </w:tr>
      <w:tr>
        <w:trPr>
          <w:trHeight w:val="325"/>
        </w:trPr>
        <w:tc>
          <w:tcPr>
            <w:tcW w:w="1540" w:type="dxa"/>
            <w:vAlign w:val="bottom"/>
            <w:shd w:val="clear" w:color="auto" w:fill="F2F2F2"/>
          </w:tcPr>
          <w:p>
            <w:pPr>
              <w:spacing w:after="0"/>
              <w:rPr>
                <w:sz w:val="20"/>
                <w:szCs w:val="20"/>
                <w:color w:val="auto"/>
              </w:rPr>
            </w:pPr>
            <w:r>
              <w:rPr>
                <w:rFonts w:ascii="Arial" w:cs="Arial" w:eastAsia="Arial" w:hAnsi="Arial"/>
                <w:sz w:val="20"/>
                <w:szCs w:val="20"/>
                <w:b w:val="1"/>
                <w:bCs w:val="1"/>
                <w:color w:val="auto"/>
              </w:rPr>
              <w:t>2016</w:t>
            </w:r>
          </w:p>
        </w:tc>
        <w:tc>
          <w:tcPr>
            <w:tcW w:w="560" w:type="dxa"/>
            <w:vAlign w:val="bottom"/>
            <w:shd w:val="clear" w:color="auto" w:fill="F2F2F2"/>
          </w:tcPr>
          <w:p>
            <w:pPr>
              <w:ind w:left="340"/>
              <w:spacing w:after="0"/>
              <w:rPr>
                <w:sz w:val="20"/>
                <w:szCs w:val="20"/>
                <w:color w:val="auto"/>
              </w:rPr>
            </w:pPr>
            <w:r>
              <w:rPr>
                <w:rFonts w:ascii="Arial" w:cs="Arial" w:eastAsia="Arial" w:hAnsi="Arial"/>
                <w:sz w:val="20"/>
                <w:szCs w:val="20"/>
                <w:color w:val="auto"/>
              </w:rPr>
              <w:t>▪</w:t>
            </w:r>
          </w:p>
        </w:tc>
        <w:tc>
          <w:tcPr>
            <w:tcW w:w="7460" w:type="dxa"/>
            <w:vAlign w:val="bottom"/>
            <w:shd w:val="clear" w:color="auto" w:fill="F2F2F2"/>
          </w:tcPr>
          <w:p>
            <w:pPr>
              <w:ind w:left="140"/>
              <w:spacing w:after="0"/>
              <w:rPr>
                <w:sz w:val="20"/>
                <w:szCs w:val="20"/>
                <w:color w:val="auto"/>
              </w:rPr>
            </w:pPr>
            <w:r>
              <w:rPr>
                <w:rFonts w:ascii="Arial" w:cs="Arial" w:eastAsia="Arial" w:hAnsi="Arial"/>
                <w:sz w:val="20"/>
                <w:szCs w:val="20"/>
                <w:color w:val="auto"/>
                <w:w w:val="99"/>
              </w:rPr>
              <w:t>Exar acquired an option to acquire title to a portion of the mining properties compris</w:t>
            </w:r>
          </w:p>
        </w:tc>
      </w:tr>
      <w:tr>
        <w:trPr>
          <w:trHeight w:val="360"/>
        </w:trPr>
        <w:tc>
          <w:tcPr>
            <w:tcW w:w="1540" w:type="dxa"/>
            <w:vAlign w:val="bottom"/>
            <w:shd w:val="clear" w:color="auto" w:fill="F2F2F2"/>
          </w:tcPr>
          <w:p>
            <w:pPr>
              <w:spacing w:after="0"/>
              <w:rPr>
                <w:sz w:val="24"/>
                <w:szCs w:val="24"/>
                <w:color w:val="auto"/>
              </w:rPr>
            </w:pPr>
          </w:p>
        </w:tc>
        <w:tc>
          <w:tcPr>
            <w:tcW w:w="560" w:type="dxa"/>
            <w:vAlign w:val="bottom"/>
            <w:shd w:val="clear" w:color="auto" w:fill="F2F2F2"/>
          </w:tcPr>
          <w:p>
            <w:pPr>
              <w:spacing w:after="0"/>
              <w:rPr>
                <w:sz w:val="24"/>
                <w:szCs w:val="24"/>
                <w:color w:val="auto"/>
              </w:rPr>
            </w:pPr>
          </w:p>
        </w:tc>
        <w:tc>
          <w:tcPr>
            <w:tcW w:w="7460" w:type="dxa"/>
            <w:vAlign w:val="bottom"/>
            <w:shd w:val="clear" w:color="auto" w:fill="F2F2F2"/>
          </w:tcPr>
          <w:p>
            <w:pPr>
              <w:ind w:left="140"/>
              <w:spacing w:after="0"/>
              <w:rPr>
                <w:sz w:val="20"/>
                <w:szCs w:val="20"/>
                <w:color w:val="auto"/>
              </w:rPr>
            </w:pPr>
            <w:r>
              <w:rPr>
                <w:rFonts w:ascii="Arial" w:cs="Arial" w:eastAsia="Arial" w:hAnsi="Arial"/>
                <w:sz w:val="20"/>
                <w:szCs w:val="20"/>
                <w:color w:val="auto"/>
              </w:rPr>
              <w:t>the project from Los Boros pursuant to the Option Agreement.</w:t>
            </w:r>
          </w:p>
        </w:tc>
      </w:tr>
      <w:tr>
        <w:trPr>
          <w:trHeight w:val="380"/>
        </w:trPr>
        <w:tc>
          <w:tcPr>
            <w:tcW w:w="1540" w:type="dxa"/>
            <w:vAlign w:val="bottom"/>
            <w:shd w:val="clear" w:color="auto" w:fill="F2F2F2"/>
          </w:tcPr>
          <w:p>
            <w:pPr>
              <w:spacing w:after="0"/>
              <w:rPr>
                <w:sz w:val="24"/>
                <w:szCs w:val="24"/>
                <w:color w:val="auto"/>
              </w:rPr>
            </w:pPr>
          </w:p>
        </w:tc>
        <w:tc>
          <w:tcPr>
            <w:tcW w:w="8020" w:type="dxa"/>
            <w:vAlign w:val="bottom"/>
            <w:gridSpan w:val="2"/>
            <w:shd w:val="clear" w:color="auto" w:fill="F2F2F2"/>
          </w:tcPr>
          <w:p>
            <w:pPr>
              <w:ind w:left="340"/>
              <w:spacing w:after="0"/>
              <w:rPr>
                <w:sz w:val="20"/>
                <w:szCs w:val="20"/>
                <w:color w:val="auto"/>
              </w:rPr>
            </w:pPr>
            <w:r>
              <w:rPr>
                <w:rFonts w:ascii="Arial" w:cs="Arial" w:eastAsia="Arial" w:hAnsi="Arial"/>
                <w:sz w:val="20"/>
                <w:szCs w:val="20"/>
                <w:color w:val="auto"/>
                <w:w w:val="99"/>
              </w:rPr>
              <w:t>▪SQM acquired a 50% interest in Exar and the project.</w:t>
            </w:r>
          </w:p>
        </w:tc>
      </w:tr>
      <w:tr>
        <w:trPr>
          <w:trHeight w:val="95"/>
        </w:trPr>
        <w:tc>
          <w:tcPr>
            <w:tcW w:w="1540" w:type="dxa"/>
            <w:vAlign w:val="bottom"/>
            <w:shd w:val="clear" w:color="auto" w:fill="F2F2F2"/>
          </w:tcPr>
          <w:p>
            <w:pPr>
              <w:spacing w:after="0"/>
              <w:rPr>
                <w:sz w:val="8"/>
                <w:szCs w:val="8"/>
                <w:color w:val="auto"/>
              </w:rPr>
            </w:pPr>
          </w:p>
        </w:tc>
        <w:tc>
          <w:tcPr>
            <w:tcW w:w="560" w:type="dxa"/>
            <w:vAlign w:val="bottom"/>
            <w:shd w:val="clear" w:color="auto" w:fill="F2F2F2"/>
          </w:tcPr>
          <w:p>
            <w:pPr>
              <w:spacing w:after="0"/>
              <w:rPr>
                <w:sz w:val="8"/>
                <w:szCs w:val="8"/>
                <w:color w:val="auto"/>
              </w:rPr>
            </w:pPr>
          </w:p>
        </w:tc>
        <w:tc>
          <w:tcPr>
            <w:tcW w:w="7460" w:type="dxa"/>
            <w:vAlign w:val="bottom"/>
            <w:shd w:val="clear" w:color="auto" w:fill="F2F2F2"/>
          </w:tcPr>
          <w:p>
            <w:pPr>
              <w:spacing w:after="0"/>
              <w:rPr>
                <w:sz w:val="8"/>
                <w:szCs w:val="8"/>
                <w:color w:val="auto"/>
              </w:rPr>
            </w:pPr>
          </w:p>
        </w:tc>
      </w:tr>
      <w:tr>
        <w:trPr>
          <w:trHeight w:val="325"/>
        </w:trPr>
        <w:tc>
          <w:tcPr>
            <w:tcW w:w="1540" w:type="dxa"/>
            <w:vAlign w:val="bottom"/>
          </w:tcPr>
          <w:p>
            <w:pPr>
              <w:spacing w:after="0"/>
              <w:rPr>
                <w:sz w:val="20"/>
                <w:szCs w:val="20"/>
                <w:color w:val="auto"/>
              </w:rPr>
            </w:pPr>
            <w:r>
              <w:rPr>
                <w:rFonts w:ascii="Arial" w:cs="Arial" w:eastAsia="Arial" w:hAnsi="Arial"/>
                <w:sz w:val="20"/>
                <w:szCs w:val="20"/>
                <w:b w:val="1"/>
                <w:bCs w:val="1"/>
                <w:color w:val="auto"/>
              </w:rPr>
              <w:t>2017</w:t>
            </w:r>
          </w:p>
        </w:tc>
        <w:tc>
          <w:tcPr>
            <w:tcW w:w="560" w:type="dxa"/>
            <w:vAlign w:val="bottom"/>
          </w:tcPr>
          <w:p>
            <w:pPr>
              <w:ind w:left="340"/>
              <w:spacing w:after="0"/>
              <w:rPr>
                <w:sz w:val="20"/>
                <w:szCs w:val="20"/>
                <w:color w:val="auto"/>
              </w:rPr>
            </w:pPr>
            <w:r>
              <w:rPr>
                <w:rFonts w:ascii="Arial" w:cs="Arial" w:eastAsia="Arial" w:hAnsi="Arial"/>
                <w:sz w:val="20"/>
                <w:szCs w:val="20"/>
                <w:color w:val="auto"/>
              </w:rPr>
              <w:t>▪</w:t>
            </w:r>
          </w:p>
        </w:tc>
        <w:tc>
          <w:tcPr>
            <w:tcW w:w="7460" w:type="dxa"/>
            <w:vAlign w:val="bottom"/>
          </w:tcPr>
          <w:p>
            <w:pPr>
              <w:ind w:left="140"/>
              <w:spacing w:after="0"/>
              <w:rPr>
                <w:sz w:val="20"/>
                <w:szCs w:val="20"/>
                <w:color w:val="auto"/>
              </w:rPr>
            </w:pPr>
            <w:r>
              <w:rPr>
                <w:rFonts w:ascii="Arial" w:cs="Arial" w:eastAsia="Arial" w:hAnsi="Arial"/>
                <w:sz w:val="20"/>
                <w:szCs w:val="20"/>
                <w:color w:val="auto"/>
              </w:rPr>
              <w:t>A feasibility study with an updated Mineral Reserve estimate was prepared by the</w:t>
            </w:r>
          </w:p>
        </w:tc>
      </w:tr>
      <w:tr>
        <w:trPr>
          <w:trHeight w:val="360"/>
        </w:trPr>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60" w:type="dxa"/>
            <w:vAlign w:val="bottom"/>
          </w:tcPr>
          <w:p>
            <w:pPr>
              <w:ind w:left="140"/>
              <w:spacing w:after="0"/>
              <w:rPr>
                <w:sz w:val="20"/>
                <w:szCs w:val="20"/>
                <w:color w:val="auto"/>
              </w:rPr>
            </w:pPr>
            <w:r>
              <w:rPr>
                <w:rFonts w:ascii="Arial" w:cs="Arial" w:eastAsia="Arial" w:hAnsi="Arial"/>
                <w:sz w:val="20"/>
                <w:szCs w:val="20"/>
                <w:color w:val="auto"/>
              </w:rPr>
              <w:t>Company.</w:t>
            </w:r>
          </w:p>
        </w:tc>
      </w:tr>
      <w:tr>
        <w:trPr>
          <w:trHeight w:val="95"/>
        </w:trPr>
        <w:tc>
          <w:tcPr>
            <w:tcW w:w="1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60" w:type="dxa"/>
            <w:vAlign w:val="bottom"/>
          </w:tcPr>
          <w:p>
            <w:pPr>
              <w:spacing w:after="0"/>
              <w:rPr>
                <w:sz w:val="8"/>
                <w:szCs w:val="8"/>
                <w:color w:val="auto"/>
              </w:rPr>
            </w:pPr>
          </w:p>
        </w:tc>
      </w:tr>
      <w:tr>
        <w:trPr>
          <w:trHeight w:val="325"/>
        </w:trPr>
        <w:tc>
          <w:tcPr>
            <w:tcW w:w="1540" w:type="dxa"/>
            <w:vAlign w:val="bottom"/>
            <w:shd w:val="clear" w:color="auto" w:fill="F2F2F2"/>
          </w:tcPr>
          <w:p>
            <w:pPr>
              <w:spacing w:after="0"/>
              <w:rPr>
                <w:sz w:val="20"/>
                <w:szCs w:val="20"/>
                <w:color w:val="auto"/>
              </w:rPr>
            </w:pPr>
            <w:r>
              <w:rPr>
                <w:rFonts w:ascii="Arial" w:cs="Arial" w:eastAsia="Arial" w:hAnsi="Arial"/>
                <w:sz w:val="20"/>
                <w:szCs w:val="20"/>
                <w:b w:val="1"/>
                <w:bCs w:val="1"/>
                <w:color w:val="auto"/>
              </w:rPr>
              <w:t>2018</w:t>
            </w:r>
          </w:p>
        </w:tc>
        <w:tc>
          <w:tcPr>
            <w:tcW w:w="560" w:type="dxa"/>
            <w:vAlign w:val="bottom"/>
            <w:shd w:val="clear" w:color="auto" w:fill="F2F2F2"/>
          </w:tcPr>
          <w:p>
            <w:pPr>
              <w:ind w:left="340"/>
              <w:spacing w:after="0"/>
              <w:rPr>
                <w:sz w:val="20"/>
                <w:szCs w:val="20"/>
                <w:color w:val="auto"/>
              </w:rPr>
            </w:pPr>
            <w:r>
              <w:rPr>
                <w:rFonts w:ascii="Arial" w:cs="Arial" w:eastAsia="Arial" w:hAnsi="Arial"/>
                <w:sz w:val="20"/>
                <w:szCs w:val="20"/>
                <w:color w:val="auto"/>
              </w:rPr>
              <w:t>▪</w:t>
            </w:r>
          </w:p>
        </w:tc>
        <w:tc>
          <w:tcPr>
            <w:tcW w:w="7460" w:type="dxa"/>
            <w:vAlign w:val="bottom"/>
            <w:shd w:val="clear" w:color="auto" w:fill="F2F2F2"/>
          </w:tcPr>
          <w:p>
            <w:pPr>
              <w:ind w:left="140"/>
              <w:spacing w:after="0"/>
              <w:rPr>
                <w:sz w:val="20"/>
                <w:szCs w:val="20"/>
                <w:color w:val="auto"/>
              </w:rPr>
            </w:pPr>
            <w:r>
              <w:rPr>
                <w:rFonts w:ascii="Arial" w:cs="Arial" w:eastAsia="Arial" w:hAnsi="Arial"/>
                <w:sz w:val="20"/>
                <w:szCs w:val="20"/>
                <w:color w:val="auto"/>
                <w:w w:val="99"/>
              </w:rPr>
              <w:t>The option to acquire title to certain of the properties comprising the project from Lo</w:t>
            </w:r>
          </w:p>
        </w:tc>
      </w:tr>
      <w:tr>
        <w:trPr>
          <w:trHeight w:val="360"/>
        </w:trPr>
        <w:tc>
          <w:tcPr>
            <w:tcW w:w="1540" w:type="dxa"/>
            <w:vAlign w:val="bottom"/>
            <w:shd w:val="clear" w:color="auto" w:fill="F2F2F2"/>
          </w:tcPr>
          <w:p>
            <w:pPr>
              <w:spacing w:after="0"/>
              <w:rPr>
                <w:sz w:val="24"/>
                <w:szCs w:val="24"/>
                <w:color w:val="auto"/>
              </w:rPr>
            </w:pPr>
          </w:p>
        </w:tc>
        <w:tc>
          <w:tcPr>
            <w:tcW w:w="560" w:type="dxa"/>
            <w:vAlign w:val="bottom"/>
            <w:shd w:val="clear" w:color="auto" w:fill="F2F2F2"/>
          </w:tcPr>
          <w:p>
            <w:pPr>
              <w:spacing w:after="0"/>
              <w:rPr>
                <w:sz w:val="24"/>
                <w:szCs w:val="24"/>
                <w:color w:val="auto"/>
              </w:rPr>
            </w:pPr>
          </w:p>
        </w:tc>
        <w:tc>
          <w:tcPr>
            <w:tcW w:w="7460" w:type="dxa"/>
            <w:vAlign w:val="bottom"/>
            <w:shd w:val="clear" w:color="auto" w:fill="F2F2F2"/>
          </w:tcPr>
          <w:p>
            <w:pPr>
              <w:ind w:left="140"/>
              <w:spacing w:after="0"/>
              <w:rPr>
                <w:sz w:val="20"/>
                <w:szCs w:val="20"/>
                <w:color w:val="auto"/>
              </w:rPr>
            </w:pPr>
            <w:r>
              <w:rPr>
                <w:rFonts w:ascii="Arial" w:cs="Arial" w:eastAsia="Arial" w:hAnsi="Arial"/>
                <w:sz w:val="20"/>
                <w:szCs w:val="20"/>
                <w:color w:val="auto"/>
              </w:rPr>
              <w:t>Boros was exercised.</w:t>
            </w:r>
          </w:p>
        </w:tc>
      </w:tr>
      <w:tr>
        <w:trPr>
          <w:trHeight w:val="380"/>
        </w:trPr>
        <w:tc>
          <w:tcPr>
            <w:tcW w:w="1540" w:type="dxa"/>
            <w:vAlign w:val="bottom"/>
            <w:shd w:val="clear" w:color="auto" w:fill="F2F2F2"/>
          </w:tcPr>
          <w:p>
            <w:pPr>
              <w:spacing w:after="0"/>
              <w:rPr>
                <w:sz w:val="24"/>
                <w:szCs w:val="24"/>
                <w:color w:val="auto"/>
              </w:rPr>
            </w:pPr>
          </w:p>
        </w:tc>
        <w:tc>
          <w:tcPr>
            <w:tcW w:w="560" w:type="dxa"/>
            <w:vAlign w:val="bottom"/>
            <w:shd w:val="clear" w:color="auto" w:fill="F2F2F2"/>
          </w:tcPr>
          <w:p>
            <w:pPr>
              <w:ind w:left="340"/>
              <w:spacing w:after="0"/>
              <w:rPr>
                <w:sz w:val="20"/>
                <w:szCs w:val="20"/>
                <w:color w:val="auto"/>
              </w:rPr>
            </w:pPr>
            <w:r>
              <w:rPr>
                <w:rFonts w:ascii="Arial" w:cs="Arial" w:eastAsia="Arial" w:hAnsi="Arial"/>
                <w:sz w:val="20"/>
                <w:szCs w:val="20"/>
                <w:color w:val="auto"/>
              </w:rPr>
              <w:t>▪</w:t>
            </w:r>
          </w:p>
        </w:tc>
        <w:tc>
          <w:tcPr>
            <w:tcW w:w="7460" w:type="dxa"/>
            <w:vAlign w:val="bottom"/>
            <w:shd w:val="clear" w:color="auto" w:fill="F2F2F2"/>
          </w:tcPr>
          <w:p>
            <w:pPr>
              <w:ind w:left="140"/>
              <w:spacing w:after="0"/>
              <w:rPr>
                <w:sz w:val="20"/>
                <w:szCs w:val="20"/>
                <w:color w:val="auto"/>
              </w:rPr>
            </w:pPr>
            <w:r>
              <w:rPr>
                <w:rFonts w:ascii="Arial" w:cs="Arial" w:eastAsia="Arial" w:hAnsi="Arial"/>
                <w:sz w:val="20"/>
                <w:szCs w:val="20"/>
                <w:color w:val="auto"/>
              </w:rPr>
              <w:t>Project construction began.</w:t>
            </w:r>
          </w:p>
        </w:tc>
      </w:tr>
      <w:tr>
        <w:trPr>
          <w:trHeight w:val="380"/>
        </w:trPr>
        <w:tc>
          <w:tcPr>
            <w:tcW w:w="1540" w:type="dxa"/>
            <w:vAlign w:val="bottom"/>
            <w:shd w:val="clear" w:color="auto" w:fill="F2F2F2"/>
          </w:tcPr>
          <w:p>
            <w:pPr>
              <w:spacing w:after="0"/>
              <w:rPr>
                <w:sz w:val="24"/>
                <w:szCs w:val="24"/>
                <w:color w:val="auto"/>
              </w:rPr>
            </w:pPr>
          </w:p>
        </w:tc>
        <w:tc>
          <w:tcPr>
            <w:tcW w:w="8020" w:type="dxa"/>
            <w:vAlign w:val="bottom"/>
            <w:gridSpan w:val="2"/>
            <w:shd w:val="clear" w:color="auto" w:fill="F2F2F2"/>
          </w:tcPr>
          <w:p>
            <w:pPr>
              <w:ind w:left="340"/>
              <w:spacing w:after="0"/>
              <w:rPr>
                <w:sz w:val="20"/>
                <w:szCs w:val="20"/>
                <w:color w:val="auto"/>
              </w:rPr>
            </w:pPr>
            <w:r>
              <w:rPr>
                <w:rFonts w:ascii="Arial" w:cs="Arial" w:eastAsia="Arial" w:hAnsi="Arial"/>
                <w:sz w:val="20"/>
                <w:szCs w:val="20"/>
                <w:color w:val="auto"/>
                <w:w w:val="99"/>
              </w:rPr>
              <w:t>▪Ganfeng acquired a 37.5% interest in the project, and the Company acquired an</w:t>
            </w:r>
          </w:p>
        </w:tc>
      </w:tr>
      <w:tr>
        <w:trPr>
          <w:trHeight w:val="360"/>
        </w:trPr>
        <w:tc>
          <w:tcPr>
            <w:tcW w:w="1540" w:type="dxa"/>
            <w:vAlign w:val="bottom"/>
            <w:shd w:val="clear" w:color="auto" w:fill="F2F2F2"/>
          </w:tcPr>
          <w:p>
            <w:pPr>
              <w:spacing w:after="0"/>
              <w:rPr>
                <w:sz w:val="24"/>
                <w:szCs w:val="24"/>
                <w:color w:val="auto"/>
              </w:rPr>
            </w:pPr>
          </w:p>
        </w:tc>
        <w:tc>
          <w:tcPr>
            <w:tcW w:w="560" w:type="dxa"/>
            <w:vAlign w:val="bottom"/>
            <w:shd w:val="clear" w:color="auto" w:fill="F2F2F2"/>
          </w:tcPr>
          <w:p>
            <w:pPr>
              <w:spacing w:after="0"/>
              <w:rPr>
                <w:sz w:val="24"/>
                <w:szCs w:val="24"/>
                <w:color w:val="auto"/>
              </w:rPr>
            </w:pPr>
          </w:p>
        </w:tc>
        <w:tc>
          <w:tcPr>
            <w:tcW w:w="7460" w:type="dxa"/>
            <w:vAlign w:val="bottom"/>
            <w:shd w:val="clear" w:color="auto" w:fill="F2F2F2"/>
          </w:tcPr>
          <w:p>
            <w:pPr>
              <w:ind w:left="140"/>
              <w:spacing w:after="0"/>
              <w:rPr>
                <w:sz w:val="20"/>
                <w:szCs w:val="20"/>
                <w:color w:val="auto"/>
              </w:rPr>
            </w:pPr>
            <w:r>
              <w:rPr>
                <w:rFonts w:ascii="Arial" w:cs="Arial" w:eastAsia="Arial" w:hAnsi="Arial"/>
                <w:sz w:val="20"/>
                <w:szCs w:val="20"/>
                <w:color w:val="auto"/>
              </w:rPr>
              <w:t>additional 12.5% interest, for an aggregate 62.5% interest held by the Company.</w:t>
            </w:r>
          </w:p>
        </w:tc>
      </w:tr>
      <w:tr>
        <w:trPr>
          <w:trHeight w:val="95"/>
        </w:trPr>
        <w:tc>
          <w:tcPr>
            <w:tcW w:w="1540" w:type="dxa"/>
            <w:vAlign w:val="bottom"/>
            <w:shd w:val="clear" w:color="auto" w:fill="F2F2F2"/>
          </w:tcPr>
          <w:p>
            <w:pPr>
              <w:spacing w:after="0"/>
              <w:rPr>
                <w:sz w:val="8"/>
                <w:szCs w:val="8"/>
                <w:color w:val="auto"/>
              </w:rPr>
            </w:pPr>
          </w:p>
        </w:tc>
        <w:tc>
          <w:tcPr>
            <w:tcW w:w="560" w:type="dxa"/>
            <w:vAlign w:val="bottom"/>
            <w:shd w:val="clear" w:color="auto" w:fill="F2F2F2"/>
          </w:tcPr>
          <w:p>
            <w:pPr>
              <w:spacing w:after="0"/>
              <w:rPr>
                <w:sz w:val="8"/>
                <w:szCs w:val="8"/>
                <w:color w:val="auto"/>
              </w:rPr>
            </w:pPr>
          </w:p>
        </w:tc>
        <w:tc>
          <w:tcPr>
            <w:tcW w:w="7460" w:type="dxa"/>
            <w:vAlign w:val="bottom"/>
            <w:shd w:val="clear" w:color="auto" w:fill="F2F2F2"/>
          </w:tcPr>
          <w:p>
            <w:pPr>
              <w:spacing w:after="0"/>
              <w:rPr>
                <w:sz w:val="8"/>
                <w:szCs w:val="8"/>
                <w:color w:val="auto"/>
              </w:rPr>
            </w:pPr>
          </w:p>
        </w:tc>
      </w:tr>
      <w:tr>
        <w:trPr>
          <w:trHeight w:val="325"/>
        </w:trPr>
        <w:tc>
          <w:tcPr>
            <w:tcW w:w="1540" w:type="dxa"/>
            <w:vAlign w:val="bottom"/>
          </w:tcPr>
          <w:p>
            <w:pPr>
              <w:spacing w:after="0"/>
              <w:rPr>
                <w:sz w:val="20"/>
                <w:szCs w:val="20"/>
                <w:color w:val="auto"/>
              </w:rPr>
            </w:pPr>
            <w:r>
              <w:rPr>
                <w:rFonts w:ascii="Arial" w:cs="Arial" w:eastAsia="Arial" w:hAnsi="Arial"/>
                <w:sz w:val="20"/>
                <w:szCs w:val="20"/>
                <w:b w:val="1"/>
                <w:bCs w:val="1"/>
                <w:color w:val="auto"/>
              </w:rPr>
              <w:t>2019</w:t>
            </w:r>
          </w:p>
        </w:tc>
        <w:tc>
          <w:tcPr>
            <w:tcW w:w="560" w:type="dxa"/>
            <w:vAlign w:val="bottom"/>
          </w:tcPr>
          <w:p>
            <w:pPr>
              <w:ind w:left="340"/>
              <w:spacing w:after="0"/>
              <w:rPr>
                <w:sz w:val="20"/>
                <w:szCs w:val="20"/>
                <w:color w:val="auto"/>
              </w:rPr>
            </w:pPr>
            <w:r>
              <w:rPr>
                <w:rFonts w:ascii="Arial" w:cs="Arial" w:eastAsia="Arial" w:hAnsi="Arial"/>
                <w:sz w:val="20"/>
                <w:szCs w:val="20"/>
                <w:color w:val="auto"/>
              </w:rPr>
              <w:t>▪</w:t>
            </w:r>
          </w:p>
        </w:tc>
        <w:tc>
          <w:tcPr>
            <w:tcW w:w="7460" w:type="dxa"/>
            <w:vAlign w:val="bottom"/>
          </w:tcPr>
          <w:p>
            <w:pPr>
              <w:ind w:left="140"/>
              <w:spacing w:after="0"/>
              <w:rPr>
                <w:sz w:val="20"/>
                <w:szCs w:val="20"/>
                <w:color w:val="auto"/>
              </w:rPr>
            </w:pPr>
            <w:r>
              <w:rPr>
                <w:rFonts w:ascii="Arial" w:cs="Arial" w:eastAsia="Arial" w:hAnsi="Arial"/>
                <w:sz w:val="20"/>
                <w:szCs w:val="20"/>
                <w:color w:val="auto"/>
              </w:rPr>
              <w:t>Project construction continued.</w:t>
            </w:r>
          </w:p>
        </w:tc>
      </w:tr>
      <w:tr>
        <w:trPr>
          <w:trHeight w:val="380"/>
        </w:trPr>
        <w:tc>
          <w:tcPr>
            <w:tcW w:w="1540" w:type="dxa"/>
            <w:vAlign w:val="bottom"/>
          </w:tcPr>
          <w:p>
            <w:pPr>
              <w:spacing w:after="0"/>
              <w:rPr>
                <w:sz w:val="24"/>
                <w:szCs w:val="24"/>
                <w:color w:val="auto"/>
              </w:rPr>
            </w:pPr>
          </w:p>
        </w:tc>
        <w:tc>
          <w:tcPr>
            <w:tcW w:w="8020" w:type="dxa"/>
            <w:vAlign w:val="bottom"/>
            <w:gridSpan w:val="2"/>
          </w:tcPr>
          <w:p>
            <w:pPr>
              <w:ind w:left="340"/>
              <w:spacing w:after="0"/>
              <w:rPr>
                <w:sz w:val="20"/>
                <w:szCs w:val="20"/>
                <w:color w:val="auto"/>
              </w:rPr>
            </w:pPr>
            <w:r>
              <w:rPr>
                <w:rFonts w:ascii="Arial" w:cs="Arial" w:eastAsia="Arial" w:hAnsi="Arial"/>
                <w:sz w:val="20"/>
                <w:szCs w:val="20"/>
                <w:color w:val="auto"/>
              </w:rPr>
              <w:t>▪The Cauchari-Olaroz Operation Investment closed, resulting in the Company and</w:t>
            </w:r>
          </w:p>
        </w:tc>
      </w:tr>
      <w:tr>
        <w:trPr>
          <w:trHeight w:val="360"/>
        </w:trPr>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60" w:type="dxa"/>
            <w:vAlign w:val="bottom"/>
          </w:tcPr>
          <w:p>
            <w:pPr>
              <w:ind w:left="140"/>
              <w:spacing w:after="0"/>
              <w:rPr>
                <w:sz w:val="20"/>
                <w:szCs w:val="20"/>
                <w:color w:val="auto"/>
              </w:rPr>
            </w:pPr>
            <w:r>
              <w:rPr>
                <w:rFonts w:ascii="Arial" w:cs="Arial" w:eastAsia="Arial" w:hAnsi="Arial"/>
                <w:sz w:val="20"/>
                <w:szCs w:val="20"/>
                <w:color w:val="auto"/>
              </w:rPr>
              <w:t>Ganfeng each holding 50% interests in Exar and the project.</w:t>
            </w:r>
          </w:p>
        </w:tc>
      </w:tr>
      <w:tr>
        <w:trPr>
          <w:trHeight w:val="380"/>
        </w:trPr>
        <w:tc>
          <w:tcPr>
            <w:tcW w:w="1540" w:type="dxa"/>
            <w:vAlign w:val="bottom"/>
          </w:tcPr>
          <w:p>
            <w:pPr>
              <w:spacing w:after="0"/>
              <w:rPr>
                <w:sz w:val="24"/>
                <w:szCs w:val="24"/>
                <w:color w:val="auto"/>
              </w:rPr>
            </w:pPr>
          </w:p>
        </w:tc>
        <w:tc>
          <w:tcPr>
            <w:tcW w:w="8020" w:type="dxa"/>
            <w:vAlign w:val="bottom"/>
            <w:gridSpan w:val="2"/>
          </w:tcPr>
          <w:p>
            <w:pPr>
              <w:ind w:left="340"/>
              <w:spacing w:after="0"/>
              <w:rPr>
                <w:sz w:val="20"/>
                <w:szCs w:val="20"/>
                <w:color w:val="auto"/>
              </w:rPr>
            </w:pPr>
            <w:r>
              <w:rPr>
                <w:rFonts w:ascii="Arial" w:cs="Arial" w:eastAsia="Arial" w:hAnsi="Arial"/>
                <w:sz w:val="20"/>
                <w:szCs w:val="20"/>
                <w:color w:val="auto"/>
              </w:rPr>
              <w:t>▪A feasibility study with an updated Mineral Resource estimate was prepared by the</w:t>
            </w:r>
          </w:p>
        </w:tc>
      </w:tr>
      <w:tr>
        <w:trPr>
          <w:trHeight w:val="360"/>
        </w:trPr>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60" w:type="dxa"/>
            <w:vAlign w:val="bottom"/>
          </w:tcPr>
          <w:p>
            <w:pPr>
              <w:ind w:left="140"/>
              <w:spacing w:after="0"/>
              <w:rPr>
                <w:sz w:val="20"/>
                <w:szCs w:val="20"/>
                <w:color w:val="auto"/>
              </w:rPr>
            </w:pPr>
            <w:r>
              <w:rPr>
                <w:rFonts w:ascii="Arial" w:cs="Arial" w:eastAsia="Arial" w:hAnsi="Arial"/>
                <w:sz w:val="20"/>
                <w:szCs w:val="20"/>
                <w:color w:val="auto"/>
              </w:rPr>
              <w:t>Company.</w:t>
            </w:r>
          </w:p>
        </w:tc>
      </w:tr>
      <w:tr>
        <w:trPr>
          <w:trHeight w:val="420"/>
        </w:trPr>
        <w:tc>
          <w:tcPr>
            <w:tcW w:w="1540" w:type="dxa"/>
            <w:vAlign w:val="bottom"/>
          </w:tcPr>
          <w:p>
            <w:pPr>
              <w:spacing w:after="0"/>
              <w:rPr>
                <w:sz w:val="20"/>
                <w:szCs w:val="20"/>
                <w:color w:val="auto"/>
              </w:rPr>
            </w:pPr>
            <w:r>
              <w:rPr>
                <w:rFonts w:ascii="Arial" w:cs="Arial" w:eastAsia="Arial" w:hAnsi="Arial"/>
                <w:sz w:val="20"/>
                <w:szCs w:val="20"/>
                <w:b w:val="1"/>
                <w:bCs w:val="1"/>
                <w:color w:val="auto"/>
              </w:rPr>
              <w:t>2020</w:t>
            </w:r>
          </w:p>
        </w:tc>
        <w:tc>
          <w:tcPr>
            <w:tcW w:w="560" w:type="dxa"/>
            <w:vAlign w:val="bottom"/>
          </w:tcPr>
          <w:p>
            <w:pPr>
              <w:ind w:left="340"/>
              <w:spacing w:after="0"/>
              <w:rPr>
                <w:sz w:val="20"/>
                <w:szCs w:val="20"/>
                <w:color w:val="auto"/>
              </w:rPr>
            </w:pPr>
            <w:r>
              <w:rPr>
                <w:rFonts w:ascii="Arial" w:cs="Arial" w:eastAsia="Arial" w:hAnsi="Arial"/>
                <w:sz w:val="20"/>
                <w:szCs w:val="20"/>
                <w:color w:val="auto"/>
              </w:rPr>
              <w:t>▪</w:t>
            </w:r>
          </w:p>
        </w:tc>
        <w:tc>
          <w:tcPr>
            <w:tcW w:w="7460" w:type="dxa"/>
            <w:vAlign w:val="bottom"/>
          </w:tcPr>
          <w:p>
            <w:pPr>
              <w:ind w:left="140"/>
              <w:spacing w:after="0"/>
              <w:rPr>
                <w:sz w:val="20"/>
                <w:szCs w:val="20"/>
                <w:color w:val="auto"/>
              </w:rPr>
            </w:pPr>
            <w:r>
              <w:rPr>
                <w:rFonts w:ascii="Arial" w:cs="Arial" w:eastAsia="Arial" w:hAnsi="Arial"/>
                <w:sz w:val="20"/>
                <w:szCs w:val="20"/>
                <w:color w:val="auto"/>
              </w:rPr>
              <w:t>Closing of a transaction by which Ganfeng holds 51% and the Company 49% inter</w:t>
            </w:r>
          </w:p>
        </w:tc>
      </w:tr>
      <w:tr>
        <w:trPr>
          <w:trHeight w:val="360"/>
        </w:trPr>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60" w:type="dxa"/>
            <w:vAlign w:val="bottom"/>
          </w:tcPr>
          <w:p>
            <w:pPr>
              <w:ind w:left="140"/>
              <w:spacing w:after="0"/>
              <w:rPr>
                <w:sz w:val="20"/>
                <w:szCs w:val="20"/>
                <w:color w:val="auto"/>
              </w:rPr>
            </w:pPr>
            <w:r>
              <w:rPr>
                <w:rFonts w:ascii="Arial" w:cs="Arial" w:eastAsia="Arial" w:hAnsi="Arial"/>
                <w:sz w:val="20"/>
                <w:szCs w:val="20"/>
                <w:color w:val="auto"/>
              </w:rPr>
              <w:t>respectively in Cauchari-Olaroz.</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-4358640</wp:posOffset>
            </wp:positionV>
            <wp:extent cx="6078220"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8">
                      <a:extLst>
                        <a:ext uri="{28A0092B-C50C-407E-A947-70E740481C1C}"/>
                      </a:extLst>
                    </a:blip>
                    <a:srcRect/>
                    <a:stretch>
                      <a:fillRect/>
                    </a:stretch>
                  </pic:blipFill>
                  <pic:spPr bwMode="auto">
                    <a:xfrm>
                      <a:off x="0" y="0"/>
                      <a:ext cx="6078220" cy="1270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-4091940</wp:posOffset>
            </wp:positionV>
            <wp:extent cx="6078220"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9">
                      <a:extLst>
                        <a:ext uri="{28A0092B-C50C-407E-A947-70E740481C1C}"/>
                      </a:extLst>
                    </a:blip>
                    <a:srcRect/>
                    <a:stretch>
                      <a:fillRect/>
                    </a:stretch>
                  </pic:blipFill>
                  <pic:spPr bwMode="auto">
                    <a:xfrm>
                      <a:off x="0" y="0"/>
                      <a:ext cx="6078220" cy="1270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-3355340</wp:posOffset>
            </wp:positionV>
            <wp:extent cx="6078220" cy="12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0">
                      <a:extLst>
                        <a:ext uri="{28A0092B-C50C-407E-A947-70E740481C1C}"/>
                      </a:extLst>
                    </a:blip>
                    <a:srcRect/>
                    <a:stretch>
                      <a:fillRect/>
                    </a:stretch>
                  </pic:blipFill>
                  <pic:spPr bwMode="auto">
                    <a:xfrm>
                      <a:off x="0" y="0"/>
                      <a:ext cx="6078220" cy="1270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-2860040</wp:posOffset>
            </wp:positionV>
            <wp:extent cx="6078220"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1">
                      <a:extLst>
                        <a:ext uri="{28A0092B-C50C-407E-A947-70E740481C1C}"/>
                      </a:extLst>
                    </a:blip>
                    <a:srcRect/>
                    <a:stretch>
                      <a:fillRect/>
                    </a:stretch>
                  </pic:blipFill>
                  <pic:spPr bwMode="auto">
                    <a:xfrm>
                      <a:off x="0" y="0"/>
                      <a:ext cx="6078220" cy="1270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-1653540</wp:posOffset>
            </wp:positionV>
            <wp:extent cx="6078220"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2">
                      <a:extLst>
                        <a:ext uri="{28A0092B-C50C-407E-A947-70E740481C1C}"/>
                      </a:extLst>
                    </a:blip>
                    <a:srcRect/>
                    <a:stretch>
                      <a:fillRect/>
                    </a:stretch>
                  </pic:blipFill>
                  <pic:spPr bwMode="auto">
                    <a:xfrm>
                      <a:off x="0" y="0"/>
                      <a:ext cx="6078220" cy="1270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-447040</wp:posOffset>
            </wp:positionV>
            <wp:extent cx="6078220" cy="21463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3">
                      <a:extLst>
                        <a:ext uri="{28A0092B-C50C-407E-A947-70E740481C1C}"/>
                      </a:extLst>
                    </a:blip>
                    <a:srcRect/>
                    <a:stretch>
                      <a:fillRect/>
                    </a:stretch>
                  </pic:blipFill>
                  <pic:spPr bwMode="auto">
                    <a:xfrm>
                      <a:off x="0" y="0"/>
                      <a:ext cx="6078220" cy="2146300"/>
                    </a:xfrm>
                    <a:prstGeom prst="rect">
                      <a:avLst/>
                    </a:prstGeom>
                    <a:noFill/>
                  </pic:spPr>
                </pic:pic>
              </a:graphicData>
            </a:graphic>
          </wp:anchor>
        </w:drawing>
      </w:r>
    </w:p>
    <w:p>
      <w:pPr>
        <w:spacing w:after="0" w:line="137" w:lineRule="exact"/>
        <w:rPr>
          <w:sz w:val="20"/>
          <w:szCs w:val="20"/>
          <w:color w:val="auto"/>
        </w:rPr>
      </w:pPr>
    </w:p>
    <w:p>
      <w:pPr>
        <w:ind w:left="3140" w:right="100" w:hanging="359"/>
        <w:spacing w:after="0" w:line="372" w:lineRule="auto"/>
        <w:tabs>
          <w:tab w:leader="none" w:pos="31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JEMSE entered the JEMSE Option Agreement, replacing a prior letter of intent, in respect of its right to acquire an 8.5% interest in Exar and the Cauchari-Olaroz Operation.</w:t>
      </w:r>
    </w:p>
    <w:p>
      <w:pPr>
        <w:spacing w:after="0" w:line="31" w:lineRule="exact"/>
        <w:rPr>
          <w:sz w:val="20"/>
          <w:szCs w:val="20"/>
          <w:color w:val="auto"/>
        </w:rPr>
      </w:pPr>
    </w:p>
    <w:p>
      <w:pPr>
        <w:ind w:left="3140" w:hanging="359"/>
        <w:spacing w:after="0" w:line="368" w:lineRule="auto"/>
        <w:tabs>
          <w:tab w:leader="none" w:pos="31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Project construction continued with enhanced safety protocols in effect and a reduc workforce on site, following temporary shut-downs due to COVID-19.</w:t>
      </w:r>
    </w:p>
    <w:p>
      <w:pPr>
        <w:spacing w:after="0" w:line="35" w:lineRule="exact"/>
        <w:rPr>
          <w:sz w:val="20"/>
          <w:szCs w:val="20"/>
          <w:color w:val="auto"/>
        </w:rPr>
      </w:pPr>
    </w:p>
    <w:p>
      <w:pPr>
        <w:ind w:left="3140" w:right="460" w:hanging="359"/>
        <w:spacing w:after="0" w:line="368" w:lineRule="auto"/>
        <w:tabs>
          <w:tab w:leader="none" w:pos="31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Updates to the water and environmental permits were approved by applicable regulatory authorities.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5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10 / 20</w:t>
      </w:r>
    </w:p>
    <w:p>
      <w:pPr>
        <w:sectPr>
          <w:pgSz w:w="11900" w:h="16838" w:orient="portrait"/>
          <w:cols w:equalWidth="0" w:num="1">
            <w:col w:w="10460"/>
          </w:cols>
          <w:pgMar w:left="1440" w:top="1440" w:right="6" w:bottom="0" w:gutter="0" w:footer="0" w:header="0"/>
          <w:type w:val="continuous"/>
        </w:sectPr>
      </w:pPr>
    </w:p>
    <w:bookmarkStart w:id="75" w:name="page76"/>
    <w:bookmarkEnd w:id="75"/>
    <w:tbl>
      <w:tblPr>
        <w:tblLayout w:type="fixed"/>
        <w:tblInd w:w="900" w:type="dxa"/>
        <w:tblCellMar>
          <w:top w:w="0" w:type="dxa"/>
          <w:left w:w="0" w:type="dxa"/>
          <w:bottom w:w="0" w:type="dxa"/>
          <w:right w:w="0" w:type="dxa"/>
        </w:tblCellMar>
      </w:tblPr>
      <w:tr>
        <w:trPr>
          <w:trHeight w:val="254"/>
        </w:trPr>
        <w:tc>
          <w:tcPr>
            <w:tcW w:w="1160" w:type="dxa"/>
            <w:vAlign w:val="bottom"/>
          </w:tcPr>
          <w:p>
            <w:pPr>
              <w:jc w:val="right"/>
              <w:ind w:right="620"/>
              <w:spacing w:after="0"/>
              <w:rPr>
                <w:sz w:val="20"/>
                <w:szCs w:val="20"/>
                <w:color w:val="auto"/>
              </w:rPr>
            </w:pPr>
            <w:r>
              <w:rPr>
                <w:rFonts w:ascii="Arial" w:cs="Arial" w:eastAsia="Arial" w:hAnsi="Arial"/>
                <w:sz w:val="20"/>
                <w:szCs w:val="20"/>
                <w:b w:val="1"/>
                <w:bCs w:val="1"/>
                <w:color w:val="auto"/>
                <w:w w:val="94"/>
              </w:rPr>
              <w:t>2021</w:t>
            </w:r>
          </w:p>
        </w:tc>
        <w:tc>
          <w:tcPr>
            <w:tcW w:w="940" w:type="dxa"/>
            <w:vAlign w:val="bottom"/>
          </w:tcPr>
          <w:p>
            <w:pPr>
              <w:ind w:left="720"/>
              <w:spacing w:after="0"/>
              <w:rPr>
                <w:sz w:val="20"/>
                <w:szCs w:val="20"/>
                <w:color w:val="auto"/>
              </w:rPr>
            </w:pPr>
            <w:r>
              <w:rPr>
                <w:rFonts w:ascii="Arial" w:cs="Arial" w:eastAsia="Arial" w:hAnsi="Arial"/>
                <w:sz w:val="20"/>
                <w:szCs w:val="20"/>
                <w:color w:val="auto"/>
              </w:rPr>
              <w:t>▪</w:t>
            </w:r>
          </w:p>
        </w:tc>
        <w:tc>
          <w:tcPr>
            <w:tcW w:w="7460" w:type="dxa"/>
            <w:vAlign w:val="bottom"/>
          </w:tcPr>
          <w:p>
            <w:pPr>
              <w:ind w:left="140"/>
              <w:spacing w:after="0"/>
              <w:rPr>
                <w:sz w:val="20"/>
                <w:szCs w:val="20"/>
                <w:color w:val="auto"/>
              </w:rPr>
            </w:pPr>
            <w:r>
              <w:rPr>
                <w:rFonts w:ascii="Arial" w:cs="Arial" w:eastAsia="Arial" w:hAnsi="Arial"/>
                <w:sz w:val="20"/>
                <w:szCs w:val="20"/>
                <w:color w:val="auto"/>
              </w:rPr>
              <w:t>Project construction continued to advance.</w:t>
            </w:r>
          </w:p>
        </w:tc>
        <w:tc>
          <w:tcPr>
            <w:tcW w:w="0" w:type="dxa"/>
            <w:vAlign w:val="bottom"/>
          </w:tcPr>
          <w:p>
            <w:pPr>
              <w:spacing w:after="0"/>
              <w:rPr>
                <w:sz w:val="1"/>
                <w:szCs w:val="1"/>
                <w:color w:val="auto"/>
              </w:rPr>
            </w:pPr>
          </w:p>
        </w:tc>
      </w:tr>
      <w:tr>
        <w:trPr>
          <w:trHeight w:val="380"/>
        </w:trPr>
        <w:tc>
          <w:tcPr>
            <w:tcW w:w="1160" w:type="dxa"/>
            <w:vAlign w:val="bottom"/>
          </w:tcPr>
          <w:p>
            <w:pPr>
              <w:spacing w:after="0"/>
              <w:rPr>
                <w:sz w:val="24"/>
                <w:szCs w:val="24"/>
                <w:color w:val="auto"/>
              </w:rPr>
            </w:pPr>
          </w:p>
        </w:tc>
        <w:tc>
          <w:tcPr>
            <w:tcW w:w="8400" w:type="dxa"/>
            <w:vAlign w:val="bottom"/>
            <w:gridSpan w:val="2"/>
          </w:tcPr>
          <w:p>
            <w:pPr>
              <w:ind w:left="720"/>
              <w:spacing w:after="0"/>
              <w:rPr>
                <w:sz w:val="20"/>
                <w:szCs w:val="20"/>
                <w:color w:val="auto"/>
              </w:rPr>
            </w:pPr>
            <w:r>
              <w:rPr>
                <w:rFonts w:ascii="Arial" w:cs="Arial" w:eastAsia="Arial" w:hAnsi="Arial"/>
                <w:sz w:val="20"/>
                <w:szCs w:val="20"/>
                <w:color w:val="auto"/>
              </w:rPr>
              <w:t>▪JEMSE exercised its right to acquire an 8.5% equity interest in Exar and Cauchari-</w:t>
            </w:r>
          </w:p>
        </w:tc>
        <w:tc>
          <w:tcPr>
            <w:tcW w:w="0" w:type="dxa"/>
            <w:vAlign w:val="bottom"/>
          </w:tcPr>
          <w:p>
            <w:pPr>
              <w:spacing w:after="0"/>
              <w:rPr>
                <w:sz w:val="1"/>
                <w:szCs w:val="1"/>
                <w:color w:val="auto"/>
              </w:rPr>
            </w:pPr>
          </w:p>
        </w:tc>
      </w:tr>
      <w:tr>
        <w:trPr>
          <w:trHeight w:val="36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60" w:type="dxa"/>
            <w:vAlign w:val="bottom"/>
          </w:tcPr>
          <w:p>
            <w:pPr>
              <w:ind w:left="140"/>
              <w:spacing w:after="0"/>
              <w:rPr>
                <w:sz w:val="20"/>
                <w:szCs w:val="20"/>
                <w:color w:val="auto"/>
              </w:rPr>
            </w:pPr>
            <w:r>
              <w:rPr>
                <w:rFonts w:ascii="Arial" w:cs="Arial" w:eastAsia="Arial" w:hAnsi="Arial"/>
                <w:sz w:val="20"/>
                <w:szCs w:val="20"/>
                <w:color w:val="auto"/>
              </w:rPr>
              <w:t>Olaroz.</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5"/>
        </w:trPr>
        <w:tc>
          <w:tcPr>
            <w:tcW w:w="1160" w:type="dxa"/>
            <w:vAlign w:val="bottom"/>
            <w:shd w:val="clear" w:color="auto" w:fill="F2F2F2"/>
          </w:tcPr>
          <w:p>
            <w:pPr>
              <w:jc w:val="right"/>
              <w:ind w:right="620"/>
              <w:spacing w:after="0"/>
              <w:rPr>
                <w:sz w:val="20"/>
                <w:szCs w:val="20"/>
                <w:color w:val="auto"/>
              </w:rPr>
            </w:pPr>
            <w:r>
              <w:rPr>
                <w:rFonts w:ascii="Arial" w:cs="Arial" w:eastAsia="Arial" w:hAnsi="Arial"/>
                <w:sz w:val="20"/>
                <w:szCs w:val="20"/>
                <w:b w:val="1"/>
                <w:bCs w:val="1"/>
                <w:color w:val="auto"/>
                <w:w w:val="94"/>
              </w:rPr>
              <w:t>2022</w:t>
            </w:r>
          </w:p>
        </w:tc>
        <w:tc>
          <w:tcPr>
            <w:tcW w:w="940" w:type="dxa"/>
            <w:vAlign w:val="bottom"/>
            <w:shd w:val="clear" w:color="auto" w:fill="F2F2F2"/>
          </w:tcPr>
          <w:p>
            <w:pPr>
              <w:ind w:left="720"/>
              <w:spacing w:after="0"/>
              <w:rPr>
                <w:sz w:val="20"/>
                <w:szCs w:val="20"/>
                <w:color w:val="auto"/>
              </w:rPr>
            </w:pPr>
            <w:r>
              <w:rPr>
                <w:rFonts w:ascii="Arial" w:cs="Arial" w:eastAsia="Arial" w:hAnsi="Arial"/>
                <w:sz w:val="20"/>
                <w:szCs w:val="20"/>
                <w:color w:val="auto"/>
              </w:rPr>
              <w:t>▪</w:t>
            </w:r>
          </w:p>
        </w:tc>
        <w:tc>
          <w:tcPr>
            <w:tcW w:w="7460" w:type="dxa"/>
            <w:vAlign w:val="bottom"/>
            <w:shd w:val="clear" w:color="auto" w:fill="F2F2F2"/>
          </w:tcPr>
          <w:p>
            <w:pPr>
              <w:ind w:left="140"/>
              <w:spacing w:after="0"/>
              <w:rPr>
                <w:sz w:val="20"/>
                <w:szCs w:val="20"/>
                <w:color w:val="auto"/>
              </w:rPr>
            </w:pPr>
            <w:r>
              <w:rPr>
                <w:rFonts w:ascii="Arial" w:cs="Arial" w:eastAsia="Arial" w:hAnsi="Arial"/>
                <w:sz w:val="20"/>
                <w:szCs w:val="20"/>
                <w:color w:val="auto"/>
              </w:rPr>
              <w:t>Project construction continued to progress towards production, with all key</w:t>
            </w:r>
          </w:p>
        </w:tc>
        <w:tc>
          <w:tcPr>
            <w:tcW w:w="0" w:type="dxa"/>
            <w:vAlign w:val="bottom"/>
          </w:tcPr>
          <w:p>
            <w:pPr>
              <w:spacing w:after="0"/>
              <w:rPr>
                <w:sz w:val="1"/>
                <w:szCs w:val="1"/>
                <w:color w:val="auto"/>
              </w:rPr>
            </w:pPr>
          </w:p>
        </w:tc>
      </w:tr>
      <w:tr>
        <w:trPr>
          <w:trHeight w:val="360"/>
        </w:trPr>
        <w:tc>
          <w:tcPr>
            <w:tcW w:w="1160" w:type="dxa"/>
            <w:vAlign w:val="bottom"/>
            <w:shd w:val="clear" w:color="auto" w:fill="F2F2F2"/>
          </w:tcPr>
          <w:p>
            <w:pPr>
              <w:spacing w:after="0"/>
              <w:rPr>
                <w:sz w:val="24"/>
                <w:szCs w:val="24"/>
                <w:color w:val="auto"/>
              </w:rPr>
            </w:pPr>
          </w:p>
        </w:tc>
        <w:tc>
          <w:tcPr>
            <w:tcW w:w="940" w:type="dxa"/>
            <w:vAlign w:val="bottom"/>
            <w:shd w:val="clear" w:color="auto" w:fill="F2F2F2"/>
          </w:tcPr>
          <w:p>
            <w:pPr>
              <w:spacing w:after="0"/>
              <w:rPr>
                <w:sz w:val="24"/>
                <w:szCs w:val="24"/>
                <w:color w:val="auto"/>
              </w:rPr>
            </w:pPr>
          </w:p>
        </w:tc>
        <w:tc>
          <w:tcPr>
            <w:tcW w:w="7460" w:type="dxa"/>
            <w:vAlign w:val="bottom"/>
            <w:shd w:val="clear" w:color="auto" w:fill="F2F2F2"/>
          </w:tcPr>
          <w:p>
            <w:pPr>
              <w:ind w:left="140"/>
              <w:spacing w:after="0"/>
              <w:rPr>
                <w:sz w:val="20"/>
                <w:szCs w:val="20"/>
                <w:color w:val="auto"/>
              </w:rPr>
            </w:pPr>
            <w:r>
              <w:rPr>
                <w:rFonts w:ascii="Arial" w:cs="Arial" w:eastAsia="Arial" w:hAnsi="Arial"/>
                <w:sz w:val="20"/>
                <w:szCs w:val="20"/>
                <w:color w:val="auto"/>
              </w:rPr>
              <w:t>infrastructure completed, and key areas of the processing plant commencing</w:t>
            </w:r>
          </w:p>
        </w:tc>
        <w:tc>
          <w:tcPr>
            <w:tcW w:w="0" w:type="dxa"/>
            <w:vAlign w:val="bottom"/>
          </w:tcPr>
          <w:p>
            <w:pPr>
              <w:spacing w:after="0"/>
              <w:rPr>
                <w:sz w:val="1"/>
                <w:szCs w:val="1"/>
                <w:color w:val="auto"/>
              </w:rPr>
            </w:pPr>
          </w:p>
        </w:tc>
      </w:tr>
      <w:tr>
        <w:trPr>
          <w:trHeight w:val="360"/>
        </w:trPr>
        <w:tc>
          <w:tcPr>
            <w:tcW w:w="1160" w:type="dxa"/>
            <w:vAlign w:val="bottom"/>
            <w:shd w:val="clear" w:color="auto" w:fill="F2F2F2"/>
          </w:tcPr>
          <w:p>
            <w:pPr>
              <w:spacing w:after="0"/>
              <w:rPr>
                <w:sz w:val="24"/>
                <w:szCs w:val="24"/>
                <w:color w:val="auto"/>
              </w:rPr>
            </w:pPr>
          </w:p>
        </w:tc>
        <w:tc>
          <w:tcPr>
            <w:tcW w:w="940" w:type="dxa"/>
            <w:vAlign w:val="bottom"/>
            <w:shd w:val="clear" w:color="auto" w:fill="F2F2F2"/>
          </w:tcPr>
          <w:p>
            <w:pPr>
              <w:spacing w:after="0"/>
              <w:rPr>
                <w:sz w:val="24"/>
                <w:szCs w:val="24"/>
                <w:color w:val="auto"/>
              </w:rPr>
            </w:pPr>
          </w:p>
        </w:tc>
        <w:tc>
          <w:tcPr>
            <w:tcW w:w="7460" w:type="dxa"/>
            <w:vAlign w:val="bottom"/>
            <w:shd w:val="clear" w:color="auto" w:fill="F2F2F2"/>
          </w:tcPr>
          <w:p>
            <w:pPr>
              <w:ind w:left="140"/>
              <w:spacing w:after="0"/>
              <w:rPr>
                <w:sz w:val="20"/>
                <w:szCs w:val="20"/>
                <w:color w:val="auto"/>
              </w:rPr>
            </w:pPr>
            <w:r>
              <w:rPr>
                <w:rFonts w:ascii="Arial" w:cs="Arial" w:eastAsia="Arial" w:hAnsi="Arial"/>
                <w:sz w:val="20"/>
                <w:szCs w:val="20"/>
                <w:color w:val="auto"/>
              </w:rPr>
              <w:t>commissioning.</w:t>
            </w:r>
          </w:p>
        </w:tc>
        <w:tc>
          <w:tcPr>
            <w:tcW w:w="0" w:type="dxa"/>
            <w:vAlign w:val="bottom"/>
          </w:tcPr>
          <w:p>
            <w:pPr>
              <w:spacing w:after="0"/>
              <w:rPr>
                <w:sz w:val="1"/>
                <w:szCs w:val="1"/>
                <w:color w:val="auto"/>
              </w:rPr>
            </w:pPr>
          </w:p>
        </w:tc>
      </w:tr>
      <w:tr>
        <w:trPr>
          <w:trHeight w:val="380"/>
        </w:trPr>
        <w:tc>
          <w:tcPr>
            <w:tcW w:w="1160" w:type="dxa"/>
            <w:vAlign w:val="bottom"/>
            <w:shd w:val="clear" w:color="auto" w:fill="F2F2F2"/>
          </w:tcPr>
          <w:p>
            <w:pPr>
              <w:spacing w:after="0"/>
              <w:rPr>
                <w:sz w:val="24"/>
                <w:szCs w:val="24"/>
                <w:color w:val="auto"/>
              </w:rPr>
            </w:pPr>
          </w:p>
        </w:tc>
        <w:tc>
          <w:tcPr>
            <w:tcW w:w="8400" w:type="dxa"/>
            <w:vAlign w:val="bottom"/>
            <w:gridSpan w:val="2"/>
            <w:shd w:val="clear" w:color="auto" w:fill="F2F2F2"/>
          </w:tcPr>
          <w:p>
            <w:pPr>
              <w:ind w:left="720"/>
              <w:spacing w:after="0"/>
              <w:rPr>
                <w:sz w:val="20"/>
                <w:szCs w:val="20"/>
                <w:color w:val="auto"/>
              </w:rPr>
            </w:pPr>
            <w:r>
              <w:rPr>
                <w:rFonts w:ascii="Arial" w:cs="Arial" w:eastAsia="Arial" w:hAnsi="Arial"/>
                <w:sz w:val="20"/>
                <w:szCs w:val="20"/>
                <w:color w:val="auto"/>
                <w:w w:val="99"/>
              </w:rPr>
              <w:t>▪Focus shifted to prioritizing production volume over completion of a portion of the</w:t>
            </w:r>
          </w:p>
        </w:tc>
        <w:tc>
          <w:tcPr>
            <w:tcW w:w="0" w:type="dxa"/>
            <w:vAlign w:val="bottom"/>
          </w:tcPr>
          <w:p>
            <w:pPr>
              <w:spacing w:after="0"/>
              <w:rPr>
                <w:sz w:val="1"/>
                <w:szCs w:val="1"/>
                <w:color w:val="auto"/>
              </w:rPr>
            </w:pPr>
          </w:p>
        </w:tc>
      </w:tr>
      <w:tr>
        <w:trPr>
          <w:trHeight w:val="360"/>
        </w:trPr>
        <w:tc>
          <w:tcPr>
            <w:tcW w:w="1160" w:type="dxa"/>
            <w:vAlign w:val="bottom"/>
            <w:shd w:val="clear" w:color="auto" w:fill="F2F2F2"/>
          </w:tcPr>
          <w:p>
            <w:pPr>
              <w:spacing w:after="0"/>
              <w:rPr>
                <w:sz w:val="24"/>
                <w:szCs w:val="24"/>
                <w:color w:val="auto"/>
              </w:rPr>
            </w:pPr>
          </w:p>
        </w:tc>
        <w:tc>
          <w:tcPr>
            <w:tcW w:w="940" w:type="dxa"/>
            <w:vAlign w:val="bottom"/>
            <w:shd w:val="clear" w:color="auto" w:fill="F2F2F2"/>
          </w:tcPr>
          <w:p>
            <w:pPr>
              <w:spacing w:after="0"/>
              <w:rPr>
                <w:sz w:val="24"/>
                <w:szCs w:val="24"/>
                <w:color w:val="auto"/>
              </w:rPr>
            </w:pPr>
          </w:p>
        </w:tc>
        <w:tc>
          <w:tcPr>
            <w:tcW w:w="7460" w:type="dxa"/>
            <w:vAlign w:val="bottom"/>
            <w:shd w:val="clear" w:color="auto" w:fill="F2F2F2"/>
          </w:tcPr>
          <w:p>
            <w:pPr>
              <w:ind w:left="140"/>
              <w:spacing w:after="0"/>
              <w:rPr>
                <w:sz w:val="20"/>
                <w:szCs w:val="20"/>
                <w:color w:val="auto"/>
              </w:rPr>
            </w:pPr>
            <w:r>
              <w:rPr>
                <w:rFonts w:ascii="Arial" w:cs="Arial" w:eastAsia="Arial" w:hAnsi="Arial"/>
                <w:sz w:val="20"/>
                <w:szCs w:val="20"/>
                <w:color w:val="auto"/>
              </w:rPr>
              <w:t>purification process designed to achieve battery-grade lithium carbonate.</w:t>
            </w:r>
          </w:p>
        </w:tc>
        <w:tc>
          <w:tcPr>
            <w:tcW w:w="0" w:type="dxa"/>
            <w:vAlign w:val="bottom"/>
          </w:tcPr>
          <w:p>
            <w:pPr>
              <w:spacing w:after="0"/>
              <w:rPr>
                <w:sz w:val="1"/>
                <w:szCs w:val="1"/>
                <w:color w:val="auto"/>
              </w:rPr>
            </w:pPr>
          </w:p>
        </w:tc>
      </w:tr>
      <w:tr>
        <w:trPr>
          <w:trHeight w:val="95"/>
        </w:trPr>
        <w:tc>
          <w:tcPr>
            <w:tcW w:w="1160" w:type="dxa"/>
            <w:vAlign w:val="bottom"/>
            <w:shd w:val="clear" w:color="auto" w:fill="F2F2F2"/>
          </w:tcPr>
          <w:p>
            <w:pPr>
              <w:spacing w:after="0"/>
              <w:rPr>
                <w:sz w:val="8"/>
                <w:szCs w:val="8"/>
                <w:color w:val="auto"/>
              </w:rPr>
            </w:pPr>
          </w:p>
        </w:tc>
        <w:tc>
          <w:tcPr>
            <w:tcW w:w="940" w:type="dxa"/>
            <w:vAlign w:val="bottom"/>
            <w:shd w:val="clear" w:color="auto" w:fill="F2F2F2"/>
          </w:tcPr>
          <w:p>
            <w:pPr>
              <w:spacing w:after="0"/>
              <w:rPr>
                <w:sz w:val="8"/>
                <w:szCs w:val="8"/>
                <w:color w:val="auto"/>
              </w:rPr>
            </w:pPr>
          </w:p>
        </w:tc>
        <w:tc>
          <w:tcPr>
            <w:tcW w:w="746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325"/>
        </w:trPr>
        <w:tc>
          <w:tcPr>
            <w:tcW w:w="1160" w:type="dxa"/>
            <w:vAlign w:val="bottom"/>
          </w:tcPr>
          <w:p>
            <w:pPr>
              <w:jc w:val="right"/>
              <w:ind w:right="620"/>
              <w:spacing w:after="0"/>
              <w:rPr>
                <w:sz w:val="20"/>
                <w:szCs w:val="20"/>
                <w:color w:val="auto"/>
              </w:rPr>
            </w:pPr>
            <w:r>
              <w:rPr>
                <w:rFonts w:ascii="Arial" w:cs="Arial" w:eastAsia="Arial" w:hAnsi="Arial"/>
                <w:sz w:val="20"/>
                <w:szCs w:val="20"/>
                <w:b w:val="1"/>
                <w:bCs w:val="1"/>
                <w:color w:val="auto"/>
                <w:w w:val="94"/>
              </w:rPr>
              <w:t>2023</w:t>
            </w:r>
          </w:p>
        </w:tc>
        <w:tc>
          <w:tcPr>
            <w:tcW w:w="940" w:type="dxa"/>
            <w:vAlign w:val="bottom"/>
          </w:tcPr>
          <w:p>
            <w:pPr>
              <w:ind w:left="720"/>
              <w:spacing w:after="0"/>
              <w:rPr>
                <w:sz w:val="20"/>
                <w:szCs w:val="20"/>
                <w:color w:val="auto"/>
              </w:rPr>
            </w:pPr>
            <w:r>
              <w:rPr>
                <w:rFonts w:ascii="Arial" w:cs="Arial" w:eastAsia="Arial" w:hAnsi="Arial"/>
                <w:sz w:val="20"/>
                <w:szCs w:val="20"/>
                <w:color w:val="auto"/>
              </w:rPr>
              <w:t>▪</w:t>
            </w:r>
          </w:p>
        </w:tc>
        <w:tc>
          <w:tcPr>
            <w:tcW w:w="7460" w:type="dxa"/>
            <w:vAlign w:val="bottom"/>
          </w:tcPr>
          <w:p>
            <w:pPr>
              <w:ind w:left="140"/>
              <w:spacing w:after="0"/>
              <w:rPr>
                <w:sz w:val="20"/>
                <w:szCs w:val="20"/>
                <w:color w:val="auto"/>
              </w:rPr>
            </w:pPr>
            <w:r>
              <w:rPr>
                <w:rFonts w:ascii="Arial" w:cs="Arial" w:eastAsia="Arial" w:hAnsi="Arial"/>
                <w:sz w:val="20"/>
                <w:szCs w:val="20"/>
                <w:color w:val="auto"/>
              </w:rPr>
              <w:t>First lithium produced</w:t>
            </w:r>
          </w:p>
        </w:tc>
        <w:tc>
          <w:tcPr>
            <w:tcW w:w="0" w:type="dxa"/>
            <w:vAlign w:val="bottom"/>
          </w:tcPr>
          <w:p>
            <w:pPr>
              <w:spacing w:after="0"/>
              <w:rPr>
                <w:sz w:val="1"/>
                <w:szCs w:val="1"/>
                <w:color w:val="auto"/>
              </w:rPr>
            </w:pPr>
          </w:p>
        </w:tc>
      </w:tr>
      <w:tr>
        <w:trPr>
          <w:trHeight w:val="380"/>
        </w:trPr>
        <w:tc>
          <w:tcPr>
            <w:tcW w:w="1160" w:type="dxa"/>
            <w:vAlign w:val="bottom"/>
          </w:tcPr>
          <w:p>
            <w:pPr>
              <w:spacing w:after="0"/>
              <w:rPr>
                <w:sz w:val="24"/>
                <w:szCs w:val="24"/>
                <w:color w:val="auto"/>
              </w:rPr>
            </w:pPr>
          </w:p>
        </w:tc>
        <w:tc>
          <w:tcPr>
            <w:tcW w:w="8400" w:type="dxa"/>
            <w:vAlign w:val="bottom"/>
            <w:gridSpan w:val="2"/>
          </w:tcPr>
          <w:p>
            <w:pPr>
              <w:ind w:left="720"/>
              <w:spacing w:after="0"/>
              <w:rPr>
                <w:sz w:val="20"/>
                <w:szCs w:val="20"/>
                <w:color w:val="auto"/>
              </w:rPr>
            </w:pPr>
            <w:r>
              <w:rPr>
                <w:rFonts w:ascii="Arial" w:cs="Arial" w:eastAsia="Arial" w:hAnsi="Arial"/>
                <w:sz w:val="20"/>
                <w:szCs w:val="20"/>
                <w:color w:val="auto"/>
              </w:rPr>
              <w:t>▪Approximately 6,000 tonnes of lithium carbonate produce.</w:t>
            </w:r>
          </w:p>
        </w:tc>
        <w:tc>
          <w:tcPr>
            <w:tcW w:w="0" w:type="dxa"/>
            <w:vAlign w:val="bottom"/>
          </w:tcPr>
          <w:p>
            <w:pPr>
              <w:spacing w:after="0"/>
              <w:rPr>
                <w:sz w:val="1"/>
                <w:szCs w:val="1"/>
                <w:color w:val="auto"/>
              </w:rPr>
            </w:pPr>
          </w:p>
        </w:tc>
      </w:tr>
      <w:tr>
        <w:trPr>
          <w:trHeight w:val="420"/>
        </w:trPr>
        <w:tc>
          <w:tcPr>
            <w:tcW w:w="1160" w:type="dxa"/>
            <w:vAlign w:val="bottom"/>
          </w:tcPr>
          <w:p>
            <w:pPr>
              <w:jc w:val="right"/>
              <w:ind w:right="620"/>
              <w:spacing w:after="0"/>
              <w:rPr>
                <w:sz w:val="20"/>
                <w:szCs w:val="20"/>
                <w:color w:val="auto"/>
              </w:rPr>
            </w:pPr>
            <w:r>
              <w:rPr>
                <w:rFonts w:ascii="Arial" w:cs="Arial" w:eastAsia="Arial" w:hAnsi="Arial"/>
                <w:sz w:val="20"/>
                <w:szCs w:val="20"/>
                <w:b w:val="1"/>
                <w:bCs w:val="1"/>
                <w:color w:val="auto"/>
                <w:w w:val="94"/>
              </w:rPr>
              <w:t>2024</w:t>
            </w:r>
          </w:p>
        </w:tc>
        <w:tc>
          <w:tcPr>
            <w:tcW w:w="940" w:type="dxa"/>
            <w:vAlign w:val="bottom"/>
          </w:tcPr>
          <w:p>
            <w:pPr>
              <w:ind w:left="720"/>
              <w:spacing w:after="0"/>
              <w:rPr>
                <w:sz w:val="20"/>
                <w:szCs w:val="20"/>
                <w:color w:val="auto"/>
              </w:rPr>
            </w:pPr>
            <w:r>
              <w:rPr>
                <w:rFonts w:ascii="Arial" w:cs="Arial" w:eastAsia="Arial" w:hAnsi="Arial"/>
                <w:sz w:val="20"/>
                <w:szCs w:val="20"/>
                <w:color w:val="auto"/>
              </w:rPr>
              <w:t>▪</w:t>
            </w:r>
          </w:p>
        </w:tc>
        <w:tc>
          <w:tcPr>
            <w:tcW w:w="7460" w:type="dxa"/>
            <w:vAlign w:val="bottom"/>
          </w:tcPr>
          <w:p>
            <w:pPr>
              <w:ind w:left="140"/>
              <w:spacing w:after="0"/>
              <w:rPr>
                <w:sz w:val="20"/>
                <w:szCs w:val="20"/>
                <w:color w:val="auto"/>
              </w:rPr>
            </w:pPr>
            <w:r>
              <w:rPr>
                <w:rFonts w:ascii="Arial" w:cs="Arial" w:eastAsia="Arial" w:hAnsi="Arial"/>
                <w:sz w:val="20"/>
                <w:szCs w:val="20"/>
                <w:color w:val="auto"/>
              </w:rPr>
              <w:t>Achievement of commercial production.</w:t>
            </w:r>
          </w:p>
        </w:tc>
        <w:tc>
          <w:tcPr>
            <w:tcW w:w="0" w:type="dxa"/>
            <w:vAlign w:val="bottom"/>
          </w:tcPr>
          <w:p>
            <w:pPr>
              <w:spacing w:after="0"/>
              <w:rPr>
                <w:sz w:val="1"/>
                <w:szCs w:val="1"/>
                <w:color w:val="auto"/>
              </w:rPr>
            </w:pPr>
          </w:p>
        </w:tc>
      </w:tr>
      <w:tr>
        <w:trPr>
          <w:trHeight w:val="380"/>
        </w:trPr>
        <w:tc>
          <w:tcPr>
            <w:tcW w:w="1160" w:type="dxa"/>
            <w:vAlign w:val="bottom"/>
          </w:tcPr>
          <w:p>
            <w:pPr>
              <w:spacing w:after="0"/>
              <w:rPr>
                <w:sz w:val="24"/>
                <w:szCs w:val="24"/>
                <w:color w:val="auto"/>
              </w:rPr>
            </w:pPr>
          </w:p>
        </w:tc>
        <w:tc>
          <w:tcPr>
            <w:tcW w:w="8400" w:type="dxa"/>
            <w:vAlign w:val="bottom"/>
            <w:gridSpan w:val="2"/>
          </w:tcPr>
          <w:p>
            <w:pPr>
              <w:ind w:left="720"/>
              <w:spacing w:after="0"/>
              <w:rPr>
                <w:sz w:val="20"/>
                <w:szCs w:val="20"/>
                <w:color w:val="auto"/>
              </w:rPr>
            </w:pPr>
            <w:r>
              <w:rPr>
                <w:rFonts w:ascii="Arial" w:cs="Arial" w:eastAsia="Arial" w:hAnsi="Arial"/>
                <w:sz w:val="20"/>
                <w:szCs w:val="20"/>
                <w:color w:val="auto"/>
              </w:rPr>
              <w:t>▪Approximately 25,400 tonnes of lithium carbonate produced.</w:t>
            </w:r>
          </w:p>
        </w:tc>
        <w:tc>
          <w:tcPr>
            <w:tcW w:w="0" w:type="dxa"/>
            <w:vAlign w:val="bottom"/>
          </w:tcPr>
          <w:p>
            <w:pPr>
              <w:spacing w:after="0"/>
              <w:rPr>
                <w:sz w:val="1"/>
                <w:szCs w:val="1"/>
                <w:color w:val="auto"/>
              </w:rPr>
            </w:pPr>
          </w:p>
        </w:tc>
      </w:tr>
      <w:tr>
        <w:trPr>
          <w:trHeight w:val="356"/>
        </w:trPr>
        <w:tc>
          <w:tcPr>
            <w:tcW w:w="1160" w:type="dxa"/>
            <w:vAlign w:val="bottom"/>
          </w:tcPr>
          <w:p>
            <w:pPr>
              <w:jc w:val="right"/>
              <w:ind w:right="620"/>
              <w:spacing w:after="0"/>
              <w:rPr>
                <w:sz w:val="20"/>
                <w:szCs w:val="20"/>
                <w:color w:val="auto"/>
              </w:rPr>
            </w:pPr>
            <w:r>
              <w:rPr>
                <w:rFonts w:ascii="Arial" w:cs="Arial" w:eastAsia="Arial" w:hAnsi="Arial"/>
                <w:sz w:val="20"/>
                <w:szCs w:val="20"/>
                <w:b w:val="1"/>
                <w:bCs w:val="1"/>
                <w:color w:val="auto"/>
                <w:w w:val="94"/>
              </w:rPr>
              <w:t>2025</w:t>
            </w:r>
          </w:p>
        </w:tc>
        <w:tc>
          <w:tcPr>
            <w:tcW w:w="940" w:type="dxa"/>
            <w:vAlign w:val="bottom"/>
            <w:vMerge w:val="restart"/>
          </w:tcPr>
          <w:p>
            <w:pPr>
              <w:ind w:left="720"/>
              <w:spacing w:after="0"/>
              <w:rPr>
                <w:sz w:val="20"/>
                <w:szCs w:val="20"/>
                <w:color w:val="auto"/>
              </w:rPr>
            </w:pPr>
            <w:r>
              <w:rPr>
                <w:rFonts w:ascii="Arial" w:cs="Arial" w:eastAsia="Arial" w:hAnsi="Arial"/>
                <w:sz w:val="20"/>
                <w:szCs w:val="20"/>
                <w:color w:val="auto"/>
              </w:rPr>
              <w:t>▪</w:t>
            </w:r>
          </w:p>
        </w:tc>
        <w:tc>
          <w:tcPr>
            <w:tcW w:w="7460" w:type="dxa"/>
            <w:vAlign w:val="bottom"/>
            <w:vMerge w:val="restart"/>
          </w:tcPr>
          <w:p>
            <w:pPr>
              <w:ind w:left="140"/>
              <w:spacing w:after="0"/>
              <w:rPr>
                <w:sz w:val="20"/>
                <w:szCs w:val="20"/>
                <w:color w:val="auto"/>
              </w:rPr>
            </w:pPr>
            <w:r>
              <w:rPr>
                <w:rFonts w:ascii="Arial" w:cs="Arial" w:eastAsia="Arial" w:hAnsi="Arial"/>
                <w:sz w:val="20"/>
                <w:szCs w:val="20"/>
                <w:color w:val="auto"/>
              </w:rPr>
              <w:t>Approximately 35,100 tonnes of lithium carbonate produced</w:t>
            </w:r>
          </w:p>
        </w:tc>
        <w:tc>
          <w:tcPr>
            <w:tcW w:w="0" w:type="dxa"/>
            <w:vAlign w:val="bottom"/>
          </w:tcPr>
          <w:p>
            <w:pPr>
              <w:spacing w:after="0"/>
              <w:rPr>
                <w:sz w:val="1"/>
                <w:szCs w:val="1"/>
                <w:color w:val="auto"/>
              </w:rPr>
            </w:pPr>
          </w:p>
        </w:tc>
      </w:tr>
      <w:tr>
        <w:trPr>
          <w:trHeight w:val="64"/>
        </w:trPr>
        <w:tc>
          <w:tcPr>
            <w:tcW w:w="11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-2428240</wp:posOffset>
            </wp:positionV>
            <wp:extent cx="6078220"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4">
                      <a:extLst>
                        <a:ext uri="{28A0092B-C50C-407E-A947-70E740481C1C}"/>
                      </a:extLst>
                    </a:blip>
                    <a:srcRect/>
                    <a:stretch>
                      <a:fillRect/>
                    </a:stretch>
                  </pic:blipFill>
                  <pic:spPr bwMode="auto">
                    <a:xfrm>
                      <a:off x="0" y="0"/>
                      <a:ext cx="6078220" cy="1270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-1234440</wp:posOffset>
            </wp:positionV>
            <wp:extent cx="6078220" cy="12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5">
                      <a:extLst>
                        <a:ext uri="{28A0092B-C50C-407E-A947-70E740481C1C}"/>
                      </a:extLst>
                    </a:blip>
                    <a:srcRect/>
                    <a:stretch>
                      <a:fillRect/>
                    </a:stretch>
                  </pic:blipFill>
                  <pic:spPr bwMode="auto">
                    <a:xfrm>
                      <a:off x="0" y="0"/>
                      <a:ext cx="6078220" cy="1270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-726440</wp:posOffset>
            </wp:positionV>
            <wp:extent cx="6078220"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6">
                      <a:extLst>
                        <a:ext uri="{28A0092B-C50C-407E-A947-70E740481C1C}"/>
                      </a:extLst>
                    </a:blip>
                    <a:srcRect/>
                    <a:stretch>
                      <a:fillRect/>
                    </a:stretch>
                  </pic:blipFill>
                  <pic:spPr bwMode="auto">
                    <a:xfrm>
                      <a:off x="0" y="0"/>
                      <a:ext cx="6078220" cy="1270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-218440</wp:posOffset>
            </wp:positionV>
            <wp:extent cx="6078220" cy="7493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7">
                      <a:extLst>
                        <a:ext uri="{28A0092B-C50C-407E-A947-70E740481C1C}"/>
                      </a:extLst>
                    </a:blip>
                    <a:srcRect/>
                    <a:stretch>
                      <a:fillRect/>
                    </a:stretch>
                  </pic:blipFill>
                  <pic:spPr bwMode="auto">
                    <a:xfrm>
                      <a:off x="0" y="0"/>
                      <a:ext cx="6078220" cy="749300"/>
                    </a:xfrm>
                    <a:prstGeom prst="rect">
                      <a:avLst/>
                    </a:prstGeom>
                    <a:noFill/>
                  </pic:spPr>
                </pic:pic>
              </a:graphicData>
            </a:graphic>
          </wp:anchor>
        </w:drawing>
      </w:r>
    </w:p>
    <w:p>
      <w:pPr>
        <w:spacing w:after="0" w:line="137" w:lineRule="exact"/>
        <w:rPr>
          <w:sz w:val="20"/>
          <w:szCs w:val="20"/>
          <w:color w:val="auto"/>
        </w:rPr>
      </w:pPr>
    </w:p>
    <w:p>
      <w:pPr>
        <w:ind w:left="3140" w:right="140" w:hanging="359"/>
        <w:spacing w:after="0" w:line="368" w:lineRule="auto"/>
        <w:tabs>
          <w:tab w:leader="none" w:pos="31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Submitted environmental permit and RIGI applications for a Stage 2 expansion of 45,000 tpa of lithium carbonate production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1279525</wp:posOffset>
            </wp:positionV>
            <wp:extent cx="676402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20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11 / 20</w:t>
      </w:r>
    </w:p>
    <w:p>
      <w:pPr>
        <w:sectPr>
          <w:pgSz w:w="11900" w:h="16838" w:orient="portrait"/>
          <w:cols w:equalWidth="0" w:num="1">
            <w:col w:w="10460"/>
          </w:cols>
          <w:pgMar w:left="1440" w:top="1205" w:right="6" w:bottom="0" w:gutter="0" w:footer="0" w:header="0"/>
          <w:type w:val="continuous"/>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Geological Setting, Mineralization and Deposit Types</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There are two dominant structural features in the region of the Cauchari and Olaroz Salars: north-south tre high-angle faults and northwest-southeast trending lineaments. The high-angle north-south trending faults narrow and deep basins which are accumulation sites for numerous salars, including Olaroz and Cauc Basement rock in this area is composed of Early Ordovician turbidites (shale and sandstone) intruded by Ordovician granitoids. These in turn are overlain by Eocene to Neogene sedimentary rocks with interca volcanic layers. These basement rocks are exposed to the west and east of the Cauchari and Olaroz salars.</w:t>
      </w:r>
    </w:p>
    <w:p>
      <w:pPr>
        <w:spacing w:after="0" w:line="212" w:lineRule="exact"/>
        <w:rPr>
          <w:sz w:val="20"/>
          <w:szCs w:val="20"/>
          <w:color w:val="auto"/>
        </w:rPr>
      </w:pPr>
    </w:p>
    <w:p>
      <w:pPr>
        <w:jc w:val="both"/>
        <w:ind w:left="900" w:right="20"/>
        <w:spacing w:after="0" w:line="312" w:lineRule="auto"/>
        <w:rPr>
          <w:sz w:val="20"/>
          <w:szCs w:val="20"/>
          <w:color w:val="auto"/>
        </w:rPr>
      </w:pPr>
      <w:r>
        <w:rPr>
          <w:rFonts w:ascii="Arial" w:cs="Arial" w:eastAsia="Arial" w:hAnsi="Arial"/>
          <w:sz w:val="20"/>
          <w:szCs w:val="20"/>
          <w:color w:val="auto"/>
        </w:rPr>
        <w:t>The salars are in-filled with laminar deposits, dominated by the following five primary informal lithological that have been identified in drill cores: (i) red silts with minor clay and sand; (ii) banded halite beds with cla and minor sand; (iii) fine sands with minor silt and salt beds; (iv) massive halite and banded halite beds with sand; and (v) medium and fine sands.</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Alluvial deposits intrude into these salar deposits to varying degrees, depending on location. The allu surfaces slope into the salar from outside the basin perimeter. Raised bedrock exposures occur outside the basin. The most extensive intrusion of alluvium into the basin is the Archibarca Fan, which partially separate Olaroz and Cauchari Salars. Route 52 is constructed across this alluvial fan. In addition to this major fan, mu the perimeter zone of both salars exhibits encroachments of alluvial material associated with fans of va sizes.</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brines from Cauchari are saturated in sodium chloride with total dissolved solids (“TDS”) on the order of (324 to 335 grams per litre) and an average density of about 1.215 grams per cubic centimetre. The other pri components of these brines include potassium, lithium, magnesium, calcium, sulphate, bicarbonate, and bor borates and free boric acid. Since the brine is saturated in sodium chloride, halite is expected to precipitate d evaporation. In addition, the Cauchari brine is predicted to initially precipitate halite and ternadite as well wide range of secondary salts that could include: astrakanite, schoenite, leonite, kainite, carnalite, epsomite bischofite.</w:t>
      </w:r>
    </w:p>
    <w:p>
      <w:pPr>
        <w:spacing w:after="0" w:line="214" w:lineRule="exact"/>
        <w:rPr>
          <w:sz w:val="20"/>
          <w:szCs w:val="20"/>
          <w:color w:val="auto"/>
        </w:rPr>
      </w:pPr>
    </w:p>
    <w:p>
      <w:pPr>
        <w:jc w:val="both"/>
        <w:ind w:left="900"/>
        <w:spacing w:after="0" w:line="332" w:lineRule="auto"/>
        <w:rPr>
          <w:sz w:val="20"/>
          <w:szCs w:val="20"/>
          <w:color w:val="auto"/>
        </w:rPr>
      </w:pPr>
      <w:r>
        <w:rPr>
          <w:rFonts w:ascii="Arial" w:cs="Arial" w:eastAsia="Arial" w:hAnsi="Arial"/>
          <w:sz w:val="19"/>
          <w:szCs w:val="19"/>
          <w:color w:val="auto"/>
        </w:rPr>
        <w:t>The Cauchari and Olaroz Salars are classified as “Silver Peak, Nevada” type terrigenous salars. Silver P Nevada in the United States was the first lithium-bearing brine deposit in the world to be exploited. T deposits are characterized by restricted basins within deep structural depressions in-filled with sedim differentiated as inter-bedded units of clays, salt (halite), sands and gravels. In the Cauchari and Olaroz Sal lithium-bearing aquifer has developed during arid climatic periods. On the surface, the salars are pres covered by carbonate, borax, sulphate, clay and sodium chloride facies. Cauchari and Olaroz have relatively sulphate contents and therefore both salars can be further classified as “sulphate type brine deposits”.</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Exploration</w:t>
      </w:r>
    </w:p>
    <w:p>
      <w:pPr>
        <w:spacing w:after="0" w:line="27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following exploration programs were conducted between 2009 and 2025 to evaluate the lithium develop potential of the Cauchari-Olaroz Operation area:</w:t>
      </w:r>
    </w:p>
    <w:p>
      <w:pPr>
        <w:spacing w:after="0" w:line="179" w:lineRule="exact"/>
        <w:rPr>
          <w:sz w:val="20"/>
          <w:szCs w:val="20"/>
          <w:color w:val="auto"/>
        </w:rPr>
      </w:pPr>
    </w:p>
    <w:p>
      <w:pPr>
        <w:ind w:left="1620" w:hanging="366"/>
        <w:spacing w:after="0" w:line="368" w:lineRule="auto"/>
        <w:tabs>
          <w:tab w:leader="none" w:pos="16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Surface Brine Program – 55 brine samples were collected from shallow pits throughout the sala obtain a preliminary indication of lithium occurrence and distribution.</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12 / 20</w:t>
      </w:r>
    </w:p>
    <w:p>
      <w:pPr>
        <w:sectPr>
          <w:pgSz w:w="11900" w:h="16838" w:orient="portrait"/>
          <w:cols w:equalWidth="0" w:num="1">
            <w:col w:w="10460"/>
          </w:cols>
          <w:pgMar w:left="1440" w:top="1440" w:right="6" w:bottom="0" w:gutter="0" w:footer="0" w:header="0"/>
          <w:type w:val="continuous"/>
        </w:sectPr>
      </w:pPr>
    </w:p>
    <w:bookmarkStart w:id="77" w:name="page78"/>
    <w:bookmarkEnd w:id="77"/>
    <w:p>
      <w:pPr>
        <w:ind w:left="1620" w:hanging="366"/>
        <w:spacing w:after="0" w:line="368" w:lineRule="auto"/>
        <w:tabs>
          <w:tab w:leader="none" w:pos="16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Seismic Geophysical Program – Seismic surveying was conducted to support delineation of b geometry, mapping of basin-fill sequences, and siting borehole locations.</w:t>
      </w:r>
    </w:p>
    <w:p>
      <w:pPr>
        <w:spacing w:after="0" w:line="134"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Gravity Survey - A limited gravity test survey was completed to evaluate the utility of this metho determining depths to basement rock.</w:t>
      </w:r>
    </w:p>
    <w:p>
      <w:pPr>
        <w:spacing w:after="0" w:line="128" w:lineRule="exact"/>
        <w:rPr>
          <w:sz w:val="20"/>
          <w:szCs w:val="20"/>
          <w:color w:val="auto"/>
        </w:rPr>
      </w:pPr>
    </w:p>
    <w:p>
      <w:pPr>
        <w:ind w:left="1260"/>
        <w:spacing w:after="0"/>
        <w:tabs>
          <w:tab w:leader="none" w:pos="1600" w:val="left"/>
          <w:tab w:leader="none" w:pos="4120" w:val="left"/>
          <w:tab w:leader="none" w:pos="688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Time</w:t>
      </w:r>
      <w:r>
        <w:rPr>
          <w:sz w:val="20"/>
          <w:szCs w:val="20"/>
          <w:color w:val="auto"/>
        </w:rPr>
        <w:tab/>
      </w:r>
      <w:r>
        <w:rPr>
          <w:rFonts w:ascii="Arial" w:cs="Arial" w:eastAsia="Arial" w:hAnsi="Arial"/>
          <w:sz w:val="20"/>
          <w:szCs w:val="20"/>
          <w:color w:val="auto"/>
        </w:rPr>
        <w:t>Domain</w:t>
      </w:r>
      <w:r>
        <w:rPr>
          <w:sz w:val="20"/>
          <w:szCs w:val="20"/>
          <w:color w:val="auto"/>
        </w:rPr>
        <w:tab/>
      </w:r>
      <w:r>
        <w:rPr>
          <w:rFonts w:ascii="Arial" w:cs="Arial" w:eastAsia="Arial" w:hAnsi="Arial"/>
          <w:sz w:val="20"/>
          <w:szCs w:val="20"/>
          <w:color w:val="auto"/>
        </w:rPr>
        <w:t>Electromagnetic</w:t>
      </w:r>
    </w:p>
    <w:p>
      <w:pPr>
        <w:spacing w:after="0" w:line="137" w:lineRule="exact"/>
        <w:rPr>
          <w:sz w:val="20"/>
          <w:szCs w:val="20"/>
          <w:color w:val="auto"/>
        </w:rPr>
      </w:pPr>
    </w:p>
    <w:p>
      <w:pPr>
        <w:ind w:left="1620"/>
        <w:spacing w:after="0" w:line="36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TEM</w:t>
      </w:r>
      <w:r>
        <w:rPr>
          <w:rFonts w:ascii="Arial" w:cs="Arial" w:eastAsia="Arial" w:hAnsi="Arial"/>
          <w:sz w:val="20"/>
          <w:szCs w:val="20"/>
          <w:color w:val="auto"/>
        </w:rPr>
        <w:t>”) Survey – TEM surveying was conducted to attempt to define fresh water and brine interf within the salar.</w:t>
      </w:r>
    </w:p>
    <w:p>
      <w:pPr>
        <w:spacing w:after="0" w:line="135" w:lineRule="exact"/>
        <w:rPr>
          <w:sz w:val="20"/>
          <w:szCs w:val="20"/>
          <w:color w:val="auto"/>
        </w:rPr>
      </w:pPr>
    </w:p>
    <w:p>
      <w:pPr>
        <w:ind w:left="1620" w:right="40" w:hanging="366"/>
        <w:spacing w:after="0" w:line="368" w:lineRule="auto"/>
        <w:tabs>
          <w:tab w:leader="none" w:pos="1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Air Lift Testing Program – Testing was conducted within individual boreholes as a preliminary st estimating aquifer properties related to brine recovery.</w:t>
      </w:r>
    </w:p>
    <w:p>
      <w:pPr>
        <w:spacing w:after="0" w:line="134" w:lineRule="exact"/>
        <w:rPr>
          <w:rFonts w:ascii="Arial" w:cs="Arial" w:eastAsia="Arial" w:hAnsi="Arial"/>
          <w:sz w:val="20"/>
          <w:szCs w:val="20"/>
          <w:color w:val="auto"/>
        </w:rPr>
      </w:pPr>
    </w:p>
    <w:p>
      <w:pPr>
        <w:ind w:left="1620" w:right="80" w:hanging="366"/>
        <w:spacing w:after="0" w:line="368" w:lineRule="auto"/>
        <w:tabs>
          <w:tab w:leader="none" w:pos="1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Vertical Electrical Sounding (“</w:t>
      </w:r>
      <w:r>
        <w:rPr>
          <w:rFonts w:ascii="Arial" w:cs="Arial" w:eastAsia="Arial" w:hAnsi="Arial"/>
          <w:sz w:val="20"/>
          <w:szCs w:val="20"/>
          <w:b w:val="1"/>
          <w:bCs w:val="1"/>
          <w:color w:val="auto"/>
        </w:rPr>
        <w:t>VES</w:t>
      </w:r>
      <w:r>
        <w:rPr>
          <w:rFonts w:ascii="Arial" w:cs="Arial" w:eastAsia="Arial" w:hAnsi="Arial"/>
          <w:sz w:val="20"/>
          <w:szCs w:val="20"/>
          <w:color w:val="auto"/>
        </w:rPr>
        <w:t>”) Survey – A VES survey was conducted to attempt to identify water and brine interfaces and surrounding freshwater occurrences.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1063625</wp:posOffset>
            </wp:positionV>
            <wp:extent cx="676402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33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13 / 20</w:t>
      </w:r>
    </w:p>
    <w:p>
      <w:pPr>
        <w:sectPr>
          <w:pgSz w:w="11900" w:h="16838" w:orient="portrait"/>
          <w:cols w:equalWidth="0" w:num="1">
            <w:col w:w="10460"/>
          </w:cols>
          <w:pgMar w:left="1440" w:top="1335" w:right="6" w:bottom="0" w:gutter="0" w:footer="0" w:header="0"/>
          <w:type w:val="continuous"/>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20" w:hanging="366"/>
        <w:spacing w:after="0" w:line="368" w:lineRule="auto"/>
        <w:tabs>
          <w:tab w:leader="none" w:pos="1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Surface Water Sampling Program – A program was conducted to monitor the flow and chemist surface water entering the salars.</w:t>
      </w:r>
    </w:p>
    <w:p>
      <w:pPr>
        <w:spacing w:after="0" w:line="134" w:lineRule="exact"/>
        <w:rPr>
          <w:rFonts w:ascii="Arial" w:cs="Arial" w:eastAsia="Arial" w:hAnsi="Arial"/>
          <w:sz w:val="20"/>
          <w:szCs w:val="20"/>
          <w:color w:val="auto"/>
        </w:rPr>
      </w:pPr>
    </w:p>
    <w:p>
      <w:pPr>
        <w:ind w:left="1620" w:hanging="366"/>
        <w:spacing w:after="0" w:line="373" w:lineRule="auto"/>
        <w:tabs>
          <w:tab w:leader="none" w:pos="1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Pumping Test Program 2011-2019 – Pumping wells were installed at eleven locations, to estimate a parameters related to brine recovery. One of the locations was used to estimate the capacity of water supply. Some tests were carried out using multiple wells on the same platform in order to esti three-dimensional aquifer parameters.</w:t>
      </w:r>
    </w:p>
    <w:p>
      <w:pPr>
        <w:spacing w:after="0" w:line="130" w:lineRule="exact"/>
        <w:rPr>
          <w:rFonts w:ascii="Arial" w:cs="Arial" w:eastAsia="Arial" w:hAnsi="Arial"/>
          <w:sz w:val="20"/>
          <w:szCs w:val="20"/>
          <w:color w:val="auto"/>
        </w:rPr>
      </w:pPr>
    </w:p>
    <w:p>
      <w:pPr>
        <w:ind w:left="1620" w:hanging="366"/>
        <w:spacing w:after="0" w:line="372" w:lineRule="auto"/>
        <w:tabs>
          <w:tab w:leader="none" w:pos="1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Boundary Investigation – A test pitting and borehole program was conducted to assess the configur of the fresh water/brine interface at the salar surface and at depth, at selected locations on the perimeter.</w:t>
      </w:r>
    </w:p>
    <w:p>
      <w:pPr>
        <w:spacing w:after="0" w:line="130"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9 exploration wells have been drilled between 2022 and 2025 in Cauchari South of which 6 production wells and 3 are DDH. These wells were included in 2025 Mineral Resource Estimation. D 2024 and 2025, pumping tests have been performed in this exploration.</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Drilling</w:t>
      </w:r>
    </w:p>
    <w:p>
      <w:pPr>
        <w:spacing w:after="0" w:line="279"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From September 2009 to August 2010, a total of 4,176 m of Reverse Circulation (“</w:t>
      </w:r>
      <w:r>
        <w:rPr>
          <w:rFonts w:ascii="Arial" w:cs="Arial" w:eastAsia="Arial" w:hAnsi="Arial"/>
          <w:sz w:val="20"/>
          <w:szCs w:val="20"/>
          <w:b w:val="1"/>
          <w:bCs w:val="1"/>
          <w:color w:val="auto"/>
        </w:rPr>
        <w:t>RC</w:t>
      </w:r>
      <w:r>
        <w:rPr>
          <w:rFonts w:ascii="Arial" w:cs="Arial" w:eastAsia="Arial" w:hAnsi="Arial"/>
          <w:sz w:val="20"/>
          <w:szCs w:val="20"/>
          <w:color w:val="auto"/>
        </w:rPr>
        <w:t>”) Borehole drilling conducted to develop vertical profiles of brine chemistry at depth in the salars and to provide geological hydrogeological data. The program included installation of 24 boreholes and collection of 1,487 field samples (and additional Quality Control samples). The sampled brines have a relatively low magnesium-to-li ratio (lower than most sampling intervals), indicating that the brines would be amenable to a conventional lit recovery process.</w:t>
      </w:r>
    </w:p>
    <w:p>
      <w:pPr>
        <w:spacing w:after="0" w:line="212" w:lineRule="exact"/>
        <w:rPr>
          <w:sz w:val="20"/>
          <w:szCs w:val="20"/>
          <w:color w:val="auto"/>
        </w:rPr>
      </w:pPr>
    </w:p>
    <w:p>
      <w:pPr>
        <w:jc w:val="both"/>
        <w:ind w:left="900"/>
        <w:spacing w:after="0" w:line="334" w:lineRule="auto"/>
        <w:rPr>
          <w:sz w:val="20"/>
          <w:szCs w:val="20"/>
          <w:color w:val="auto"/>
        </w:rPr>
      </w:pPr>
      <w:r>
        <w:rPr>
          <w:rFonts w:ascii="Arial" w:cs="Arial" w:eastAsia="Arial" w:hAnsi="Arial"/>
          <w:sz w:val="19"/>
          <w:szCs w:val="19"/>
          <w:color w:val="auto"/>
        </w:rPr>
        <w:t>Diamond drilling at the Cauchari-Olaroz Operation was conducted between October 2009 and August 2010. program was conducted to collect continuous cores for geotechnical testing and geological characterization program included 29 boreholes and collection of 127 field brine samples (and additional quality control samp</w:t>
      </w:r>
    </w:p>
    <w:p>
      <w:pPr>
        <w:spacing w:after="0" w:line="193" w:lineRule="exact"/>
        <w:rPr>
          <w:sz w:val="20"/>
          <w:szCs w:val="20"/>
          <w:color w:val="auto"/>
        </w:rPr>
      </w:pPr>
    </w:p>
    <w:p>
      <w:pPr>
        <w:jc w:val="both"/>
        <w:ind w:left="900" w:right="20"/>
        <w:spacing w:after="0" w:line="312" w:lineRule="auto"/>
        <w:rPr>
          <w:sz w:val="20"/>
          <w:szCs w:val="20"/>
          <w:color w:val="auto"/>
        </w:rPr>
      </w:pPr>
      <w:r>
        <w:rPr>
          <w:rFonts w:ascii="Arial" w:cs="Arial" w:eastAsia="Arial" w:hAnsi="Arial"/>
          <w:sz w:val="20"/>
          <w:szCs w:val="20"/>
          <w:color w:val="auto"/>
        </w:rPr>
        <w:t>A drilling and sampling program was conducted from July 2017 to June 2019. The program included a total boreholes and 9,703 meters of cores recovered. In 2019, 58 additional samples were sent for testing program also included a total of 1,006 samples sent to the laboratory for brine characterization, including q assurance and quality control (“</w:t>
      </w:r>
      <w:r>
        <w:rPr>
          <w:rFonts w:ascii="Arial" w:cs="Arial" w:eastAsia="Arial" w:hAnsi="Arial"/>
          <w:sz w:val="20"/>
          <w:szCs w:val="20"/>
          <w:b w:val="1"/>
          <w:bCs w:val="1"/>
          <w:color w:val="auto"/>
        </w:rPr>
        <w:t>QA/QC</w:t>
      </w:r>
      <w:r>
        <w:rPr>
          <w:rFonts w:ascii="Arial" w:cs="Arial" w:eastAsia="Arial" w:hAnsi="Arial"/>
          <w:sz w:val="20"/>
          <w:szCs w:val="20"/>
          <w:color w:val="auto"/>
        </w:rPr>
        <w:t>”) samples).</w:t>
      </w:r>
    </w:p>
    <w:p>
      <w:pPr>
        <w:spacing w:after="0" w:line="212" w:lineRule="exact"/>
        <w:rPr>
          <w:sz w:val="20"/>
          <w:szCs w:val="20"/>
          <w:color w:val="auto"/>
        </w:rPr>
      </w:pPr>
    </w:p>
    <w:p>
      <w:pPr>
        <w:jc w:val="both"/>
        <w:ind w:left="900" w:right="60"/>
        <w:spacing w:after="0" w:line="311" w:lineRule="auto"/>
        <w:rPr>
          <w:sz w:val="20"/>
          <w:szCs w:val="20"/>
          <w:color w:val="auto"/>
        </w:rPr>
      </w:pPr>
      <w:r>
        <w:rPr>
          <w:rFonts w:ascii="Arial" w:cs="Arial" w:eastAsia="Arial" w:hAnsi="Arial"/>
          <w:sz w:val="20"/>
          <w:szCs w:val="20"/>
          <w:color w:val="auto"/>
        </w:rPr>
        <w:t>Information from the exploration drilling and pump tests was used to select the locations of the production that will be used to pump lithium brine to the evaporation ponds. Since 2011 a total of 10 production wells been drilled on the Property.</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production well field uses three wells drilled in 2011. These wells had a smaller diameter of 8 inches. wells drilled in 2018 and 2019 were drilled deeper and used a larger diameter based on the expected flow. production wells were drilled with conventional rotary rigs and a surface casing at the top of the wells to en the stability of the well head over time. The design of the deeper wells used larger diameter casing in the u 200/250 m, continuing with smaller diameter casing below.</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14 / 20</w:t>
      </w:r>
    </w:p>
    <w:p>
      <w:pPr>
        <w:sectPr>
          <w:pgSz w:w="11900" w:h="16838" w:orient="portrait"/>
          <w:cols w:equalWidth="0" w:num="1">
            <w:col w:w="10460"/>
          </w:cols>
          <w:pgMar w:left="1440" w:top="1440" w:right="6" w:bottom="0" w:gutter="0" w:footer="0" w:header="0"/>
          <w:type w:val="continuous"/>
        </w:sectPr>
      </w:pPr>
    </w:p>
    <w:bookmarkStart w:id="79" w:name="page80"/>
    <w:bookmarkEnd w:id="79"/>
    <w:p>
      <w:pPr>
        <w:ind w:left="900"/>
        <w:spacing w:after="0" w:line="307" w:lineRule="auto"/>
        <w:rPr>
          <w:sz w:val="20"/>
          <w:szCs w:val="20"/>
          <w:color w:val="auto"/>
        </w:rPr>
      </w:pPr>
      <w:r>
        <w:rPr>
          <w:rFonts w:ascii="Arial" w:cs="Arial" w:eastAsia="Arial" w:hAnsi="Arial"/>
          <w:sz w:val="20"/>
          <w:szCs w:val="20"/>
          <w:color w:val="auto"/>
        </w:rPr>
        <w:t>Between 2019 and 2025 a total of 42 production wells have been drilled and they are currently in operatio Stage 1.</w:t>
      </w:r>
    </w:p>
    <w:p>
      <w:pPr>
        <w:spacing w:after="0" w:line="215"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Nine exploration wells have been drilled between 2022 and 2025 in Cauchari South of which six are produ wells and three are DDH. These wells were included in 2025 Mineral Resource Estimation.</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Mineral Resource and Reserve Estimates</w:t>
      </w:r>
    </w:p>
    <w:p>
      <w:pPr>
        <w:spacing w:after="0" w:line="279"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The following is a brief discussion of the material assumptions and criteria underlying the mineral resource reserve estimates. Please see Section 11 and 12 of the Cauchari TRS for more detail.</w:t>
      </w:r>
    </w:p>
    <w:p>
      <w:pPr>
        <w:spacing w:after="0" w:line="215" w:lineRule="exact"/>
        <w:rPr>
          <w:sz w:val="20"/>
          <w:szCs w:val="20"/>
          <w:color w:val="auto"/>
        </w:rPr>
      </w:pPr>
    </w:p>
    <w:p>
      <w:pPr>
        <w:ind w:left="900" w:right="20"/>
        <w:spacing w:after="0" w:line="307" w:lineRule="auto"/>
        <w:rPr>
          <w:sz w:val="20"/>
          <w:szCs w:val="20"/>
          <w:color w:val="auto"/>
        </w:rPr>
      </w:pPr>
      <w:r>
        <w:rPr>
          <w:rFonts w:ascii="Arial" w:cs="Arial" w:eastAsia="Arial" w:hAnsi="Arial"/>
          <w:sz w:val="20"/>
          <w:szCs w:val="20"/>
          <w:color w:val="auto"/>
        </w:rPr>
        <w:t>A Mineral Resource and Mineral Reserve estimate for the Cauchari-Olaroz Operation is summarized in the 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1091565</wp:posOffset>
            </wp:positionV>
            <wp:extent cx="6764020"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15 / 20</w:t>
      </w:r>
    </w:p>
    <w:p>
      <w:pPr>
        <w:sectPr>
          <w:pgSz w:w="11900" w:h="16838" w:orient="portrait"/>
          <w:cols w:equalWidth="0" w:num="1">
            <w:col w:w="10460"/>
          </w:cols>
          <w:pgMar w:left="1440" w:top="1172" w:right="6" w:bottom="0" w:gutter="0" w:footer="0" w:header="0"/>
          <w:type w:val="continuous"/>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Mineral Resources</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prior Mineral Resource estimate from 2024 was prepared in accordance with S-K 1300. The Company h previously filed the NI 43-101 and S-K 1300 technical reports on the Cauchari-Olaroz Operation providing pri Mineral Resource estimates for lithium and the previous resource estimate was prepared in accordance with standards under NI 43-101 and S-K 1300.</w:t>
      </w:r>
    </w:p>
    <w:p>
      <w:pPr>
        <w:spacing w:after="0" w:line="2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Dr. Mark King, PhD, P.Geo., FGC for Cauchari-Olaroz, and a qualified person under S-K 1300, reviewed confirmed the Mineral Resource and Mineral Reserve estimates, along with the material assumptions relat them, as presented in the Cauchari TRS.</w:t>
      </w:r>
    </w:p>
    <w:p>
      <w:pPr>
        <w:spacing w:after="0" w:line="212" w:lineRule="exact"/>
        <w:rPr>
          <w:sz w:val="20"/>
          <w:szCs w:val="20"/>
          <w:color w:val="auto"/>
        </w:rPr>
      </w:pPr>
    </w:p>
    <w:p>
      <w:pPr>
        <w:ind w:left="900" w:right="40"/>
        <w:spacing w:after="0" w:line="312" w:lineRule="auto"/>
        <w:rPr>
          <w:sz w:val="20"/>
          <w:szCs w:val="20"/>
          <w:color w:val="auto"/>
        </w:rPr>
      </w:pPr>
      <w:r>
        <w:rPr>
          <w:rFonts w:ascii="Arial" w:cs="Arial" w:eastAsia="Arial" w:hAnsi="Arial"/>
          <w:sz w:val="20"/>
          <w:szCs w:val="20"/>
          <w:color w:val="auto"/>
        </w:rPr>
        <w:t>The Mineral Resource Estimate reported below was completed using a new Leapfrog Geo model that incorporates a new description of the hydrostratigraphic (HSU) units based on the salar lithistratigraphic unit This new model is based on the full basin model developed by Aquatec. The Mineral Reserve Estimate, documented below, uses the same HSU framework.</w:t>
      </w:r>
    </w:p>
    <w:p>
      <w:pPr>
        <w:spacing w:after="0" w:line="212" w:lineRule="exact"/>
        <w:rPr>
          <w:sz w:val="20"/>
          <w:szCs w:val="20"/>
          <w:color w:val="auto"/>
        </w:rPr>
      </w:pPr>
    </w:p>
    <w:p>
      <w:pPr>
        <w:ind w:left="900"/>
        <w:spacing w:after="0" w:line="312" w:lineRule="auto"/>
        <w:rPr>
          <w:sz w:val="20"/>
          <w:szCs w:val="20"/>
          <w:color w:val="auto"/>
        </w:rPr>
      </w:pPr>
      <w:r>
        <w:rPr>
          <w:rFonts w:ascii="Arial" w:cs="Arial" w:eastAsia="Arial" w:hAnsi="Arial"/>
          <w:sz w:val="20"/>
          <w:szCs w:val="20"/>
          <w:color w:val="auto"/>
        </w:rPr>
        <w:t>The results of drilling, exploration, and production carried out in recent years have enabled an updated reso evaluation. Based on this new information, a significant portion of the resources previously classified as Inf in the Burga et al (2019) estimate has been reclassified to Indicated and Measured Resources. reclassification is due to an increase in the spatial and temporal continuity of the supporting data.</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This resulted in the latest 2026 Mineral Resource Estimate for the Project with an effective date of Decembe 2025.</w:t>
      </w:r>
    </w:p>
    <w:p>
      <w:pPr>
        <w:spacing w:after="0" w:line="215"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The 2026 Mineral Resource Estimate at the Measured, Indicated, and Inferred Mineral Resource classificatio lithium is based on the total amount of lithium in brine that is theoretically drainable from the bulk aquifer vol The Mineral Resource Estimate is computed as the overall product of the Resource Evaluation Area and aq thickness resulting in an aquifer volume, lithium concentration dissolved in the brine, and specific yield o resource aquifer volume. This framework is based on an expanded and updated hydrostratigraphic m incorporating bulk aquifer volume lithologies and specific yield estimates for block modeling of the Mi Resource Estimate. Radial basis function was performed as the main lithium distribution methodology u variogram modeling techniques; the interpolation method was verified with ordinary kriging. The Mineral Res block model was validated by means of visual inspection, checks of composite versus model statistics and s plots. No areas of significant bias were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191135</wp:posOffset>
            </wp:positionV>
            <wp:extent cx="607822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1">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340" w:lineRule="exact"/>
        <w:rPr>
          <w:sz w:val="20"/>
          <w:szCs w:val="20"/>
          <w:color w:val="auto"/>
        </w:rPr>
      </w:pPr>
    </w:p>
    <w:p>
      <w:pPr>
        <w:ind w:left="1100"/>
        <w:spacing w:after="0" w:line="307" w:lineRule="auto"/>
        <w:rPr>
          <w:sz w:val="20"/>
          <w:szCs w:val="20"/>
          <w:color w:val="auto"/>
        </w:rPr>
      </w:pPr>
      <w:r>
        <w:rPr>
          <w:rFonts w:ascii="Arial" w:cs="Arial" w:eastAsia="Arial" w:hAnsi="Arial"/>
          <w:sz w:val="18"/>
          <w:szCs w:val="18"/>
          <w:b w:val="1"/>
          <w:bCs w:val="1"/>
          <w:color w:val="FFFFFF"/>
        </w:rPr>
        <w:t>Summary of 2026 Mineral Resource Estimate for Lithium Exclusive of Mineral Reserves – Current as of Decem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-12700</wp:posOffset>
            </wp:positionV>
            <wp:extent cx="6078220" cy="7118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2">
                      <a:extLst>
                        <a:ext uri="{28A0092B-C50C-407E-A947-70E740481C1C}"/>
                      </a:extLst>
                    </a:blip>
                    <a:srcRect/>
                    <a:stretch>
                      <a:fillRect/>
                    </a:stretch>
                  </pic:blipFill>
                  <pic:spPr bwMode="auto">
                    <a:xfrm>
                      <a:off x="0" y="0"/>
                      <a:ext cx="6078220" cy="711835"/>
                    </a:xfrm>
                    <a:prstGeom prst="rect">
                      <a:avLst/>
                    </a:prstGeom>
                    <a:noFill/>
                  </pic:spPr>
                </pic:pic>
              </a:graphicData>
            </a:graphic>
          </wp:anchor>
        </w:drawing>
      </w:r>
    </w:p>
    <w:p>
      <w:pPr>
        <w:spacing w:after="0" w:line="12"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1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jc w:val="center"/>
              <w:ind w:left="70"/>
              <w:spacing w:after="0"/>
              <w:rPr>
                <w:sz w:val="20"/>
                <w:szCs w:val="20"/>
                <w:color w:val="auto"/>
              </w:rPr>
            </w:pPr>
            <w:r>
              <w:rPr>
                <w:rFonts w:ascii="Arial" w:cs="Arial" w:eastAsia="Arial" w:hAnsi="Arial"/>
                <w:sz w:val="18"/>
                <w:szCs w:val="18"/>
                <w:b w:val="1"/>
                <w:bCs w:val="1"/>
                <w:color w:val="FFFFFF"/>
              </w:rPr>
              <w:t>Lithiu</w:t>
            </w:r>
          </w:p>
        </w:tc>
        <w:tc>
          <w:tcPr>
            <w:tcW w:w="0" w:type="dxa"/>
            <w:vAlign w:val="bottom"/>
          </w:tcPr>
          <w:p>
            <w:pPr>
              <w:spacing w:after="0"/>
              <w:rPr>
                <w:sz w:val="1"/>
                <w:szCs w:val="1"/>
                <w:color w:val="auto"/>
              </w:rPr>
            </w:pPr>
          </w:p>
        </w:tc>
      </w:tr>
      <w:tr>
        <w:trPr>
          <w:trHeight w:val="272"/>
        </w:trPr>
        <w:tc>
          <w:tcPr>
            <w:tcW w:w="19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center"/>
              <w:ind w:left="110"/>
              <w:spacing w:after="0"/>
              <w:rPr>
                <w:sz w:val="20"/>
                <w:szCs w:val="20"/>
                <w:color w:val="auto"/>
              </w:rPr>
            </w:pPr>
            <w:r>
              <w:rPr>
                <w:rFonts w:ascii="Arial" w:cs="Arial" w:eastAsia="Arial" w:hAnsi="Arial"/>
                <w:sz w:val="18"/>
                <w:szCs w:val="18"/>
                <w:b w:val="1"/>
                <w:bCs w:val="1"/>
                <w:color w:val="FFFFFF"/>
                <w:w w:val="99"/>
              </w:rPr>
              <w:t>Lithi</w:t>
            </w:r>
          </w:p>
        </w:tc>
        <w:tc>
          <w:tcPr>
            <w:tcW w:w="0" w:type="dxa"/>
            <w:vAlign w:val="bottom"/>
          </w:tcPr>
          <w:p>
            <w:pPr>
              <w:spacing w:after="0"/>
              <w:rPr>
                <w:sz w:val="1"/>
                <w:szCs w:val="1"/>
                <w:color w:val="auto"/>
              </w:rPr>
            </w:pPr>
          </w:p>
        </w:tc>
      </w:tr>
      <w:tr>
        <w:trPr>
          <w:trHeight w:val="272"/>
        </w:trPr>
        <w:tc>
          <w:tcPr>
            <w:tcW w:w="19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FFFFFF"/>
                <w:w w:val="98"/>
              </w:rPr>
              <w:t>Average</w:t>
            </w: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FFFFFF"/>
                <w:w w:val="98"/>
              </w:rPr>
              <w:t>Lithium</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FFFFFF"/>
              </w:rPr>
              <w:t>Argent</w:t>
            </w:r>
          </w:p>
        </w:tc>
        <w:tc>
          <w:tcPr>
            <w:tcW w:w="0" w:type="dxa"/>
            <w:vAlign w:val="bottom"/>
          </w:tcPr>
          <w:p>
            <w:pPr>
              <w:spacing w:after="0"/>
              <w:rPr>
                <w:sz w:val="1"/>
                <w:szCs w:val="1"/>
                <w:color w:val="auto"/>
              </w:rPr>
            </w:pPr>
          </w:p>
        </w:tc>
      </w:tr>
      <w:tr>
        <w:trPr>
          <w:trHeight w:val="272"/>
        </w:trPr>
        <w:tc>
          <w:tcPr>
            <w:tcW w:w="1960" w:type="dxa"/>
            <w:vAlign w:val="bottom"/>
          </w:tcPr>
          <w:p>
            <w:pPr>
              <w:spacing w:after="0"/>
              <w:rPr>
                <w:sz w:val="23"/>
                <w:szCs w:val="23"/>
                <w:color w:val="auto"/>
              </w:rPr>
            </w:pPr>
          </w:p>
        </w:tc>
        <w:tc>
          <w:tcPr>
            <w:tcW w:w="308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FFFFFF"/>
                <w:w w:val="98"/>
              </w:rPr>
              <w:t>Aquifer</w:t>
            </w:r>
          </w:p>
        </w:tc>
        <w:tc>
          <w:tcPr>
            <w:tcW w:w="1160" w:type="dxa"/>
            <w:vAlign w:val="bottom"/>
          </w:tcPr>
          <w:p>
            <w:pPr>
              <w:jc w:val="center"/>
              <w:ind w:left="130"/>
              <w:spacing w:after="0"/>
              <w:rPr>
                <w:sz w:val="20"/>
                <w:szCs w:val="20"/>
                <w:color w:val="auto"/>
              </w:rPr>
            </w:pPr>
            <w:r>
              <w:rPr>
                <w:rFonts w:ascii="Arial" w:cs="Arial" w:eastAsia="Arial" w:hAnsi="Arial"/>
                <w:sz w:val="18"/>
                <w:szCs w:val="18"/>
                <w:b w:val="1"/>
                <w:bCs w:val="1"/>
                <w:color w:val="FFFFFF"/>
                <w:w w:val="99"/>
              </w:rPr>
              <w:t>Drainable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FFFFFF"/>
              </w:rPr>
              <w:t>Lithium</w:t>
            </w:r>
          </w:p>
        </w:tc>
        <w:tc>
          <w:tcPr>
            <w:tcW w:w="1160" w:type="dxa"/>
            <w:vAlign w:val="bottom"/>
          </w:tcPr>
          <w:p>
            <w:pPr>
              <w:ind w:left="280"/>
              <w:spacing w:after="0"/>
              <w:rPr>
                <w:sz w:val="20"/>
                <w:szCs w:val="20"/>
                <w:color w:val="auto"/>
              </w:rPr>
            </w:pPr>
            <w:r>
              <w:rPr>
                <w:rFonts w:ascii="Arial" w:cs="Arial" w:eastAsia="Arial" w:hAnsi="Arial"/>
                <w:sz w:val="18"/>
                <w:szCs w:val="18"/>
                <w:b w:val="1"/>
                <w:bCs w:val="1"/>
                <w:color w:val="FFFFFF"/>
              </w:rPr>
              <w:t>Metal</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FFFFFF"/>
              </w:rPr>
              <w:t>44.8</w:t>
            </w:r>
          </w:p>
        </w:tc>
        <w:tc>
          <w:tcPr>
            <w:tcW w:w="0" w:type="dxa"/>
            <w:vAlign w:val="bottom"/>
          </w:tcPr>
          <w:p>
            <w:pPr>
              <w:spacing w:after="0"/>
              <w:rPr>
                <w:sz w:val="1"/>
                <w:szCs w:val="1"/>
                <w:color w:val="auto"/>
              </w:rPr>
            </w:pPr>
          </w:p>
        </w:tc>
      </w:tr>
      <w:tr>
        <w:trPr>
          <w:trHeight w:val="46"/>
        </w:trPr>
        <w:tc>
          <w:tcPr>
            <w:tcW w:w="19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700" w:type="dxa"/>
            <w:vAlign w:val="bottom"/>
            <w:gridSpan w:val="2"/>
          </w:tcPr>
          <w:p>
            <w:pPr>
              <w:spacing w:after="0"/>
              <w:rPr>
                <w:sz w:val="4"/>
                <w:szCs w:val="4"/>
                <w:color w:val="auto"/>
              </w:rPr>
            </w:pPr>
          </w:p>
        </w:tc>
        <w:tc>
          <w:tcPr>
            <w:tcW w:w="1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60" w:type="dxa"/>
            <w:vAlign w:val="bottom"/>
            <w:shd w:val="clear" w:color="auto" w:fill="153A57"/>
          </w:tcPr>
          <w:p>
            <w:pPr>
              <w:spacing w:after="0"/>
              <w:rPr>
                <w:sz w:val="21"/>
                <w:szCs w:val="21"/>
                <w:color w:val="auto"/>
              </w:rPr>
            </w:pPr>
          </w:p>
        </w:tc>
        <w:tc>
          <w:tcPr>
            <w:tcW w:w="3080" w:type="dxa"/>
            <w:vAlign w:val="bottom"/>
            <w:gridSpan w:val="2"/>
            <w:vMerge w:val="restart"/>
            <w:shd w:val="clear" w:color="auto" w:fill="153A57"/>
          </w:tcPr>
          <w:p>
            <w:pPr>
              <w:jc w:val="center"/>
              <w:ind w:left="750"/>
              <w:spacing w:after="0"/>
              <w:rPr>
                <w:sz w:val="20"/>
                <w:szCs w:val="20"/>
                <w:color w:val="auto"/>
              </w:rPr>
            </w:pPr>
            <w:r>
              <w:rPr>
                <w:rFonts w:ascii="Arial" w:cs="Arial" w:eastAsia="Arial" w:hAnsi="Arial"/>
                <w:sz w:val="18"/>
                <w:szCs w:val="18"/>
                <w:b w:val="1"/>
                <w:bCs w:val="1"/>
                <w:color w:val="FFFFFF"/>
                <w:w w:val="99"/>
              </w:rPr>
              <w:t>Volume (m3)</w:t>
            </w:r>
          </w:p>
        </w:tc>
        <w:tc>
          <w:tcPr>
            <w:tcW w:w="2700" w:type="dxa"/>
            <w:vAlign w:val="bottom"/>
            <w:gridSpan w:val="2"/>
            <w:shd w:val="clear" w:color="auto" w:fill="153A57"/>
          </w:tcPr>
          <w:p>
            <w:pPr>
              <w:jc w:val="center"/>
              <w:spacing w:after="0"/>
              <w:rPr>
                <w:sz w:val="20"/>
                <w:szCs w:val="20"/>
                <w:color w:val="auto"/>
              </w:rPr>
            </w:pPr>
            <w:r>
              <w:rPr>
                <w:rFonts w:ascii="Arial" w:cs="Arial" w:eastAsia="Arial" w:hAnsi="Arial"/>
                <w:sz w:val="18"/>
                <w:szCs w:val="18"/>
                <w:b w:val="1"/>
                <w:bCs w:val="1"/>
                <w:color w:val="FFFFFF"/>
              </w:rPr>
              <w:t>Brine Volume Concentration</w:t>
            </w:r>
          </w:p>
        </w:tc>
        <w:tc>
          <w:tcPr>
            <w:tcW w:w="1160" w:type="dxa"/>
            <w:vAlign w:val="bottom"/>
            <w:vMerge w:val="restart"/>
            <w:shd w:val="clear" w:color="auto" w:fill="153A57"/>
          </w:tcPr>
          <w:p>
            <w:pPr>
              <w:jc w:val="center"/>
              <w:ind w:right="70"/>
              <w:spacing w:after="0"/>
              <w:rPr>
                <w:sz w:val="20"/>
                <w:szCs w:val="20"/>
                <w:color w:val="auto"/>
              </w:rPr>
            </w:pPr>
            <w:r>
              <w:rPr>
                <w:rFonts w:ascii="Arial" w:cs="Arial" w:eastAsia="Arial" w:hAnsi="Arial"/>
                <w:sz w:val="18"/>
                <w:szCs w:val="18"/>
                <w:b w:val="1"/>
                <w:bCs w:val="1"/>
                <w:color w:val="FFFFFF"/>
              </w:rPr>
              <w:t>(tonnes)</w:t>
            </w:r>
          </w:p>
        </w:tc>
        <w:tc>
          <w:tcPr>
            <w:tcW w:w="660" w:type="dxa"/>
            <w:vAlign w:val="bottom"/>
            <w:shd w:val="clear" w:color="auto" w:fill="153A57"/>
          </w:tcPr>
          <w:p>
            <w:pPr>
              <w:jc w:val="center"/>
              <w:ind w:left="110"/>
              <w:spacing w:after="0"/>
              <w:rPr>
                <w:sz w:val="20"/>
                <w:szCs w:val="20"/>
                <w:color w:val="auto"/>
              </w:rPr>
            </w:pPr>
            <w:r>
              <w:rPr>
                <w:rFonts w:ascii="Arial" w:cs="Arial" w:eastAsia="Arial" w:hAnsi="Arial"/>
                <w:sz w:val="18"/>
                <w:szCs w:val="18"/>
                <w:b w:val="1"/>
                <w:bCs w:val="1"/>
                <w:color w:val="FFFFFF"/>
              </w:rPr>
              <w:t>Porti</w:t>
            </w:r>
          </w:p>
        </w:tc>
        <w:tc>
          <w:tcPr>
            <w:tcW w:w="0" w:type="dxa"/>
            <w:vAlign w:val="bottom"/>
          </w:tcPr>
          <w:p>
            <w:pPr>
              <w:spacing w:after="0"/>
              <w:rPr>
                <w:sz w:val="1"/>
                <w:szCs w:val="1"/>
                <w:color w:val="auto"/>
              </w:rPr>
            </w:pPr>
          </w:p>
        </w:tc>
      </w:tr>
      <w:tr>
        <w:trPr>
          <w:trHeight w:val="136"/>
        </w:trPr>
        <w:tc>
          <w:tcPr>
            <w:tcW w:w="1960" w:type="dxa"/>
            <w:vAlign w:val="bottom"/>
            <w:vMerge w:val="restart"/>
            <w:shd w:val="clear" w:color="auto" w:fill="153A57"/>
          </w:tcPr>
          <w:p>
            <w:pPr>
              <w:ind w:left="200"/>
              <w:spacing w:after="0"/>
              <w:rPr>
                <w:sz w:val="20"/>
                <w:szCs w:val="20"/>
                <w:color w:val="auto"/>
              </w:rPr>
            </w:pPr>
            <w:r>
              <w:rPr>
                <w:rFonts w:ascii="Arial" w:cs="Arial" w:eastAsia="Arial" w:hAnsi="Arial"/>
                <w:sz w:val="18"/>
                <w:szCs w:val="18"/>
                <w:b w:val="1"/>
                <w:bCs w:val="1"/>
                <w:color w:val="FFFFFF"/>
              </w:rPr>
              <w:t>Category</w:t>
            </w:r>
          </w:p>
        </w:tc>
        <w:tc>
          <w:tcPr>
            <w:tcW w:w="3080" w:type="dxa"/>
            <w:vAlign w:val="bottom"/>
            <w:gridSpan w:val="2"/>
            <w:vMerge w:val="continue"/>
            <w:shd w:val="clear" w:color="auto" w:fill="153A57"/>
          </w:tcPr>
          <w:p>
            <w:pPr>
              <w:spacing w:after="0"/>
              <w:rPr>
                <w:sz w:val="11"/>
                <w:szCs w:val="11"/>
                <w:color w:val="auto"/>
              </w:rPr>
            </w:pPr>
          </w:p>
        </w:tc>
        <w:tc>
          <w:tcPr>
            <w:tcW w:w="1160" w:type="dxa"/>
            <w:vAlign w:val="bottom"/>
            <w:vMerge w:val="restart"/>
            <w:shd w:val="clear" w:color="auto" w:fill="153A57"/>
          </w:tcPr>
          <w:p>
            <w:pPr>
              <w:jc w:val="center"/>
              <w:ind w:left="130"/>
              <w:spacing w:after="0"/>
              <w:rPr>
                <w:sz w:val="20"/>
                <w:szCs w:val="20"/>
                <w:color w:val="auto"/>
              </w:rPr>
            </w:pPr>
            <w:r>
              <w:rPr>
                <w:rFonts w:ascii="Arial" w:cs="Arial" w:eastAsia="Arial" w:hAnsi="Arial"/>
                <w:sz w:val="18"/>
                <w:szCs w:val="18"/>
                <w:b w:val="1"/>
                <w:bCs w:val="1"/>
                <w:color w:val="FFFFFF"/>
                <w:w w:val="99"/>
              </w:rPr>
              <w:t>(m3)</w:t>
            </w:r>
          </w:p>
        </w:tc>
        <w:tc>
          <w:tcPr>
            <w:tcW w:w="1540" w:type="dxa"/>
            <w:vAlign w:val="bottom"/>
            <w:vMerge w:val="restart"/>
            <w:shd w:val="clear" w:color="auto" w:fill="153A57"/>
          </w:tcPr>
          <w:p>
            <w:pPr>
              <w:jc w:val="center"/>
              <w:spacing w:after="0"/>
              <w:rPr>
                <w:sz w:val="20"/>
                <w:szCs w:val="20"/>
                <w:color w:val="auto"/>
              </w:rPr>
            </w:pPr>
            <w:r>
              <w:rPr>
                <w:rFonts w:ascii="Arial" w:cs="Arial" w:eastAsia="Arial" w:hAnsi="Arial"/>
                <w:sz w:val="18"/>
                <w:szCs w:val="18"/>
                <w:b w:val="1"/>
                <w:bCs w:val="1"/>
                <w:color w:val="FFFFFF"/>
                <w:w w:val="98"/>
              </w:rPr>
              <w:t>(mg/L)</w:t>
            </w:r>
          </w:p>
        </w:tc>
        <w:tc>
          <w:tcPr>
            <w:tcW w:w="1160" w:type="dxa"/>
            <w:vAlign w:val="bottom"/>
            <w:vMerge w:val="continue"/>
            <w:shd w:val="clear" w:color="auto" w:fill="153A57"/>
          </w:tcPr>
          <w:p>
            <w:pPr>
              <w:spacing w:after="0"/>
              <w:rPr>
                <w:sz w:val="11"/>
                <w:szCs w:val="11"/>
                <w:color w:val="auto"/>
              </w:rPr>
            </w:pPr>
          </w:p>
        </w:tc>
        <w:tc>
          <w:tcPr>
            <w:tcW w:w="660" w:type="dxa"/>
            <w:vAlign w:val="bottom"/>
            <w:vMerge w:val="restart"/>
            <w:shd w:val="clear" w:color="auto" w:fill="153A57"/>
          </w:tcPr>
          <w:p>
            <w:pPr>
              <w:jc w:val="center"/>
              <w:ind w:left="110"/>
              <w:spacing w:after="0"/>
              <w:rPr>
                <w:sz w:val="20"/>
                <w:szCs w:val="20"/>
                <w:color w:val="auto"/>
              </w:rPr>
            </w:pPr>
            <w:r>
              <w:rPr>
                <w:rFonts w:ascii="Arial" w:cs="Arial" w:eastAsia="Arial" w:hAnsi="Arial"/>
                <w:sz w:val="18"/>
                <w:szCs w:val="18"/>
                <w:b w:val="1"/>
                <w:bCs w:val="1"/>
                <w:color w:val="FFFFFF"/>
              </w:rPr>
              <w:t>(tonn</w:t>
            </w:r>
          </w:p>
        </w:tc>
        <w:tc>
          <w:tcPr>
            <w:tcW w:w="0" w:type="dxa"/>
            <w:vAlign w:val="bottom"/>
          </w:tcPr>
          <w:p>
            <w:pPr>
              <w:spacing w:after="0"/>
              <w:rPr>
                <w:sz w:val="1"/>
                <w:szCs w:val="1"/>
                <w:color w:val="auto"/>
              </w:rPr>
            </w:pPr>
          </w:p>
        </w:tc>
      </w:tr>
      <w:tr>
        <w:trPr>
          <w:trHeight w:val="162"/>
        </w:trPr>
        <w:tc>
          <w:tcPr>
            <w:tcW w:w="1960" w:type="dxa"/>
            <w:vAlign w:val="bottom"/>
            <w:tcBorders>
              <w:bottom w:val="single" w:sz="8" w:color="153A57"/>
            </w:tcBorders>
            <w:vMerge w:val="continue"/>
            <w:shd w:val="clear" w:color="auto" w:fill="153A57"/>
          </w:tcPr>
          <w:p>
            <w:pPr>
              <w:spacing w:after="0"/>
              <w:rPr>
                <w:sz w:val="14"/>
                <w:szCs w:val="14"/>
                <w:color w:val="auto"/>
              </w:rPr>
            </w:pPr>
          </w:p>
        </w:tc>
        <w:tc>
          <w:tcPr>
            <w:tcW w:w="1960" w:type="dxa"/>
            <w:vAlign w:val="bottom"/>
            <w:tcBorders>
              <w:bottom w:val="single" w:sz="8" w:color="153A57"/>
            </w:tcBorders>
            <w:shd w:val="clear" w:color="auto" w:fill="153A57"/>
          </w:tcPr>
          <w:p>
            <w:pPr>
              <w:spacing w:after="0"/>
              <w:rPr>
                <w:sz w:val="14"/>
                <w:szCs w:val="14"/>
                <w:color w:val="auto"/>
              </w:rPr>
            </w:pPr>
          </w:p>
        </w:tc>
        <w:tc>
          <w:tcPr>
            <w:tcW w:w="1120" w:type="dxa"/>
            <w:vAlign w:val="bottom"/>
            <w:tcBorders>
              <w:bottom w:val="single" w:sz="8" w:color="153A57"/>
            </w:tcBorders>
            <w:shd w:val="clear" w:color="auto" w:fill="153A57"/>
          </w:tcPr>
          <w:p>
            <w:pPr>
              <w:spacing w:after="0"/>
              <w:rPr>
                <w:sz w:val="14"/>
                <w:szCs w:val="14"/>
                <w:color w:val="auto"/>
              </w:rPr>
            </w:pPr>
          </w:p>
        </w:tc>
        <w:tc>
          <w:tcPr>
            <w:tcW w:w="1160" w:type="dxa"/>
            <w:vAlign w:val="bottom"/>
            <w:tcBorders>
              <w:bottom w:val="single" w:sz="8" w:color="153A57"/>
            </w:tcBorders>
            <w:vMerge w:val="continue"/>
            <w:shd w:val="clear" w:color="auto" w:fill="153A57"/>
          </w:tcPr>
          <w:p>
            <w:pPr>
              <w:spacing w:after="0"/>
              <w:rPr>
                <w:sz w:val="14"/>
                <w:szCs w:val="14"/>
                <w:color w:val="auto"/>
              </w:rPr>
            </w:pPr>
          </w:p>
        </w:tc>
        <w:tc>
          <w:tcPr>
            <w:tcW w:w="1540" w:type="dxa"/>
            <w:vAlign w:val="bottom"/>
            <w:tcBorders>
              <w:bottom w:val="single" w:sz="8" w:color="153A57"/>
            </w:tcBorders>
            <w:vMerge w:val="continue"/>
            <w:shd w:val="clear" w:color="auto" w:fill="153A57"/>
          </w:tcPr>
          <w:p>
            <w:pPr>
              <w:spacing w:after="0"/>
              <w:rPr>
                <w:sz w:val="14"/>
                <w:szCs w:val="14"/>
                <w:color w:val="auto"/>
              </w:rPr>
            </w:pPr>
          </w:p>
        </w:tc>
        <w:tc>
          <w:tcPr>
            <w:tcW w:w="1160" w:type="dxa"/>
            <w:vAlign w:val="bottom"/>
            <w:tcBorders>
              <w:bottom w:val="single" w:sz="8" w:color="153A57"/>
            </w:tcBorders>
            <w:shd w:val="clear" w:color="auto" w:fill="153A57"/>
          </w:tcPr>
          <w:p>
            <w:pPr>
              <w:spacing w:after="0"/>
              <w:rPr>
                <w:sz w:val="14"/>
                <w:szCs w:val="14"/>
                <w:color w:val="auto"/>
              </w:rPr>
            </w:pPr>
          </w:p>
        </w:tc>
        <w:tc>
          <w:tcPr>
            <w:tcW w:w="660" w:type="dxa"/>
            <w:vAlign w:val="bottom"/>
            <w:tcBorders>
              <w:bottom w:val="single" w:sz="8" w:color="153A57"/>
            </w:tcBorders>
            <w:vMerge w:val="continue"/>
            <w:shd w:val="clear" w:color="auto" w:fill="153A57"/>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960" w:type="dxa"/>
            <w:vAlign w:val="bottom"/>
          </w:tcPr>
          <w:p>
            <w:pPr>
              <w:ind w:left="200"/>
              <w:spacing w:after="0"/>
              <w:rPr>
                <w:sz w:val="20"/>
                <w:szCs w:val="20"/>
                <w:color w:val="auto"/>
              </w:rPr>
            </w:pPr>
            <w:r>
              <w:rPr>
                <w:rFonts w:ascii="Arial" w:cs="Arial" w:eastAsia="Arial" w:hAnsi="Arial"/>
                <w:sz w:val="18"/>
                <w:szCs w:val="18"/>
                <w:color w:val="auto"/>
              </w:rPr>
              <w:t>Measured</w:t>
            </w:r>
          </w:p>
        </w:tc>
        <w:tc>
          <w:tcPr>
            <w:tcW w:w="1960" w:type="dxa"/>
            <w:vAlign w:val="bottom"/>
          </w:tcPr>
          <w:p>
            <w:pPr>
              <w:ind w:left="980"/>
              <w:spacing w:after="0"/>
              <w:rPr>
                <w:sz w:val="20"/>
                <w:szCs w:val="20"/>
                <w:color w:val="auto"/>
              </w:rPr>
            </w:pPr>
            <w:r>
              <w:rPr>
                <w:rFonts w:ascii="Arial" w:cs="Arial" w:eastAsia="Arial" w:hAnsi="Arial"/>
                <w:sz w:val="18"/>
                <w:szCs w:val="18"/>
                <w:color w:val="auto"/>
              </w:rPr>
              <w:t>5.94E+10</w:t>
            </w:r>
          </w:p>
        </w:tc>
        <w:tc>
          <w:tcPr>
            <w:tcW w:w="1120" w:type="dxa"/>
            <w:vAlign w:val="bottom"/>
          </w:tcPr>
          <w:p>
            <w:pPr>
              <w:ind w:left="220"/>
              <w:spacing w:after="0"/>
              <w:rPr>
                <w:sz w:val="20"/>
                <w:szCs w:val="20"/>
                <w:color w:val="auto"/>
              </w:rPr>
            </w:pPr>
            <w:r>
              <w:rPr>
                <w:rFonts w:ascii="Arial" w:cs="Arial" w:eastAsia="Arial" w:hAnsi="Arial"/>
                <w:sz w:val="18"/>
                <w:szCs w:val="18"/>
                <w:color w:val="auto"/>
              </w:rPr>
              <w:t>5.89E+09</w:t>
            </w:r>
          </w:p>
        </w:tc>
        <w:tc>
          <w:tcPr>
            <w:tcW w:w="1160" w:type="dxa"/>
            <w:vAlign w:val="bottom"/>
          </w:tcPr>
          <w:p>
            <w:pPr>
              <w:spacing w:after="0"/>
              <w:rPr>
                <w:sz w:val="21"/>
                <w:szCs w:val="21"/>
                <w:color w:val="auto"/>
              </w:rPr>
            </w:pPr>
          </w:p>
        </w:tc>
        <w:tc>
          <w:tcPr>
            <w:tcW w:w="1540" w:type="dxa"/>
            <w:vAlign w:val="bottom"/>
          </w:tcPr>
          <w:p>
            <w:pPr>
              <w:jc w:val="center"/>
              <w:ind w:right="1070"/>
              <w:spacing w:after="0"/>
              <w:rPr>
                <w:sz w:val="20"/>
                <w:szCs w:val="20"/>
                <w:color w:val="auto"/>
              </w:rPr>
            </w:pPr>
            <w:r>
              <w:rPr>
                <w:rFonts w:ascii="Arial" w:cs="Arial" w:eastAsia="Arial" w:hAnsi="Arial"/>
                <w:sz w:val="18"/>
                <w:szCs w:val="18"/>
                <w:color w:val="auto"/>
                <w:w w:val="99"/>
              </w:rPr>
              <w:t>557</w:t>
            </w:r>
          </w:p>
        </w:tc>
        <w:tc>
          <w:tcPr>
            <w:tcW w:w="1160" w:type="dxa"/>
            <w:vAlign w:val="bottom"/>
          </w:tcPr>
          <w:p>
            <w:pPr>
              <w:ind w:left="300"/>
              <w:spacing w:after="0"/>
              <w:rPr>
                <w:sz w:val="20"/>
                <w:szCs w:val="20"/>
                <w:color w:val="auto"/>
              </w:rPr>
            </w:pPr>
            <w:r>
              <w:rPr>
                <w:rFonts w:ascii="Arial" w:cs="Arial" w:eastAsia="Arial" w:hAnsi="Arial"/>
                <w:sz w:val="18"/>
                <w:szCs w:val="18"/>
                <w:color w:val="auto"/>
              </w:rPr>
              <w:t>2,742,686</w:t>
            </w:r>
          </w:p>
        </w:tc>
        <w:tc>
          <w:tcPr>
            <w:tcW w:w="66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96"/>
        </w:trPr>
        <w:tc>
          <w:tcPr>
            <w:tcW w:w="1960" w:type="dxa"/>
            <w:vAlign w:val="bottom"/>
          </w:tcPr>
          <w:p>
            <w:pPr>
              <w:ind w:left="200"/>
              <w:spacing w:after="0"/>
              <w:rPr>
                <w:sz w:val="20"/>
                <w:szCs w:val="20"/>
                <w:color w:val="auto"/>
              </w:rPr>
            </w:pPr>
            <w:r>
              <w:rPr>
                <w:rFonts w:ascii="Arial" w:cs="Arial" w:eastAsia="Arial" w:hAnsi="Arial"/>
                <w:sz w:val="18"/>
                <w:szCs w:val="18"/>
                <w:color w:val="auto"/>
              </w:rPr>
              <w:t>Indicated</w:t>
            </w:r>
          </w:p>
        </w:tc>
        <w:tc>
          <w:tcPr>
            <w:tcW w:w="1960" w:type="dxa"/>
            <w:vAlign w:val="bottom"/>
          </w:tcPr>
          <w:p>
            <w:pPr>
              <w:ind w:left="980"/>
              <w:spacing w:after="0"/>
              <w:rPr>
                <w:sz w:val="20"/>
                <w:szCs w:val="20"/>
                <w:color w:val="auto"/>
              </w:rPr>
            </w:pPr>
            <w:r>
              <w:rPr>
                <w:rFonts w:ascii="Arial" w:cs="Arial" w:eastAsia="Arial" w:hAnsi="Arial"/>
                <w:sz w:val="18"/>
                <w:szCs w:val="18"/>
                <w:color w:val="auto"/>
              </w:rPr>
              <w:t>3.87E+10</w:t>
            </w:r>
          </w:p>
        </w:tc>
        <w:tc>
          <w:tcPr>
            <w:tcW w:w="1120" w:type="dxa"/>
            <w:vAlign w:val="bottom"/>
          </w:tcPr>
          <w:p>
            <w:pPr>
              <w:ind w:left="220"/>
              <w:spacing w:after="0"/>
              <w:rPr>
                <w:sz w:val="20"/>
                <w:szCs w:val="20"/>
                <w:color w:val="auto"/>
              </w:rPr>
            </w:pPr>
            <w:r>
              <w:rPr>
                <w:rFonts w:ascii="Arial" w:cs="Arial" w:eastAsia="Arial" w:hAnsi="Arial"/>
                <w:sz w:val="18"/>
                <w:szCs w:val="18"/>
                <w:color w:val="auto"/>
              </w:rPr>
              <w:t>3.82E+09</w:t>
            </w:r>
          </w:p>
        </w:tc>
        <w:tc>
          <w:tcPr>
            <w:tcW w:w="1160" w:type="dxa"/>
            <w:vAlign w:val="bottom"/>
          </w:tcPr>
          <w:p>
            <w:pPr>
              <w:spacing w:after="0"/>
              <w:rPr>
                <w:sz w:val="24"/>
                <w:szCs w:val="24"/>
                <w:color w:val="auto"/>
              </w:rPr>
            </w:pPr>
          </w:p>
        </w:tc>
        <w:tc>
          <w:tcPr>
            <w:tcW w:w="1540" w:type="dxa"/>
            <w:vAlign w:val="bottom"/>
          </w:tcPr>
          <w:p>
            <w:pPr>
              <w:jc w:val="center"/>
              <w:ind w:right="1070"/>
              <w:spacing w:after="0"/>
              <w:rPr>
                <w:sz w:val="20"/>
                <w:szCs w:val="20"/>
                <w:color w:val="auto"/>
              </w:rPr>
            </w:pPr>
            <w:r>
              <w:rPr>
                <w:rFonts w:ascii="Arial" w:cs="Arial" w:eastAsia="Arial" w:hAnsi="Arial"/>
                <w:sz w:val="18"/>
                <w:szCs w:val="18"/>
                <w:color w:val="auto"/>
                <w:w w:val="99"/>
              </w:rPr>
              <w:t>571</w:t>
            </w:r>
          </w:p>
        </w:tc>
        <w:tc>
          <w:tcPr>
            <w:tcW w:w="1160" w:type="dxa"/>
            <w:vAlign w:val="bottom"/>
          </w:tcPr>
          <w:p>
            <w:pPr>
              <w:ind w:left="300"/>
              <w:spacing w:after="0"/>
              <w:rPr>
                <w:sz w:val="20"/>
                <w:szCs w:val="20"/>
                <w:color w:val="auto"/>
              </w:rPr>
            </w:pPr>
            <w:r>
              <w:rPr>
                <w:rFonts w:ascii="Arial" w:cs="Arial" w:eastAsia="Arial" w:hAnsi="Arial"/>
                <w:sz w:val="18"/>
                <w:szCs w:val="18"/>
                <w:color w:val="auto"/>
              </w:rPr>
              <w:t>2,122,708</w:t>
            </w: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-706755</wp:posOffset>
            </wp:positionV>
            <wp:extent cx="6078220" cy="736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3">
                      <a:extLst>
                        <a:ext uri="{28A0092B-C50C-407E-A947-70E740481C1C}"/>
                      </a:extLst>
                    </a:blip>
                    <a:srcRect/>
                    <a:stretch>
                      <a:fillRect/>
                    </a:stretch>
                  </pic:blipFill>
                  <pic:spPr bwMode="auto">
                    <a:xfrm>
                      <a:off x="0" y="0"/>
                      <a:ext cx="6078220" cy="73660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16 / 20</w:t>
      </w:r>
    </w:p>
    <w:p>
      <w:pPr>
        <w:sectPr>
          <w:pgSz w:w="11900" w:h="16838" w:orient="portrait"/>
          <w:cols w:equalWidth="0" w:num="1">
            <w:col w:w="10460"/>
          </w:cols>
          <w:pgMar w:left="1440" w:top="1440" w:right="6" w:bottom="0" w:gutter="0" w:footer="0" w:header="0"/>
          <w:type w:val="continuous"/>
        </w:sectPr>
      </w:pPr>
    </w:p>
    <w:bookmarkStart w:id="81" w:name="page82"/>
    <w:bookmarkEnd w:id="81"/>
    <w:tbl>
      <w:tblPr>
        <w:tblLayout w:type="fixed"/>
        <w:tblInd w:w="1100" w:type="dxa"/>
        <w:tblCellMar>
          <w:top w:w="0" w:type="dxa"/>
          <w:left w:w="0" w:type="dxa"/>
          <w:bottom w:w="0" w:type="dxa"/>
          <w:right w:w="0" w:type="dxa"/>
        </w:tblCellMar>
      </w:tblPr>
      <w:tr>
        <w:trPr>
          <w:trHeight w:val="207"/>
        </w:trPr>
        <w:tc>
          <w:tcPr>
            <w:tcW w:w="2300" w:type="dxa"/>
            <w:vAlign w:val="bottom"/>
          </w:tcPr>
          <w:p>
            <w:pPr>
              <w:spacing w:after="0"/>
              <w:rPr>
                <w:sz w:val="20"/>
                <w:szCs w:val="20"/>
                <w:color w:val="auto"/>
              </w:rPr>
            </w:pPr>
            <w:r>
              <w:rPr>
                <w:rFonts w:ascii="Arial" w:cs="Arial" w:eastAsia="Arial" w:hAnsi="Arial"/>
                <w:sz w:val="18"/>
                <w:szCs w:val="18"/>
                <w:b w:val="1"/>
                <w:bCs w:val="1"/>
                <w:color w:val="auto"/>
              </w:rPr>
              <w:t>Measured &amp; Indicated</w:t>
            </w:r>
          </w:p>
        </w:tc>
        <w:tc>
          <w:tcPr>
            <w:tcW w:w="1420" w:type="dxa"/>
            <w:vAlign w:val="bottom"/>
          </w:tcPr>
          <w:p>
            <w:pPr>
              <w:ind w:left="440"/>
              <w:spacing w:after="0"/>
              <w:rPr>
                <w:sz w:val="20"/>
                <w:szCs w:val="20"/>
                <w:color w:val="auto"/>
              </w:rPr>
            </w:pPr>
            <w:r>
              <w:rPr>
                <w:rFonts w:ascii="Arial" w:cs="Arial" w:eastAsia="Arial" w:hAnsi="Arial"/>
                <w:sz w:val="18"/>
                <w:szCs w:val="18"/>
                <w:b w:val="1"/>
                <w:bCs w:val="1"/>
                <w:color w:val="auto"/>
              </w:rPr>
              <w:t>9.81E+10</w:t>
            </w:r>
          </w:p>
        </w:tc>
        <w:tc>
          <w:tcPr>
            <w:tcW w:w="1660" w:type="dxa"/>
            <w:vAlign w:val="bottom"/>
          </w:tcPr>
          <w:p>
            <w:pPr>
              <w:ind w:left="220"/>
              <w:spacing w:after="0"/>
              <w:rPr>
                <w:sz w:val="20"/>
                <w:szCs w:val="20"/>
                <w:color w:val="auto"/>
              </w:rPr>
            </w:pPr>
            <w:r>
              <w:rPr>
                <w:rFonts w:ascii="Arial" w:cs="Arial" w:eastAsia="Arial" w:hAnsi="Arial"/>
                <w:sz w:val="18"/>
                <w:szCs w:val="18"/>
                <w:b w:val="1"/>
                <w:bCs w:val="1"/>
                <w:color w:val="auto"/>
              </w:rPr>
              <w:t>9.71E+09</w:t>
            </w:r>
          </w:p>
        </w:tc>
        <w:tc>
          <w:tcPr>
            <w:tcW w:w="1700" w:type="dxa"/>
            <w:vAlign w:val="bottom"/>
          </w:tcPr>
          <w:p>
            <w:pPr>
              <w:jc w:val="right"/>
              <w:ind w:right="650"/>
              <w:spacing w:after="0"/>
              <w:rPr>
                <w:sz w:val="20"/>
                <w:szCs w:val="20"/>
                <w:color w:val="auto"/>
              </w:rPr>
            </w:pPr>
            <w:r>
              <w:rPr>
                <w:rFonts w:ascii="Arial" w:cs="Arial" w:eastAsia="Arial" w:hAnsi="Arial"/>
                <w:sz w:val="18"/>
                <w:szCs w:val="18"/>
                <w:b w:val="1"/>
                <w:bCs w:val="1"/>
                <w:color w:val="auto"/>
              </w:rPr>
              <w:t>562</w:t>
            </w:r>
          </w:p>
        </w:tc>
        <w:tc>
          <w:tcPr>
            <w:tcW w:w="1760" w:type="dxa"/>
            <w:vAlign w:val="bottom"/>
          </w:tcPr>
          <w:p>
            <w:pPr>
              <w:jc w:val="right"/>
              <w:ind w:right="110"/>
              <w:spacing w:after="0"/>
              <w:rPr>
                <w:sz w:val="20"/>
                <w:szCs w:val="20"/>
                <w:color w:val="auto"/>
              </w:rPr>
            </w:pPr>
            <w:r>
              <w:rPr>
                <w:rFonts w:ascii="Arial" w:cs="Arial" w:eastAsia="Arial" w:hAnsi="Arial"/>
                <w:sz w:val="18"/>
                <w:szCs w:val="18"/>
                <w:b w:val="1"/>
                <w:bCs w:val="1"/>
                <w:color w:val="auto"/>
              </w:rPr>
              <w:t>4,865,394</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2,17</w:t>
            </w:r>
          </w:p>
        </w:tc>
      </w:tr>
      <w:tr>
        <w:trPr>
          <w:trHeight w:val="296"/>
        </w:trPr>
        <w:tc>
          <w:tcPr>
            <w:tcW w:w="2300" w:type="dxa"/>
            <w:vAlign w:val="bottom"/>
          </w:tcPr>
          <w:p>
            <w:pPr>
              <w:spacing w:after="0"/>
              <w:rPr>
                <w:sz w:val="20"/>
                <w:szCs w:val="20"/>
                <w:color w:val="auto"/>
              </w:rPr>
            </w:pPr>
            <w:r>
              <w:rPr>
                <w:rFonts w:ascii="Arial" w:cs="Arial" w:eastAsia="Arial" w:hAnsi="Arial"/>
                <w:sz w:val="18"/>
                <w:szCs w:val="18"/>
                <w:color w:val="auto"/>
              </w:rPr>
              <w:t>Inferred</w:t>
            </w:r>
          </w:p>
        </w:tc>
        <w:tc>
          <w:tcPr>
            <w:tcW w:w="1420" w:type="dxa"/>
            <w:vAlign w:val="bottom"/>
          </w:tcPr>
          <w:p>
            <w:pPr>
              <w:ind w:left="440"/>
              <w:spacing w:after="0"/>
              <w:rPr>
                <w:sz w:val="20"/>
                <w:szCs w:val="20"/>
                <w:color w:val="auto"/>
              </w:rPr>
            </w:pPr>
            <w:r>
              <w:rPr>
                <w:rFonts w:ascii="Arial" w:cs="Arial" w:eastAsia="Arial" w:hAnsi="Arial"/>
                <w:sz w:val="18"/>
                <w:szCs w:val="18"/>
                <w:color w:val="auto"/>
              </w:rPr>
              <w:t>2.77E+10</w:t>
            </w:r>
          </w:p>
        </w:tc>
        <w:tc>
          <w:tcPr>
            <w:tcW w:w="1660" w:type="dxa"/>
            <w:vAlign w:val="bottom"/>
          </w:tcPr>
          <w:p>
            <w:pPr>
              <w:ind w:left="220"/>
              <w:spacing w:after="0"/>
              <w:rPr>
                <w:sz w:val="20"/>
                <w:szCs w:val="20"/>
                <w:color w:val="auto"/>
              </w:rPr>
            </w:pPr>
            <w:r>
              <w:rPr>
                <w:rFonts w:ascii="Arial" w:cs="Arial" w:eastAsia="Arial" w:hAnsi="Arial"/>
                <w:sz w:val="18"/>
                <w:szCs w:val="18"/>
                <w:color w:val="auto"/>
              </w:rPr>
              <w:t>3.24E+09</w:t>
            </w:r>
          </w:p>
        </w:tc>
        <w:tc>
          <w:tcPr>
            <w:tcW w:w="1700" w:type="dxa"/>
            <w:vAlign w:val="bottom"/>
          </w:tcPr>
          <w:p>
            <w:pPr>
              <w:jc w:val="right"/>
              <w:ind w:right="650"/>
              <w:spacing w:after="0"/>
              <w:rPr>
                <w:sz w:val="20"/>
                <w:szCs w:val="20"/>
                <w:color w:val="auto"/>
              </w:rPr>
            </w:pPr>
            <w:r>
              <w:rPr>
                <w:rFonts w:ascii="Arial" w:cs="Arial" w:eastAsia="Arial" w:hAnsi="Arial"/>
                <w:sz w:val="18"/>
                <w:szCs w:val="18"/>
                <w:color w:val="auto"/>
              </w:rPr>
              <w:t>567</w:t>
            </w: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1,806,125</w:t>
            </w: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1482090</wp:posOffset>
            </wp:positionH>
            <wp:positionV relativeFrom="page">
              <wp:posOffset>720090</wp:posOffset>
            </wp:positionV>
            <wp:extent cx="5630545" cy="1879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4">
                      <a:extLst>
                        <a:ext uri="{28A0092B-C50C-407E-A947-70E740481C1C}"/>
                      </a:extLst>
                    </a:blip>
                    <a:srcRect/>
                    <a:stretch>
                      <a:fillRect/>
                    </a:stretch>
                  </pic:blipFill>
                  <pic:spPr bwMode="auto">
                    <a:xfrm>
                      <a:off x="0" y="0"/>
                      <a:ext cx="5630545" cy="18796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-164465</wp:posOffset>
            </wp:positionV>
            <wp:extent cx="6078220" cy="1943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5">
                      <a:extLst>
                        <a:ext uri="{28A0092B-C50C-407E-A947-70E740481C1C}"/>
                      </a:extLst>
                    </a:blip>
                    <a:srcRect/>
                    <a:stretch>
                      <a:fillRect/>
                    </a:stretch>
                  </pic:blipFill>
                  <pic:spPr bwMode="auto">
                    <a:xfrm>
                      <a:off x="0" y="0"/>
                      <a:ext cx="6078220" cy="19431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-164465</wp:posOffset>
            </wp:positionV>
            <wp:extent cx="6078220" cy="1943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6">
                      <a:extLst>
                        <a:ext uri="{28A0092B-C50C-407E-A947-70E740481C1C}"/>
                      </a:extLst>
                    </a:blip>
                    <a:srcRect/>
                    <a:stretch>
                      <a:fillRect/>
                    </a:stretch>
                  </pic:blipFill>
                  <pic:spPr bwMode="auto">
                    <a:xfrm>
                      <a:off x="0" y="0"/>
                      <a:ext cx="6078220" cy="194310"/>
                    </a:xfrm>
                    <a:prstGeom prst="rect">
                      <a:avLst/>
                    </a:prstGeom>
                    <a:noFill/>
                  </pic:spPr>
                </pic:pic>
              </a:graphicData>
            </a:graphic>
          </wp:anchor>
        </w:drawing>
      </w:r>
    </w:p>
    <w:p>
      <w:pPr>
        <w:spacing w:after="0" w:line="358"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Notes:</w:t>
      </w:r>
    </w:p>
    <w:p>
      <w:pPr>
        <w:spacing w:after="0" w:line="116" w:lineRule="exact"/>
        <w:rPr>
          <w:sz w:val="20"/>
          <w:szCs w:val="20"/>
          <w:color w:val="auto"/>
        </w:rPr>
      </w:pPr>
    </w:p>
    <w:p>
      <w:pPr>
        <w:ind w:left="1620" w:hanging="366"/>
        <w:spacing w:after="0"/>
        <w:tabs>
          <w:tab w:leader="none" w:pos="1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S-K 1300 definitions were followed for Mineral Resources and Mineral Reserves.</w:t>
      </w:r>
    </w:p>
    <w:p>
      <w:pPr>
        <w:spacing w:after="0" w:line="137"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independent Qualified Person for the 2026 Mineral Resource Estimate is Mark King, PhD. P FGC.</w:t>
      </w:r>
    </w:p>
    <w:p>
      <w:pPr>
        <w:spacing w:after="0" w:line="14" w:lineRule="exact"/>
        <w:rPr>
          <w:rFonts w:ascii="Arial" w:cs="Arial" w:eastAsia="Arial" w:hAnsi="Arial"/>
          <w:sz w:val="20"/>
          <w:szCs w:val="20"/>
          <w:color w:val="auto"/>
        </w:rPr>
      </w:pPr>
    </w:p>
    <w:p>
      <w:pPr>
        <w:ind w:left="1620" w:right="60" w:hanging="366"/>
        <w:spacing w:after="0" w:line="368" w:lineRule="auto"/>
        <w:tabs>
          <w:tab w:leader="none" w:pos="1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Mineral Resources are also expressed in the industry standard Lithium Carbonate Equivalent (L Lithium × 5.323).</w:t>
      </w:r>
    </w:p>
    <w:p>
      <w:pPr>
        <w:spacing w:after="0" w:line="14"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mass of lithium produced from 2018–2025 period (52,786 t = 280,982 t LCE) has been removed the Mineral Resource.</w:t>
      </w:r>
    </w:p>
    <w:p>
      <w:pPr>
        <w:spacing w:after="0" w:line="7" w:lineRule="exact"/>
        <w:rPr>
          <w:rFonts w:ascii="Arial" w:cs="Arial" w:eastAsia="Arial" w:hAnsi="Arial"/>
          <w:sz w:val="20"/>
          <w:szCs w:val="20"/>
          <w:color w:val="auto"/>
        </w:rPr>
      </w:pPr>
    </w:p>
    <w:p>
      <w:pPr>
        <w:ind w:left="1620" w:hanging="366"/>
        <w:spacing w:after="0"/>
        <w:tabs>
          <w:tab w:leader="none" w:pos="1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Effective Date of the Mineral Resource Estimate is December 31, 2025.</w:t>
      </w:r>
    </w:p>
    <w:p>
      <w:pPr>
        <w:spacing w:after="0" w:line="137"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Mineral Resource Estimate is not a Mineral Reserve Estimate and does not have demonstr economic viability. There is no certainty that all or any part of the Mineral Resources will be convert Mineral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1060450</wp:posOffset>
            </wp:positionV>
            <wp:extent cx="6764020"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6"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17 / 20</w:t>
      </w:r>
    </w:p>
    <w:p>
      <w:pPr>
        <w:sectPr>
          <w:pgSz w:w="11900" w:h="16838" w:orient="portrait"/>
          <w:cols w:equalWidth="0" w:num="1">
            <w:col w:w="10460"/>
          </w:cols>
          <w:pgMar w:left="1440" w:top="1176" w:right="6" w:bottom="0" w:gutter="0" w:footer="0" w:header="0"/>
          <w:type w:val="continuous"/>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620" w:hanging="366"/>
        <w:spacing w:after="0" w:line="368" w:lineRule="auto"/>
        <w:tabs>
          <w:tab w:leader="none" w:pos="16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Calculated brine volumes only include Measured, Indicated, and Inferred Mineral Resource volu above cut-off grade.</w:t>
      </w:r>
    </w:p>
    <w:p>
      <w:pPr>
        <w:spacing w:after="0" w:line="14" w:lineRule="exact"/>
        <w:rPr>
          <w:rFonts w:ascii="Arial" w:cs="Arial" w:eastAsia="Arial" w:hAnsi="Arial"/>
          <w:sz w:val="20"/>
          <w:szCs w:val="20"/>
          <w:color w:val="auto"/>
        </w:rPr>
      </w:pPr>
    </w:p>
    <w:p>
      <w:pPr>
        <w:ind w:left="1620" w:right="20" w:hanging="366"/>
        <w:spacing w:after="0" w:line="368" w:lineRule="auto"/>
        <w:tabs>
          <w:tab w:leader="none" w:pos="16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Comparisons of values may not add due to rounding of numbers and the differences caused by u averaging methods.</w:t>
      </w:r>
    </w:p>
    <w:p>
      <w:pPr>
        <w:spacing w:after="0" w:line="7" w:lineRule="exact"/>
        <w:rPr>
          <w:rFonts w:ascii="Arial" w:cs="Arial" w:eastAsia="Arial" w:hAnsi="Arial"/>
          <w:sz w:val="20"/>
          <w:szCs w:val="20"/>
          <w:color w:val="auto"/>
        </w:rPr>
      </w:pPr>
    </w:p>
    <w:p>
      <w:pPr>
        <w:ind w:left="1620" w:hanging="366"/>
        <w:spacing w:after="0"/>
        <w:tabs>
          <w:tab w:leader="none" w:pos="16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lithium grade cutoff of 300 mg/L is used to define the Mineral Resource Estimate.</w:t>
      </w:r>
    </w:p>
    <w:p>
      <w:pPr>
        <w:spacing w:after="0" w:line="137" w:lineRule="exact"/>
        <w:rPr>
          <w:rFonts w:ascii="Arial" w:cs="Arial" w:eastAsia="Arial" w:hAnsi="Arial"/>
          <w:sz w:val="20"/>
          <w:szCs w:val="20"/>
          <w:color w:val="auto"/>
        </w:rPr>
      </w:pPr>
    </w:p>
    <w:p>
      <w:pPr>
        <w:ind w:left="1620" w:hanging="366"/>
        <w:spacing w:after="0" w:line="368" w:lineRule="auto"/>
        <w:tabs>
          <w:tab w:leader="none" w:pos="1686"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Mineral Resources Estimates are net of Mineral Reserves (421,854 t Li) without process effici that has been removed from the Estimated Measured Resources</w:t>
      </w:r>
    </w:p>
    <w:p>
      <w:pPr>
        <w:spacing w:after="0" w:line="14" w:lineRule="exact"/>
        <w:rPr>
          <w:rFonts w:ascii="Arial" w:cs="Arial" w:eastAsia="Arial" w:hAnsi="Arial"/>
          <w:sz w:val="20"/>
          <w:szCs w:val="20"/>
          <w:color w:val="auto"/>
        </w:rPr>
      </w:pPr>
    </w:p>
    <w:p>
      <w:pPr>
        <w:ind w:left="1620" w:right="40" w:hanging="366"/>
        <w:spacing w:after="0" w:line="368" w:lineRule="auto"/>
        <w:tabs>
          <w:tab w:leader="none" w:pos="1676"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commodity price of $18,000 / tonne for lithium carbonate (2025) for the life of the project was u assess the economic viability for the mineral estimates, as described below.</w:t>
      </w:r>
    </w:p>
    <w:p>
      <w:pPr>
        <w:spacing w:after="0" w:line="388" w:lineRule="exact"/>
        <w:rPr>
          <w:sz w:val="20"/>
          <w:szCs w:val="20"/>
          <w:color w:val="auto"/>
        </w:rPr>
      </w:pPr>
    </w:p>
    <w:p>
      <w:pPr>
        <w:ind w:left="1100" w:right="60"/>
        <w:spacing w:after="0" w:line="307" w:lineRule="auto"/>
        <w:rPr>
          <w:sz w:val="20"/>
          <w:szCs w:val="20"/>
          <w:color w:val="auto"/>
        </w:rPr>
      </w:pPr>
      <w:r>
        <w:rPr>
          <w:rFonts w:ascii="Arial" w:cs="Arial" w:eastAsia="Arial" w:hAnsi="Arial"/>
          <w:sz w:val="18"/>
          <w:szCs w:val="18"/>
          <w:b w:val="1"/>
          <w:bCs w:val="1"/>
          <w:color w:val="FFFFFF"/>
        </w:rPr>
        <w:t>Summary of 2026 Mineral Resource Estimate for Lithium Represented as LCE, Exclusive of Mineral Reserves Current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-12700</wp:posOffset>
            </wp:positionV>
            <wp:extent cx="6078220" cy="7118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8">
                      <a:extLst>
                        <a:ext uri="{28A0092B-C50C-407E-A947-70E740481C1C}"/>
                      </a:extLst>
                    </a:blip>
                    <a:srcRect/>
                    <a:stretch>
                      <a:fillRect/>
                    </a:stretch>
                  </pic:blipFill>
                  <pic:spPr bwMode="auto">
                    <a:xfrm>
                      <a:off x="0" y="0"/>
                      <a:ext cx="6078220" cy="711835"/>
                    </a:xfrm>
                    <a:prstGeom prst="rect">
                      <a:avLst/>
                    </a:prstGeom>
                    <a:noFill/>
                  </pic:spPr>
                </pic:pic>
              </a:graphicData>
            </a:graphic>
          </wp:anchor>
        </w:drawing>
      </w:r>
    </w:p>
    <w:p>
      <w:pPr>
        <w:spacing w:after="0" w:line="12"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4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20" w:type="dxa"/>
            <w:vAlign w:val="bottom"/>
          </w:tcPr>
          <w:p>
            <w:pPr>
              <w:jc w:val="center"/>
              <w:ind w:left="610"/>
              <w:spacing w:after="0"/>
              <w:rPr>
                <w:sz w:val="20"/>
                <w:szCs w:val="20"/>
                <w:color w:val="auto"/>
              </w:rPr>
            </w:pPr>
            <w:r>
              <w:rPr>
                <w:rFonts w:ascii="Arial" w:cs="Arial" w:eastAsia="Arial" w:hAnsi="Arial"/>
                <w:sz w:val="18"/>
                <w:szCs w:val="18"/>
                <w:b w:val="1"/>
                <w:bCs w:val="1"/>
                <w:color w:val="FFFFFF"/>
              </w:rPr>
              <w:t>LCE – Lithium</w:t>
            </w:r>
          </w:p>
        </w:tc>
      </w:tr>
      <w:tr>
        <w:trPr>
          <w:trHeight w:val="272"/>
        </w:trPr>
        <w:tc>
          <w:tcPr>
            <w:tcW w:w="44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920" w:type="dxa"/>
            <w:vAlign w:val="bottom"/>
          </w:tcPr>
          <w:p>
            <w:pPr>
              <w:jc w:val="center"/>
              <w:ind w:left="610"/>
              <w:spacing w:after="0"/>
              <w:rPr>
                <w:sz w:val="20"/>
                <w:szCs w:val="20"/>
                <w:color w:val="auto"/>
              </w:rPr>
            </w:pPr>
            <w:r>
              <w:rPr>
                <w:rFonts w:ascii="Arial" w:cs="Arial" w:eastAsia="Arial" w:hAnsi="Arial"/>
                <w:sz w:val="18"/>
                <w:szCs w:val="18"/>
                <w:b w:val="1"/>
                <w:bCs w:val="1"/>
                <w:color w:val="FFFFFF"/>
                <w:w w:val="98"/>
              </w:rPr>
              <w:t>Argentina’s</w:t>
            </w:r>
          </w:p>
        </w:tc>
      </w:tr>
      <w:tr>
        <w:trPr>
          <w:trHeight w:val="272"/>
        </w:trPr>
        <w:tc>
          <w:tcPr>
            <w:tcW w:w="44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920" w:type="dxa"/>
            <w:vAlign w:val="bottom"/>
          </w:tcPr>
          <w:p>
            <w:pPr>
              <w:jc w:val="center"/>
              <w:ind w:left="610"/>
              <w:spacing w:after="0"/>
              <w:rPr>
                <w:sz w:val="20"/>
                <w:szCs w:val="20"/>
                <w:color w:val="auto"/>
              </w:rPr>
            </w:pPr>
            <w:r>
              <w:rPr>
                <w:rFonts w:ascii="Arial" w:cs="Arial" w:eastAsia="Arial" w:hAnsi="Arial"/>
                <w:sz w:val="18"/>
                <w:szCs w:val="18"/>
                <w:b w:val="1"/>
                <w:bCs w:val="1"/>
                <w:color w:val="FFFFFF"/>
                <w:w w:val="99"/>
              </w:rPr>
              <w:t>44.8% Portion</w:t>
            </w:r>
          </w:p>
        </w:tc>
      </w:tr>
      <w:tr>
        <w:trPr>
          <w:trHeight w:val="272"/>
        </w:trPr>
        <w:tc>
          <w:tcPr>
            <w:tcW w:w="4480" w:type="dxa"/>
            <w:vAlign w:val="bottom"/>
          </w:tcPr>
          <w:p>
            <w:pPr>
              <w:spacing w:after="0"/>
              <w:rPr>
                <w:sz w:val="20"/>
                <w:szCs w:val="20"/>
                <w:color w:val="auto"/>
              </w:rPr>
            </w:pPr>
            <w:r>
              <w:rPr>
                <w:rFonts w:ascii="Arial" w:cs="Arial" w:eastAsia="Arial" w:hAnsi="Arial"/>
                <w:sz w:val="18"/>
                <w:szCs w:val="18"/>
                <w:b w:val="1"/>
                <w:bCs w:val="1"/>
                <w:color w:val="FFFFFF"/>
              </w:rPr>
              <w:t>Classification</w:t>
            </w:r>
          </w:p>
        </w:tc>
        <w:tc>
          <w:tcPr>
            <w:tcW w:w="2800" w:type="dxa"/>
            <w:vAlign w:val="bottom"/>
          </w:tcPr>
          <w:p>
            <w:pPr>
              <w:jc w:val="right"/>
              <w:ind w:right="610"/>
              <w:spacing w:after="0"/>
              <w:rPr>
                <w:sz w:val="20"/>
                <w:szCs w:val="20"/>
                <w:color w:val="auto"/>
              </w:rPr>
            </w:pPr>
            <w:r>
              <w:rPr>
                <w:rFonts w:ascii="Arial" w:cs="Arial" w:eastAsia="Arial" w:hAnsi="Arial"/>
                <w:sz w:val="18"/>
                <w:szCs w:val="18"/>
                <w:b w:val="1"/>
                <w:bCs w:val="1"/>
                <w:color w:val="FFFFFF"/>
              </w:rPr>
              <w:t>LCE (tonnes)</w:t>
            </w:r>
          </w:p>
        </w:tc>
        <w:tc>
          <w:tcPr>
            <w:tcW w:w="1920" w:type="dxa"/>
            <w:vAlign w:val="bottom"/>
          </w:tcPr>
          <w:p>
            <w:pPr>
              <w:jc w:val="center"/>
              <w:ind w:left="610"/>
              <w:spacing w:after="0"/>
              <w:rPr>
                <w:sz w:val="20"/>
                <w:szCs w:val="20"/>
                <w:color w:val="auto"/>
              </w:rPr>
            </w:pPr>
            <w:r>
              <w:rPr>
                <w:rFonts w:ascii="Arial" w:cs="Arial" w:eastAsia="Arial" w:hAnsi="Arial"/>
                <w:sz w:val="18"/>
                <w:szCs w:val="18"/>
                <w:b w:val="1"/>
                <w:bCs w:val="1"/>
                <w:color w:val="FFFFFF"/>
                <w:w w:val="98"/>
              </w:rPr>
              <w:t>(tonnes)</w:t>
            </w:r>
          </w:p>
        </w:tc>
      </w:tr>
      <w:tr>
        <w:trPr>
          <w:trHeight w:val="296"/>
        </w:trPr>
        <w:tc>
          <w:tcPr>
            <w:tcW w:w="4480" w:type="dxa"/>
            <w:vAlign w:val="bottom"/>
          </w:tcPr>
          <w:p>
            <w:pPr>
              <w:spacing w:after="0"/>
              <w:rPr>
                <w:sz w:val="20"/>
                <w:szCs w:val="20"/>
                <w:color w:val="auto"/>
              </w:rPr>
            </w:pPr>
            <w:r>
              <w:rPr>
                <w:rFonts w:ascii="Arial" w:cs="Arial" w:eastAsia="Arial" w:hAnsi="Arial"/>
                <w:sz w:val="18"/>
                <w:szCs w:val="18"/>
                <w:color w:val="auto"/>
              </w:rPr>
              <w:t>Measured Mineral Resources</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14,599,317</w:t>
            </w:r>
          </w:p>
        </w:tc>
        <w:tc>
          <w:tcPr>
            <w:tcW w:w="1920" w:type="dxa"/>
            <w:vAlign w:val="bottom"/>
          </w:tcPr>
          <w:p>
            <w:pPr>
              <w:jc w:val="right"/>
              <w:ind w:right="50"/>
              <w:spacing w:after="0"/>
              <w:rPr>
                <w:sz w:val="20"/>
                <w:szCs w:val="20"/>
                <w:color w:val="auto"/>
              </w:rPr>
            </w:pPr>
            <w:r>
              <w:rPr>
                <w:rFonts w:ascii="Arial" w:cs="Arial" w:eastAsia="Arial" w:hAnsi="Arial"/>
                <w:sz w:val="18"/>
                <w:szCs w:val="18"/>
                <w:color w:val="auto"/>
              </w:rPr>
              <w:t>6,540,494</w:t>
            </w:r>
          </w:p>
        </w:tc>
      </w:tr>
      <w:tr>
        <w:trPr>
          <w:trHeight w:val="296"/>
        </w:trPr>
        <w:tc>
          <w:tcPr>
            <w:tcW w:w="4480" w:type="dxa"/>
            <w:vAlign w:val="bottom"/>
          </w:tcPr>
          <w:p>
            <w:pPr>
              <w:spacing w:after="0"/>
              <w:rPr>
                <w:sz w:val="20"/>
                <w:szCs w:val="20"/>
                <w:color w:val="auto"/>
              </w:rPr>
            </w:pPr>
            <w:r>
              <w:rPr>
                <w:rFonts w:ascii="Arial" w:cs="Arial" w:eastAsia="Arial" w:hAnsi="Arial"/>
                <w:sz w:val="18"/>
                <w:szCs w:val="18"/>
                <w:color w:val="auto"/>
              </w:rPr>
              <w:t>Indicated Mineral Resources</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11,299,172</w:t>
            </w:r>
          </w:p>
        </w:tc>
        <w:tc>
          <w:tcPr>
            <w:tcW w:w="1920" w:type="dxa"/>
            <w:vAlign w:val="bottom"/>
          </w:tcPr>
          <w:p>
            <w:pPr>
              <w:jc w:val="right"/>
              <w:ind w:right="50"/>
              <w:spacing w:after="0"/>
              <w:rPr>
                <w:sz w:val="20"/>
                <w:szCs w:val="20"/>
                <w:color w:val="auto"/>
              </w:rPr>
            </w:pPr>
            <w:r>
              <w:rPr>
                <w:rFonts w:ascii="Arial" w:cs="Arial" w:eastAsia="Arial" w:hAnsi="Arial"/>
                <w:sz w:val="18"/>
                <w:szCs w:val="18"/>
                <w:color w:val="auto"/>
              </w:rPr>
              <w:t>5,062,029</w:t>
            </w:r>
          </w:p>
        </w:tc>
      </w:tr>
      <w:tr>
        <w:trPr>
          <w:trHeight w:val="296"/>
        </w:trPr>
        <w:tc>
          <w:tcPr>
            <w:tcW w:w="4480" w:type="dxa"/>
            <w:vAlign w:val="bottom"/>
          </w:tcPr>
          <w:p>
            <w:pPr>
              <w:spacing w:after="0"/>
              <w:rPr>
                <w:sz w:val="20"/>
                <w:szCs w:val="20"/>
                <w:color w:val="auto"/>
              </w:rPr>
            </w:pPr>
            <w:r>
              <w:rPr>
                <w:rFonts w:ascii="Arial" w:cs="Arial" w:eastAsia="Arial" w:hAnsi="Arial"/>
                <w:sz w:val="18"/>
                <w:szCs w:val="18"/>
                <w:b w:val="1"/>
                <w:bCs w:val="1"/>
                <w:color w:val="auto"/>
              </w:rPr>
              <w:t>Measured &amp; Indicated Mineral Resources</w:t>
            </w:r>
          </w:p>
        </w:tc>
        <w:tc>
          <w:tcPr>
            <w:tcW w:w="2800" w:type="dxa"/>
            <w:vAlign w:val="bottom"/>
          </w:tcPr>
          <w:p>
            <w:pPr>
              <w:jc w:val="right"/>
              <w:ind w:right="690"/>
              <w:spacing w:after="0"/>
              <w:rPr>
                <w:sz w:val="20"/>
                <w:szCs w:val="20"/>
                <w:color w:val="auto"/>
              </w:rPr>
            </w:pPr>
            <w:r>
              <w:rPr>
                <w:rFonts w:ascii="Arial" w:cs="Arial" w:eastAsia="Arial" w:hAnsi="Arial"/>
                <w:sz w:val="18"/>
                <w:szCs w:val="18"/>
                <w:b w:val="1"/>
                <w:bCs w:val="1"/>
                <w:color w:val="auto"/>
              </w:rPr>
              <w:t>25,898,489</w:t>
            </w:r>
          </w:p>
        </w:tc>
        <w:tc>
          <w:tcPr>
            <w:tcW w:w="1920" w:type="dxa"/>
            <w:vAlign w:val="bottom"/>
          </w:tcPr>
          <w:p>
            <w:pPr>
              <w:jc w:val="right"/>
              <w:ind w:right="50"/>
              <w:spacing w:after="0"/>
              <w:rPr>
                <w:sz w:val="20"/>
                <w:szCs w:val="20"/>
                <w:color w:val="auto"/>
              </w:rPr>
            </w:pPr>
            <w:r>
              <w:rPr>
                <w:rFonts w:ascii="Arial" w:cs="Arial" w:eastAsia="Arial" w:hAnsi="Arial"/>
                <w:sz w:val="18"/>
                <w:szCs w:val="18"/>
                <w:b w:val="1"/>
                <w:bCs w:val="1"/>
                <w:color w:val="auto"/>
              </w:rPr>
              <w:t>11,602,523</w:t>
            </w:r>
          </w:p>
        </w:tc>
      </w:tr>
      <w:tr>
        <w:trPr>
          <w:trHeight w:val="296"/>
        </w:trPr>
        <w:tc>
          <w:tcPr>
            <w:tcW w:w="4480" w:type="dxa"/>
            <w:vAlign w:val="bottom"/>
          </w:tcPr>
          <w:p>
            <w:pPr>
              <w:spacing w:after="0"/>
              <w:rPr>
                <w:sz w:val="20"/>
                <w:szCs w:val="20"/>
                <w:color w:val="auto"/>
              </w:rPr>
            </w:pPr>
            <w:r>
              <w:rPr>
                <w:rFonts w:ascii="Arial" w:cs="Arial" w:eastAsia="Arial" w:hAnsi="Arial"/>
                <w:sz w:val="18"/>
                <w:szCs w:val="18"/>
                <w:color w:val="auto"/>
              </w:rPr>
              <w:t>Inferred Mineral Resources</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9,614,004</w:t>
            </w:r>
          </w:p>
        </w:tc>
        <w:tc>
          <w:tcPr>
            <w:tcW w:w="1920" w:type="dxa"/>
            <w:vAlign w:val="bottom"/>
          </w:tcPr>
          <w:p>
            <w:pPr>
              <w:jc w:val="right"/>
              <w:ind w:right="50"/>
              <w:spacing w:after="0"/>
              <w:rPr>
                <w:sz w:val="20"/>
                <w:szCs w:val="20"/>
                <w:color w:val="auto"/>
              </w:rPr>
            </w:pPr>
            <w:r>
              <w:rPr>
                <w:rFonts w:ascii="Arial" w:cs="Arial" w:eastAsia="Arial" w:hAnsi="Arial"/>
                <w:sz w:val="18"/>
                <w:szCs w:val="18"/>
                <w:color w:val="auto"/>
              </w:rPr>
              <w:t>4,307,074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-721995</wp:posOffset>
            </wp:positionV>
            <wp:extent cx="6078220" cy="7518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9">
                      <a:extLst>
                        <a:ext uri="{28A0092B-C50C-407E-A947-70E740481C1C}"/>
                      </a:extLst>
                    </a:blip>
                    <a:srcRect/>
                    <a:stretch>
                      <a:fillRect/>
                    </a:stretch>
                  </pic:blipFill>
                  <pic:spPr bwMode="auto">
                    <a:xfrm>
                      <a:off x="0" y="0"/>
                      <a:ext cx="6078220" cy="751840"/>
                    </a:xfrm>
                    <a:prstGeom prst="rect">
                      <a:avLst/>
                    </a:prstGeom>
                    <a:noFill/>
                  </pic:spPr>
                </pic:pic>
              </a:graphicData>
            </a:graphic>
          </wp:anchor>
        </w:drawing>
      </w:r>
    </w:p>
    <w:p>
      <w:pPr>
        <w:spacing w:after="0" w:line="58"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Notes:</w:t>
      </w:r>
    </w:p>
    <w:p>
      <w:pPr>
        <w:spacing w:after="0" w:line="116" w:lineRule="exact"/>
        <w:rPr>
          <w:sz w:val="20"/>
          <w:szCs w:val="20"/>
          <w:color w:val="auto"/>
        </w:rPr>
      </w:pPr>
    </w:p>
    <w:p>
      <w:pPr>
        <w:ind w:left="1620" w:hanging="366"/>
        <w:spacing w:after="0"/>
        <w:tabs>
          <w:tab w:leader="none" w:pos="16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S-K 1300 definitions were followed for Mineral Resources and Mineral Reserves.</w:t>
      </w:r>
    </w:p>
    <w:p>
      <w:pPr>
        <w:spacing w:after="0" w:line="137"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independent Qualified Person for the 2026 Mineral Resource Estimate is Mark King, PhD. P FGC.</w:t>
      </w:r>
    </w:p>
    <w:p>
      <w:pPr>
        <w:spacing w:after="0" w:line="14" w:lineRule="exact"/>
        <w:rPr>
          <w:rFonts w:ascii="Arial" w:cs="Arial" w:eastAsia="Arial" w:hAnsi="Arial"/>
          <w:sz w:val="20"/>
          <w:szCs w:val="20"/>
          <w:color w:val="auto"/>
        </w:rPr>
      </w:pPr>
    </w:p>
    <w:p>
      <w:pPr>
        <w:ind w:left="1620" w:right="60" w:hanging="366"/>
        <w:spacing w:after="0" w:line="368" w:lineRule="auto"/>
        <w:tabs>
          <w:tab w:leader="none" w:pos="16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Mineral Resources are also expressed in the industry standard Lithium Carbonate Equivalent (L Lithium × 5.323).</w:t>
      </w:r>
    </w:p>
    <w:p>
      <w:pPr>
        <w:spacing w:after="0" w:line="14"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mass of lithium produced from 2018–2025 period (52,786 t = 280,982 t LCE) has been removed the Mineral Resource.</w:t>
      </w:r>
    </w:p>
    <w:p>
      <w:pPr>
        <w:spacing w:after="0" w:line="7" w:lineRule="exact"/>
        <w:rPr>
          <w:rFonts w:ascii="Arial" w:cs="Arial" w:eastAsia="Arial" w:hAnsi="Arial"/>
          <w:sz w:val="20"/>
          <w:szCs w:val="20"/>
          <w:color w:val="auto"/>
        </w:rPr>
      </w:pPr>
    </w:p>
    <w:p>
      <w:pPr>
        <w:ind w:left="1620" w:hanging="366"/>
        <w:spacing w:after="0"/>
        <w:tabs>
          <w:tab w:leader="none" w:pos="16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Effective Date of the Mineral Resource Estimate is December 31, 2025.</w:t>
      </w:r>
    </w:p>
    <w:p>
      <w:pPr>
        <w:spacing w:after="0" w:line="137"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Mineral Resource Estimate is not a Mineral Reserve Estimate and does not have demonstr economic viability. There is no certainty that all or any part of the Mineral Resources will be convert Mineral Reserves.</w:t>
      </w:r>
    </w:p>
    <w:p>
      <w:pPr>
        <w:spacing w:after="0" w:line="10"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Calculated brine volumes only include Measured, Indicated, and Inferred Mineral Resource volu above cut-off grade.</w:t>
      </w:r>
    </w:p>
    <w:p>
      <w:pPr>
        <w:spacing w:after="0" w:line="14" w:lineRule="exact"/>
        <w:rPr>
          <w:rFonts w:ascii="Arial" w:cs="Arial" w:eastAsia="Arial" w:hAnsi="Arial"/>
          <w:sz w:val="20"/>
          <w:szCs w:val="20"/>
          <w:color w:val="auto"/>
        </w:rPr>
      </w:pPr>
    </w:p>
    <w:p>
      <w:pPr>
        <w:ind w:left="1620" w:right="20" w:hanging="366"/>
        <w:spacing w:after="0" w:line="368" w:lineRule="auto"/>
        <w:tabs>
          <w:tab w:leader="none" w:pos="16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Mineral Resource Estimate has been classified in accordance with CIM Mineral Resource defin and best practice guidelines (2012 and 2014).</w:t>
      </w:r>
    </w:p>
    <w:p>
      <w:pPr>
        <w:spacing w:after="0" w:line="14" w:lineRule="exact"/>
        <w:rPr>
          <w:rFonts w:ascii="Arial" w:cs="Arial" w:eastAsia="Arial" w:hAnsi="Arial"/>
          <w:sz w:val="20"/>
          <w:szCs w:val="20"/>
          <w:color w:val="auto"/>
        </w:rPr>
      </w:pPr>
    </w:p>
    <w:p>
      <w:pPr>
        <w:ind w:left="1620" w:right="20" w:hanging="366"/>
        <w:spacing w:after="0" w:line="368" w:lineRule="auto"/>
        <w:tabs>
          <w:tab w:leader="none" w:pos="16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Comparisons of values may not add due to rounding of numbers and the differences caused by u averaging methods.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18 / 20</w:t>
      </w:r>
    </w:p>
    <w:p>
      <w:pPr>
        <w:sectPr>
          <w:pgSz w:w="11900" w:h="16838" w:orient="portrait"/>
          <w:cols w:equalWidth="0" w:num="1">
            <w:col w:w="10460"/>
          </w:cols>
          <w:pgMar w:left="1440" w:top="1440" w:right="6" w:bottom="0" w:gutter="0" w:footer="0" w:header="0"/>
          <w:type w:val="continuous"/>
        </w:sectPr>
      </w:pPr>
    </w:p>
    <w:bookmarkStart w:id="83" w:name="page84"/>
    <w:bookmarkEnd w:id="83"/>
    <w:p>
      <w:pPr>
        <w:ind w:left="1260"/>
        <w:spacing w:after="0"/>
        <w:rPr>
          <w:sz w:val="20"/>
          <w:szCs w:val="20"/>
          <w:color w:val="auto"/>
        </w:rPr>
      </w:pPr>
      <w:r>
        <w:rPr>
          <w:rFonts w:ascii="Arial" w:cs="Arial" w:eastAsia="Arial" w:hAnsi="Arial"/>
          <w:sz w:val="20"/>
          <w:szCs w:val="20"/>
          <w:color w:val="auto"/>
        </w:rPr>
        <w:t>(10)A lithium grade cutoff of 300 mg/L is used to define the Mineral Resource Estimate.</w:t>
      </w:r>
    </w:p>
    <w:p>
      <w:pPr>
        <w:spacing w:after="0" w:line="137" w:lineRule="exact"/>
        <w:rPr>
          <w:sz w:val="20"/>
          <w:szCs w:val="20"/>
          <w:color w:val="auto"/>
        </w:rPr>
      </w:pPr>
    </w:p>
    <w:p>
      <w:pPr>
        <w:ind w:left="1620" w:hanging="359"/>
        <w:spacing w:after="0" w:line="368" w:lineRule="auto"/>
        <w:rPr>
          <w:sz w:val="20"/>
          <w:szCs w:val="20"/>
          <w:color w:val="auto"/>
        </w:rPr>
      </w:pPr>
      <w:r>
        <w:rPr>
          <w:rFonts w:ascii="Arial" w:cs="Arial" w:eastAsia="Arial" w:hAnsi="Arial"/>
          <w:sz w:val="20"/>
          <w:szCs w:val="20"/>
          <w:color w:val="auto"/>
        </w:rPr>
        <w:t>(11)The Mineral Resources Estimates are net of Mineral Reserves (421,854 t Li) without process effici that has been removed from the Estimated Measured Resources.</w:t>
      </w:r>
    </w:p>
    <w:p>
      <w:pPr>
        <w:spacing w:after="0" w:line="15" w:lineRule="exact"/>
        <w:rPr>
          <w:sz w:val="20"/>
          <w:szCs w:val="20"/>
          <w:color w:val="auto"/>
        </w:rPr>
      </w:pPr>
    </w:p>
    <w:p>
      <w:pPr>
        <w:ind w:left="1620" w:hanging="359"/>
        <w:spacing w:after="0" w:line="368" w:lineRule="auto"/>
        <w:rPr>
          <w:sz w:val="20"/>
          <w:szCs w:val="20"/>
          <w:color w:val="auto"/>
        </w:rPr>
      </w:pPr>
      <w:r>
        <w:rPr>
          <w:rFonts w:ascii="Arial" w:cs="Arial" w:eastAsia="Arial" w:hAnsi="Arial"/>
          <w:sz w:val="20"/>
          <w:szCs w:val="20"/>
          <w:color w:val="auto"/>
        </w:rPr>
        <w:t>(12)The commodity price of $18,000 / tonne for lithium carbonate (2025) for the life of the project was us assess the economic viability for the mineral estimates, as described below</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Mineral Reserve</w:t>
      </w:r>
    </w:p>
    <w:p>
      <w:pPr>
        <w:spacing w:after="0" w:line="19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prior Mineral Reserve estimate for lithium was prepared in accordance with S-K 1300, incorporates updated Mineral Resource estimate and additional drilling and testing through an effective date of Decembe 2025. The Company has previously filed the NI 43-101 and S-K 1300 technical reports on the Cauchari-O Operation providing prior Mineral Resource estimates for lithium and the previous resource estimate prepared in accordance with CIM standards under NI 43-101 and S-K 1300.</w:t>
      </w:r>
    </w:p>
    <w:p>
      <w:pPr>
        <w:spacing w:after="0" w:line="130"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2026 Mineral Reserve Estimate for lithium incorporates additional drilling and testing through an effe date of December 31, 2025. The current Resource Estimate has benefitted from an extended period (rampi since 2018) of production pumping which represents an exceptionally long period of brine grade and produ confirmation. Since 2018, a total of 39 production wells were progressively brought online in the current res exploitation area (Cauchari-Olaroz). During the 2018–2025 period, a total of 82,847,494 m³ of brine has extracted, equivalent to 280,982 t of LEC or 52,786 t of lithium.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208"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19 / 20</w:t>
      </w:r>
    </w:p>
    <w:p>
      <w:pPr>
        <w:sectPr>
          <w:pgSz w:w="11900" w:h="16838" w:orient="portrait"/>
          <w:cols w:equalWidth="0" w:num="1">
            <w:col w:w="10460"/>
          </w:cols>
          <w:pgMar w:left="1440" w:top="1208" w:right="6" w:bottom="0" w:gutter="0" w:footer="0" w:header="0"/>
          <w:type w:val="continuous"/>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Proven and Probable Mineral Reserve Estimate is summarized in Table below using a 63% of LCE pro efficiency (pre-processing). Mineral Reserves correspond total amount of lithium enriched brine estimated available within the aquifer that can be extracted under the proposed pumping schedule and well configuration. The average of the lithium concentration after 35 years of simulated mine life was signific above of the 300 mg/L cut-off.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191135</wp:posOffset>
            </wp:positionV>
            <wp:extent cx="607822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1">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33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FFFFFF"/>
        </w:rPr>
        <w:t>Summary of Estimated Proven and Probable Mineral Reserves (With Processing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22860</wp:posOffset>
            </wp:positionV>
            <wp:extent cx="6078220" cy="4146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2">
                      <a:extLst>
                        <a:ext uri="{28A0092B-C50C-407E-A947-70E740481C1C}"/>
                      </a:extLst>
                    </a:blip>
                    <a:srcRect/>
                    <a:stretch>
                      <a:fillRect/>
                    </a:stretch>
                  </pic:blipFill>
                  <pic:spPr bwMode="auto">
                    <a:xfrm>
                      <a:off x="0" y="0"/>
                      <a:ext cx="6078220" cy="414655"/>
                    </a:xfrm>
                    <a:prstGeom prst="rect">
                      <a:avLst/>
                    </a:prstGeom>
                    <a:noFill/>
                  </pic:spPr>
                </pic:pic>
              </a:graphicData>
            </a:graphic>
          </wp:anchor>
        </w:drawing>
      </w:r>
    </w:p>
    <w:p>
      <w:pPr>
        <w:spacing w:after="0" w:line="101" w:lineRule="exact"/>
        <w:rPr>
          <w:sz w:val="20"/>
          <w:szCs w:val="20"/>
          <w:color w:val="auto"/>
        </w:rPr>
      </w:pPr>
    </w:p>
    <w:tbl>
      <w:tblPr>
        <w:tblLayout w:type="fixed"/>
        <w:tblInd w:w="900" w:type="dxa"/>
        <w:tblCellMar>
          <w:top w:w="0" w:type="dxa"/>
          <w:left w:w="0" w:type="dxa"/>
          <w:bottom w:w="0" w:type="dxa"/>
          <w:right w:w="0" w:type="dxa"/>
        </w:tblCellMar>
      </w:tblPr>
      <w:tr>
        <w:trPr>
          <w:trHeight w:val="250"/>
        </w:trPr>
        <w:tc>
          <w:tcPr>
            <w:tcW w:w="1580" w:type="dxa"/>
            <w:vAlign w:val="bottom"/>
            <w:shd w:val="clear" w:color="auto" w:fill="153A57"/>
          </w:tcPr>
          <w:p>
            <w:pPr>
              <w:ind w:left="200"/>
              <w:spacing w:after="0"/>
              <w:rPr>
                <w:sz w:val="20"/>
                <w:szCs w:val="20"/>
                <w:color w:val="auto"/>
              </w:rPr>
            </w:pPr>
            <w:r>
              <w:rPr>
                <w:rFonts w:ascii="Arial" w:cs="Arial" w:eastAsia="Arial" w:hAnsi="Arial"/>
                <w:sz w:val="18"/>
                <w:szCs w:val="18"/>
                <w:b w:val="1"/>
                <w:bCs w:val="1"/>
                <w:color w:val="FFFFFF"/>
              </w:rPr>
              <w:t>Reserve</w:t>
            </w:r>
          </w:p>
        </w:tc>
        <w:tc>
          <w:tcPr>
            <w:tcW w:w="1440" w:type="dxa"/>
            <w:vAlign w:val="bottom"/>
            <w:shd w:val="clear" w:color="auto" w:fill="153A57"/>
          </w:tcPr>
          <w:p>
            <w:pPr>
              <w:jc w:val="center"/>
              <w:spacing w:after="0"/>
              <w:rPr>
                <w:sz w:val="20"/>
                <w:szCs w:val="20"/>
                <w:color w:val="auto"/>
              </w:rPr>
            </w:pPr>
            <w:r>
              <w:rPr>
                <w:rFonts w:ascii="Arial" w:cs="Arial" w:eastAsia="Arial" w:hAnsi="Arial"/>
                <w:sz w:val="18"/>
                <w:szCs w:val="18"/>
                <w:b w:val="1"/>
                <w:bCs w:val="1"/>
                <w:color w:val="FFFFFF"/>
              </w:rPr>
              <w:t>Production</w:t>
            </w:r>
          </w:p>
        </w:tc>
        <w:tc>
          <w:tcPr>
            <w:tcW w:w="1360" w:type="dxa"/>
            <w:vAlign w:val="bottom"/>
            <w:shd w:val="clear" w:color="auto" w:fill="153A57"/>
          </w:tcPr>
          <w:p>
            <w:pPr>
              <w:jc w:val="center"/>
              <w:spacing w:after="0"/>
              <w:rPr>
                <w:sz w:val="20"/>
                <w:szCs w:val="20"/>
                <w:color w:val="auto"/>
              </w:rPr>
            </w:pPr>
            <w:r>
              <w:rPr>
                <w:rFonts w:ascii="Arial" w:cs="Arial" w:eastAsia="Arial" w:hAnsi="Arial"/>
                <w:sz w:val="18"/>
                <w:szCs w:val="18"/>
                <w:b w:val="1"/>
                <w:bCs w:val="1"/>
                <w:color w:val="FFFFFF"/>
                <w:w w:val="99"/>
              </w:rPr>
              <w:t>Brine</w:t>
            </w:r>
          </w:p>
        </w:tc>
        <w:tc>
          <w:tcPr>
            <w:tcW w:w="1440" w:type="dxa"/>
            <w:vAlign w:val="bottom"/>
            <w:shd w:val="clear" w:color="auto" w:fill="153A57"/>
          </w:tcPr>
          <w:p>
            <w:pPr>
              <w:jc w:val="center"/>
              <w:spacing w:after="0"/>
              <w:rPr>
                <w:sz w:val="20"/>
                <w:szCs w:val="20"/>
                <w:color w:val="auto"/>
              </w:rPr>
            </w:pPr>
            <w:r>
              <w:rPr>
                <w:rFonts w:ascii="Arial" w:cs="Arial" w:eastAsia="Arial" w:hAnsi="Arial"/>
                <w:sz w:val="18"/>
                <w:szCs w:val="18"/>
                <w:b w:val="1"/>
                <w:bCs w:val="1"/>
                <w:color w:val="FFFFFF"/>
              </w:rPr>
              <w:t>Average</w:t>
            </w:r>
          </w:p>
        </w:tc>
      </w:tr>
      <w:tr>
        <w:trPr>
          <w:trHeight w:val="272"/>
        </w:trPr>
        <w:tc>
          <w:tcPr>
            <w:tcW w:w="1580" w:type="dxa"/>
            <w:vAlign w:val="bottom"/>
            <w:shd w:val="clear" w:color="auto" w:fill="153A57"/>
          </w:tcPr>
          <w:p>
            <w:pPr>
              <w:ind w:left="200"/>
              <w:spacing w:after="0"/>
              <w:rPr>
                <w:sz w:val="20"/>
                <w:szCs w:val="20"/>
                <w:color w:val="auto"/>
              </w:rPr>
            </w:pPr>
            <w:r>
              <w:rPr>
                <w:rFonts w:ascii="Arial" w:cs="Arial" w:eastAsia="Arial" w:hAnsi="Arial"/>
                <w:sz w:val="18"/>
                <w:szCs w:val="18"/>
                <w:b w:val="1"/>
                <w:bCs w:val="1"/>
                <w:color w:val="FFFFFF"/>
              </w:rPr>
              <w:t>Classification</w:t>
            </w:r>
          </w:p>
        </w:tc>
        <w:tc>
          <w:tcPr>
            <w:tcW w:w="1440" w:type="dxa"/>
            <w:vAlign w:val="bottom"/>
            <w:shd w:val="clear" w:color="auto" w:fill="153A57"/>
          </w:tcPr>
          <w:p>
            <w:pPr>
              <w:jc w:val="center"/>
              <w:spacing w:after="0"/>
              <w:rPr>
                <w:sz w:val="20"/>
                <w:szCs w:val="20"/>
                <w:color w:val="auto"/>
              </w:rPr>
            </w:pPr>
            <w:r>
              <w:rPr>
                <w:rFonts w:ascii="Arial" w:cs="Arial" w:eastAsia="Arial" w:hAnsi="Arial"/>
                <w:sz w:val="18"/>
                <w:szCs w:val="18"/>
                <w:b w:val="1"/>
                <w:bCs w:val="1"/>
                <w:color w:val="FFFFFF"/>
                <w:w w:val="99"/>
              </w:rPr>
              <w:t>Period</w:t>
            </w:r>
          </w:p>
        </w:tc>
        <w:tc>
          <w:tcPr>
            <w:tcW w:w="1360" w:type="dxa"/>
            <w:vAlign w:val="bottom"/>
            <w:shd w:val="clear" w:color="auto" w:fill="153A57"/>
          </w:tcPr>
          <w:p>
            <w:pPr>
              <w:jc w:val="center"/>
              <w:spacing w:after="0"/>
              <w:rPr>
                <w:sz w:val="20"/>
                <w:szCs w:val="20"/>
                <w:color w:val="auto"/>
              </w:rPr>
            </w:pPr>
            <w:r>
              <w:rPr>
                <w:rFonts w:ascii="Arial" w:cs="Arial" w:eastAsia="Arial" w:hAnsi="Arial"/>
                <w:sz w:val="18"/>
                <w:szCs w:val="18"/>
                <w:b w:val="1"/>
                <w:bCs w:val="1"/>
                <w:color w:val="FFFFFF"/>
              </w:rPr>
              <w:t>Pumped</w:t>
            </w:r>
          </w:p>
        </w:tc>
        <w:tc>
          <w:tcPr>
            <w:tcW w:w="1440" w:type="dxa"/>
            <w:vAlign w:val="bottom"/>
            <w:shd w:val="clear" w:color="auto" w:fill="153A57"/>
          </w:tcPr>
          <w:p>
            <w:pPr>
              <w:jc w:val="center"/>
              <w:spacing w:after="0"/>
              <w:rPr>
                <w:sz w:val="20"/>
                <w:szCs w:val="20"/>
                <w:color w:val="auto"/>
              </w:rPr>
            </w:pPr>
            <w:r>
              <w:rPr>
                <w:rFonts w:ascii="Arial" w:cs="Arial" w:eastAsia="Arial" w:hAnsi="Arial"/>
                <w:sz w:val="18"/>
                <w:szCs w:val="18"/>
                <w:b w:val="1"/>
                <w:bCs w:val="1"/>
                <w:color w:val="FFFFFF"/>
                <w:w w:val="98"/>
              </w:rPr>
              <w:t>Lithium</w:t>
            </w:r>
          </w:p>
        </w:tc>
      </w:tr>
      <w:tr>
        <w:trPr>
          <w:trHeight w:val="46"/>
        </w:trPr>
        <w:tc>
          <w:tcPr>
            <w:tcW w:w="1580" w:type="dxa"/>
            <w:vAlign w:val="bottom"/>
            <w:shd w:val="clear" w:color="auto" w:fill="153A57"/>
          </w:tcPr>
          <w:p>
            <w:pPr>
              <w:spacing w:after="0"/>
              <w:rPr>
                <w:sz w:val="4"/>
                <w:szCs w:val="4"/>
                <w:color w:val="auto"/>
              </w:rPr>
            </w:pPr>
          </w:p>
        </w:tc>
        <w:tc>
          <w:tcPr>
            <w:tcW w:w="1440" w:type="dxa"/>
            <w:vAlign w:val="bottom"/>
            <w:shd w:val="clear" w:color="auto" w:fill="153A57"/>
          </w:tcPr>
          <w:p>
            <w:pPr>
              <w:spacing w:after="0"/>
              <w:rPr>
                <w:sz w:val="4"/>
                <w:szCs w:val="4"/>
                <w:color w:val="auto"/>
              </w:rPr>
            </w:pPr>
          </w:p>
        </w:tc>
        <w:tc>
          <w:tcPr>
            <w:tcW w:w="1360" w:type="dxa"/>
            <w:vAlign w:val="bottom"/>
            <w:shd w:val="clear" w:color="auto" w:fill="153A57"/>
          </w:tcPr>
          <w:p>
            <w:pPr>
              <w:spacing w:after="0"/>
              <w:rPr>
                <w:sz w:val="4"/>
                <w:szCs w:val="4"/>
                <w:color w:val="auto"/>
              </w:rPr>
            </w:pPr>
          </w:p>
        </w:tc>
        <w:tc>
          <w:tcPr>
            <w:tcW w:w="1440" w:type="dxa"/>
            <w:vAlign w:val="bottom"/>
            <w:shd w:val="clear" w:color="auto" w:fill="153A57"/>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20 / 20</w:t>
      </w:r>
    </w:p>
    <w:p>
      <w:pPr>
        <w:sectPr>
          <w:pgSz w:w="11900" w:h="16838" w:orient="portrait"/>
          <w:cols w:equalWidth="0" w:num="1">
            <w:col w:w="10460"/>
          </w:cols>
          <w:pgMar w:left="1440" w:top="1440" w:right="6" w:bottom="0" w:gutter="0" w:footer="0" w:header="0"/>
          <w:type w:val="continuous"/>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Proven</w:t>
      </w:r>
    </w:p>
    <w:p>
      <w:pPr>
        <w:spacing w:after="0" w:line="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2026 – 2035</w:t>
      </w:r>
    </w:p>
    <w:p>
      <w:pPr>
        <w:spacing w:after="0" w:line="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 to 10)</w:t>
      </w:r>
    </w:p>
    <w:p>
      <w:pPr>
        <w:spacing w:after="0" w:line="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227,782,565</w:t>
      </w:r>
    </w:p>
    <w:p>
      <w:pPr>
        <w:spacing w:after="0" w:line="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588.26</w:t>
      </w:r>
    </w:p>
    <w:p>
      <w:pPr>
        <w:spacing w:after="0" w:line="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75,315</w:t>
      </w:r>
    </w:p>
    <w:p>
      <w:pPr>
        <w:spacing w:after="0" w:line="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400,886</w:t>
      </w:r>
    </w:p>
    <w:p>
      <w:pPr>
        <w:spacing w:after="0" w:line="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179,597</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Probable</w:t>
      </w:r>
    </w:p>
    <w:p>
      <w:pPr>
        <w:spacing w:after="0" w:line="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2036 – 2060</w:t>
      </w:r>
    </w:p>
    <w:p>
      <w:pPr>
        <w:spacing w:after="0" w:line="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 to 35)</w:t>
      </w:r>
    </w:p>
    <w:p>
      <w:pPr>
        <w:spacing w:after="0" w:line="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526,320,091</w:t>
      </w:r>
    </w:p>
    <w:p>
      <w:pPr>
        <w:spacing w:after="0" w:line="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572.18</w:t>
      </w:r>
    </w:p>
    <w:p>
      <w:pPr>
        <w:spacing w:after="0" w:line="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190,463</w:t>
      </w:r>
    </w:p>
    <w:p>
      <w:pPr>
        <w:spacing w:after="0" w:line="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1,013,796</w:t>
      </w:r>
    </w:p>
    <w:p>
      <w:pPr>
        <w:spacing w:after="0" w:line="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454,181</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Total</w:t>
      </w:r>
    </w:p>
    <w:p>
      <w:pPr>
        <w:spacing w:after="0" w:line="65" w:lineRule="exact"/>
        <w:rPr>
          <w:sz w:val="20"/>
          <w:szCs w:val="20"/>
          <w:color w:val="auto"/>
        </w:rPr>
      </w:pPr>
    </w:p>
    <w:p>
      <w:pPr>
        <w:ind w:left="4580" w:hanging="248"/>
        <w:spacing w:after="0"/>
        <w:tabs>
          <w:tab w:leader="none" w:pos="45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years</w:t>
      </w:r>
    </w:p>
    <w:p>
      <w:pPr>
        <w:spacing w:after="0" w:line="64" w:lineRule="exact"/>
        <w:rPr>
          <w:rFonts w:ascii="Arial" w:cs="Arial" w:eastAsia="Arial" w:hAnsi="Arial"/>
          <w:sz w:val="18"/>
          <w:szCs w:val="18"/>
          <w:b w:val="1"/>
          <w:bCs w:val="1"/>
          <w:color w:val="auto"/>
        </w:rPr>
      </w:pPr>
    </w:p>
    <w:p>
      <w:pPr>
        <w:ind w:left="42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754,102,655</w:t>
      </w:r>
    </w:p>
    <w:p>
      <w:pPr>
        <w:spacing w:after="0" w:line="64" w:lineRule="exact"/>
        <w:rPr>
          <w:rFonts w:ascii="Arial" w:cs="Arial" w:eastAsia="Arial" w:hAnsi="Arial"/>
          <w:sz w:val="18"/>
          <w:szCs w:val="18"/>
          <w:b w:val="1"/>
          <w:bCs w:val="1"/>
          <w:color w:val="auto"/>
        </w:rPr>
      </w:pPr>
    </w:p>
    <w:p>
      <w:pPr>
        <w:ind w:left="45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580</w:t>
      </w:r>
    </w:p>
    <w:p>
      <w:pPr>
        <w:spacing w:after="0" w:line="64" w:lineRule="exact"/>
        <w:rPr>
          <w:rFonts w:ascii="Arial" w:cs="Arial" w:eastAsia="Arial" w:hAnsi="Arial"/>
          <w:sz w:val="18"/>
          <w:szCs w:val="18"/>
          <w:b w:val="1"/>
          <w:bCs w:val="1"/>
          <w:color w:val="auto"/>
        </w:rPr>
      </w:pPr>
    </w:p>
    <w:p>
      <w:pPr>
        <w:ind w:left="43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265,779</w:t>
      </w:r>
    </w:p>
    <w:p>
      <w:pPr>
        <w:spacing w:after="0" w:line="64" w:lineRule="exact"/>
        <w:rPr>
          <w:rFonts w:ascii="Arial" w:cs="Arial" w:eastAsia="Arial" w:hAnsi="Arial"/>
          <w:sz w:val="18"/>
          <w:szCs w:val="18"/>
          <w:b w:val="1"/>
          <w:bCs w:val="1"/>
          <w:color w:val="auto"/>
        </w:rPr>
      </w:pPr>
    </w:p>
    <w:p>
      <w:pPr>
        <w:ind w:left="4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1,414,682</w:t>
      </w:r>
    </w:p>
    <w:p>
      <w:pPr>
        <w:spacing w:after="0" w:line="64" w:lineRule="exact"/>
        <w:rPr>
          <w:rFonts w:ascii="Arial" w:cs="Arial" w:eastAsia="Arial" w:hAnsi="Arial"/>
          <w:sz w:val="18"/>
          <w:szCs w:val="18"/>
          <w:b w:val="1"/>
          <w:bCs w:val="1"/>
          <w:color w:val="auto"/>
        </w:rPr>
      </w:pPr>
    </w:p>
    <w:p>
      <w:pPr>
        <w:ind w:left="43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633,778</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Notes:</w:t>
      </w:r>
    </w:p>
    <w:p>
      <w:pPr>
        <w:spacing w:after="0" w:line="236" w:lineRule="exact"/>
        <w:rPr>
          <w:sz w:val="20"/>
          <w:szCs w:val="20"/>
          <w:color w:val="auto"/>
        </w:rPr>
      </w:pPr>
    </w:p>
    <w:p>
      <w:pPr>
        <w:ind w:left="680" w:hanging="326"/>
        <w:spacing w:after="0"/>
        <w:tabs>
          <w:tab w:leader="none" w:pos="680" w:val="left"/>
        </w:tabs>
        <w:numPr>
          <w:ilvl w:val="0"/>
          <w:numId w:val="19"/>
        </w:numPr>
        <w:rPr>
          <w:rFonts w:ascii="Arial" w:cs="Arial" w:eastAsia="Arial" w:hAnsi="Arial"/>
          <w:sz w:val="20"/>
          <w:szCs w:val="20"/>
          <w:i w:val="1"/>
          <w:iCs w:val="1"/>
          <w:color w:val="auto"/>
        </w:rPr>
      </w:pPr>
      <w:r>
        <w:rPr>
          <w:rFonts w:ascii="Arial" w:cs="Arial" w:eastAsia="Arial" w:hAnsi="Arial"/>
          <w:sz w:val="20"/>
          <w:szCs w:val="20"/>
          <w:i w:val="1"/>
          <w:iCs w:val="1"/>
          <w:color w:val="auto"/>
        </w:rPr>
        <w:t>S-K 1300 definitions were followed for Mineral Resources and Mineral Reserves.</w:t>
      </w:r>
    </w:p>
    <w:p>
      <w:pPr>
        <w:spacing w:after="0" w:line="130" w:lineRule="exact"/>
        <w:rPr>
          <w:rFonts w:ascii="Arial" w:cs="Arial" w:eastAsia="Arial" w:hAnsi="Arial"/>
          <w:sz w:val="20"/>
          <w:szCs w:val="20"/>
          <w:i w:val="1"/>
          <w:iCs w:val="1"/>
          <w:color w:val="auto"/>
        </w:rPr>
      </w:pPr>
    </w:p>
    <w:p>
      <w:pPr>
        <w:ind w:left="680" w:hanging="326"/>
        <w:spacing w:after="0"/>
        <w:tabs>
          <w:tab w:leader="none" w:pos="680" w:val="left"/>
        </w:tabs>
        <w:numPr>
          <w:ilvl w:val="0"/>
          <w:numId w:val="19"/>
        </w:numPr>
        <w:rPr>
          <w:rFonts w:ascii="Arial" w:cs="Arial" w:eastAsia="Arial" w:hAnsi="Arial"/>
          <w:sz w:val="20"/>
          <w:szCs w:val="20"/>
          <w:i w:val="1"/>
          <w:iCs w:val="1"/>
          <w:color w:val="auto"/>
        </w:rPr>
      </w:pPr>
      <w:r>
        <w:rPr>
          <w:rFonts w:ascii="Arial" w:cs="Arial" w:eastAsia="Arial" w:hAnsi="Arial"/>
          <w:sz w:val="20"/>
          <w:szCs w:val="20"/>
          <w:i w:val="1"/>
          <w:iCs w:val="1"/>
          <w:color w:val="auto"/>
        </w:rPr>
        <w:t>The Mineral Reserve Estimate has an effective date of December 31, 2025.</w:t>
      </w:r>
    </w:p>
    <w:p>
      <w:pPr>
        <w:spacing w:after="0" w:line="130" w:lineRule="exact"/>
        <w:rPr>
          <w:rFonts w:ascii="Arial" w:cs="Arial" w:eastAsia="Arial" w:hAnsi="Arial"/>
          <w:sz w:val="20"/>
          <w:szCs w:val="20"/>
          <w:i w:val="1"/>
          <w:iCs w:val="1"/>
          <w:color w:val="auto"/>
        </w:rPr>
      </w:pPr>
    </w:p>
    <w:p>
      <w:pPr>
        <w:ind w:left="680" w:hanging="326"/>
        <w:spacing w:after="0"/>
        <w:tabs>
          <w:tab w:leader="none" w:pos="680" w:val="left"/>
        </w:tabs>
        <w:numPr>
          <w:ilvl w:val="0"/>
          <w:numId w:val="19"/>
        </w:numPr>
        <w:rPr>
          <w:rFonts w:ascii="Arial" w:cs="Arial" w:eastAsia="Arial" w:hAnsi="Arial"/>
          <w:sz w:val="20"/>
          <w:szCs w:val="20"/>
          <w:i w:val="1"/>
          <w:iCs w:val="1"/>
          <w:color w:val="auto"/>
        </w:rPr>
      </w:pPr>
      <w:r>
        <w:rPr>
          <w:rFonts w:ascii="Arial" w:cs="Arial" w:eastAsia="Arial" w:hAnsi="Arial"/>
          <w:sz w:val="20"/>
          <w:szCs w:val="20"/>
          <w:i w:val="1"/>
          <w:iCs w:val="1"/>
          <w:color w:val="auto"/>
        </w:rPr>
        <w:t>Reserves are estimated using 63.0 % of process efficiency.</w:t>
      </w:r>
    </w:p>
    <w:p>
      <w:pPr>
        <w:spacing w:after="0" w:line="130" w:lineRule="exact"/>
        <w:rPr>
          <w:rFonts w:ascii="Arial" w:cs="Arial" w:eastAsia="Arial" w:hAnsi="Arial"/>
          <w:sz w:val="20"/>
          <w:szCs w:val="20"/>
          <w:i w:val="1"/>
          <w:iCs w:val="1"/>
          <w:color w:val="auto"/>
        </w:rPr>
      </w:pPr>
    </w:p>
    <w:p>
      <w:pPr>
        <w:ind w:left="680" w:hanging="326"/>
        <w:spacing w:after="0"/>
        <w:tabs>
          <w:tab w:leader="none" w:pos="6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LCE i</w:t>
      </w:r>
      <w:r>
        <w:rPr>
          <w:rFonts w:ascii="Arial" w:cs="Arial" w:eastAsia="Arial" w:hAnsi="Arial"/>
          <w:sz w:val="20"/>
          <w:szCs w:val="20"/>
          <w:i w:val="1"/>
          <w:iCs w:val="1"/>
          <w:color w:val="auto"/>
        </w:rPr>
        <w:t>s calculated using mass of LCE = 5.322785 multiplied by the mass of Lithium Metal.</w:t>
      </w:r>
    </w:p>
    <w:p>
      <w:pPr>
        <w:spacing w:after="0" w:line="137" w:lineRule="exact"/>
        <w:rPr>
          <w:rFonts w:ascii="Arial" w:cs="Arial" w:eastAsia="Arial" w:hAnsi="Arial"/>
          <w:sz w:val="20"/>
          <w:szCs w:val="20"/>
          <w:color w:val="auto"/>
        </w:rPr>
      </w:pPr>
    </w:p>
    <w:p>
      <w:pPr>
        <w:ind w:left="680" w:hanging="326"/>
        <w:spacing w:after="0" w:line="368" w:lineRule="auto"/>
        <w:tabs>
          <w:tab w:leader="none" w:pos="680" w:val="left"/>
        </w:tabs>
        <w:numPr>
          <w:ilvl w:val="0"/>
          <w:numId w:val="19"/>
        </w:numPr>
        <w:rPr>
          <w:rFonts w:ascii="Arial" w:cs="Arial" w:eastAsia="Arial" w:hAnsi="Arial"/>
          <w:sz w:val="20"/>
          <w:szCs w:val="20"/>
          <w:i w:val="1"/>
          <w:iCs w:val="1"/>
          <w:color w:val="auto"/>
        </w:rPr>
      </w:pPr>
      <w:r>
        <w:rPr>
          <w:rFonts w:ascii="Arial" w:cs="Arial" w:eastAsia="Arial" w:hAnsi="Arial"/>
          <w:sz w:val="20"/>
          <w:szCs w:val="20"/>
          <w:i w:val="1"/>
          <w:iCs w:val="1"/>
          <w:color w:val="auto"/>
        </w:rPr>
        <w:t>The values in the columns for “Lithium Metal” and “LCE” above are expressed as total contained metals.</w:t>
      </w:r>
    </w:p>
    <w:p>
      <w:pPr>
        <w:spacing w:after="0" w:line="7" w:lineRule="exact"/>
        <w:rPr>
          <w:rFonts w:ascii="Arial" w:cs="Arial" w:eastAsia="Arial" w:hAnsi="Arial"/>
          <w:sz w:val="20"/>
          <w:szCs w:val="20"/>
          <w:i w:val="1"/>
          <w:iCs w:val="1"/>
          <w:color w:val="auto"/>
        </w:rPr>
      </w:pPr>
    </w:p>
    <w:p>
      <w:pPr>
        <w:ind w:left="680" w:hanging="326"/>
        <w:spacing w:after="0"/>
        <w:tabs>
          <w:tab w:leader="none" w:pos="680" w:val="left"/>
        </w:tabs>
        <w:numPr>
          <w:ilvl w:val="0"/>
          <w:numId w:val="19"/>
        </w:numPr>
        <w:rPr>
          <w:rFonts w:ascii="Arial" w:cs="Arial" w:eastAsia="Arial" w:hAnsi="Arial"/>
          <w:sz w:val="20"/>
          <w:szCs w:val="20"/>
          <w:i w:val="1"/>
          <w:iCs w:val="1"/>
          <w:color w:val="auto"/>
        </w:rPr>
      </w:pPr>
      <w:r>
        <w:rPr>
          <w:rFonts w:ascii="Arial" w:cs="Arial" w:eastAsia="Arial" w:hAnsi="Arial"/>
          <w:sz w:val="20"/>
          <w:szCs w:val="20"/>
          <w:i w:val="1"/>
          <w:iCs w:val="1"/>
          <w:color w:val="auto"/>
        </w:rPr>
        <w:t>The Production period is inclusive of the start of the Year 0, 2026.</w:t>
      </w:r>
    </w:p>
    <w:p>
      <w:pPr>
        <w:spacing w:after="0" w:line="130" w:lineRule="exact"/>
        <w:rPr>
          <w:rFonts w:ascii="Arial" w:cs="Arial" w:eastAsia="Arial" w:hAnsi="Arial"/>
          <w:sz w:val="20"/>
          <w:szCs w:val="20"/>
          <w:i w:val="1"/>
          <w:iCs w:val="1"/>
          <w:color w:val="auto"/>
        </w:rPr>
      </w:pPr>
    </w:p>
    <w:p>
      <w:pPr>
        <w:ind w:left="680" w:hanging="326"/>
        <w:spacing w:after="0"/>
        <w:tabs>
          <w:tab w:leader="none" w:pos="680" w:val="left"/>
        </w:tabs>
        <w:numPr>
          <w:ilvl w:val="0"/>
          <w:numId w:val="19"/>
        </w:numPr>
        <w:rPr>
          <w:rFonts w:ascii="Arial" w:cs="Arial" w:eastAsia="Arial" w:hAnsi="Arial"/>
          <w:sz w:val="20"/>
          <w:szCs w:val="20"/>
          <w:i w:val="1"/>
          <w:iCs w:val="1"/>
          <w:color w:val="auto"/>
        </w:rPr>
      </w:pPr>
      <w:r>
        <w:rPr>
          <w:rFonts w:ascii="Arial" w:cs="Arial" w:eastAsia="Arial" w:hAnsi="Arial"/>
          <w:sz w:val="20"/>
          <w:szCs w:val="20"/>
          <w:i w:val="1"/>
          <w:iCs w:val="1"/>
          <w:color w:val="auto"/>
        </w:rPr>
        <w:t>The average lithium concentration is weighted by per well simulated extraction rates.</w:t>
      </w:r>
    </w:p>
    <w:p>
      <w:pPr>
        <w:spacing w:after="0" w:line="137" w:lineRule="exact"/>
        <w:rPr>
          <w:rFonts w:ascii="Arial" w:cs="Arial" w:eastAsia="Arial" w:hAnsi="Arial"/>
          <w:sz w:val="20"/>
          <w:szCs w:val="20"/>
          <w:i w:val="1"/>
          <w:iCs w:val="1"/>
          <w:color w:val="auto"/>
        </w:rPr>
      </w:pPr>
    </w:p>
    <w:p>
      <w:pPr>
        <w:ind w:left="680" w:hanging="326"/>
        <w:spacing w:after="0" w:line="368" w:lineRule="auto"/>
        <w:tabs>
          <w:tab w:leader="none" w:pos="680" w:val="left"/>
        </w:tabs>
        <w:numPr>
          <w:ilvl w:val="0"/>
          <w:numId w:val="19"/>
        </w:numPr>
        <w:rPr>
          <w:rFonts w:ascii="Arial" w:cs="Arial" w:eastAsia="Arial" w:hAnsi="Arial"/>
          <w:sz w:val="20"/>
          <w:szCs w:val="20"/>
          <w:i w:val="1"/>
          <w:iCs w:val="1"/>
          <w:color w:val="auto"/>
        </w:rPr>
      </w:pPr>
      <w:r>
        <w:rPr>
          <w:rFonts w:ascii="Arial" w:cs="Arial" w:eastAsia="Arial" w:hAnsi="Arial"/>
          <w:sz w:val="20"/>
          <w:szCs w:val="20"/>
          <w:i w:val="1"/>
          <w:iCs w:val="1"/>
          <w:color w:val="auto"/>
        </w:rPr>
        <w:t>Values may not sum exactly, due to rounding of numbers and the differences caused by use of averaging methods</w:t>
      </w:r>
    </w:p>
    <w:p>
      <w:pPr>
        <w:sectPr>
          <w:pgSz w:w="11900" w:h="16838" w:orient="portrait"/>
          <w:cols w:equalWidth="0" w:num="1">
            <w:col w:w="9320"/>
          </w:cols>
          <w:pgMar w:left="1260" w:top="1440" w:right="1326"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 / 25</w:t>
      </w:r>
    </w:p>
    <w:p>
      <w:pPr>
        <w:sectPr>
          <w:pgSz w:w="11900" w:h="16838" w:orient="portrait"/>
          <w:cols w:equalWidth="0" w:num="1">
            <w:col w:w="9320"/>
          </w:cols>
          <w:pgMar w:left="1260" w:top="1440" w:right="1326" w:bottom="0" w:gutter="0" w:footer="0" w:header="0"/>
          <w:type w:val="continuous"/>
        </w:sectPr>
      </w:pPr>
    </w:p>
    <w:bookmarkStart w:id="86" w:name="page87"/>
    <w:bookmarkEnd w:id="86"/>
    <w:p>
      <w:pPr>
        <w:ind w:left="680" w:right="20" w:hanging="326"/>
        <w:spacing w:after="0" w:line="368" w:lineRule="auto"/>
        <w:tabs>
          <w:tab w:leader="none" w:pos="680" w:val="left"/>
        </w:tabs>
        <w:numPr>
          <w:ilvl w:val="0"/>
          <w:numId w:val="20"/>
        </w:numPr>
        <w:rPr>
          <w:rFonts w:ascii="Arial" w:cs="Arial" w:eastAsia="Arial" w:hAnsi="Arial"/>
          <w:sz w:val="20"/>
          <w:szCs w:val="20"/>
          <w:i w:val="1"/>
          <w:iCs w:val="1"/>
          <w:color w:val="auto"/>
        </w:rPr>
      </w:pPr>
      <w:r>
        <w:rPr>
          <w:rFonts w:ascii="Arial" w:cs="Arial" w:eastAsia="Arial" w:hAnsi="Arial"/>
          <w:sz w:val="20"/>
          <w:szCs w:val="20"/>
          <w:i w:val="1"/>
          <w:iCs w:val="1"/>
          <w:color w:val="auto"/>
        </w:rPr>
        <w:t>The commodity price of $18,000 / tonne for lithium carbonate (2025) for the life of the project was used to assess the economic viability for the mineral estimates, as described below.</w:t>
      </w:r>
    </w:p>
    <w:p>
      <w:pPr>
        <w:spacing w:after="0" w:line="7" w:lineRule="exact"/>
        <w:rPr>
          <w:rFonts w:ascii="Arial" w:cs="Arial" w:eastAsia="Arial" w:hAnsi="Arial"/>
          <w:sz w:val="20"/>
          <w:szCs w:val="20"/>
          <w:i w:val="1"/>
          <w:iCs w:val="1"/>
          <w:color w:val="auto"/>
        </w:rPr>
      </w:pPr>
    </w:p>
    <w:p>
      <w:pPr>
        <w:ind w:left="680" w:hanging="326"/>
        <w:spacing w:after="0"/>
        <w:tabs>
          <w:tab w:leader="none" w:pos="680" w:val="left"/>
        </w:tabs>
        <w:numPr>
          <w:ilvl w:val="0"/>
          <w:numId w:val="20"/>
        </w:numPr>
        <w:rPr>
          <w:rFonts w:ascii="Arial" w:cs="Arial" w:eastAsia="Arial" w:hAnsi="Arial"/>
          <w:sz w:val="20"/>
          <w:szCs w:val="20"/>
          <w:i w:val="1"/>
          <w:iCs w:val="1"/>
          <w:color w:val="auto"/>
        </w:rPr>
      </w:pPr>
      <w:r>
        <w:rPr>
          <w:rFonts w:ascii="Arial" w:cs="Arial" w:eastAsia="Arial" w:hAnsi="Arial"/>
          <w:sz w:val="20"/>
          <w:szCs w:val="20"/>
          <w:i w:val="1"/>
          <w:iCs w:val="1"/>
          <w:color w:val="auto"/>
        </w:rPr>
        <w:t>A lithium grade cutoff of 300 mg/L is used to define the Mineral Reserve Estimate.</w:t>
      </w:r>
    </w:p>
    <w:p>
      <w:pPr>
        <w:spacing w:after="0" w:line="137" w:lineRule="exact"/>
        <w:rPr>
          <w:rFonts w:ascii="Arial" w:cs="Arial" w:eastAsia="Arial" w:hAnsi="Arial"/>
          <w:sz w:val="20"/>
          <w:szCs w:val="20"/>
          <w:i w:val="1"/>
          <w:iCs w:val="1"/>
          <w:color w:val="auto"/>
        </w:rPr>
      </w:pPr>
    </w:p>
    <w:p>
      <w:pPr>
        <w:ind w:left="680" w:right="40" w:hanging="326"/>
        <w:spacing w:after="0" w:line="368" w:lineRule="auto"/>
        <w:tabs>
          <w:tab w:leader="none" w:pos="680" w:val="left"/>
        </w:tabs>
        <w:numPr>
          <w:ilvl w:val="0"/>
          <w:numId w:val="20"/>
        </w:numPr>
        <w:rPr>
          <w:rFonts w:ascii="Arial" w:cs="Arial" w:eastAsia="Arial" w:hAnsi="Arial"/>
          <w:sz w:val="20"/>
          <w:szCs w:val="20"/>
          <w:i w:val="1"/>
          <w:iCs w:val="1"/>
          <w:color w:val="auto"/>
        </w:rPr>
      </w:pPr>
      <w:r>
        <w:rPr>
          <w:rFonts w:ascii="Arial" w:cs="Arial" w:eastAsia="Arial" w:hAnsi="Arial"/>
          <w:sz w:val="20"/>
          <w:szCs w:val="20"/>
          <w:i w:val="1"/>
          <w:iCs w:val="1"/>
          <w:color w:val="auto"/>
        </w:rPr>
        <w:t>The independent Qualified Person for the 2026 Mineral Reserves Estimate is Mark King, PhD PGeo., FGC</w:t>
      </w:r>
    </w:p>
    <w:p>
      <w:pPr>
        <w:spacing w:after="0" w:line="14" w:lineRule="exact"/>
        <w:rPr>
          <w:rFonts w:ascii="Arial" w:cs="Arial" w:eastAsia="Arial" w:hAnsi="Arial"/>
          <w:sz w:val="20"/>
          <w:szCs w:val="20"/>
          <w:i w:val="1"/>
          <w:iCs w:val="1"/>
          <w:color w:val="auto"/>
        </w:rPr>
      </w:pPr>
    </w:p>
    <w:p>
      <w:pPr>
        <w:ind w:left="680" w:right="20" w:hanging="326"/>
        <w:spacing w:after="0" w:line="368" w:lineRule="auto"/>
        <w:tabs>
          <w:tab w:leader="none" w:pos="680" w:val="left"/>
        </w:tabs>
        <w:numPr>
          <w:ilvl w:val="0"/>
          <w:numId w:val="20"/>
        </w:numPr>
        <w:rPr>
          <w:rFonts w:ascii="Arial" w:cs="Arial" w:eastAsia="Arial" w:hAnsi="Arial"/>
          <w:sz w:val="20"/>
          <w:szCs w:val="20"/>
          <w:i w:val="1"/>
          <w:iCs w:val="1"/>
          <w:color w:val="auto"/>
        </w:rPr>
      </w:pPr>
      <w:r>
        <w:rPr>
          <w:rFonts w:ascii="Arial" w:cs="Arial" w:eastAsia="Arial" w:hAnsi="Arial"/>
          <w:sz w:val="20"/>
          <w:szCs w:val="20"/>
          <w:i w:val="1"/>
          <w:iCs w:val="1"/>
          <w:color w:val="auto"/>
        </w:rPr>
        <w:t>The estimate of Mineral Reserves may be materially affected by legal, political, environmental, or other risks.</w:t>
      </w:r>
    </w:p>
    <w:p>
      <w:pPr>
        <w:spacing w:after="0" w:line="7" w:lineRule="exact"/>
        <w:rPr>
          <w:rFonts w:ascii="Arial" w:cs="Arial" w:eastAsia="Arial" w:hAnsi="Arial"/>
          <w:sz w:val="20"/>
          <w:szCs w:val="20"/>
          <w:i w:val="1"/>
          <w:iCs w:val="1"/>
          <w:color w:val="auto"/>
        </w:rPr>
      </w:pPr>
    </w:p>
    <w:p>
      <w:pPr>
        <w:ind w:left="680" w:hanging="326"/>
        <w:spacing w:after="0"/>
        <w:tabs>
          <w:tab w:leader="none" w:pos="680" w:val="left"/>
        </w:tabs>
        <w:numPr>
          <w:ilvl w:val="0"/>
          <w:numId w:val="20"/>
        </w:numPr>
        <w:rPr>
          <w:rFonts w:ascii="Arial" w:cs="Arial" w:eastAsia="Arial" w:hAnsi="Arial"/>
          <w:sz w:val="20"/>
          <w:szCs w:val="20"/>
          <w:i w:val="1"/>
          <w:iCs w:val="1"/>
          <w:color w:val="auto"/>
        </w:rPr>
      </w:pPr>
      <w:r>
        <w:rPr>
          <w:rFonts w:ascii="Arial" w:cs="Arial" w:eastAsia="Arial" w:hAnsi="Arial"/>
          <w:sz w:val="20"/>
          <w:szCs w:val="20"/>
          <w:i w:val="1"/>
          <w:iCs w:val="1"/>
          <w:color w:val="auto"/>
        </w:rPr>
        <w:t>The point of reference is brine pumped from the wellfield to the evaporation ponds.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Discussion of Mineral Resource and Mineral Reserve Cut-off Grade</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auto"/>
        </w:rPr>
        <w:t>A lithium cut-off concentration grade of 300 mg/L was conservatively applied for the 2026 Mineral Resource and Reserve Estimate. For comparison of the utilized cut-off grade to a breakeven cut-off grade calculation, the following analytical formula can be used based on the controlling inputs as quantified for LOM: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5967730" cy="5619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3">
                      <a:extLst>
                        <a:ext uri="{28A0092B-C50C-407E-A947-70E740481C1C}"/>
                      </a:extLst>
                    </a:blip>
                    <a:srcRect/>
                    <a:stretch>
                      <a:fillRect/>
                    </a:stretch>
                  </pic:blipFill>
                  <pic:spPr bwMode="auto">
                    <a:xfrm>
                      <a:off x="0" y="0"/>
                      <a:ext cx="5967730" cy="56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color w:val="auto"/>
        </w:rPr>
        <w:t>Where:</w:t>
      </w:r>
    </w:p>
    <w:p>
      <w:pPr>
        <w:spacing w:after="0" w:line="27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Total Capital Expenditure= US$ 1,950 million</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Total Operating Expenditure = US$ 8,766 million</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Cost of Capital = US$ 195 million (10 percent of Total Capital)</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Total Brine Extracted = 859 Mm3</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Conversion from Li to Li2CO3 (LCE) = 5.323</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Projected LCE Price = US$ 20,00 per meric ton of LCE</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Export Duties =4.31%</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Royalties= 1.6%</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Calculated Recovery=63 %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1258570</wp:posOffset>
            </wp:positionV>
            <wp:extent cx="6764020"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340"/>
          </w:cols>
          <w:pgMar w:left="1260" w:top="1215"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 / 25</w:t>
      </w:r>
    </w:p>
    <w:p>
      <w:pPr>
        <w:sectPr>
          <w:pgSz w:w="11900" w:h="16838" w:orient="portrait"/>
          <w:cols w:equalWidth="0" w:num="1">
            <w:col w:w="9340"/>
          </w:cols>
          <w:pgMar w:left="1260" w:top="1215" w:right="1306" w:bottom="0" w:gutter="0" w:footer="0" w:header="0"/>
          <w:type w:val="continuous"/>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Resulting in a calculated breakeven cut-off grade of approximately 224 mg/L.</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Considering the economic value of the brine relative to production costs, the applied cut-off grade of 300 m considered conservative with respect to the overall estimated resource. Resource model domains with lit concentrations below this threshold were excluded from the estimate. Under these assumptions, a reason basis has been established to support the prospect of eventual economic extraction. Moreover, the selecte off grade is consistent with values used in other projects at a similar study level and employing compa processing methodologies.</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applied 300 mg/L cut-off grade, which is more conservative than the breakeven cut-off grade of 224 provides a margin of precaution considering potential lithium price volatility. Despite this conservative esti the cut-off remains well below the average lithium grade of the Measured and Indicated Resources (535 m The average grade of the Proven and Probable Reserves is even higher at 580 mg/L, representing a weighted composite of brine routed to the evaporation ponds. Lithium concentrations from individual produ wells and the overall reserve average substantially exceed the applied cut-off, reinforcing the economic viabi the project.</w:t>
      </w:r>
    </w:p>
    <w:p>
      <w:pPr>
        <w:spacing w:after="0" w:line="214"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Key factors that may influence the resource and reserve estimates include: the position and extent of aq boundaries; the lateral continuity of principal aquifer zones; potential dilution from fresh and brackish w sources within the wellfield; variability in aquifer parameters within specific hydrostratigraphic units; assump regarding commodity prices, hydrogeologic and metallurgical performance, and extraction efficiency; as w the methods used to assign brine densities and assess reasonable prospects for eventual economic extracti</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Overview of Mining and Production Operations</w:t>
      </w:r>
    </w:p>
    <w:p>
      <w:pPr>
        <w:spacing w:after="0" w:line="199" w:lineRule="exact"/>
        <w:rPr>
          <w:sz w:val="20"/>
          <w:szCs w:val="20"/>
          <w:color w:val="auto"/>
        </w:rPr>
      </w:pPr>
    </w:p>
    <w:p>
      <w:pPr>
        <w:ind w:left="900"/>
        <w:spacing w:after="0" w:line="314" w:lineRule="auto"/>
        <w:rPr>
          <w:sz w:val="20"/>
          <w:szCs w:val="20"/>
          <w:color w:val="auto"/>
        </w:rPr>
      </w:pPr>
      <w:r>
        <w:rPr>
          <w:rFonts w:ascii="Arial" w:cs="Arial" w:eastAsia="Arial" w:hAnsi="Arial"/>
          <w:sz w:val="20"/>
          <w:szCs w:val="20"/>
          <w:color w:val="auto"/>
        </w:rPr>
        <w:t>In 2019, Exar developed a process for converting brine to high-purity lithium carbonate. The proposed pro follows industry standards: pumping brine from the salar, concentrating the brine through evaporation ponds taking the brine concentrate through a hydrometallurgical facility to produce high-grade lithium carbonate. the 2012 process model employed proprietary, state-of-the-art physiochemical estimation methods and pro simulation techniques for electrolyte phase equilibrium, the 2019 model uses a process model that has further refined using the results of lab scale and pilot scale testing from Exar, Ganfeng, and equipment supp the results of which were implemented in the detail engineering of the facilities. The basis of the process met has been tested and supported by laboratory test work, pilot testing facilities, and equipment vendor testing design to support equipment guarantees.</w:t>
      </w:r>
    </w:p>
    <w:p>
      <w:pPr>
        <w:spacing w:after="0" w:line="12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process route simulated for the production of lithium carbonate from Cauchari brines resembles the flow presented in the “Overall Process Block Diagram” below.</w:t>
      </w:r>
    </w:p>
    <w:p>
      <w:pPr>
        <w:spacing w:after="0" w:line="2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Primary process inputs include evaporated brine, water, lime, soda ash, HCl, NaOH, and natural gas. evaporation ponds produce salt tailings composed of Na, Ca, K, sulphates and borate salts. The b concentrate from the terminal evaporation pond is further processed, through a series of polishing and im removal steps. Soda ash is then added with the purified brine concentrate to produce lithium carbonate th dried, and packaged for shipping.</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 / 25</w:t>
      </w:r>
    </w:p>
    <w:p>
      <w:pPr>
        <w:sectPr>
          <w:pgSz w:w="11900" w:h="16838" w:orient="portrait"/>
          <w:cols w:equalWidth="0" w:num="1">
            <w:col w:w="10460"/>
          </w:cols>
          <w:pgMar w:left="1440" w:top="1440" w:right="6" w:bottom="0" w:gutter="0" w:footer="0" w:header="0"/>
          <w:type w:val="continuous"/>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1826260</wp:posOffset>
            </wp:positionV>
            <wp:extent cx="6764020"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 / 25</w:t>
      </w:r>
    </w:p>
    <w:p>
      <w:pPr>
        <w:sectPr>
          <w:pgSz w:w="11900" w:h="16838" w:orient="portrait"/>
          <w:cols w:equalWidth="0" w:num="1">
            <w:col w:w="9026"/>
          </w:cols>
          <w:pgMar w:left="1440" w:top="1440" w:right="1440" w:bottom="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Overall Process Block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216535</wp:posOffset>
            </wp:positionV>
            <wp:extent cx="5973445" cy="34385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6">
                      <a:extLst>
                        <a:ext uri="{28A0092B-C50C-407E-A947-70E740481C1C}"/>
                      </a:extLst>
                    </a:blip>
                    <a:srcRect/>
                    <a:stretch>
                      <a:fillRect/>
                    </a:stretch>
                  </pic:blipFill>
                  <pic:spPr bwMode="auto">
                    <a:xfrm>
                      <a:off x="0" y="0"/>
                      <a:ext cx="5973445" cy="343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900"/>
        <w:spacing w:after="0"/>
        <w:rPr>
          <w:sz w:val="20"/>
          <w:szCs w:val="20"/>
          <w:color w:val="auto"/>
        </w:rPr>
      </w:pPr>
      <w:r>
        <w:rPr>
          <w:rFonts w:ascii="Arial" w:cs="Arial" w:eastAsia="Arial" w:hAnsi="Arial"/>
          <w:sz w:val="20"/>
          <w:szCs w:val="20"/>
          <w:color w:val="auto"/>
        </w:rPr>
        <w:t>Design criteria for the lithium carbonate plant is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282575</wp:posOffset>
            </wp:positionV>
            <wp:extent cx="6078220" cy="181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7">
                      <a:extLst>
                        <a:ext uri="{28A0092B-C50C-407E-A947-70E740481C1C}"/>
                      </a:extLst>
                    </a:blip>
                    <a:srcRect/>
                    <a:stretch>
                      <a:fillRect/>
                    </a:stretch>
                  </pic:blipFill>
                  <pic:spPr bwMode="auto">
                    <a:xfrm>
                      <a:off x="0" y="0"/>
                      <a:ext cx="6078220" cy="18161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FFFFFF"/>
        </w:rPr>
        <w:t>Lithium Carbonate Plant Operating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22860</wp:posOffset>
            </wp:positionV>
            <wp:extent cx="6078220" cy="476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8">
                      <a:extLst>
                        <a:ext uri="{28A0092B-C50C-407E-A947-70E740481C1C}"/>
                      </a:extLst>
                    </a:blip>
                    <a:srcRect/>
                    <a:stretch>
                      <a:fillRect/>
                    </a:stretch>
                  </pic:blipFill>
                  <pic:spPr bwMode="auto">
                    <a:xfrm>
                      <a:off x="0" y="0"/>
                      <a:ext cx="6078220" cy="47625"/>
                    </a:xfrm>
                    <a:prstGeom prst="rect">
                      <a:avLst/>
                    </a:prstGeom>
                    <a:noFill/>
                  </pic:spPr>
                </pic:pic>
              </a:graphicData>
            </a:graphic>
          </wp:anchor>
        </w:drawing>
      </w:r>
    </w:p>
    <w:p>
      <w:pPr>
        <w:spacing w:after="0" w:line="134"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3700" w:type="dxa"/>
            <w:vAlign w:val="bottom"/>
          </w:tcPr>
          <w:p>
            <w:pPr>
              <w:spacing w:after="0"/>
              <w:rPr>
                <w:sz w:val="20"/>
                <w:szCs w:val="20"/>
                <w:color w:val="auto"/>
              </w:rPr>
            </w:pPr>
            <w:r>
              <w:rPr>
                <w:rFonts w:ascii="Arial" w:cs="Arial" w:eastAsia="Arial" w:hAnsi="Arial"/>
                <w:sz w:val="18"/>
                <w:szCs w:val="18"/>
                <w:b w:val="1"/>
                <w:bCs w:val="1"/>
                <w:color w:val="153A57"/>
              </w:rPr>
              <w:t>Description</w:t>
            </w:r>
          </w:p>
        </w:tc>
        <w:tc>
          <w:tcPr>
            <w:tcW w:w="3120" w:type="dxa"/>
            <w:vAlign w:val="bottom"/>
          </w:tcPr>
          <w:p>
            <w:pPr>
              <w:jc w:val="center"/>
              <w:ind w:left="30"/>
              <w:spacing w:after="0"/>
              <w:rPr>
                <w:sz w:val="20"/>
                <w:szCs w:val="20"/>
                <w:color w:val="auto"/>
              </w:rPr>
            </w:pPr>
            <w:r>
              <w:rPr>
                <w:rFonts w:ascii="Arial" w:cs="Arial" w:eastAsia="Arial" w:hAnsi="Arial"/>
                <w:sz w:val="18"/>
                <w:szCs w:val="18"/>
                <w:b w:val="1"/>
                <w:bCs w:val="1"/>
                <w:color w:val="153A57"/>
              </w:rPr>
              <w:t>Unit</w:t>
            </w:r>
          </w:p>
        </w:tc>
        <w:tc>
          <w:tcPr>
            <w:tcW w:w="1800" w:type="dxa"/>
            <w:vAlign w:val="bottom"/>
          </w:tcPr>
          <w:p>
            <w:pPr>
              <w:ind w:left="1300"/>
              <w:spacing w:after="0"/>
              <w:rPr>
                <w:sz w:val="20"/>
                <w:szCs w:val="20"/>
                <w:color w:val="auto"/>
              </w:rPr>
            </w:pPr>
            <w:r>
              <w:rPr>
                <w:rFonts w:ascii="Arial" w:cs="Arial" w:eastAsia="Arial" w:hAnsi="Arial"/>
                <w:sz w:val="18"/>
                <w:szCs w:val="18"/>
                <w:b w:val="1"/>
                <w:bCs w:val="1"/>
                <w:color w:val="153A57"/>
                <w:w w:val="99"/>
              </w:rPr>
              <w:t>Value</w:t>
            </w:r>
          </w:p>
        </w:tc>
      </w:tr>
      <w:tr>
        <w:trPr>
          <w:trHeight w:val="296"/>
        </w:trPr>
        <w:tc>
          <w:tcPr>
            <w:tcW w:w="3700" w:type="dxa"/>
            <w:vAlign w:val="bottom"/>
          </w:tcPr>
          <w:p>
            <w:pPr>
              <w:spacing w:after="0"/>
              <w:rPr>
                <w:sz w:val="20"/>
                <w:szCs w:val="20"/>
                <w:color w:val="auto"/>
              </w:rPr>
            </w:pPr>
            <w:r>
              <w:rPr>
                <w:rFonts w:ascii="Arial" w:cs="Arial" w:eastAsia="Arial" w:hAnsi="Arial"/>
                <w:sz w:val="18"/>
                <w:szCs w:val="18"/>
                <w:color w:val="auto"/>
              </w:rPr>
              <w:t>Lithium carbonate production</w:t>
            </w:r>
          </w:p>
        </w:tc>
        <w:tc>
          <w:tcPr>
            <w:tcW w:w="3120" w:type="dxa"/>
            <w:vAlign w:val="bottom"/>
          </w:tcPr>
          <w:p>
            <w:pPr>
              <w:jc w:val="center"/>
              <w:ind w:left="30"/>
              <w:spacing w:after="0"/>
              <w:rPr>
                <w:sz w:val="20"/>
                <w:szCs w:val="20"/>
                <w:color w:val="auto"/>
              </w:rPr>
            </w:pPr>
            <w:r>
              <w:rPr>
                <w:rFonts w:ascii="Arial" w:cs="Arial" w:eastAsia="Arial" w:hAnsi="Arial"/>
                <w:sz w:val="18"/>
                <w:szCs w:val="18"/>
                <w:color w:val="auto"/>
                <w:w w:val="95"/>
              </w:rPr>
              <w:t>tpa</w:t>
            </w:r>
          </w:p>
        </w:tc>
        <w:tc>
          <w:tcPr>
            <w:tcW w:w="1800" w:type="dxa"/>
            <w:vAlign w:val="bottom"/>
          </w:tcPr>
          <w:p>
            <w:pPr>
              <w:jc w:val="center"/>
              <w:ind w:left="1170"/>
              <w:spacing w:after="0"/>
              <w:rPr>
                <w:sz w:val="20"/>
                <w:szCs w:val="20"/>
                <w:color w:val="auto"/>
              </w:rPr>
            </w:pPr>
            <w:r>
              <w:rPr>
                <w:rFonts w:ascii="Arial" w:cs="Arial" w:eastAsia="Arial" w:hAnsi="Arial"/>
                <w:sz w:val="18"/>
                <w:szCs w:val="18"/>
                <w:color w:val="auto"/>
                <w:w w:val="98"/>
              </w:rPr>
              <w:t>40,000</w:t>
            </w:r>
          </w:p>
        </w:tc>
      </w:tr>
      <w:tr>
        <w:trPr>
          <w:trHeight w:val="296"/>
        </w:trPr>
        <w:tc>
          <w:tcPr>
            <w:tcW w:w="3700" w:type="dxa"/>
            <w:vAlign w:val="bottom"/>
          </w:tcPr>
          <w:p>
            <w:pPr>
              <w:spacing w:after="0"/>
              <w:rPr>
                <w:sz w:val="20"/>
                <w:szCs w:val="20"/>
                <w:color w:val="auto"/>
              </w:rPr>
            </w:pPr>
            <w:r>
              <w:rPr>
                <w:rFonts w:ascii="Arial" w:cs="Arial" w:eastAsia="Arial" w:hAnsi="Arial"/>
                <w:sz w:val="18"/>
                <w:szCs w:val="18"/>
                <w:color w:val="auto"/>
              </w:rPr>
              <w:t>Annual operation days</w:t>
            </w:r>
          </w:p>
        </w:tc>
        <w:tc>
          <w:tcPr>
            <w:tcW w:w="3120" w:type="dxa"/>
            <w:vAlign w:val="bottom"/>
          </w:tcPr>
          <w:p>
            <w:pPr>
              <w:jc w:val="center"/>
              <w:ind w:left="50"/>
              <w:spacing w:after="0"/>
              <w:rPr>
                <w:sz w:val="20"/>
                <w:szCs w:val="20"/>
                <w:color w:val="auto"/>
              </w:rPr>
            </w:pPr>
            <w:r>
              <w:rPr>
                <w:rFonts w:ascii="Arial" w:cs="Arial" w:eastAsia="Arial" w:hAnsi="Arial"/>
                <w:sz w:val="18"/>
                <w:szCs w:val="18"/>
                <w:color w:val="auto"/>
                <w:w w:val="99"/>
              </w:rPr>
              <w:t>days</w:t>
            </w:r>
          </w:p>
        </w:tc>
        <w:tc>
          <w:tcPr>
            <w:tcW w:w="1800" w:type="dxa"/>
            <w:vAlign w:val="bottom"/>
          </w:tcPr>
          <w:p>
            <w:pPr>
              <w:jc w:val="center"/>
              <w:ind w:left="1170"/>
              <w:spacing w:after="0"/>
              <w:rPr>
                <w:sz w:val="20"/>
                <w:szCs w:val="20"/>
                <w:color w:val="auto"/>
              </w:rPr>
            </w:pPr>
            <w:r>
              <w:rPr>
                <w:rFonts w:ascii="Arial" w:cs="Arial" w:eastAsia="Arial" w:hAnsi="Arial"/>
                <w:sz w:val="18"/>
                <w:szCs w:val="18"/>
                <w:color w:val="auto"/>
                <w:w w:val="99"/>
              </w:rPr>
              <w:t>292</w:t>
            </w:r>
          </w:p>
        </w:tc>
      </w:tr>
      <w:tr>
        <w:trPr>
          <w:trHeight w:val="296"/>
        </w:trPr>
        <w:tc>
          <w:tcPr>
            <w:tcW w:w="3700" w:type="dxa"/>
            <w:vAlign w:val="bottom"/>
          </w:tcPr>
          <w:p>
            <w:pPr>
              <w:spacing w:after="0"/>
              <w:rPr>
                <w:sz w:val="20"/>
                <w:szCs w:val="20"/>
                <w:color w:val="auto"/>
              </w:rPr>
            </w:pPr>
            <w:r>
              <w:rPr>
                <w:rFonts w:ascii="Arial" w:cs="Arial" w:eastAsia="Arial" w:hAnsi="Arial"/>
                <w:sz w:val="18"/>
                <w:szCs w:val="18"/>
                <w:color w:val="auto"/>
              </w:rPr>
              <w:t>Annual operation hours</w:t>
            </w:r>
          </w:p>
        </w:tc>
        <w:tc>
          <w:tcPr>
            <w:tcW w:w="3120" w:type="dxa"/>
            <w:vAlign w:val="bottom"/>
          </w:tcPr>
          <w:p>
            <w:pPr>
              <w:jc w:val="center"/>
              <w:ind w:left="30"/>
              <w:spacing w:after="0"/>
              <w:rPr>
                <w:sz w:val="20"/>
                <w:szCs w:val="20"/>
                <w:color w:val="auto"/>
              </w:rPr>
            </w:pPr>
            <w:r>
              <w:rPr>
                <w:rFonts w:ascii="Arial" w:cs="Arial" w:eastAsia="Arial" w:hAnsi="Arial"/>
                <w:sz w:val="18"/>
                <w:szCs w:val="18"/>
                <w:color w:val="auto"/>
                <w:w w:val="97"/>
              </w:rPr>
              <w:t>hours</w:t>
            </w:r>
          </w:p>
        </w:tc>
        <w:tc>
          <w:tcPr>
            <w:tcW w:w="1800" w:type="dxa"/>
            <w:vAlign w:val="bottom"/>
          </w:tcPr>
          <w:p>
            <w:pPr>
              <w:jc w:val="center"/>
              <w:ind w:left="1170"/>
              <w:spacing w:after="0"/>
              <w:rPr>
                <w:sz w:val="20"/>
                <w:szCs w:val="20"/>
                <w:color w:val="auto"/>
              </w:rPr>
            </w:pPr>
            <w:r>
              <w:rPr>
                <w:rFonts w:ascii="Arial" w:cs="Arial" w:eastAsia="Arial" w:hAnsi="Arial"/>
                <w:sz w:val="18"/>
                <w:szCs w:val="18"/>
                <w:color w:val="auto"/>
              </w:rPr>
              <w:t>7,008</w:t>
            </w:r>
          </w:p>
        </w:tc>
      </w:tr>
      <w:tr>
        <w:trPr>
          <w:trHeight w:val="296"/>
        </w:trPr>
        <w:tc>
          <w:tcPr>
            <w:tcW w:w="3700" w:type="dxa"/>
            <w:vAlign w:val="bottom"/>
          </w:tcPr>
          <w:p>
            <w:pPr>
              <w:spacing w:after="0"/>
              <w:rPr>
                <w:sz w:val="20"/>
                <w:szCs w:val="20"/>
                <w:color w:val="auto"/>
              </w:rPr>
            </w:pPr>
            <w:r>
              <w:rPr>
                <w:rFonts w:ascii="Arial" w:cs="Arial" w:eastAsia="Arial" w:hAnsi="Arial"/>
                <w:sz w:val="18"/>
                <w:szCs w:val="18"/>
                <w:color w:val="auto"/>
              </w:rPr>
              <w:t>Availability</w:t>
            </w:r>
          </w:p>
        </w:tc>
        <w:tc>
          <w:tcPr>
            <w:tcW w:w="31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ind w:left="1190"/>
              <w:spacing w:after="0"/>
              <w:rPr>
                <w:sz w:val="20"/>
                <w:szCs w:val="20"/>
                <w:color w:val="auto"/>
              </w:rPr>
            </w:pPr>
            <w:r>
              <w:rPr>
                <w:rFonts w:ascii="Arial" w:cs="Arial" w:eastAsia="Arial" w:hAnsi="Arial"/>
                <w:sz w:val="18"/>
                <w:szCs w:val="18"/>
                <w:color w:val="auto"/>
                <w:w w:val="99"/>
              </w:rPr>
              <w:t>80</w:t>
            </w:r>
          </w:p>
        </w:tc>
      </w:tr>
      <w:tr>
        <w:trPr>
          <w:trHeight w:val="296"/>
        </w:trPr>
        <w:tc>
          <w:tcPr>
            <w:tcW w:w="3700" w:type="dxa"/>
            <w:vAlign w:val="bottom"/>
          </w:tcPr>
          <w:p>
            <w:pPr>
              <w:spacing w:after="0"/>
              <w:rPr>
                <w:sz w:val="20"/>
                <w:szCs w:val="20"/>
                <w:color w:val="auto"/>
              </w:rPr>
            </w:pPr>
            <w:r>
              <w:rPr>
                <w:rFonts w:ascii="Arial" w:cs="Arial" w:eastAsia="Arial" w:hAnsi="Arial"/>
                <w:sz w:val="18"/>
                <w:szCs w:val="18"/>
                <w:color w:val="auto"/>
              </w:rPr>
              <w:t>Utilization (22 hours/day)</w:t>
            </w:r>
          </w:p>
        </w:tc>
        <w:tc>
          <w:tcPr>
            <w:tcW w:w="31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ind w:left="1170"/>
              <w:spacing w:after="0"/>
              <w:rPr>
                <w:sz w:val="20"/>
                <w:szCs w:val="20"/>
                <w:color w:val="auto"/>
              </w:rPr>
            </w:pPr>
            <w:r>
              <w:rPr>
                <w:rFonts w:ascii="Arial" w:cs="Arial" w:eastAsia="Arial" w:hAnsi="Arial"/>
                <w:sz w:val="18"/>
                <w:szCs w:val="18"/>
                <w:color w:val="auto"/>
                <w:w w:val="96"/>
              </w:rPr>
              <w:t>97.2</w:t>
            </w:r>
          </w:p>
        </w:tc>
      </w:tr>
      <w:tr>
        <w:trPr>
          <w:trHeight w:val="296"/>
        </w:trPr>
        <w:tc>
          <w:tcPr>
            <w:tcW w:w="3700" w:type="dxa"/>
            <w:vAlign w:val="bottom"/>
          </w:tcPr>
          <w:p>
            <w:pPr>
              <w:spacing w:after="0"/>
              <w:rPr>
                <w:sz w:val="20"/>
                <w:szCs w:val="20"/>
                <w:color w:val="auto"/>
              </w:rPr>
            </w:pPr>
            <w:r>
              <w:rPr>
                <w:rFonts w:ascii="Arial" w:cs="Arial" w:eastAsia="Arial" w:hAnsi="Arial"/>
                <w:sz w:val="18"/>
                <w:szCs w:val="18"/>
                <w:color w:val="auto"/>
              </w:rPr>
              <w:t>Plant Overall Efficiency</w:t>
            </w:r>
          </w:p>
        </w:tc>
        <w:tc>
          <w:tcPr>
            <w:tcW w:w="31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ind w:left="1170"/>
              <w:spacing w:after="0"/>
              <w:rPr>
                <w:sz w:val="20"/>
                <w:szCs w:val="20"/>
                <w:color w:val="auto"/>
              </w:rPr>
            </w:pPr>
            <w:r>
              <w:rPr>
                <w:rFonts w:ascii="Arial" w:cs="Arial" w:eastAsia="Arial" w:hAnsi="Arial"/>
                <w:sz w:val="18"/>
                <w:szCs w:val="18"/>
                <w:color w:val="auto"/>
                <w:w w:val="96"/>
              </w:rPr>
              <w:t>53.7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-1104265</wp:posOffset>
            </wp:positionV>
            <wp:extent cx="607822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9">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-916305</wp:posOffset>
            </wp:positionV>
            <wp:extent cx="607822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0">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-728345</wp:posOffset>
            </wp:positionV>
            <wp:extent cx="607822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1">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-540385</wp:posOffset>
            </wp:positionV>
            <wp:extent cx="607822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2">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-352425</wp:posOffset>
            </wp:positionV>
            <wp:extent cx="607822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3">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-164465</wp:posOffset>
            </wp:positionV>
            <wp:extent cx="607822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4">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22860</wp:posOffset>
            </wp:positionV>
            <wp:extent cx="607822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5">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358" w:lineRule="exact"/>
        <w:rPr>
          <w:sz w:val="20"/>
          <w:szCs w:val="20"/>
          <w:color w:val="auto"/>
        </w:rPr>
      </w:pPr>
    </w:p>
    <w:p>
      <w:pPr>
        <w:ind w:left="900"/>
        <w:spacing w:after="0"/>
        <w:rPr>
          <w:sz w:val="20"/>
          <w:szCs w:val="20"/>
          <w:color w:val="auto"/>
        </w:rPr>
      </w:pPr>
      <w:r>
        <w:rPr>
          <w:rFonts w:ascii="Arial" w:cs="Arial" w:eastAsia="Arial" w:hAnsi="Arial"/>
          <w:sz w:val="20"/>
          <w:szCs w:val="20"/>
          <w:color w:val="auto"/>
        </w:rPr>
        <w:t>Overall lithium recovery increased from 53.7% (plant design efficiency) in 2024 to 63.0% in 2025.</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Mineral Extraction</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brine is extracted from 42 production wells situated across the Mineral Reserve area. The wells compr the brine extraction wellfield are spatially distributed in the Mineral Reserve evaluation area of the Cau Olaroz Operation to optimize well performance and capture of brine enriched in lithium. The historical rep production started in 2018 and until December 31, 2025.</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 / 25</w:t>
      </w:r>
    </w:p>
    <w:p>
      <w:pPr>
        <w:sectPr>
          <w:pgSz w:w="11900" w:h="16838" w:orient="portrait"/>
          <w:cols w:equalWidth="0" w:num="1">
            <w:col w:w="10460"/>
          </w:cols>
          <w:pgMar w:left="1440" w:top="1440" w:right="6" w:bottom="0" w:gutter="0" w:footer="0" w:header="0"/>
          <w:type w:val="continuous"/>
        </w:sectPr>
      </w:pPr>
    </w:p>
    <w:bookmarkStart w:id="90" w:name="page91"/>
    <w:bookmarkEnd w:id="90"/>
    <w:p>
      <w:pPr>
        <w:jc w:val="both"/>
        <w:ind w:left="900"/>
        <w:spacing w:after="0" w:line="313" w:lineRule="auto"/>
        <w:rPr>
          <w:sz w:val="20"/>
          <w:szCs w:val="20"/>
          <w:color w:val="auto"/>
        </w:rPr>
      </w:pPr>
      <w:r>
        <w:rPr>
          <w:rFonts w:ascii="Arial" w:cs="Arial" w:eastAsia="Arial" w:hAnsi="Arial"/>
          <w:sz w:val="20"/>
          <w:szCs w:val="20"/>
          <w:color w:val="auto"/>
        </w:rPr>
        <w:t>The pond system consists of 28 evaporation ponds. An average evaporation rate of 6.05 mm per day (2,15 year) was used as a criterion to design the pond system. This rate corresponds to measured evaporation observed at the site where the ponds will be located. Assuming the above-mentioned evaporation rate, the evaporation area required for the production of 40,000 tpa of lithium carbonate is 1,200 hectares when incl consideration for harvesting of salt deposited in the ponds. The ponds are lined with a multi-layer liner cons of polymer-based material and engineered granular bedding. The ponds configuration includes provisio uninterrupted production during salt harvesting and maintenance work. Brine will be transferred between successive evaporation ponds using self-priming pumps.</w:t>
      </w:r>
    </w:p>
    <w:p>
      <w:pPr>
        <w:spacing w:after="0" w:line="215"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Along with lithium, the pumped brine is projected to contain significant quantities of potassium, magnes sulfate and boron. These constituents will be removed from the brine during the extraction and evapor process to enable effective retrieval of lithium.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 / 25</w:t>
      </w:r>
    </w:p>
    <w:p>
      <w:pPr>
        <w:sectPr>
          <w:pgSz w:w="11900" w:h="16838" w:orient="portrait"/>
          <w:cols w:equalWidth="0" w:num="1">
            <w:col w:w="10460"/>
          </w:cols>
          <w:pgMar w:left="1440" w:top="1172" w:right="6" w:bottom="0" w:gutter="0" w:footer="0" w:header="0"/>
          <w:type w:val="continuous"/>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Processing and Recovery Operations</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Exar and its consultants subjected the brine chemistry of the deposits to a process simulation, u physicochemical properties estimation methods and process simulation techniques for phase equilibrium of s in electrolytes (brine), specially prepared for this project. This work has been supported by the result laboratory evaporation test work and test work at both the pilot plant and the pilot ponds.</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process route simulated for the production of lithium carbonate from Cauchari brines is outlined flowsheet in the Cauchari TRS. Primary process inputs include evaporated brine, water, lime, soda hydrochloride, sodium hydroxide, steam, and natural gas. The evaporation ponds produce salt tailings comp of sodium, calcium, potassium, sulphates and borate salts. The brine concentrate from the terminal evapor pond is further processed, through a series of polishing and impurity removal steps. Soda ash is then added the purified brine concentrate to produce a lithium carbonate precipitate, that is dried, compacted/micronized packaged for shipping.</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required brine production rate is achieved with 42 brine wells.</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model estimates a production of 40,000 tpa of LCE for the duration of the life of mine plant with the ave nominal pumping rate per well of 16 L/s, providing approximately 750 l/s of lithium enriched brine from the a to the evaporation ponds. This flow rate assumes a yield of 63% on the whole lithium carbonate process.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wells are screened across the most productive lithium and sealed against freshwater aquifers.</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Site Infrastructure and Support Systems</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Construction of Cauchari-Olaroz commenced in 2018. Natural gas is obtained from the Rosario gas compre station, which is on the Gas Atacama pipeline, 52 km north of the project site. This pipeline is capab supplying natural gas at capacities that are sufficient for a 40,000 tpa lithium carbonate facility.</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Electricity is provided by a 33 kV transmission line that interconnects with an existing 345 kV transmission located approximately 60 km south of the Cauchari-Olaroz Operation. The interconnection involves a sub-st with a voltage transformer (345/33 kV) and associated switchgear. Another substation at the Cauchari-O Operation site consists of A stepdown 33/13.2 kV substation at the Cauchari-Olaroz site, consist of two vo transformers (33/13,2 kV, 15-20 MVA), one (1) 33 kV electrical room and one (1) 13.2 kV electrical room suitable switchgears and auxiliary equipment for the 13.2 kV local distribution system.</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13.2 kV local electrical distribution system provides power to the plant, camp, intermediate b accumulation and homogenizing pools/lime pumps, wells and evaporation ponds. In general, all distributi aerial unless there are major restrictions, in which case underground distribution is adopted. The estim average load for Cauchari-Olaroz is around 8.4 MW or 72.240 MWh/y, assuming a plant and periphery utiliz factor of 0.86. The installed power energy is 16 MW. The power line has sufficient capacity for this load fo existing users. Additionally, there is a stand-by dual diesel/gas generating station at site, located close to the substation, which can power selected equipment during grid outages.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 / 25</w:t>
      </w:r>
    </w:p>
    <w:p>
      <w:pPr>
        <w:sectPr>
          <w:pgSz w:w="11900" w:h="16838" w:orient="portrait"/>
          <w:cols w:equalWidth="0" w:num="1">
            <w:col w:w="10460"/>
          </w:cols>
          <w:pgMar w:left="1440" w:top="1440" w:right="6" w:bottom="0" w:gutter="0" w:footer="0" w:header="0"/>
          <w:type w:val="continuous"/>
        </w:sectPr>
      </w:pPr>
    </w:p>
    <w:bookmarkStart w:id="92" w:name="page93"/>
    <w:bookmarkEnd w:id="92"/>
    <w:p>
      <w:pPr>
        <w:jc w:val="both"/>
        <w:ind w:left="900"/>
        <w:spacing w:after="0" w:line="311" w:lineRule="auto"/>
        <w:rPr>
          <w:sz w:val="20"/>
          <w:szCs w:val="20"/>
          <w:color w:val="auto"/>
        </w:rPr>
      </w:pPr>
      <w:r>
        <w:rPr>
          <w:rFonts w:ascii="Arial" w:cs="Arial" w:eastAsia="Arial" w:hAnsi="Arial"/>
          <w:sz w:val="20"/>
          <w:szCs w:val="20"/>
          <w:color w:val="auto"/>
        </w:rPr>
        <w:t>Water for industrial use is supplied by groundwater wells adjacent to the salar and a water pipeline from the The infrastructure for water handling includes wells, low-voltage transmission lines to power the wells, pipel storage tanks and reverse osmosis plants. Water is required by the process and both camps.</w:t>
      </w:r>
    </w:p>
    <w:p>
      <w:pPr>
        <w:spacing w:after="0" w:line="212" w:lineRule="exact"/>
        <w:rPr>
          <w:sz w:val="20"/>
          <w:szCs w:val="20"/>
          <w:color w:val="auto"/>
        </w:rPr>
      </w:pPr>
    </w:p>
    <w:p>
      <w:pPr>
        <w:jc w:val="both"/>
        <w:ind w:left="900"/>
        <w:spacing w:after="0" w:line="298" w:lineRule="auto"/>
        <w:rPr>
          <w:sz w:val="20"/>
          <w:szCs w:val="20"/>
          <w:color w:val="auto"/>
        </w:rPr>
      </w:pPr>
      <w:r>
        <w:rPr>
          <w:rFonts w:ascii="Arial" w:cs="Arial" w:eastAsia="Arial" w:hAnsi="Arial"/>
          <w:sz w:val="20"/>
          <w:szCs w:val="20"/>
          <w:color w:val="auto"/>
        </w:rPr>
        <w:t>The construction and permanent camps are located approximately 8,000 m south of National Highway 52. permanent camp is a full habitation and administrative complex to support all workforce activities, with a cap for 762 people, and includes office buildings, bedrooms, dining facilities, medical room, and recreation a consisting of a gym, an indoor sports center, a recreation room and an outdoor soccer field. The permanent covers a footprint of 8,500 m</w:t>
      </w:r>
      <w:r>
        <w:rPr>
          <w:rFonts w:ascii="Arial" w:cs="Arial" w:eastAsia="Arial" w:hAnsi="Arial"/>
          <w:sz w:val="26"/>
          <w:szCs w:val="26"/>
          <w:color w:val="auto"/>
          <w:vertAlign w:val="superscript"/>
        </w:rPr>
        <w:t>2</w:t>
      </w:r>
      <w:r>
        <w:rPr>
          <w:rFonts w:ascii="Arial" w:cs="Arial" w:eastAsia="Arial" w:hAnsi="Arial"/>
          <w:sz w:val="20"/>
          <w:szCs w:val="20"/>
          <w:color w:val="auto"/>
        </w:rPr>
        <w:t xml:space="preserve"> of buildings and 35,700 m</w:t>
      </w:r>
      <w:r>
        <w:rPr>
          <w:rFonts w:ascii="Arial" w:cs="Arial" w:eastAsia="Arial" w:hAnsi="Arial"/>
          <w:sz w:val="26"/>
          <w:szCs w:val="26"/>
          <w:color w:val="auto"/>
          <w:vertAlign w:val="superscript"/>
        </w:rPr>
        <w:t>2</w:t>
      </w:r>
      <w:r>
        <w:rPr>
          <w:rFonts w:ascii="Arial" w:cs="Arial" w:eastAsia="Arial" w:hAnsi="Arial"/>
          <w:sz w:val="20"/>
          <w:szCs w:val="20"/>
          <w:color w:val="auto"/>
        </w:rPr>
        <w:t xml:space="preserve"> of external facilities. In the construction camp ther eight housing modules with a total capacity of 392 people, which are only used occasionally. In addition camp includes the pilot plant facilities, water treatment plants, and contractor workshops.</w:t>
      </w:r>
    </w:p>
    <w:p>
      <w:pPr>
        <w:spacing w:after="0" w:line="28"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Additional buildings in permanent camp include lithium carbonate plant; spare parts and consum warehouse building; soda ash storage building; final product – lithium carbonate – storage building; che laboratory; maintenance shop; and water treatment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 / 25</w:t>
      </w:r>
    </w:p>
    <w:p>
      <w:pPr>
        <w:sectPr>
          <w:pgSz w:w="11900" w:h="16838" w:orient="portrait"/>
          <w:cols w:equalWidth="0" w:num="1">
            <w:col w:w="10460"/>
          </w:cols>
          <w:pgMar w:left="1440" w:top="1172" w:right="6" w:bottom="0" w:gutter="0" w:footer="0" w:header="0"/>
          <w:type w:val="continuous"/>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The figure below shows the location of the main facilities that are part of the Cauchari-Olaroz Opera including:</w:t>
      </w:r>
    </w:p>
    <w:p>
      <w:pPr>
        <w:spacing w:after="0" w:line="172" w:lineRule="exact"/>
        <w:rPr>
          <w:sz w:val="20"/>
          <w:szCs w:val="20"/>
          <w:color w:val="auto"/>
        </w:rPr>
      </w:pPr>
    </w:p>
    <w:p>
      <w:pPr>
        <w:ind w:left="1620" w:hanging="366"/>
        <w:spacing w:after="0"/>
        <w:tabs>
          <w:tab w:leader="none" w:pos="16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Wellfield;</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Evaporation ponds;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Lithium carbonate plant;</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Salt and process residues disposal; and</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1496060</wp:posOffset>
            </wp:positionH>
            <wp:positionV relativeFrom="paragraph">
              <wp:posOffset>225425</wp:posOffset>
            </wp:positionV>
            <wp:extent cx="4543425" cy="5876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8">
                      <a:extLst>
                        <a:ext uri="{28A0092B-C50C-407E-A947-70E740481C1C}"/>
                      </a:extLst>
                    </a:blip>
                    <a:srcRect/>
                    <a:stretch>
                      <a:fillRect/>
                    </a:stretch>
                  </pic:blipFill>
                  <pic:spPr bwMode="auto">
                    <a:xfrm>
                      <a:off x="0" y="0"/>
                      <a:ext cx="4543425" cy="587692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9 / 25</w:t>
      </w:r>
    </w:p>
    <w:p>
      <w:pPr>
        <w:sectPr>
          <w:pgSz w:w="11900" w:h="16838" w:orient="portrait"/>
          <w:cols w:equalWidth="0" w:num="1">
            <w:col w:w="10460"/>
          </w:cols>
          <w:pgMar w:left="1440" w:top="1440" w:right="6" w:bottom="0" w:gutter="0" w:footer="0" w:header="0"/>
          <w:type w:val="continuous"/>
        </w:sectPr>
      </w:pPr>
    </w:p>
    <w:bookmarkStart w:id="94" w:name="page95"/>
    <w:bookmarkEnd w:id="94"/>
    <w:p>
      <w:pPr>
        <w:jc w:val="both"/>
        <w:ind w:left="900"/>
        <w:spacing w:after="0" w:line="311" w:lineRule="auto"/>
        <w:rPr>
          <w:sz w:val="20"/>
          <w:szCs w:val="20"/>
          <w:color w:val="auto"/>
        </w:rPr>
      </w:pPr>
      <w:r>
        <w:rPr>
          <w:rFonts w:ascii="Arial" w:cs="Arial" w:eastAsia="Arial" w:hAnsi="Arial"/>
          <w:sz w:val="20"/>
          <w:szCs w:val="20"/>
          <w:i w:val="1"/>
          <w:iCs w:val="1"/>
          <w:color w:val="auto"/>
        </w:rPr>
        <w:t>Well Production Equipment Selection</w:t>
      </w:r>
      <w:r>
        <w:rPr>
          <w:rFonts w:ascii="Arial" w:cs="Arial" w:eastAsia="Arial" w:hAnsi="Arial"/>
          <w:sz w:val="20"/>
          <w:szCs w:val="20"/>
          <w:color w:val="auto"/>
        </w:rPr>
        <w:t>. Screened wells target the largest lithium brine aquifers. Submer</w:t>
      </w:r>
      <w:r>
        <w:rPr>
          <w:rFonts w:ascii="Arial" w:cs="Arial" w:eastAsia="Arial" w:hAnsi="Arial"/>
          <w:sz w:val="20"/>
          <w:szCs w:val="20"/>
          <w:i w:val="1"/>
          <w:iCs w:val="1"/>
          <w:color w:val="auto"/>
        </w:rPr>
        <w:t xml:space="preserve"> </w:t>
      </w:r>
      <w:r>
        <w:rPr>
          <w:rFonts w:ascii="Arial" w:cs="Arial" w:eastAsia="Arial" w:hAnsi="Arial"/>
          <w:sz w:val="20"/>
          <w:szCs w:val="20"/>
          <w:color w:val="auto"/>
        </w:rPr>
        <w:t>electric pumps are used for brine pumping. These pumps send the brine to evaporation ponds through a net of pipelines and mixing pools.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10 / 25</w:t>
      </w:r>
    </w:p>
    <w:p>
      <w:pPr>
        <w:sectPr>
          <w:pgSz w:w="11900" w:h="16838" w:orient="portrait"/>
          <w:cols w:equalWidth="0" w:num="1">
            <w:col w:w="10460"/>
          </w:cols>
          <w:pgMar w:left="1440" w:top="1172" w:right="6" w:bottom="0" w:gutter="0" w:footer="0" w:header="0"/>
          <w:type w:val="continuous"/>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right="20"/>
        <w:spacing w:after="0" w:line="311" w:lineRule="auto"/>
        <w:rPr>
          <w:sz w:val="20"/>
          <w:szCs w:val="20"/>
          <w:color w:val="auto"/>
        </w:rPr>
      </w:pPr>
      <w:r>
        <w:rPr>
          <w:rFonts w:ascii="Arial" w:cs="Arial" w:eastAsia="Arial" w:hAnsi="Arial"/>
          <w:sz w:val="20"/>
          <w:szCs w:val="20"/>
          <w:i w:val="1"/>
          <w:iCs w:val="1"/>
          <w:color w:val="auto"/>
        </w:rPr>
        <w:t>Evaporation Ponds</w:t>
      </w:r>
      <w:r>
        <w:rPr>
          <w:rFonts w:ascii="Arial" w:cs="Arial" w:eastAsia="Arial" w:hAnsi="Arial"/>
          <w:sz w:val="20"/>
          <w:szCs w:val="20"/>
          <w:color w:val="auto"/>
        </w:rPr>
        <w:t>. An average water evaporation rate of 6.26 mm per day was used as criterion to desig</w:t>
      </w:r>
      <w:r>
        <w:rPr>
          <w:rFonts w:ascii="Arial" w:cs="Arial" w:eastAsia="Arial" w:hAnsi="Arial"/>
          <w:sz w:val="20"/>
          <w:szCs w:val="20"/>
          <w:i w:val="1"/>
          <w:iCs w:val="1"/>
          <w:color w:val="auto"/>
        </w:rPr>
        <w:t xml:space="preserve"> </w:t>
      </w:r>
      <w:r>
        <w:rPr>
          <w:rFonts w:ascii="Arial" w:cs="Arial" w:eastAsia="Arial" w:hAnsi="Arial"/>
          <w:sz w:val="20"/>
          <w:szCs w:val="20"/>
          <w:color w:val="auto"/>
        </w:rPr>
        <w:t>pond system. This rate corresponds to measured evaporation rates observed at the site where the pond located.</w:t>
      </w:r>
    </w:p>
    <w:p>
      <w:pPr>
        <w:spacing w:after="0" w:line="13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Assuming the above-mentioned evaporation rate, the total evaporation area required for the production of 4 tpa of lithium carbonate is 1,200 ha when including consideration for harvesting of salt deposited in the po The ponds are lined with multi-layer liner consisting of a polymer-based material and engineered gra bedding. The ponds configuration includes provision for uninterrupted production during salt harvesting maintenance work.</w:t>
      </w:r>
    </w:p>
    <w:p>
      <w:pPr>
        <w:spacing w:after="0" w:line="123" w:lineRule="exact"/>
        <w:rPr>
          <w:sz w:val="20"/>
          <w:szCs w:val="20"/>
          <w:color w:val="auto"/>
        </w:rPr>
      </w:pPr>
    </w:p>
    <w:p>
      <w:pPr>
        <w:ind w:left="900"/>
        <w:spacing w:after="0"/>
        <w:rPr>
          <w:sz w:val="20"/>
          <w:szCs w:val="20"/>
          <w:color w:val="auto"/>
        </w:rPr>
      </w:pPr>
      <w:r>
        <w:rPr>
          <w:rFonts w:ascii="Arial" w:cs="Arial" w:eastAsia="Arial" w:hAnsi="Arial"/>
          <w:sz w:val="20"/>
          <w:szCs w:val="20"/>
          <w:color w:val="auto"/>
        </w:rPr>
        <w:t>Brine is transferred between the successive evaporation ponds using self-priming pumps.</w:t>
      </w:r>
    </w:p>
    <w:p>
      <w:pPr>
        <w:spacing w:after="0" w:line="199" w:lineRule="exact"/>
        <w:rPr>
          <w:sz w:val="20"/>
          <w:szCs w:val="20"/>
          <w:color w:val="auto"/>
        </w:rPr>
      </w:pPr>
    </w:p>
    <w:p>
      <w:pPr>
        <w:ind w:left="900" w:right="20"/>
        <w:spacing w:after="0" w:line="307" w:lineRule="auto"/>
        <w:rPr>
          <w:sz w:val="20"/>
          <w:szCs w:val="20"/>
          <w:color w:val="auto"/>
        </w:rPr>
      </w:pPr>
      <w:r>
        <w:rPr>
          <w:rFonts w:ascii="Arial" w:cs="Arial" w:eastAsia="Arial" w:hAnsi="Arial"/>
          <w:sz w:val="20"/>
          <w:szCs w:val="20"/>
          <w:i w:val="1"/>
          <w:iCs w:val="1"/>
          <w:color w:val="auto"/>
        </w:rPr>
        <w:t>Salt Harvest Equipment</w:t>
      </w:r>
      <w:r>
        <w:rPr>
          <w:rFonts w:ascii="Arial" w:cs="Arial" w:eastAsia="Arial" w:hAnsi="Arial"/>
          <w:sz w:val="20"/>
          <w:szCs w:val="20"/>
          <w:color w:val="auto"/>
        </w:rPr>
        <w:t>. In order to recover pond volume taken up by precipitated salt and recover lithium v</w:t>
      </w:r>
      <w:r>
        <w:rPr>
          <w:rFonts w:ascii="Arial" w:cs="Arial" w:eastAsia="Arial" w:hAnsi="Arial"/>
          <w:sz w:val="20"/>
          <w:szCs w:val="20"/>
          <w:i w:val="1"/>
          <w:iCs w:val="1"/>
          <w:color w:val="auto"/>
        </w:rPr>
        <w:t xml:space="preserve"> </w:t>
      </w:r>
      <w:r>
        <w:rPr>
          <w:rFonts w:ascii="Arial" w:cs="Arial" w:eastAsia="Arial" w:hAnsi="Arial"/>
          <w:sz w:val="20"/>
          <w:szCs w:val="20"/>
          <w:color w:val="auto"/>
        </w:rPr>
        <w:t>entrapped with the brine; salt is harvested. Harvesting began after the third year of steady pond operation.</w:t>
      </w:r>
    </w:p>
    <w:p>
      <w:pPr>
        <w:spacing w:after="0" w:line="135"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harvesting operation consists of draining the free brine from the pond, scraping the salt to a minimum d and making drainage trenches before removing salt.</w:t>
      </w:r>
    </w:p>
    <w:p>
      <w:pPr>
        <w:spacing w:after="0" w:line="13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Cauchari-Olaroz is allocating land to host waste salt deposits, which are expected to reach up to 15 m in h and cover 740 hectares over a 40-year mine life. These deposits are inert, with sodium chloride and sulp making up approximately 87% of the material, and do not introduce foreign compounds to the environm Cauchari-Olaroz has established an evaporation pond for its industrial liquid waste, and a 50 hectare ar allocated for this purpose.</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Mining and Environmental Permits</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Exar has developed a plan that promotes social and economic development within a sustainable framework. began work on the Communities Relations Program with the Department of Susques in the Province of Juj 2009. This plan was created to integrate local communities into the Cauchari-Olaroz Operation by impleme programs aimed at generating positive impacts on these communities.</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Permitting processes for the Cauchari-Olaroz Operation are governed by Argentina’s national and provincial with oversight from the Jujuy provincial government. Recent updates under Decree No. 7,751- DEyP-2023 modernized permitting standards, including enhanced consultation protocols and mandatory financial assura for closure. The Cauchari-Olaroz Operation’s permits for exploration and exploitation activities are in compliance, with biannual updates submitted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178435</wp:posOffset>
            </wp:positionV>
            <wp:extent cx="6090920" cy="7175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0">
                      <a:extLst>
                        <a:ext uri="{28A0092B-C50C-407E-A947-70E740481C1C}"/>
                      </a:extLst>
                    </a:blip>
                    <a:srcRect/>
                    <a:stretch>
                      <a:fillRect/>
                    </a:stretch>
                  </pic:blipFill>
                  <pic:spPr bwMode="auto">
                    <a:xfrm>
                      <a:off x="0" y="0"/>
                      <a:ext cx="6090920" cy="71755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FFFFFF"/>
        </w:rPr>
        <w:t>Summary of Key Permitting Milestones</w:t>
      </w:r>
    </w:p>
    <w:p>
      <w:pPr>
        <w:spacing w:after="0" w:line="330" w:lineRule="exact"/>
        <w:rPr>
          <w:sz w:val="20"/>
          <w:szCs w:val="20"/>
          <w:color w:val="auto"/>
        </w:rPr>
      </w:pPr>
    </w:p>
    <w:tbl>
      <w:tblPr>
        <w:tblLayout w:type="fixed"/>
        <w:tblInd w:w="1040" w:type="dxa"/>
        <w:tblCellMar>
          <w:top w:w="0" w:type="dxa"/>
          <w:left w:w="0" w:type="dxa"/>
          <w:bottom w:w="0" w:type="dxa"/>
          <w:right w:w="0" w:type="dxa"/>
        </w:tblCellMar>
      </w:tblPr>
      <w:tr>
        <w:trPr>
          <w:trHeight w:val="207"/>
        </w:trPr>
        <w:tc>
          <w:tcPr>
            <w:tcW w:w="1560" w:type="dxa"/>
            <w:vAlign w:val="bottom"/>
          </w:tcPr>
          <w:p>
            <w:pPr>
              <w:spacing w:after="0"/>
              <w:rPr>
                <w:sz w:val="20"/>
                <w:szCs w:val="20"/>
                <w:color w:val="auto"/>
              </w:rPr>
            </w:pPr>
            <w:r>
              <w:rPr>
                <w:rFonts w:ascii="Arial" w:cs="Arial" w:eastAsia="Arial" w:hAnsi="Arial"/>
                <w:sz w:val="18"/>
                <w:szCs w:val="18"/>
                <w:b w:val="1"/>
                <w:bCs w:val="1"/>
                <w:color w:val="153A57"/>
              </w:rPr>
              <w:t>Permit Type</w:t>
            </w:r>
          </w:p>
        </w:tc>
        <w:tc>
          <w:tcPr>
            <w:tcW w:w="2240" w:type="dxa"/>
            <w:vAlign w:val="bottom"/>
          </w:tcPr>
          <w:p>
            <w:pPr>
              <w:ind w:left="520"/>
              <w:spacing w:after="0"/>
              <w:rPr>
                <w:sz w:val="20"/>
                <w:szCs w:val="20"/>
                <w:color w:val="auto"/>
              </w:rPr>
            </w:pPr>
            <w:r>
              <w:rPr>
                <w:rFonts w:ascii="Arial" w:cs="Arial" w:eastAsia="Arial" w:hAnsi="Arial"/>
                <w:sz w:val="18"/>
                <w:szCs w:val="18"/>
                <w:b w:val="1"/>
                <w:bCs w:val="1"/>
                <w:color w:val="153A57"/>
              </w:rPr>
              <w:t>Date Approved</w:t>
            </w:r>
          </w:p>
        </w:tc>
        <w:tc>
          <w:tcPr>
            <w:tcW w:w="5380" w:type="dxa"/>
            <w:vAlign w:val="bottom"/>
          </w:tcPr>
          <w:p>
            <w:pPr>
              <w:ind w:left="1600"/>
              <w:spacing w:after="0"/>
              <w:rPr>
                <w:sz w:val="20"/>
                <w:szCs w:val="20"/>
                <w:color w:val="auto"/>
              </w:rPr>
            </w:pPr>
            <w:r>
              <w:rPr>
                <w:rFonts w:ascii="Arial" w:cs="Arial" w:eastAsia="Arial" w:hAnsi="Arial"/>
                <w:sz w:val="18"/>
                <w:szCs w:val="18"/>
                <w:b w:val="1"/>
                <w:bCs w:val="1"/>
                <w:color w:val="153A57"/>
              </w:rPr>
              <w:t>Key Updates</w:t>
            </w:r>
          </w:p>
        </w:tc>
      </w:tr>
      <w:tr>
        <w:trPr>
          <w:trHeight w:val="479"/>
        </w:trPr>
        <w:tc>
          <w:tcPr>
            <w:tcW w:w="1560" w:type="dxa"/>
            <w:vAlign w:val="bottom"/>
          </w:tcPr>
          <w:p>
            <w:pPr>
              <w:spacing w:after="0"/>
              <w:rPr>
                <w:sz w:val="20"/>
                <w:szCs w:val="20"/>
                <w:color w:val="auto"/>
              </w:rPr>
            </w:pPr>
            <w:r>
              <w:rPr>
                <w:rFonts w:ascii="Arial" w:cs="Arial" w:eastAsia="Arial" w:hAnsi="Arial"/>
                <w:sz w:val="20"/>
                <w:szCs w:val="20"/>
                <w:color w:val="auto"/>
              </w:rPr>
              <w:t>Exploration</w:t>
            </w:r>
          </w:p>
        </w:tc>
        <w:tc>
          <w:tcPr>
            <w:tcW w:w="2240" w:type="dxa"/>
            <w:vAlign w:val="bottom"/>
          </w:tcPr>
          <w:p>
            <w:pPr>
              <w:ind w:left="520"/>
              <w:spacing w:after="0"/>
              <w:rPr>
                <w:sz w:val="20"/>
                <w:szCs w:val="20"/>
                <w:color w:val="auto"/>
              </w:rPr>
            </w:pPr>
            <w:r>
              <w:rPr>
                <w:rFonts w:ascii="Arial" w:cs="Arial" w:eastAsia="Arial" w:hAnsi="Arial"/>
                <w:sz w:val="20"/>
                <w:szCs w:val="20"/>
                <w:color w:val="auto"/>
              </w:rPr>
              <w:t>August 2009</w:t>
            </w:r>
          </w:p>
        </w:tc>
        <w:tc>
          <w:tcPr>
            <w:tcW w:w="5380" w:type="dxa"/>
            <w:vAlign w:val="bottom"/>
          </w:tcPr>
          <w:p>
            <w:pPr>
              <w:ind w:left="300"/>
              <w:spacing w:after="0"/>
              <w:rPr>
                <w:sz w:val="20"/>
                <w:szCs w:val="20"/>
                <w:color w:val="auto"/>
              </w:rPr>
            </w:pPr>
            <w:r>
              <w:rPr>
                <w:rFonts w:ascii="Arial" w:cs="Arial" w:eastAsia="Arial" w:hAnsi="Arial"/>
                <w:sz w:val="20"/>
                <w:szCs w:val="20"/>
                <w:color w:val="auto"/>
              </w:rPr>
              <w:t>Regular biannual updates reflecting new activities.</w:t>
            </w:r>
          </w:p>
        </w:tc>
      </w:tr>
      <w:tr>
        <w:trPr>
          <w:trHeight w:val="302"/>
        </w:trPr>
        <w:tc>
          <w:tcPr>
            <w:tcW w:w="1560" w:type="dxa"/>
            <w:vAlign w:val="bottom"/>
          </w:tcPr>
          <w:p>
            <w:pPr>
              <w:spacing w:after="0"/>
              <w:rPr>
                <w:sz w:val="24"/>
                <w:szCs w:val="24"/>
                <w:color w:val="auto"/>
              </w:rPr>
            </w:pPr>
          </w:p>
        </w:tc>
        <w:tc>
          <w:tcPr>
            <w:tcW w:w="2240" w:type="dxa"/>
            <w:vAlign w:val="bottom"/>
          </w:tcPr>
          <w:p>
            <w:pPr>
              <w:ind w:left="520"/>
              <w:spacing w:after="0"/>
              <w:rPr>
                <w:sz w:val="20"/>
                <w:szCs w:val="20"/>
                <w:color w:val="auto"/>
              </w:rPr>
            </w:pPr>
            <w:r>
              <w:rPr>
                <w:rFonts w:ascii="Arial" w:cs="Arial" w:eastAsia="Arial" w:hAnsi="Arial"/>
                <w:sz w:val="20"/>
                <w:szCs w:val="20"/>
                <w:color w:val="auto"/>
              </w:rPr>
              <w:t>(initial)</w:t>
            </w:r>
          </w:p>
        </w:tc>
        <w:tc>
          <w:tcPr>
            <w:tcW w:w="5380" w:type="dxa"/>
            <w:vAlign w:val="bottom"/>
          </w:tcPr>
          <w:p>
            <w:pPr>
              <w:spacing w:after="0"/>
              <w:rPr>
                <w:sz w:val="24"/>
                <w:szCs w:val="24"/>
                <w:color w:val="auto"/>
              </w:rPr>
            </w:pPr>
          </w:p>
        </w:tc>
      </w:tr>
      <w:tr>
        <w:trPr>
          <w:trHeight w:val="362"/>
        </w:trPr>
        <w:tc>
          <w:tcPr>
            <w:tcW w:w="1560" w:type="dxa"/>
            <w:vAlign w:val="bottom"/>
          </w:tcPr>
          <w:p>
            <w:pPr>
              <w:spacing w:after="0"/>
              <w:rPr>
                <w:sz w:val="20"/>
                <w:szCs w:val="20"/>
                <w:color w:val="auto"/>
              </w:rPr>
            </w:pPr>
            <w:r>
              <w:rPr>
                <w:rFonts w:ascii="Arial" w:cs="Arial" w:eastAsia="Arial" w:hAnsi="Arial"/>
                <w:sz w:val="20"/>
                <w:szCs w:val="20"/>
                <w:color w:val="auto"/>
              </w:rPr>
              <w:t>Exploration</w:t>
            </w:r>
          </w:p>
        </w:tc>
        <w:tc>
          <w:tcPr>
            <w:tcW w:w="2240" w:type="dxa"/>
            <w:vAlign w:val="bottom"/>
          </w:tcPr>
          <w:p>
            <w:pPr>
              <w:ind w:left="520"/>
              <w:spacing w:after="0"/>
              <w:rPr>
                <w:sz w:val="20"/>
                <w:szCs w:val="20"/>
                <w:color w:val="auto"/>
              </w:rPr>
            </w:pPr>
            <w:r>
              <w:rPr>
                <w:rFonts w:ascii="Arial" w:cs="Arial" w:eastAsia="Arial" w:hAnsi="Arial"/>
                <w:sz w:val="20"/>
                <w:szCs w:val="20"/>
                <w:color w:val="auto"/>
              </w:rPr>
              <w:t>February 2026</w:t>
            </w:r>
          </w:p>
        </w:tc>
        <w:tc>
          <w:tcPr>
            <w:tcW w:w="5380" w:type="dxa"/>
            <w:vAlign w:val="bottom"/>
          </w:tcPr>
          <w:p>
            <w:pPr>
              <w:ind w:left="300"/>
              <w:spacing w:after="0"/>
              <w:rPr>
                <w:sz w:val="20"/>
                <w:szCs w:val="20"/>
                <w:color w:val="auto"/>
              </w:rPr>
            </w:pPr>
            <w:r>
              <w:rPr>
                <w:rFonts w:ascii="Arial" w:cs="Arial" w:eastAsia="Arial" w:hAnsi="Arial"/>
                <w:sz w:val="20"/>
                <w:szCs w:val="20"/>
                <w:color w:val="auto"/>
              </w:rPr>
              <w:t>Update to Environmental Impacts Report for Exploration</w:t>
            </w:r>
          </w:p>
        </w:tc>
      </w:tr>
      <w:tr>
        <w:trPr>
          <w:trHeight w:val="362"/>
        </w:trPr>
        <w:tc>
          <w:tcPr>
            <w:tcW w:w="1560" w:type="dxa"/>
            <w:vAlign w:val="bottom"/>
          </w:tcPr>
          <w:p>
            <w:pPr>
              <w:spacing w:after="0"/>
              <w:rPr>
                <w:sz w:val="20"/>
                <w:szCs w:val="20"/>
                <w:color w:val="auto"/>
              </w:rPr>
            </w:pPr>
            <w:r>
              <w:rPr>
                <w:rFonts w:ascii="Arial" w:cs="Arial" w:eastAsia="Arial" w:hAnsi="Arial"/>
                <w:sz w:val="20"/>
                <w:szCs w:val="20"/>
                <w:color w:val="auto"/>
              </w:rPr>
              <w:t>Exploitation</w:t>
            </w:r>
          </w:p>
        </w:tc>
        <w:tc>
          <w:tcPr>
            <w:tcW w:w="2240" w:type="dxa"/>
            <w:vAlign w:val="bottom"/>
          </w:tcPr>
          <w:p>
            <w:pPr>
              <w:ind w:left="520"/>
              <w:spacing w:after="0"/>
              <w:rPr>
                <w:sz w:val="20"/>
                <w:szCs w:val="20"/>
                <w:color w:val="auto"/>
              </w:rPr>
            </w:pPr>
            <w:r>
              <w:rPr>
                <w:rFonts w:ascii="Arial" w:cs="Arial" w:eastAsia="Arial" w:hAnsi="Arial"/>
                <w:sz w:val="20"/>
                <w:szCs w:val="20"/>
                <w:color w:val="auto"/>
              </w:rPr>
              <w:t>November 2012</w:t>
            </w:r>
          </w:p>
        </w:tc>
        <w:tc>
          <w:tcPr>
            <w:tcW w:w="5380" w:type="dxa"/>
            <w:vAlign w:val="bottom"/>
          </w:tcPr>
          <w:p>
            <w:pPr>
              <w:ind w:left="300"/>
              <w:spacing w:after="0"/>
              <w:rPr>
                <w:sz w:val="20"/>
                <w:szCs w:val="20"/>
                <w:color w:val="auto"/>
              </w:rPr>
            </w:pPr>
            <w:r>
              <w:rPr>
                <w:rFonts w:ascii="Arial" w:cs="Arial" w:eastAsia="Arial" w:hAnsi="Arial"/>
                <w:sz w:val="20"/>
                <w:szCs w:val="20"/>
                <w:color w:val="auto"/>
                <w:w w:val="99"/>
              </w:rPr>
              <w:t>Expand production capacity and operational adjustments.</w:t>
            </w:r>
          </w:p>
        </w:tc>
      </w:tr>
      <w:tr>
        <w:trPr>
          <w:trHeight w:val="302"/>
        </w:trPr>
        <w:tc>
          <w:tcPr>
            <w:tcW w:w="1560" w:type="dxa"/>
            <w:vAlign w:val="bottom"/>
          </w:tcPr>
          <w:p>
            <w:pPr>
              <w:spacing w:after="0"/>
              <w:rPr>
                <w:sz w:val="24"/>
                <w:szCs w:val="24"/>
                <w:color w:val="auto"/>
              </w:rPr>
            </w:pPr>
          </w:p>
        </w:tc>
        <w:tc>
          <w:tcPr>
            <w:tcW w:w="2240" w:type="dxa"/>
            <w:vAlign w:val="bottom"/>
          </w:tcPr>
          <w:p>
            <w:pPr>
              <w:ind w:left="520"/>
              <w:spacing w:after="0"/>
              <w:rPr>
                <w:sz w:val="20"/>
                <w:szCs w:val="20"/>
                <w:color w:val="auto"/>
              </w:rPr>
            </w:pPr>
            <w:r>
              <w:rPr>
                <w:rFonts w:ascii="Arial" w:cs="Arial" w:eastAsia="Arial" w:hAnsi="Arial"/>
                <w:sz w:val="20"/>
                <w:szCs w:val="20"/>
                <w:color w:val="auto"/>
              </w:rPr>
              <w:t>(initial)</w:t>
            </w:r>
          </w:p>
        </w:tc>
        <w:tc>
          <w:tcPr>
            <w:tcW w:w="53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-1033780</wp:posOffset>
            </wp:positionV>
            <wp:extent cx="6078220" cy="1072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1">
                      <a:extLst>
                        <a:ext uri="{28A0092B-C50C-407E-A947-70E740481C1C}"/>
                      </a:extLst>
                    </a:blip>
                    <a:srcRect/>
                    <a:stretch>
                      <a:fillRect/>
                    </a:stretch>
                  </pic:blipFill>
                  <pic:spPr bwMode="auto">
                    <a:xfrm>
                      <a:off x="0" y="0"/>
                      <a:ext cx="6078220" cy="107251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11 / 25</w:t>
      </w:r>
    </w:p>
    <w:p>
      <w:pPr>
        <w:sectPr>
          <w:pgSz w:w="11900" w:h="16838" w:orient="portrait"/>
          <w:cols w:equalWidth="0" w:num="1">
            <w:col w:w="10460"/>
          </w:cols>
          <w:pgMar w:left="1440" w:top="1440" w:right="6" w:bottom="0" w:gutter="0" w:footer="0" w:header="0"/>
          <w:type w:val="continuous"/>
        </w:sectPr>
      </w:pPr>
    </w:p>
    <w:bookmarkStart w:id="96" w:name="page97"/>
    <w:bookmarkEnd w:id="96"/>
    <w:p>
      <w:pPr>
        <w:jc w:val="center"/>
        <w:ind w:left="7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1482090</wp:posOffset>
            </wp:positionH>
            <wp:positionV relativeFrom="page">
              <wp:posOffset>720090</wp:posOffset>
            </wp:positionV>
            <wp:extent cx="1344295" cy="2298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2">
                      <a:extLst>
                        <a:ext uri="{28A0092B-C50C-407E-A947-70E740481C1C}"/>
                      </a:extLst>
                    </a:blip>
                    <a:srcRect/>
                    <a:stretch>
                      <a:fillRect/>
                    </a:stretch>
                  </pic:blipFill>
                  <pic:spPr bwMode="auto">
                    <a:xfrm>
                      <a:off x="0" y="0"/>
                      <a:ext cx="1344295" cy="229870"/>
                    </a:xfrm>
                    <a:prstGeom prst="rect">
                      <a:avLst/>
                    </a:prstGeom>
                    <a:noFill/>
                  </pic:spPr>
                </pic:pic>
              </a:graphicData>
            </a:graphic>
          </wp:anchor>
        </w:drawing>
        <w:t>Exploitation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38735</wp:posOffset>
            </wp:positionV>
            <wp:extent cx="1344295" cy="4533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3">
                      <a:extLst>
                        <a:ext uri="{28A0092B-C50C-407E-A947-70E740481C1C}"/>
                      </a:extLst>
                    </a:blip>
                    <a:srcRect/>
                    <a:stretch>
                      <a:fillRect/>
                    </a:stretch>
                  </pic:blipFill>
                  <pic:spPr bwMode="auto">
                    <a:xfrm>
                      <a:off x="0" y="0"/>
                      <a:ext cx="1344295" cy="4533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Arial" w:cs="Arial" w:eastAsia="Arial" w:hAnsi="Arial"/>
          <w:sz w:val="20"/>
          <w:szCs w:val="20"/>
          <w:color w:val="auto"/>
        </w:rPr>
        <w:t>May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26035</wp:posOffset>
            </wp:positionV>
            <wp:extent cx="1280160" cy="4660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4">
                      <a:extLst>
                        <a:ext uri="{28A0092B-C50C-407E-A947-70E740481C1C}"/>
                      </a:extLst>
                    </a:blip>
                    <a:srcRect/>
                    <a:stretch>
                      <a:fillRect/>
                    </a:stretch>
                  </pic:blipFill>
                  <pic:spPr bwMode="auto">
                    <a:xfrm>
                      <a:off x="0" y="0"/>
                      <a:ext cx="1280160" cy="466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Biannual Environmental Impacts Report for Exploitation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28575</wp:posOffset>
            </wp:positionV>
            <wp:extent cx="345376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5">
                      <a:extLst>
                        <a:ext uri="{28A0092B-C50C-407E-A947-70E740481C1C}"/>
                      </a:extLst>
                    </a:blip>
                    <a:srcRect/>
                    <a:stretch>
                      <a:fillRect/>
                    </a:stretch>
                  </pic:blipFill>
                  <pic:spPr bwMode="auto">
                    <a:xfrm>
                      <a:off x="0" y="0"/>
                      <a:ext cx="3453765" cy="12700"/>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3">
            <w:col w:w="2400" w:space="720"/>
            <w:col w:w="1300" w:space="720"/>
            <w:col w:w="5320"/>
          </w:cols>
          <w:pgMar w:left="1440" w:top="1205" w:right="6" w:bottom="0" w:gutter="0" w:footer="0" w:header="0"/>
        </w:sectPr>
      </w:pPr>
    </w:p>
    <w:p>
      <w:pPr>
        <w:jc w:val="center"/>
        <w:ind w:left="620"/>
        <w:spacing w:after="0"/>
        <w:rPr>
          <w:sz w:val="20"/>
          <w:szCs w:val="20"/>
          <w:color w:val="auto"/>
        </w:rPr>
      </w:pPr>
      <w:r>
        <w:rPr>
          <w:rFonts w:ascii="Arial" w:cs="Arial" w:eastAsia="Arial" w:hAnsi="Arial"/>
          <w:sz w:val="19"/>
          <w:szCs w:val="19"/>
          <w:color w:val="auto"/>
        </w:rPr>
        <w:t>Water 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December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160 l/s from 6 to 8 wells near Rosario River</w:t>
      </w:r>
    </w:p>
    <w:p>
      <w:pPr>
        <w:spacing w:after="0" w:line="116" w:lineRule="exact"/>
        <w:rPr>
          <w:sz w:val="20"/>
          <w:szCs w:val="20"/>
          <w:color w:val="auto"/>
        </w:rPr>
      </w:pPr>
    </w:p>
    <w:p>
      <w:pPr>
        <w:sectPr>
          <w:pgSz w:w="11900" w:h="16838" w:orient="portrait"/>
          <w:cols w:equalWidth="0" w:num="3">
            <w:col w:w="2400" w:space="720"/>
            <w:col w:w="1420" w:space="600"/>
            <w:col w:w="5320"/>
          </w:cols>
          <w:pgMar w:left="1440" w:top="1205" w:right="6" w:bottom="0" w:gutter="0" w:footer="0" w:header="0"/>
          <w:type w:val="continuous"/>
        </w:sectPr>
      </w:pPr>
    </w:p>
    <w:p>
      <w:pPr>
        <w:ind w:left="3120"/>
        <w:spacing w:after="0"/>
        <w:rPr>
          <w:sz w:val="20"/>
          <w:szCs w:val="20"/>
          <w:color w:val="auto"/>
        </w:rPr>
      </w:pPr>
      <w:r>
        <w:rPr>
          <w:rFonts w:ascii="Arial" w:cs="Arial" w:eastAsia="Arial" w:hAnsi="Arial"/>
          <w:sz w:val="20"/>
          <w:szCs w:val="20"/>
          <w:color w:val="auto"/>
        </w:rPr>
        <w:t>(160 L/s)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3192145</wp:posOffset>
            </wp:positionH>
            <wp:positionV relativeFrom="paragraph">
              <wp:posOffset>26035</wp:posOffset>
            </wp:positionV>
            <wp:extent cx="345376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6">
                      <a:extLst>
                        <a:ext uri="{28A0092B-C50C-407E-A947-70E740481C1C}"/>
                      </a:extLst>
                    </a:blip>
                    <a:srcRect/>
                    <a:stretch>
                      <a:fillRect/>
                    </a:stretch>
                  </pic:blipFill>
                  <pic:spPr bwMode="auto">
                    <a:xfrm>
                      <a:off x="0" y="0"/>
                      <a:ext cx="3453765" cy="19050"/>
                    </a:xfrm>
                    <a:prstGeom prst="rect">
                      <a:avLst/>
                    </a:prstGeom>
                    <a:noFill/>
                  </pic:spPr>
                </pic:pic>
              </a:graphicData>
            </a:graphic>
          </wp:anchor>
        </w:drawing>
      </w:r>
    </w:p>
    <w:p>
      <w:pPr>
        <w:sectPr>
          <w:pgSz w:w="11900" w:h="16838" w:orient="portrait"/>
          <w:cols w:equalWidth="0" w:num="1">
            <w:col w:w="10460"/>
          </w:cols>
          <w:pgMar w:left="1440" w:top="1205" w:right="6" w:bottom="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Biannual Environmental Impacts Report for Exploitation has been submitted during December 2025, an under evaluation. In December 2025, an Environmental Impact Report for additional 45,000 tpa of LCE for expansion plant has been submitted. In addition, the Biannual Environmental Impact Report for Exploitation been submitted for the current operation.</w:t>
      </w:r>
    </w:p>
    <w:p>
      <w:pPr>
        <w:spacing w:after="0" w:line="132"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An additional water concession permit for a further 160 L/s from the south of the basin, for the exploitation p for a 40-year terms, has been submitted in March 2024 and is currently under evaluation. The provincial resources department (DPRH) granted authorization to drill exploration wells in the south of the basin. drilling the wells, and with the results obtained from the tests, DPRH will have to be notified again to complet permit requirements and obtain the permit to use this industrial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1087755</wp:posOffset>
            </wp:positionV>
            <wp:extent cx="6764020"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12 / 25</w:t>
      </w:r>
    </w:p>
    <w:p>
      <w:pPr>
        <w:sectPr>
          <w:pgSz w:w="11900" w:h="16838" w:orient="portrait"/>
          <w:cols w:equalWidth="0" w:num="1">
            <w:col w:w="10460"/>
          </w:cols>
          <w:pgMar w:left="1440" w:top="1205" w:right="6" w:bottom="0" w:gutter="0" w:footer="0" w:header="0"/>
          <w:type w:val="continuous"/>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Cauchari-Olaroz Operation has also obtained approvals for the provision of electricity to the Exar plan for internal consumption by Resolution No. 406/2019 SCA, for natural gas by Resolution No. 350/2019 SCA addendum approved by Resolution No. 215/2020 SCA, for water treatment plant at the construction cam Resolution No. 327/2018 SCA, for water treatment plant at the operations camp by Resolution No. 226/2020 and for aqueduct with environmental feasibility by Resolution No. 310/2020 SCA.</w:t>
      </w:r>
    </w:p>
    <w:p>
      <w:pPr>
        <w:spacing w:after="0" w:line="134" w:lineRule="exact"/>
        <w:rPr>
          <w:sz w:val="20"/>
          <w:szCs w:val="20"/>
          <w:color w:val="auto"/>
        </w:rPr>
      </w:pPr>
    </w:p>
    <w:p>
      <w:pPr>
        <w:ind w:left="900"/>
        <w:spacing w:after="0"/>
        <w:rPr>
          <w:sz w:val="20"/>
          <w:szCs w:val="20"/>
          <w:color w:val="auto"/>
        </w:rPr>
      </w:pPr>
      <w:r>
        <w:rPr>
          <w:rFonts w:ascii="Arial" w:cs="Arial" w:eastAsia="Arial" w:hAnsi="Arial"/>
          <w:sz w:val="28"/>
          <w:szCs w:val="28"/>
          <w:b w:val="1"/>
          <w:bCs w:val="1"/>
          <w:i w:val="1"/>
          <w:iCs w:val="1"/>
          <w:color w:val="auto"/>
        </w:rPr>
        <w:t>Operating Costs</w:t>
      </w:r>
    </w:p>
    <w:p>
      <w:pPr>
        <w:spacing w:after="0" w:line="213"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Cauchari TRS presents a cost estimate (±15% expected accuracy) for the Cauchari-Olaroz Operation of $5,411 per tonne of lithium carbonate, based on 40,000 tpa lithium carbonate production.</w:t>
      </w:r>
    </w:p>
    <w:p>
      <w:pPr>
        <w:spacing w:after="0" w:line="135"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Reagent consumption rates that were determined by pilot plant, laboratory, and computer model simulation been actualized based on data obtained during ramp up period. Reagent cost values, which represent 36 OPEX, has been obtained from the suppliers servicing the actual plant operation.</w:t>
      </w:r>
    </w:p>
    <w:p>
      <w:pPr>
        <w:spacing w:after="0" w:line="13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Energy consumption has been determined on an equipment-by-equipment basis and design utilization rate confirmed with actual operational data.</w:t>
      </w:r>
    </w:p>
    <w:p>
      <w:pPr>
        <w:spacing w:after="0" w:line="135" w:lineRule="exact"/>
        <w:rPr>
          <w:sz w:val="20"/>
          <w:szCs w:val="20"/>
          <w:color w:val="auto"/>
        </w:rPr>
      </w:pPr>
    </w:p>
    <w:p>
      <w:pPr>
        <w:ind w:left="900" w:right="100"/>
        <w:spacing w:after="0" w:line="307" w:lineRule="auto"/>
        <w:rPr>
          <w:sz w:val="20"/>
          <w:szCs w:val="20"/>
          <w:color w:val="auto"/>
        </w:rPr>
      </w:pPr>
      <w:r>
        <w:rPr>
          <w:rFonts w:ascii="Arial" w:cs="Arial" w:eastAsia="Arial" w:hAnsi="Arial"/>
          <w:sz w:val="20"/>
          <w:szCs w:val="20"/>
          <w:color w:val="auto"/>
        </w:rPr>
        <w:t>Labor levels are confirmed in accordance with the management team at the Cauchari-Olaroz . Salary and are based on the actual data being used at Cauchari-Olaroz.</w:t>
      </w:r>
    </w:p>
    <w:p>
      <w:pPr>
        <w:spacing w:after="0" w:line="135" w:lineRule="exact"/>
        <w:rPr>
          <w:sz w:val="20"/>
          <w:szCs w:val="20"/>
          <w:color w:val="auto"/>
        </w:rPr>
      </w:pPr>
    </w:p>
    <w:p>
      <w:pPr>
        <w:ind w:left="900" w:right="20"/>
        <w:spacing w:after="0" w:line="307" w:lineRule="auto"/>
        <w:rPr>
          <w:sz w:val="20"/>
          <w:szCs w:val="20"/>
          <w:color w:val="auto"/>
        </w:rPr>
      </w:pPr>
      <w:r>
        <w:rPr>
          <w:rFonts w:ascii="Arial" w:cs="Arial" w:eastAsia="Arial" w:hAnsi="Arial"/>
          <w:sz w:val="20"/>
          <w:szCs w:val="20"/>
          <w:color w:val="auto"/>
        </w:rPr>
        <w:t>Maintenance estimates were updated on the actual maintenance cost and projected future cost based on experience with similar operations.</w:t>
      </w:r>
    </w:p>
    <w:p>
      <w:pPr>
        <w:spacing w:after="0" w:line="307" w:lineRule="exact"/>
        <w:rPr>
          <w:sz w:val="20"/>
          <w:szCs w:val="20"/>
          <w:color w:val="auto"/>
        </w:rPr>
      </w:pPr>
    </w:p>
    <w:tbl>
      <w:tblPr>
        <w:tblLayout w:type="fixed"/>
        <w:tblInd w:w="900" w:type="dxa"/>
        <w:tblCellMar>
          <w:top w:w="0" w:type="dxa"/>
          <w:left w:w="0" w:type="dxa"/>
          <w:bottom w:w="0" w:type="dxa"/>
          <w:right w:w="0" w:type="dxa"/>
        </w:tblCellMar>
      </w:tblPr>
      <w:tr>
        <w:trPr>
          <w:trHeight w:val="75"/>
        </w:trPr>
        <w:tc>
          <w:tcPr>
            <w:tcW w:w="4460" w:type="dxa"/>
            <w:vAlign w:val="bottom"/>
            <w:shd w:val="clear" w:color="auto" w:fill="153A57"/>
          </w:tcPr>
          <w:p>
            <w:pPr>
              <w:spacing w:after="0"/>
              <w:rPr>
                <w:sz w:val="6"/>
                <w:szCs w:val="6"/>
                <w:color w:val="auto"/>
              </w:rPr>
            </w:pPr>
          </w:p>
        </w:tc>
        <w:tc>
          <w:tcPr>
            <w:tcW w:w="2260" w:type="dxa"/>
            <w:vAlign w:val="bottom"/>
            <w:shd w:val="clear" w:color="auto" w:fill="153A57"/>
          </w:tcPr>
          <w:p>
            <w:pPr>
              <w:spacing w:after="0"/>
              <w:rPr>
                <w:sz w:val="6"/>
                <w:szCs w:val="6"/>
                <w:color w:val="auto"/>
              </w:rPr>
            </w:pPr>
          </w:p>
        </w:tc>
        <w:tc>
          <w:tcPr>
            <w:tcW w:w="820" w:type="dxa"/>
            <w:vAlign w:val="bottom"/>
            <w:shd w:val="clear" w:color="auto" w:fill="153A57"/>
          </w:tcPr>
          <w:p>
            <w:pPr>
              <w:spacing w:after="0"/>
              <w:rPr>
                <w:sz w:val="6"/>
                <w:szCs w:val="6"/>
                <w:color w:val="auto"/>
              </w:rPr>
            </w:pPr>
          </w:p>
        </w:tc>
        <w:tc>
          <w:tcPr>
            <w:tcW w:w="1520" w:type="dxa"/>
            <w:vAlign w:val="bottom"/>
            <w:shd w:val="clear" w:color="auto" w:fill="153A57"/>
          </w:tcPr>
          <w:p>
            <w:pPr>
              <w:spacing w:after="0"/>
              <w:rPr>
                <w:sz w:val="6"/>
                <w:szCs w:val="6"/>
                <w:color w:val="auto"/>
              </w:rPr>
            </w:pPr>
          </w:p>
        </w:tc>
        <w:tc>
          <w:tcPr>
            <w:tcW w:w="500" w:type="dxa"/>
            <w:vAlign w:val="bottom"/>
            <w:shd w:val="clear" w:color="auto" w:fill="153A57"/>
          </w:tcPr>
          <w:p>
            <w:pPr>
              <w:spacing w:after="0"/>
              <w:rPr>
                <w:sz w:val="6"/>
                <w:szCs w:val="6"/>
                <w:color w:val="auto"/>
              </w:rPr>
            </w:pPr>
          </w:p>
        </w:tc>
      </w:tr>
      <w:tr>
        <w:trPr>
          <w:trHeight w:val="295"/>
        </w:trPr>
        <w:tc>
          <w:tcPr>
            <w:tcW w:w="4460" w:type="dxa"/>
            <w:vAlign w:val="bottom"/>
            <w:shd w:val="clear" w:color="auto" w:fill="153A57"/>
          </w:tcPr>
          <w:p>
            <w:pPr>
              <w:ind w:left="200"/>
              <w:spacing w:after="0"/>
              <w:rPr>
                <w:sz w:val="20"/>
                <w:szCs w:val="20"/>
                <w:color w:val="auto"/>
              </w:rPr>
            </w:pPr>
            <w:r>
              <w:rPr>
                <w:rFonts w:ascii="Arial" w:cs="Arial" w:eastAsia="Arial" w:hAnsi="Arial"/>
                <w:sz w:val="18"/>
                <w:szCs w:val="18"/>
                <w:b w:val="1"/>
                <w:bCs w:val="1"/>
                <w:color w:val="FFFFFF"/>
              </w:rPr>
              <w:t>Operating Costs Summary</w:t>
            </w:r>
          </w:p>
        </w:tc>
        <w:tc>
          <w:tcPr>
            <w:tcW w:w="2260" w:type="dxa"/>
            <w:vAlign w:val="bottom"/>
            <w:shd w:val="clear" w:color="auto" w:fill="153A57"/>
          </w:tcPr>
          <w:p>
            <w:pPr>
              <w:spacing w:after="0"/>
              <w:rPr>
                <w:sz w:val="24"/>
                <w:szCs w:val="24"/>
                <w:color w:val="auto"/>
              </w:rPr>
            </w:pPr>
          </w:p>
        </w:tc>
        <w:tc>
          <w:tcPr>
            <w:tcW w:w="820" w:type="dxa"/>
            <w:vAlign w:val="bottom"/>
            <w:shd w:val="clear" w:color="auto" w:fill="153A57"/>
          </w:tcPr>
          <w:p>
            <w:pPr>
              <w:spacing w:after="0"/>
              <w:rPr>
                <w:sz w:val="24"/>
                <w:szCs w:val="24"/>
                <w:color w:val="auto"/>
              </w:rPr>
            </w:pPr>
          </w:p>
        </w:tc>
        <w:tc>
          <w:tcPr>
            <w:tcW w:w="1520" w:type="dxa"/>
            <w:vAlign w:val="bottom"/>
            <w:shd w:val="clear" w:color="auto" w:fill="153A57"/>
          </w:tcPr>
          <w:p>
            <w:pPr>
              <w:spacing w:after="0"/>
              <w:rPr>
                <w:sz w:val="24"/>
                <w:szCs w:val="24"/>
                <w:color w:val="auto"/>
              </w:rPr>
            </w:pPr>
          </w:p>
        </w:tc>
        <w:tc>
          <w:tcPr>
            <w:tcW w:w="500" w:type="dxa"/>
            <w:vAlign w:val="bottom"/>
            <w:shd w:val="clear" w:color="auto" w:fill="153A57"/>
          </w:tcPr>
          <w:p>
            <w:pPr>
              <w:spacing w:after="0"/>
              <w:rPr>
                <w:sz w:val="24"/>
                <w:szCs w:val="24"/>
                <w:color w:val="auto"/>
              </w:rPr>
            </w:pPr>
          </w:p>
        </w:tc>
      </w:tr>
      <w:tr>
        <w:trPr>
          <w:trHeight w:val="201"/>
        </w:trPr>
        <w:tc>
          <w:tcPr>
            <w:tcW w:w="4460" w:type="dxa"/>
            <w:vAlign w:val="bottom"/>
            <w:shd w:val="clear" w:color="auto" w:fill="153A57"/>
          </w:tcPr>
          <w:p>
            <w:pPr>
              <w:spacing w:after="0"/>
              <w:rPr>
                <w:sz w:val="17"/>
                <w:szCs w:val="17"/>
                <w:color w:val="auto"/>
              </w:rPr>
            </w:pPr>
          </w:p>
        </w:tc>
        <w:tc>
          <w:tcPr>
            <w:tcW w:w="2260" w:type="dxa"/>
            <w:vAlign w:val="bottom"/>
            <w:shd w:val="clear" w:color="auto" w:fill="153A57"/>
          </w:tcPr>
          <w:p>
            <w:pPr>
              <w:spacing w:after="0"/>
              <w:rPr>
                <w:sz w:val="17"/>
                <w:szCs w:val="17"/>
                <w:color w:val="auto"/>
              </w:rPr>
            </w:pPr>
          </w:p>
        </w:tc>
        <w:tc>
          <w:tcPr>
            <w:tcW w:w="820" w:type="dxa"/>
            <w:vAlign w:val="bottom"/>
            <w:shd w:val="clear" w:color="auto" w:fill="153A57"/>
          </w:tcPr>
          <w:p>
            <w:pPr>
              <w:spacing w:after="0"/>
              <w:rPr>
                <w:sz w:val="17"/>
                <w:szCs w:val="17"/>
                <w:color w:val="auto"/>
              </w:rPr>
            </w:pPr>
          </w:p>
        </w:tc>
        <w:tc>
          <w:tcPr>
            <w:tcW w:w="1520" w:type="dxa"/>
            <w:vAlign w:val="bottom"/>
            <w:shd w:val="clear" w:color="auto" w:fill="153A57"/>
          </w:tcPr>
          <w:p>
            <w:pPr>
              <w:spacing w:after="0"/>
              <w:rPr>
                <w:sz w:val="17"/>
                <w:szCs w:val="17"/>
                <w:color w:val="auto"/>
              </w:rPr>
            </w:pPr>
          </w:p>
        </w:tc>
        <w:tc>
          <w:tcPr>
            <w:tcW w:w="500" w:type="dxa"/>
            <w:vAlign w:val="bottom"/>
            <w:shd w:val="clear" w:color="auto" w:fill="153A57"/>
          </w:tcPr>
          <w:p>
            <w:pPr>
              <w:spacing w:after="0"/>
              <w:rPr>
                <w:sz w:val="17"/>
                <w:szCs w:val="17"/>
                <w:color w:val="auto"/>
              </w:rPr>
            </w:pPr>
          </w:p>
        </w:tc>
      </w:tr>
      <w:tr>
        <w:trPr>
          <w:trHeight w:val="250"/>
        </w:trPr>
        <w:tc>
          <w:tcPr>
            <w:tcW w:w="4460" w:type="dxa"/>
            <w:vAlign w:val="bottom"/>
          </w:tcPr>
          <w:p>
            <w:pPr>
              <w:spacing w:after="0"/>
              <w:rPr>
                <w:sz w:val="21"/>
                <w:szCs w:val="21"/>
                <w:color w:val="auto"/>
              </w:rPr>
            </w:pPr>
          </w:p>
        </w:tc>
        <w:tc>
          <w:tcPr>
            <w:tcW w:w="2260" w:type="dxa"/>
            <w:vAlign w:val="bottom"/>
          </w:tcPr>
          <w:p>
            <w:pPr>
              <w:ind w:left="1220"/>
              <w:spacing w:after="0"/>
              <w:rPr>
                <w:sz w:val="20"/>
                <w:szCs w:val="20"/>
                <w:color w:val="auto"/>
              </w:rPr>
            </w:pPr>
            <w:r>
              <w:rPr>
                <w:rFonts w:ascii="Arial" w:cs="Arial" w:eastAsia="Arial" w:hAnsi="Arial"/>
                <w:sz w:val="18"/>
                <w:szCs w:val="18"/>
                <w:b w:val="1"/>
                <w:bCs w:val="1"/>
                <w:color w:val="153A57"/>
              </w:rPr>
              <w:t>Total</w:t>
            </w:r>
          </w:p>
        </w:tc>
        <w:tc>
          <w:tcPr>
            <w:tcW w:w="820" w:type="dxa"/>
            <w:vAlign w:val="bottom"/>
          </w:tcPr>
          <w:p>
            <w:pPr>
              <w:spacing w:after="0"/>
              <w:rPr>
                <w:sz w:val="21"/>
                <w:szCs w:val="21"/>
                <w:color w:val="auto"/>
              </w:rPr>
            </w:pP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153A57"/>
              </w:rPr>
              <w:t>Lithium</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153A57"/>
                <w:w w:val="88"/>
              </w:rPr>
              <w:t>Alloca</w:t>
            </w:r>
          </w:p>
        </w:tc>
      </w:tr>
      <w:tr>
        <w:trPr>
          <w:trHeight w:val="272"/>
        </w:trPr>
        <w:tc>
          <w:tcPr>
            <w:tcW w:w="4460" w:type="dxa"/>
            <w:vAlign w:val="bottom"/>
          </w:tcPr>
          <w:p>
            <w:pPr>
              <w:spacing w:after="0"/>
              <w:rPr>
                <w:sz w:val="23"/>
                <w:szCs w:val="23"/>
                <w:color w:val="auto"/>
              </w:rPr>
            </w:pPr>
          </w:p>
        </w:tc>
        <w:tc>
          <w:tcPr>
            <w:tcW w:w="2260" w:type="dxa"/>
            <w:vAlign w:val="bottom"/>
          </w:tcPr>
          <w:p>
            <w:pPr>
              <w:ind w:left="1220"/>
              <w:spacing w:after="0"/>
              <w:rPr>
                <w:sz w:val="20"/>
                <w:szCs w:val="20"/>
                <w:color w:val="auto"/>
              </w:rPr>
            </w:pPr>
            <w:r>
              <w:rPr>
                <w:rFonts w:ascii="Arial" w:cs="Arial" w:eastAsia="Arial" w:hAnsi="Arial"/>
                <w:sz w:val="18"/>
                <w:szCs w:val="18"/>
                <w:b w:val="1"/>
                <w:bCs w:val="1"/>
                <w:color w:val="153A57"/>
              </w:rPr>
              <w:t>(US$</w:t>
            </w:r>
          </w:p>
        </w:tc>
        <w:tc>
          <w:tcPr>
            <w:tcW w:w="820" w:type="dxa"/>
            <w:vAlign w:val="bottom"/>
          </w:tcPr>
          <w:p>
            <w:pPr>
              <w:spacing w:after="0"/>
              <w:rPr>
                <w:sz w:val="23"/>
                <w:szCs w:val="23"/>
                <w:color w:val="auto"/>
              </w:rPr>
            </w:pP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153A57"/>
              </w:rPr>
              <w:t>Carbonate</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153A57"/>
              </w:rPr>
              <w:t>of To</w:t>
            </w:r>
          </w:p>
        </w:tc>
      </w:tr>
      <w:tr>
        <w:trPr>
          <w:trHeight w:val="272"/>
        </w:trPr>
        <w:tc>
          <w:tcPr>
            <w:tcW w:w="4460" w:type="dxa"/>
            <w:vAlign w:val="bottom"/>
          </w:tcPr>
          <w:p>
            <w:pPr>
              <w:ind w:left="200"/>
              <w:spacing w:after="0"/>
              <w:rPr>
                <w:sz w:val="20"/>
                <w:szCs w:val="20"/>
                <w:color w:val="auto"/>
              </w:rPr>
            </w:pPr>
            <w:r>
              <w:rPr>
                <w:rFonts w:ascii="Arial" w:cs="Arial" w:eastAsia="Arial" w:hAnsi="Arial"/>
                <w:sz w:val="18"/>
                <w:szCs w:val="18"/>
                <w:b w:val="1"/>
                <w:bCs w:val="1"/>
                <w:color w:val="153A57"/>
              </w:rPr>
              <w:t>Description</w:t>
            </w:r>
          </w:p>
        </w:tc>
        <w:tc>
          <w:tcPr>
            <w:tcW w:w="2260" w:type="dxa"/>
            <w:vAlign w:val="bottom"/>
          </w:tcPr>
          <w:p>
            <w:pPr>
              <w:jc w:val="center"/>
              <w:ind w:left="510"/>
              <w:spacing w:after="0"/>
              <w:rPr>
                <w:sz w:val="20"/>
                <w:szCs w:val="20"/>
                <w:color w:val="auto"/>
              </w:rPr>
            </w:pPr>
            <w:r>
              <w:rPr>
                <w:rFonts w:ascii="Arial" w:cs="Arial" w:eastAsia="Arial" w:hAnsi="Arial"/>
                <w:sz w:val="18"/>
                <w:szCs w:val="18"/>
                <w:b w:val="1"/>
                <w:bCs w:val="1"/>
                <w:color w:val="153A57"/>
                <w:w w:val="99"/>
              </w:rPr>
              <w:t>000s/Year)</w:t>
            </w:r>
          </w:p>
        </w:tc>
        <w:tc>
          <w:tcPr>
            <w:tcW w:w="820" w:type="dxa"/>
            <w:vAlign w:val="bottom"/>
          </w:tcPr>
          <w:p>
            <w:pPr>
              <w:spacing w:after="0"/>
              <w:rPr>
                <w:sz w:val="23"/>
                <w:szCs w:val="23"/>
                <w:color w:val="auto"/>
              </w:rPr>
            </w:pP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153A57"/>
                <w:w w:val="99"/>
              </w:rPr>
              <w:t>(US$/Tonne)</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153A57"/>
                <w:w w:val="95"/>
              </w:rPr>
              <w:t>OPEX</w:t>
            </w:r>
          </w:p>
        </w:tc>
      </w:tr>
      <w:tr>
        <w:trPr>
          <w:trHeight w:val="91"/>
        </w:trPr>
        <w:tc>
          <w:tcPr>
            <w:tcW w:w="4460" w:type="dxa"/>
            <w:vAlign w:val="bottom"/>
          </w:tcPr>
          <w:p>
            <w:pPr>
              <w:spacing w:after="0"/>
              <w:rPr>
                <w:sz w:val="7"/>
                <w:szCs w:val="7"/>
                <w:color w:val="auto"/>
              </w:rPr>
            </w:pPr>
          </w:p>
        </w:tc>
        <w:tc>
          <w:tcPr>
            <w:tcW w:w="2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500" w:type="dxa"/>
            <w:vAlign w:val="bottom"/>
          </w:tcPr>
          <w:p>
            <w:pPr>
              <w:spacing w:after="0"/>
              <w:rPr>
                <w:sz w:val="7"/>
                <w:szCs w:val="7"/>
                <w:color w:val="auto"/>
              </w:rPr>
            </w:pPr>
          </w:p>
        </w:tc>
      </w:tr>
      <w:tr>
        <w:trPr>
          <w:trHeight w:val="295"/>
        </w:trPr>
        <w:tc>
          <w:tcPr>
            <w:tcW w:w="4460" w:type="dxa"/>
            <w:vAlign w:val="bottom"/>
            <w:shd w:val="clear" w:color="auto" w:fill="D9D9D9"/>
          </w:tcPr>
          <w:p>
            <w:pPr>
              <w:ind w:left="200"/>
              <w:spacing w:after="0"/>
              <w:rPr>
                <w:sz w:val="20"/>
                <w:szCs w:val="20"/>
                <w:color w:val="auto"/>
              </w:rPr>
            </w:pPr>
            <w:r>
              <w:rPr>
                <w:rFonts w:ascii="Arial" w:cs="Arial" w:eastAsia="Arial" w:hAnsi="Arial"/>
                <w:sz w:val="18"/>
                <w:szCs w:val="18"/>
                <w:b w:val="1"/>
                <w:bCs w:val="1"/>
                <w:color w:val="auto"/>
              </w:rPr>
              <w:t>Direct Costs</w:t>
            </w:r>
          </w:p>
        </w:tc>
        <w:tc>
          <w:tcPr>
            <w:tcW w:w="226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1520" w:type="dxa"/>
            <w:vAlign w:val="bottom"/>
            <w:shd w:val="clear" w:color="auto" w:fill="D9D9D9"/>
          </w:tcPr>
          <w:p>
            <w:pPr>
              <w:spacing w:after="0"/>
              <w:rPr>
                <w:sz w:val="24"/>
                <w:szCs w:val="24"/>
                <w:color w:val="auto"/>
              </w:rPr>
            </w:pPr>
          </w:p>
        </w:tc>
        <w:tc>
          <w:tcPr>
            <w:tcW w:w="500" w:type="dxa"/>
            <w:vAlign w:val="bottom"/>
            <w:shd w:val="clear" w:color="auto" w:fill="D9D9D9"/>
          </w:tcPr>
          <w:p>
            <w:pPr>
              <w:spacing w:after="0"/>
              <w:rPr>
                <w:sz w:val="24"/>
                <w:szCs w:val="24"/>
                <w:color w:val="auto"/>
              </w:rPr>
            </w:pPr>
          </w:p>
        </w:tc>
      </w:tr>
      <w:tr>
        <w:trPr>
          <w:trHeight w:val="92"/>
        </w:trPr>
        <w:tc>
          <w:tcPr>
            <w:tcW w:w="4460" w:type="dxa"/>
            <w:vAlign w:val="bottom"/>
            <w:shd w:val="clear" w:color="auto" w:fill="D9D9D9"/>
          </w:tcPr>
          <w:p>
            <w:pPr>
              <w:spacing w:after="0"/>
              <w:rPr>
                <w:sz w:val="7"/>
                <w:szCs w:val="7"/>
                <w:color w:val="auto"/>
              </w:rPr>
            </w:pPr>
          </w:p>
        </w:tc>
        <w:tc>
          <w:tcPr>
            <w:tcW w:w="2260" w:type="dxa"/>
            <w:vAlign w:val="bottom"/>
            <w:shd w:val="clear" w:color="auto" w:fill="D9D9D9"/>
          </w:tcPr>
          <w:p>
            <w:pPr>
              <w:spacing w:after="0"/>
              <w:rPr>
                <w:sz w:val="7"/>
                <w:szCs w:val="7"/>
                <w:color w:val="auto"/>
              </w:rPr>
            </w:pPr>
          </w:p>
        </w:tc>
        <w:tc>
          <w:tcPr>
            <w:tcW w:w="820" w:type="dxa"/>
            <w:vAlign w:val="bottom"/>
            <w:shd w:val="clear" w:color="auto" w:fill="D9D9D9"/>
          </w:tcPr>
          <w:p>
            <w:pPr>
              <w:spacing w:after="0"/>
              <w:rPr>
                <w:sz w:val="7"/>
                <w:szCs w:val="7"/>
                <w:color w:val="auto"/>
              </w:rPr>
            </w:pPr>
          </w:p>
        </w:tc>
        <w:tc>
          <w:tcPr>
            <w:tcW w:w="2020" w:type="dxa"/>
            <w:vAlign w:val="bottom"/>
            <w:gridSpan w:val="2"/>
            <w:shd w:val="clear" w:color="auto" w:fill="D9D9D9"/>
          </w:tcPr>
          <w:p>
            <w:pPr>
              <w:spacing w:after="0"/>
              <w:rPr>
                <w:sz w:val="7"/>
                <w:szCs w:val="7"/>
                <w:color w:val="auto"/>
              </w:rPr>
            </w:pPr>
          </w:p>
        </w:tc>
      </w:tr>
      <w:tr>
        <w:trPr>
          <w:trHeight w:val="340"/>
        </w:trPr>
        <w:tc>
          <w:tcPr>
            <w:tcW w:w="4460" w:type="dxa"/>
            <w:vAlign w:val="bottom"/>
          </w:tcPr>
          <w:p>
            <w:pPr>
              <w:ind w:left="200"/>
              <w:spacing w:after="0"/>
              <w:rPr>
                <w:sz w:val="20"/>
                <w:szCs w:val="20"/>
                <w:color w:val="auto"/>
              </w:rPr>
            </w:pPr>
            <w:r>
              <w:rPr>
                <w:rFonts w:ascii="Arial" w:cs="Arial" w:eastAsia="Arial" w:hAnsi="Arial"/>
                <w:sz w:val="18"/>
                <w:szCs w:val="18"/>
                <w:color w:val="auto"/>
              </w:rPr>
              <w:t>Reagents</w:t>
            </w:r>
          </w:p>
        </w:tc>
        <w:tc>
          <w:tcPr>
            <w:tcW w:w="2260" w:type="dxa"/>
            <w:vAlign w:val="bottom"/>
          </w:tcPr>
          <w:p>
            <w:pPr>
              <w:jc w:val="center"/>
              <w:ind w:left="490"/>
              <w:spacing w:after="0"/>
              <w:rPr>
                <w:sz w:val="20"/>
                <w:szCs w:val="20"/>
                <w:color w:val="auto"/>
              </w:rPr>
            </w:pPr>
            <w:r>
              <w:rPr>
                <w:rFonts w:ascii="Arial" w:cs="Arial" w:eastAsia="Arial" w:hAnsi="Arial"/>
                <w:sz w:val="18"/>
                <w:szCs w:val="18"/>
                <w:color w:val="auto"/>
              </w:rPr>
              <w:t>78,986</w:t>
            </w:r>
          </w:p>
        </w:tc>
        <w:tc>
          <w:tcPr>
            <w:tcW w:w="820" w:type="dxa"/>
            <w:vAlign w:val="bottom"/>
          </w:tcPr>
          <w:p>
            <w:pPr>
              <w:jc w:val="center"/>
              <w:ind w:right="170"/>
              <w:spacing w:after="0"/>
              <w:rPr>
                <w:sz w:val="20"/>
                <w:szCs w:val="20"/>
                <w:color w:val="auto"/>
              </w:rPr>
            </w:pPr>
            <w:r>
              <w:rPr>
                <w:rFonts w:ascii="Arial" w:cs="Arial" w:eastAsia="Arial" w:hAnsi="Arial"/>
                <w:sz w:val="18"/>
                <w:szCs w:val="18"/>
                <w:color w:val="auto"/>
                <w:w w:val="97"/>
              </w:rPr>
              <w:t>1,975</w:t>
            </w:r>
          </w:p>
        </w:tc>
        <w:tc>
          <w:tcPr>
            <w:tcW w:w="2020" w:type="dxa"/>
            <w:vAlign w:val="bottom"/>
            <w:gridSpan w:val="2"/>
          </w:tcPr>
          <w:p>
            <w:pPr>
              <w:jc w:val="center"/>
              <w:ind w:left="690"/>
              <w:spacing w:after="0"/>
              <w:rPr>
                <w:sz w:val="20"/>
                <w:szCs w:val="20"/>
                <w:color w:val="auto"/>
              </w:rPr>
            </w:pPr>
            <w:r>
              <w:rPr>
                <w:rFonts w:ascii="Arial" w:cs="Arial" w:eastAsia="Arial" w:hAnsi="Arial"/>
                <w:sz w:val="18"/>
                <w:szCs w:val="18"/>
                <w:color w:val="auto"/>
                <w:w w:val="99"/>
              </w:rPr>
              <w:t>36%</w:t>
            </w:r>
          </w:p>
        </w:tc>
      </w:tr>
      <w:tr>
        <w:trPr>
          <w:trHeight w:val="387"/>
        </w:trPr>
        <w:tc>
          <w:tcPr>
            <w:tcW w:w="4460" w:type="dxa"/>
            <w:vAlign w:val="bottom"/>
          </w:tcPr>
          <w:p>
            <w:pPr>
              <w:ind w:left="200"/>
              <w:spacing w:after="0"/>
              <w:rPr>
                <w:sz w:val="20"/>
                <w:szCs w:val="20"/>
                <w:color w:val="auto"/>
              </w:rPr>
            </w:pPr>
            <w:r>
              <w:rPr>
                <w:rFonts w:ascii="Arial" w:cs="Arial" w:eastAsia="Arial" w:hAnsi="Arial"/>
                <w:sz w:val="18"/>
                <w:szCs w:val="18"/>
                <w:color w:val="auto"/>
              </w:rPr>
              <w:t>Maintenance</w:t>
            </w:r>
          </w:p>
        </w:tc>
        <w:tc>
          <w:tcPr>
            <w:tcW w:w="2260" w:type="dxa"/>
            <w:vAlign w:val="bottom"/>
          </w:tcPr>
          <w:p>
            <w:pPr>
              <w:jc w:val="center"/>
              <w:ind w:left="490"/>
              <w:spacing w:after="0"/>
              <w:rPr>
                <w:sz w:val="20"/>
                <w:szCs w:val="20"/>
                <w:color w:val="auto"/>
              </w:rPr>
            </w:pPr>
            <w:r>
              <w:rPr>
                <w:rFonts w:ascii="Arial" w:cs="Arial" w:eastAsia="Arial" w:hAnsi="Arial"/>
                <w:sz w:val="18"/>
                <w:szCs w:val="18"/>
                <w:color w:val="auto"/>
              </w:rPr>
              <w:t>16,300</w:t>
            </w:r>
          </w:p>
        </w:tc>
        <w:tc>
          <w:tcPr>
            <w:tcW w:w="820" w:type="dxa"/>
            <w:vAlign w:val="bottom"/>
          </w:tcPr>
          <w:p>
            <w:pPr>
              <w:jc w:val="center"/>
              <w:ind w:right="150"/>
              <w:spacing w:after="0"/>
              <w:rPr>
                <w:sz w:val="20"/>
                <w:szCs w:val="20"/>
                <w:color w:val="auto"/>
              </w:rPr>
            </w:pPr>
            <w:r>
              <w:rPr>
                <w:rFonts w:ascii="Arial" w:cs="Arial" w:eastAsia="Arial" w:hAnsi="Arial"/>
                <w:sz w:val="18"/>
                <w:szCs w:val="18"/>
                <w:color w:val="auto"/>
                <w:w w:val="99"/>
              </w:rPr>
              <w:t>408</w:t>
            </w:r>
          </w:p>
        </w:tc>
        <w:tc>
          <w:tcPr>
            <w:tcW w:w="1520" w:type="dxa"/>
            <w:vAlign w:val="bottom"/>
          </w:tcPr>
          <w:p>
            <w:pPr>
              <w:jc w:val="center"/>
              <w:ind w:left="1170"/>
              <w:spacing w:after="0"/>
              <w:rPr>
                <w:sz w:val="20"/>
                <w:szCs w:val="20"/>
                <w:color w:val="auto"/>
              </w:rPr>
            </w:pPr>
            <w:r>
              <w:rPr>
                <w:rFonts w:ascii="Arial" w:cs="Arial" w:eastAsia="Arial" w:hAnsi="Arial"/>
                <w:sz w:val="18"/>
                <w:szCs w:val="18"/>
                <w:color w:val="auto"/>
                <w:w w:val="99"/>
              </w:rPr>
              <w:t>8%</w:t>
            </w:r>
          </w:p>
        </w:tc>
        <w:tc>
          <w:tcPr>
            <w:tcW w:w="500" w:type="dxa"/>
            <w:vAlign w:val="bottom"/>
          </w:tcPr>
          <w:p>
            <w:pPr>
              <w:spacing w:after="0"/>
              <w:rPr>
                <w:sz w:val="24"/>
                <w:szCs w:val="24"/>
                <w:color w:val="auto"/>
              </w:rPr>
            </w:pPr>
          </w:p>
        </w:tc>
      </w:tr>
      <w:tr>
        <w:trPr>
          <w:trHeight w:val="387"/>
        </w:trPr>
        <w:tc>
          <w:tcPr>
            <w:tcW w:w="4460" w:type="dxa"/>
            <w:vAlign w:val="bottom"/>
          </w:tcPr>
          <w:p>
            <w:pPr>
              <w:ind w:left="200"/>
              <w:spacing w:after="0"/>
              <w:rPr>
                <w:sz w:val="20"/>
                <w:szCs w:val="20"/>
                <w:color w:val="auto"/>
              </w:rPr>
            </w:pPr>
            <w:r>
              <w:rPr>
                <w:rFonts w:ascii="Arial" w:cs="Arial" w:eastAsia="Arial" w:hAnsi="Arial"/>
                <w:sz w:val="18"/>
                <w:szCs w:val="18"/>
                <w:color w:val="auto"/>
              </w:rPr>
              <w:t>Electric Power</w:t>
            </w:r>
          </w:p>
        </w:tc>
        <w:tc>
          <w:tcPr>
            <w:tcW w:w="2260" w:type="dxa"/>
            <w:vAlign w:val="bottom"/>
          </w:tcPr>
          <w:p>
            <w:pPr>
              <w:jc w:val="center"/>
              <w:ind w:left="490"/>
              <w:spacing w:after="0"/>
              <w:rPr>
                <w:sz w:val="20"/>
                <w:szCs w:val="20"/>
                <w:color w:val="auto"/>
              </w:rPr>
            </w:pPr>
            <w:r>
              <w:rPr>
                <w:rFonts w:ascii="Arial" w:cs="Arial" w:eastAsia="Arial" w:hAnsi="Arial"/>
                <w:sz w:val="18"/>
                <w:szCs w:val="18"/>
                <w:color w:val="auto"/>
                <w:w w:val="97"/>
              </w:rPr>
              <w:t>7,362</w:t>
            </w:r>
          </w:p>
        </w:tc>
        <w:tc>
          <w:tcPr>
            <w:tcW w:w="820" w:type="dxa"/>
            <w:vAlign w:val="bottom"/>
          </w:tcPr>
          <w:p>
            <w:pPr>
              <w:jc w:val="center"/>
              <w:ind w:right="150"/>
              <w:spacing w:after="0"/>
              <w:rPr>
                <w:sz w:val="20"/>
                <w:szCs w:val="20"/>
                <w:color w:val="auto"/>
              </w:rPr>
            </w:pPr>
            <w:r>
              <w:rPr>
                <w:rFonts w:ascii="Arial" w:cs="Arial" w:eastAsia="Arial" w:hAnsi="Arial"/>
                <w:sz w:val="18"/>
                <w:szCs w:val="18"/>
                <w:color w:val="auto"/>
                <w:w w:val="99"/>
              </w:rPr>
              <w:t>184</w:t>
            </w:r>
          </w:p>
        </w:tc>
        <w:tc>
          <w:tcPr>
            <w:tcW w:w="1520" w:type="dxa"/>
            <w:vAlign w:val="bottom"/>
          </w:tcPr>
          <w:p>
            <w:pPr>
              <w:jc w:val="center"/>
              <w:ind w:left="1170"/>
              <w:spacing w:after="0"/>
              <w:rPr>
                <w:sz w:val="20"/>
                <w:szCs w:val="20"/>
                <w:color w:val="auto"/>
              </w:rPr>
            </w:pPr>
            <w:r>
              <w:rPr>
                <w:rFonts w:ascii="Arial" w:cs="Arial" w:eastAsia="Arial" w:hAnsi="Arial"/>
                <w:sz w:val="18"/>
                <w:szCs w:val="18"/>
                <w:color w:val="auto"/>
                <w:w w:val="99"/>
              </w:rPr>
              <w:t>3%</w:t>
            </w:r>
          </w:p>
        </w:tc>
        <w:tc>
          <w:tcPr>
            <w:tcW w:w="500" w:type="dxa"/>
            <w:vAlign w:val="bottom"/>
          </w:tcPr>
          <w:p>
            <w:pPr>
              <w:spacing w:after="0"/>
              <w:rPr>
                <w:sz w:val="24"/>
                <w:szCs w:val="24"/>
                <w:color w:val="auto"/>
              </w:rPr>
            </w:pPr>
          </w:p>
        </w:tc>
      </w:tr>
      <w:tr>
        <w:trPr>
          <w:trHeight w:val="387"/>
        </w:trPr>
        <w:tc>
          <w:tcPr>
            <w:tcW w:w="4460" w:type="dxa"/>
            <w:vAlign w:val="bottom"/>
          </w:tcPr>
          <w:p>
            <w:pPr>
              <w:ind w:left="200"/>
              <w:spacing w:after="0"/>
              <w:rPr>
                <w:sz w:val="20"/>
                <w:szCs w:val="20"/>
                <w:color w:val="auto"/>
              </w:rPr>
            </w:pPr>
            <w:r>
              <w:rPr>
                <w:rFonts w:ascii="Arial" w:cs="Arial" w:eastAsia="Arial" w:hAnsi="Arial"/>
                <w:sz w:val="18"/>
                <w:szCs w:val="18"/>
                <w:color w:val="auto"/>
              </w:rPr>
              <w:t>Pond Harvesting &amp; Tailing Management</w:t>
            </w:r>
          </w:p>
        </w:tc>
        <w:tc>
          <w:tcPr>
            <w:tcW w:w="2260" w:type="dxa"/>
            <w:vAlign w:val="bottom"/>
          </w:tcPr>
          <w:p>
            <w:pPr>
              <w:jc w:val="center"/>
              <w:ind w:left="490"/>
              <w:spacing w:after="0"/>
              <w:rPr>
                <w:sz w:val="20"/>
                <w:szCs w:val="20"/>
                <w:color w:val="auto"/>
              </w:rPr>
            </w:pPr>
            <w:r>
              <w:rPr>
                <w:rFonts w:ascii="Arial" w:cs="Arial" w:eastAsia="Arial" w:hAnsi="Arial"/>
                <w:sz w:val="18"/>
                <w:szCs w:val="18"/>
                <w:color w:val="auto"/>
              </w:rPr>
              <w:t>20,259</w:t>
            </w:r>
          </w:p>
        </w:tc>
        <w:tc>
          <w:tcPr>
            <w:tcW w:w="820" w:type="dxa"/>
            <w:vAlign w:val="bottom"/>
          </w:tcPr>
          <w:p>
            <w:pPr>
              <w:jc w:val="center"/>
              <w:ind w:right="150"/>
              <w:spacing w:after="0"/>
              <w:rPr>
                <w:sz w:val="20"/>
                <w:szCs w:val="20"/>
                <w:color w:val="auto"/>
              </w:rPr>
            </w:pPr>
            <w:r>
              <w:rPr>
                <w:rFonts w:ascii="Arial" w:cs="Arial" w:eastAsia="Arial" w:hAnsi="Arial"/>
                <w:sz w:val="18"/>
                <w:szCs w:val="18"/>
                <w:color w:val="auto"/>
                <w:w w:val="99"/>
              </w:rPr>
              <w:t>506</w:t>
            </w:r>
          </w:p>
        </w:tc>
        <w:tc>
          <w:tcPr>
            <w:tcW w:w="1520" w:type="dxa"/>
            <w:vAlign w:val="bottom"/>
          </w:tcPr>
          <w:p>
            <w:pPr>
              <w:jc w:val="center"/>
              <w:ind w:left="1170"/>
              <w:spacing w:after="0"/>
              <w:rPr>
                <w:sz w:val="20"/>
                <w:szCs w:val="20"/>
                <w:color w:val="auto"/>
              </w:rPr>
            </w:pPr>
            <w:r>
              <w:rPr>
                <w:rFonts w:ascii="Arial" w:cs="Arial" w:eastAsia="Arial" w:hAnsi="Arial"/>
                <w:sz w:val="18"/>
                <w:szCs w:val="18"/>
                <w:color w:val="auto"/>
                <w:w w:val="99"/>
              </w:rPr>
              <w:t>9%</w:t>
            </w:r>
          </w:p>
        </w:tc>
        <w:tc>
          <w:tcPr>
            <w:tcW w:w="500" w:type="dxa"/>
            <w:vAlign w:val="bottom"/>
          </w:tcPr>
          <w:p>
            <w:pPr>
              <w:spacing w:after="0"/>
              <w:rPr>
                <w:sz w:val="24"/>
                <w:szCs w:val="24"/>
                <w:color w:val="auto"/>
              </w:rPr>
            </w:pPr>
          </w:p>
        </w:tc>
      </w:tr>
      <w:tr>
        <w:trPr>
          <w:trHeight w:val="387"/>
        </w:trPr>
        <w:tc>
          <w:tcPr>
            <w:tcW w:w="4460" w:type="dxa"/>
            <w:vAlign w:val="bottom"/>
          </w:tcPr>
          <w:p>
            <w:pPr>
              <w:ind w:left="200"/>
              <w:spacing w:after="0"/>
              <w:rPr>
                <w:sz w:val="20"/>
                <w:szCs w:val="20"/>
                <w:color w:val="auto"/>
              </w:rPr>
            </w:pPr>
            <w:r>
              <w:rPr>
                <w:rFonts w:ascii="Arial" w:cs="Arial" w:eastAsia="Arial" w:hAnsi="Arial"/>
                <w:sz w:val="18"/>
                <w:szCs w:val="18"/>
                <w:color w:val="auto"/>
              </w:rPr>
              <w:t>Solid Waste Management (Rises)</w:t>
            </w:r>
          </w:p>
        </w:tc>
        <w:tc>
          <w:tcPr>
            <w:tcW w:w="2260" w:type="dxa"/>
            <w:vAlign w:val="bottom"/>
          </w:tcPr>
          <w:p>
            <w:pPr>
              <w:jc w:val="center"/>
              <w:ind w:left="1610"/>
              <w:spacing w:after="0"/>
              <w:rPr>
                <w:sz w:val="20"/>
                <w:szCs w:val="20"/>
                <w:color w:val="auto"/>
              </w:rPr>
            </w:pPr>
            <w:r>
              <w:rPr>
                <w:rFonts w:ascii="Arial" w:cs="Arial" w:eastAsia="Arial" w:hAnsi="Arial"/>
                <w:sz w:val="18"/>
                <w:szCs w:val="18"/>
                <w:color w:val="auto"/>
                <w:w w:val="97"/>
              </w:rPr>
              <w:t>6,933</w:t>
            </w:r>
          </w:p>
        </w:tc>
        <w:tc>
          <w:tcPr>
            <w:tcW w:w="820" w:type="dxa"/>
            <w:vAlign w:val="bottom"/>
          </w:tcPr>
          <w:p>
            <w:pPr>
              <w:spacing w:after="0"/>
              <w:rPr>
                <w:sz w:val="24"/>
                <w:szCs w:val="24"/>
                <w:color w:val="auto"/>
              </w:rPr>
            </w:pPr>
          </w:p>
        </w:tc>
        <w:tc>
          <w:tcPr>
            <w:tcW w:w="1520" w:type="dxa"/>
            <w:vAlign w:val="bottom"/>
          </w:tcPr>
          <w:p>
            <w:pPr>
              <w:jc w:val="center"/>
              <w:ind w:left="50"/>
              <w:spacing w:after="0"/>
              <w:rPr>
                <w:sz w:val="20"/>
                <w:szCs w:val="20"/>
                <w:color w:val="auto"/>
              </w:rPr>
            </w:pPr>
            <w:r>
              <w:rPr>
                <w:rFonts w:ascii="Arial" w:cs="Arial" w:eastAsia="Arial" w:hAnsi="Arial"/>
                <w:sz w:val="18"/>
                <w:szCs w:val="18"/>
                <w:color w:val="auto"/>
                <w:w w:val="99"/>
              </w:rPr>
              <w:t>173</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87"/>
        </w:trPr>
        <w:tc>
          <w:tcPr>
            <w:tcW w:w="4460" w:type="dxa"/>
            <w:vAlign w:val="bottom"/>
          </w:tcPr>
          <w:p>
            <w:pPr>
              <w:ind w:left="200"/>
              <w:spacing w:after="0"/>
              <w:rPr>
                <w:sz w:val="20"/>
                <w:szCs w:val="20"/>
                <w:color w:val="auto"/>
              </w:rPr>
            </w:pPr>
            <w:r>
              <w:rPr>
                <w:rFonts w:ascii="Arial" w:cs="Arial" w:eastAsia="Arial" w:hAnsi="Arial"/>
                <w:sz w:val="18"/>
                <w:szCs w:val="18"/>
                <w:color w:val="auto"/>
              </w:rPr>
              <w:t>Water Treatment System</w:t>
            </w:r>
          </w:p>
        </w:tc>
        <w:tc>
          <w:tcPr>
            <w:tcW w:w="2260" w:type="dxa"/>
            <w:vAlign w:val="bottom"/>
          </w:tcPr>
          <w:p>
            <w:pPr>
              <w:jc w:val="center"/>
              <w:ind w:left="1630"/>
              <w:spacing w:after="0"/>
              <w:rPr>
                <w:sz w:val="20"/>
                <w:szCs w:val="20"/>
                <w:color w:val="auto"/>
              </w:rPr>
            </w:pPr>
            <w:r>
              <w:rPr>
                <w:rFonts w:ascii="Arial" w:cs="Arial" w:eastAsia="Arial" w:hAnsi="Arial"/>
                <w:sz w:val="18"/>
                <w:szCs w:val="18"/>
                <w:color w:val="auto"/>
                <w:w w:val="99"/>
              </w:rPr>
              <w:t>0</w:t>
            </w:r>
          </w:p>
        </w:tc>
        <w:tc>
          <w:tcPr>
            <w:tcW w:w="820" w:type="dxa"/>
            <w:vAlign w:val="bottom"/>
          </w:tcPr>
          <w:p>
            <w:pPr>
              <w:spacing w:after="0"/>
              <w:rPr>
                <w:sz w:val="24"/>
                <w:szCs w:val="24"/>
                <w:color w:val="auto"/>
              </w:rPr>
            </w:pPr>
          </w:p>
        </w:tc>
        <w:tc>
          <w:tcPr>
            <w:tcW w:w="1520" w:type="dxa"/>
            <w:vAlign w:val="bottom"/>
          </w:tcPr>
          <w:p>
            <w:pPr>
              <w:jc w:val="center"/>
              <w:ind w:left="50"/>
              <w:spacing w:after="0"/>
              <w:rPr>
                <w:sz w:val="20"/>
                <w:szCs w:val="20"/>
                <w:color w:val="auto"/>
              </w:rPr>
            </w:pPr>
            <w:r>
              <w:rPr>
                <w:rFonts w:ascii="Arial" w:cs="Arial" w:eastAsia="Arial" w:hAnsi="Arial"/>
                <w:sz w:val="18"/>
                <w:szCs w:val="18"/>
                <w:color w:val="auto"/>
                <w:w w:val="99"/>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87"/>
        </w:trPr>
        <w:tc>
          <w:tcPr>
            <w:tcW w:w="4460" w:type="dxa"/>
            <w:vAlign w:val="bottom"/>
          </w:tcPr>
          <w:p>
            <w:pPr>
              <w:ind w:left="200"/>
              <w:spacing w:after="0"/>
              <w:rPr>
                <w:sz w:val="20"/>
                <w:szCs w:val="20"/>
                <w:color w:val="auto"/>
              </w:rPr>
            </w:pPr>
            <w:r>
              <w:rPr>
                <w:rFonts w:ascii="Arial" w:cs="Arial" w:eastAsia="Arial" w:hAnsi="Arial"/>
                <w:sz w:val="18"/>
                <w:szCs w:val="18"/>
                <w:color w:val="auto"/>
              </w:rPr>
              <w:t>Natural Gas</w:t>
            </w:r>
          </w:p>
        </w:tc>
        <w:tc>
          <w:tcPr>
            <w:tcW w:w="2260" w:type="dxa"/>
            <w:vAlign w:val="bottom"/>
          </w:tcPr>
          <w:p>
            <w:pPr>
              <w:jc w:val="center"/>
              <w:ind w:left="490"/>
              <w:spacing w:after="0"/>
              <w:rPr>
                <w:sz w:val="20"/>
                <w:szCs w:val="20"/>
                <w:color w:val="auto"/>
              </w:rPr>
            </w:pPr>
            <w:r>
              <w:rPr>
                <w:rFonts w:ascii="Arial" w:cs="Arial" w:eastAsia="Arial" w:hAnsi="Arial"/>
                <w:sz w:val="18"/>
                <w:szCs w:val="18"/>
                <w:color w:val="auto"/>
                <w:w w:val="97"/>
              </w:rPr>
              <w:t>4,567</w:t>
            </w:r>
          </w:p>
        </w:tc>
        <w:tc>
          <w:tcPr>
            <w:tcW w:w="820" w:type="dxa"/>
            <w:vAlign w:val="bottom"/>
          </w:tcPr>
          <w:p>
            <w:pPr>
              <w:jc w:val="center"/>
              <w:ind w:right="150"/>
              <w:spacing w:after="0"/>
              <w:rPr>
                <w:sz w:val="20"/>
                <w:szCs w:val="20"/>
                <w:color w:val="auto"/>
              </w:rPr>
            </w:pPr>
            <w:r>
              <w:rPr>
                <w:rFonts w:ascii="Arial" w:cs="Arial" w:eastAsia="Arial" w:hAnsi="Arial"/>
                <w:sz w:val="18"/>
                <w:szCs w:val="18"/>
                <w:color w:val="auto"/>
                <w:w w:val="99"/>
              </w:rPr>
              <w:t>114</w:t>
            </w:r>
          </w:p>
        </w:tc>
        <w:tc>
          <w:tcPr>
            <w:tcW w:w="1520" w:type="dxa"/>
            <w:vAlign w:val="bottom"/>
          </w:tcPr>
          <w:p>
            <w:pPr>
              <w:jc w:val="center"/>
              <w:ind w:left="1170"/>
              <w:spacing w:after="0"/>
              <w:rPr>
                <w:sz w:val="20"/>
                <w:szCs w:val="20"/>
                <w:color w:val="auto"/>
              </w:rPr>
            </w:pPr>
            <w:r>
              <w:rPr>
                <w:rFonts w:ascii="Arial" w:cs="Arial" w:eastAsia="Arial" w:hAnsi="Arial"/>
                <w:sz w:val="18"/>
                <w:szCs w:val="18"/>
                <w:color w:val="auto"/>
                <w:w w:val="99"/>
              </w:rPr>
              <w:t>2%</w:t>
            </w:r>
          </w:p>
        </w:tc>
        <w:tc>
          <w:tcPr>
            <w:tcW w:w="500" w:type="dxa"/>
            <w:vAlign w:val="bottom"/>
          </w:tcPr>
          <w:p>
            <w:pPr>
              <w:spacing w:after="0"/>
              <w:rPr>
                <w:sz w:val="24"/>
                <w:szCs w:val="24"/>
                <w:color w:val="auto"/>
              </w:rPr>
            </w:pPr>
          </w:p>
        </w:tc>
      </w:tr>
      <w:tr>
        <w:trPr>
          <w:trHeight w:val="387"/>
        </w:trPr>
        <w:tc>
          <w:tcPr>
            <w:tcW w:w="4460" w:type="dxa"/>
            <w:vAlign w:val="bottom"/>
          </w:tcPr>
          <w:p>
            <w:pPr>
              <w:ind w:left="200"/>
              <w:spacing w:after="0"/>
              <w:rPr>
                <w:sz w:val="20"/>
                <w:szCs w:val="20"/>
                <w:color w:val="auto"/>
              </w:rPr>
            </w:pPr>
            <w:r>
              <w:rPr>
                <w:rFonts w:ascii="Arial" w:cs="Arial" w:eastAsia="Arial" w:hAnsi="Arial"/>
                <w:sz w:val="18"/>
                <w:szCs w:val="18"/>
                <w:color w:val="auto"/>
              </w:rPr>
              <w:t>Manpower</w:t>
            </w:r>
          </w:p>
        </w:tc>
        <w:tc>
          <w:tcPr>
            <w:tcW w:w="2260" w:type="dxa"/>
            <w:vAlign w:val="bottom"/>
          </w:tcPr>
          <w:p>
            <w:pPr>
              <w:jc w:val="center"/>
              <w:ind w:left="490"/>
              <w:spacing w:after="0"/>
              <w:rPr>
                <w:sz w:val="20"/>
                <w:szCs w:val="20"/>
                <w:color w:val="auto"/>
              </w:rPr>
            </w:pPr>
            <w:r>
              <w:rPr>
                <w:rFonts w:ascii="Arial" w:cs="Arial" w:eastAsia="Arial" w:hAnsi="Arial"/>
                <w:sz w:val="18"/>
                <w:szCs w:val="18"/>
                <w:color w:val="auto"/>
              </w:rPr>
              <w:t>31,823</w:t>
            </w:r>
          </w:p>
        </w:tc>
        <w:tc>
          <w:tcPr>
            <w:tcW w:w="820" w:type="dxa"/>
            <w:vAlign w:val="bottom"/>
          </w:tcPr>
          <w:p>
            <w:pPr>
              <w:jc w:val="center"/>
              <w:ind w:right="150"/>
              <w:spacing w:after="0"/>
              <w:rPr>
                <w:sz w:val="20"/>
                <w:szCs w:val="20"/>
                <w:color w:val="auto"/>
              </w:rPr>
            </w:pPr>
            <w:r>
              <w:rPr>
                <w:rFonts w:ascii="Arial" w:cs="Arial" w:eastAsia="Arial" w:hAnsi="Arial"/>
                <w:sz w:val="18"/>
                <w:szCs w:val="18"/>
                <w:color w:val="auto"/>
                <w:w w:val="99"/>
              </w:rPr>
              <w:t>796</w:t>
            </w:r>
          </w:p>
        </w:tc>
        <w:tc>
          <w:tcPr>
            <w:tcW w:w="2020" w:type="dxa"/>
            <w:vAlign w:val="bottom"/>
            <w:gridSpan w:val="2"/>
          </w:tcPr>
          <w:p>
            <w:pPr>
              <w:jc w:val="center"/>
              <w:ind w:left="690"/>
              <w:spacing w:after="0"/>
              <w:rPr>
                <w:sz w:val="20"/>
                <w:szCs w:val="20"/>
                <w:color w:val="auto"/>
              </w:rPr>
            </w:pPr>
            <w:r>
              <w:rPr>
                <w:rFonts w:ascii="Arial" w:cs="Arial" w:eastAsia="Arial" w:hAnsi="Arial"/>
                <w:sz w:val="18"/>
                <w:szCs w:val="18"/>
                <w:color w:val="auto"/>
                <w:w w:val="99"/>
              </w:rPr>
              <w:t>15%</w:t>
            </w:r>
          </w:p>
        </w:tc>
      </w:tr>
      <w:tr>
        <w:trPr>
          <w:trHeight w:val="387"/>
        </w:trPr>
        <w:tc>
          <w:tcPr>
            <w:tcW w:w="4460" w:type="dxa"/>
            <w:vAlign w:val="bottom"/>
          </w:tcPr>
          <w:p>
            <w:pPr>
              <w:ind w:left="200"/>
              <w:spacing w:after="0"/>
              <w:rPr>
                <w:sz w:val="20"/>
                <w:szCs w:val="20"/>
                <w:color w:val="auto"/>
              </w:rPr>
            </w:pPr>
            <w:r>
              <w:rPr>
                <w:rFonts w:ascii="Arial" w:cs="Arial" w:eastAsia="Arial" w:hAnsi="Arial"/>
                <w:sz w:val="18"/>
                <w:szCs w:val="18"/>
                <w:color w:val="auto"/>
              </w:rPr>
              <w:t>Other personnel Expenses</w:t>
            </w:r>
          </w:p>
        </w:tc>
        <w:tc>
          <w:tcPr>
            <w:tcW w:w="2260" w:type="dxa"/>
            <w:vAlign w:val="bottom"/>
          </w:tcPr>
          <w:p>
            <w:pPr>
              <w:jc w:val="center"/>
              <w:ind w:left="1610"/>
              <w:spacing w:after="0"/>
              <w:rPr>
                <w:sz w:val="20"/>
                <w:szCs w:val="20"/>
                <w:color w:val="auto"/>
              </w:rPr>
            </w:pPr>
            <w:r>
              <w:rPr>
                <w:rFonts w:ascii="Arial" w:cs="Arial" w:eastAsia="Arial" w:hAnsi="Arial"/>
                <w:sz w:val="18"/>
                <w:szCs w:val="18"/>
                <w:color w:val="auto"/>
                <w:w w:val="97"/>
              </w:rPr>
              <w:t>2,516</w:t>
            </w:r>
          </w:p>
        </w:tc>
        <w:tc>
          <w:tcPr>
            <w:tcW w:w="820" w:type="dxa"/>
            <w:vAlign w:val="bottom"/>
          </w:tcPr>
          <w:p>
            <w:pPr>
              <w:spacing w:after="0"/>
              <w:rPr>
                <w:sz w:val="24"/>
                <w:szCs w:val="24"/>
                <w:color w:val="auto"/>
              </w:rPr>
            </w:pPr>
          </w:p>
        </w:tc>
        <w:tc>
          <w:tcPr>
            <w:tcW w:w="1520" w:type="dxa"/>
            <w:vAlign w:val="bottom"/>
          </w:tcPr>
          <w:p>
            <w:pPr>
              <w:jc w:val="center"/>
              <w:ind w:left="30"/>
              <w:spacing w:after="0"/>
              <w:rPr>
                <w:sz w:val="20"/>
                <w:szCs w:val="20"/>
                <w:color w:val="auto"/>
              </w:rPr>
            </w:pPr>
            <w:r>
              <w:rPr>
                <w:rFonts w:ascii="Arial" w:cs="Arial" w:eastAsia="Arial" w:hAnsi="Arial"/>
                <w:sz w:val="18"/>
                <w:szCs w:val="18"/>
                <w:color w:val="auto"/>
                <w:w w:val="99"/>
              </w:rPr>
              <w:t>63</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87"/>
        </w:trPr>
        <w:tc>
          <w:tcPr>
            <w:tcW w:w="4460" w:type="dxa"/>
            <w:vAlign w:val="bottom"/>
          </w:tcPr>
          <w:p>
            <w:pPr>
              <w:ind w:left="200"/>
              <w:spacing w:after="0"/>
              <w:rPr>
                <w:sz w:val="20"/>
                <w:szCs w:val="20"/>
                <w:color w:val="auto"/>
              </w:rPr>
            </w:pPr>
            <w:r>
              <w:rPr>
                <w:rFonts w:ascii="Arial" w:cs="Arial" w:eastAsia="Arial" w:hAnsi="Arial"/>
                <w:sz w:val="18"/>
                <w:szCs w:val="18"/>
                <w:color w:val="auto"/>
              </w:rPr>
              <w:t>Catering, Security &amp; Third-Party Services</w:t>
            </w:r>
          </w:p>
        </w:tc>
        <w:tc>
          <w:tcPr>
            <w:tcW w:w="2260" w:type="dxa"/>
            <w:vAlign w:val="bottom"/>
          </w:tcPr>
          <w:p>
            <w:pPr>
              <w:jc w:val="center"/>
              <w:ind w:left="490"/>
              <w:spacing w:after="0"/>
              <w:rPr>
                <w:sz w:val="20"/>
                <w:szCs w:val="20"/>
                <w:color w:val="auto"/>
              </w:rPr>
            </w:pPr>
            <w:r>
              <w:rPr>
                <w:rFonts w:ascii="Arial" w:cs="Arial" w:eastAsia="Arial" w:hAnsi="Arial"/>
                <w:sz w:val="18"/>
                <w:szCs w:val="18"/>
                <w:color w:val="auto"/>
              </w:rPr>
              <w:t>25,860</w:t>
            </w:r>
          </w:p>
        </w:tc>
        <w:tc>
          <w:tcPr>
            <w:tcW w:w="820" w:type="dxa"/>
            <w:vAlign w:val="bottom"/>
          </w:tcPr>
          <w:p>
            <w:pPr>
              <w:jc w:val="center"/>
              <w:ind w:right="150"/>
              <w:spacing w:after="0"/>
              <w:rPr>
                <w:sz w:val="20"/>
                <w:szCs w:val="20"/>
                <w:color w:val="auto"/>
              </w:rPr>
            </w:pPr>
            <w:r>
              <w:rPr>
                <w:rFonts w:ascii="Arial" w:cs="Arial" w:eastAsia="Arial" w:hAnsi="Arial"/>
                <w:sz w:val="18"/>
                <w:szCs w:val="18"/>
                <w:color w:val="auto"/>
                <w:w w:val="99"/>
              </w:rPr>
              <w:t>646</w:t>
            </w:r>
          </w:p>
        </w:tc>
        <w:tc>
          <w:tcPr>
            <w:tcW w:w="2020" w:type="dxa"/>
            <w:vAlign w:val="bottom"/>
            <w:gridSpan w:val="2"/>
          </w:tcPr>
          <w:p>
            <w:pPr>
              <w:jc w:val="center"/>
              <w:ind w:left="690"/>
              <w:spacing w:after="0"/>
              <w:rPr>
                <w:sz w:val="20"/>
                <w:szCs w:val="20"/>
                <w:color w:val="auto"/>
              </w:rPr>
            </w:pPr>
            <w:r>
              <w:rPr>
                <w:rFonts w:ascii="Arial" w:cs="Arial" w:eastAsia="Arial" w:hAnsi="Arial"/>
                <w:sz w:val="18"/>
                <w:szCs w:val="18"/>
                <w:color w:val="auto"/>
                <w:w w:val="99"/>
              </w:rPr>
              <w:t>12%</w:t>
            </w:r>
          </w:p>
        </w:tc>
      </w:tr>
      <w:tr>
        <w:trPr>
          <w:trHeight w:val="387"/>
        </w:trPr>
        <w:tc>
          <w:tcPr>
            <w:tcW w:w="4460" w:type="dxa"/>
            <w:vAlign w:val="bottom"/>
          </w:tcPr>
          <w:p>
            <w:pPr>
              <w:ind w:left="200"/>
              <w:spacing w:after="0"/>
              <w:rPr>
                <w:sz w:val="20"/>
                <w:szCs w:val="20"/>
                <w:color w:val="auto"/>
              </w:rPr>
            </w:pPr>
            <w:r>
              <w:rPr>
                <w:rFonts w:ascii="Arial" w:cs="Arial" w:eastAsia="Arial" w:hAnsi="Arial"/>
                <w:sz w:val="18"/>
                <w:szCs w:val="18"/>
                <w:color w:val="auto"/>
              </w:rPr>
              <w:t>Consumables</w:t>
            </w:r>
          </w:p>
        </w:tc>
        <w:tc>
          <w:tcPr>
            <w:tcW w:w="2260" w:type="dxa"/>
            <w:vAlign w:val="bottom"/>
          </w:tcPr>
          <w:p>
            <w:pPr>
              <w:jc w:val="center"/>
              <w:ind w:left="490"/>
              <w:spacing w:after="0"/>
              <w:rPr>
                <w:sz w:val="20"/>
                <w:szCs w:val="20"/>
                <w:color w:val="auto"/>
              </w:rPr>
            </w:pPr>
            <w:r>
              <w:rPr>
                <w:rFonts w:ascii="Arial" w:cs="Arial" w:eastAsia="Arial" w:hAnsi="Arial"/>
                <w:sz w:val="18"/>
                <w:szCs w:val="18"/>
                <w:color w:val="auto"/>
                <w:w w:val="97"/>
              </w:rPr>
              <w:t>4,226</w:t>
            </w:r>
          </w:p>
        </w:tc>
        <w:tc>
          <w:tcPr>
            <w:tcW w:w="820" w:type="dxa"/>
            <w:vAlign w:val="bottom"/>
          </w:tcPr>
          <w:p>
            <w:pPr>
              <w:jc w:val="center"/>
              <w:ind w:right="150"/>
              <w:spacing w:after="0"/>
              <w:rPr>
                <w:sz w:val="20"/>
                <w:szCs w:val="20"/>
                <w:color w:val="auto"/>
              </w:rPr>
            </w:pPr>
            <w:r>
              <w:rPr>
                <w:rFonts w:ascii="Arial" w:cs="Arial" w:eastAsia="Arial" w:hAnsi="Arial"/>
                <w:sz w:val="18"/>
                <w:szCs w:val="18"/>
                <w:color w:val="auto"/>
                <w:w w:val="99"/>
              </w:rPr>
              <w:t>106</w:t>
            </w:r>
          </w:p>
        </w:tc>
        <w:tc>
          <w:tcPr>
            <w:tcW w:w="1520" w:type="dxa"/>
            <w:vAlign w:val="bottom"/>
          </w:tcPr>
          <w:p>
            <w:pPr>
              <w:jc w:val="center"/>
              <w:ind w:left="1170"/>
              <w:spacing w:after="0"/>
              <w:rPr>
                <w:sz w:val="20"/>
                <w:szCs w:val="20"/>
                <w:color w:val="auto"/>
              </w:rPr>
            </w:pPr>
            <w:r>
              <w:rPr>
                <w:rFonts w:ascii="Arial" w:cs="Arial" w:eastAsia="Arial" w:hAnsi="Arial"/>
                <w:sz w:val="18"/>
                <w:szCs w:val="18"/>
                <w:color w:val="auto"/>
                <w:w w:val="99"/>
              </w:rPr>
              <w:t>2%</w:t>
            </w:r>
          </w:p>
        </w:tc>
        <w:tc>
          <w:tcPr>
            <w:tcW w:w="500" w:type="dxa"/>
            <w:vAlign w:val="bottom"/>
          </w:tcPr>
          <w:p>
            <w:pPr>
              <w:spacing w:after="0"/>
              <w:rPr>
                <w:sz w:val="24"/>
                <w:szCs w:val="24"/>
                <w:color w:val="auto"/>
              </w:rPr>
            </w:pPr>
          </w:p>
        </w:tc>
      </w:tr>
      <w:tr>
        <w:trPr>
          <w:trHeight w:val="387"/>
        </w:trPr>
        <w:tc>
          <w:tcPr>
            <w:tcW w:w="4460" w:type="dxa"/>
            <w:vAlign w:val="bottom"/>
          </w:tcPr>
          <w:p>
            <w:pPr>
              <w:ind w:left="200"/>
              <w:spacing w:after="0"/>
              <w:rPr>
                <w:sz w:val="20"/>
                <w:szCs w:val="20"/>
                <w:color w:val="auto"/>
              </w:rPr>
            </w:pPr>
            <w:r>
              <w:rPr>
                <w:rFonts w:ascii="Arial" w:cs="Arial" w:eastAsia="Arial" w:hAnsi="Arial"/>
                <w:sz w:val="18"/>
                <w:szCs w:val="18"/>
                <w:color w:val="auto"/>
              </w:rPr>
              <w:t>Diesel</w:t>
            </w:r>
          </w:p>
        </w:tc>
        <w:tc>
          <w:tcPr>
            <w:tcW w:w="2260" w:type="dxa"/>
            <w:vAlign w:val="bottom"/>
          </w:tcPr>
          <w:p>
            <w:pPr>
              <w:jc w:val="center"/>
              <w:ind w:left="510"/>
              <w:spacing w:after="0"/>
              <w:rPr>
                <w:sz w:val="20"/>
                <w:szCs w:val="20"/>
                <w:color w:val="auto"/>
              </w:rPr>
            </w:pPr>
            <w:r>
              <w:rPr>
                <w:rFonts w:ascii="Arial" w:cs="Arial" w:eastAsia="Arial" w:hAnsi="Arial"/>
                <w:sz w:val="18"/>
                <w:szCs w:val="18"/>
                <w:color w:val="auto"/>
                <w:w w:val="99"/>
              </w:rPr>
              <w:t>829</w:t>
            </w:r>
          </w:p>
        </w:tc>
        <w:tc>
          <w:tcPr>
            <w:tcW w:w="820" w:type="dxa"/>
            <w:vAlign w:val="bottom"/>
          </w:tcPr>
          <w:p>
            <w:pPr>
              <w:jc w:val="center"/>
              <w:ind w:right="170"/>
              <w:spacing w:after="0"/>
              <w:rPr>
                <w:sz w:val="20"/>
                <w:szCs w:val="20"/>
                <w:color w:val="auto"/>
              </w:rPr>
            </w:pPr>
            <w:r>
              <w:rPr>
                <w:rFonts w:ascii="Arial" w:cs="Arial" w:eastAsia="Arial" w:hAnsi="Arial"/>
                <w:sz w:val="18"/>
                <w:szCs w:val="18"/>
                <w:color w:val="auto"/>
                <w:w w:val="99"/>
              </w:rPr>
              <w:t>21</w:t>
            </w:r>
          </w:p>
        </w:tc>
        <w:tc>
          <w:tcPr>
            <w:tcW w:w="1520" w:type="dxa"/>
            <w:vAlign w:val="bottom"/>
          </w:tcPr>
          <w:p>
            <w:pPr>
              <w:jc w:val="center"/>
              <w:ind w:left="1170"/>
              <w:spacing w:after="0"/>
              <w:rPr>
                <w:sz w:val="20"/>
                <w:szCs w:val="20"/>
                <w:color w:val="auto"/>
              </w:rPr>
            </w:pPr>
            <w:r>
              <w:rPr>
                <w:rFonts w:ascii="Arial" w:cs="Arial" w:eastAsia="Arial" w:hAnsi="Arial"/>
                <w:sz w:val="18"/>
                <w:szCs w:val="18"/>
                <w:color w:val="auto"/>
                <w:w w:val="99"/>
              </w:rPr>
              <w:t>0%</w:t>
            </w:r>
          </w:p>
        </w:tc>
        <w:tc>
          <w:tcPr>
            <w:tcW w:w="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-3751580</wp:posOffset>
            </wp:positionV>
            <wp:extent cx="6078220" cy="37814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8">
                      <a:extLst>
                        <a:ext uri="{28A0092B-C50C-407E-A947-70E740481C1C}"/>
                      </a:extLst>
                    </a:blip>
                    <a:srcRect/>
                    <a:stretch>
                      <a:fillRect/>
                    </a:stretch>
                  </pic:blipFill>
                  <pic:spPr bwMode="auto">
                    <a:xfrm>
                      <a:off x="0" y="0"/>
                      <a:ext cx="6078220" cy="378142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13 / 25</w:t>
      </w:r>
    </w:p>
    <w:p>
      <w:pPr>
        <w:sectPr>
          <w:pgSz w:w="11900" w:h="16838" w:orient="portrait"/>
          <w:cols w:equalWidth="0" w:num="1">
            <w:col w:w="10460"/>
          </w:cols>
          <w:pgMar w:left="1440" w:top="1440" w:right="6" w:bottom="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52"/>
        </w:trPr>
        <w:tc>
          <w:tcPr>
            <w:tcW w:w="1080" w:type="dxa"/>
            <w:vAlign w:val="bottom"/>
          </w:tcPr>
          <w:p>
            <w:pPr>
              <w:spacing w:after="0"/>
              <w:rPr>
                <w:sz w:val="21"/>
                <w:szCs w:val="21"/>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Bus-In / Bus-Out Transportation</w:t>
            </w:r>
          </w:p>
        </w:tc>
        <w:tc>
          <w:tcPr>
            <w:tcW w:w="2640" w:type="dxa"/>
            <w:vAlign w:val="bottom"/>
          </w:tcPr>
          <w:p>
            <w:pPr>
              <w:jc w:val="center"/>
              <w:ind w:left="770"/>
              <w:spacing w:after="0"/>
              <w:rPr>
                <w:sz w:val="20"/>
                <w:szCs w:val="20"/>
                <w:color w:val="auto"/>
              </w:rPr>
            </w:pPr>
            <w:r>
              <w:rPr>
                <w:rFonts w:ascii="Arial" w:cs="Arial" w:eastAsia="Arial" w:hAnsi="Arial"/>
                <w:sz w:val="18"/>
                <w:szCs w:val="18"/>
                <w:color w:val="auto"/>
                <w:w w:val="99"/>
              </w:rPr>
              <w:t>938</w:t>
            </w:r>
          </w:p>
        </w:tc>
        <w:tc>
          <w:tcPr>
            <w:tcW w:w="900" w:type="dxa"/>
            <w:vAlign w:val="bottom"/>
          </w:tcPr>
          <w:p>
            <w:pPr>
              <w:jc w:val="center"/>
              <w:ind w:right="370"/>
              <w:spacing w:after="0"/>
              <w:rPr>
                <w:sz w:val="20"/>
                <w:szCs w:val="20"/>
                <w:color w:val="auto"/>
              </w:rPr>
            </w:pPr>
            <w:r>
              <w:rPr>
                <w:rFonts w:ascii="Arial" w:cs="Arial" w:eastAsia="Arial" w:hAnsi="Arial"/>
                <w:sz w:val="18"/>
                <w:szCs w:val="18"/>
                <w:color w:val="auto"/>
                <w:w w:val="99"/>
              </w:rPr>
              <w:t>23</w:t>
            </w:r>
          </w:p>
        </w:tc>
        <w:tc>
          <w:tcPr>
            <w:tcW w:w="1000" w:type="dxa"/>
            <w:vAlign w:val="bottom"/>
          </w:tcPr>
          <w:p>
            <w:pPr>
              <w:spacing w:after="0"/>
              <w:rPr>
                <w:sz w:val="21"/>
                <w:szCs w:val="21"/>
                <w:color w:val="auto"/>
              </w:rPr>
            </w:pPr>
          </w:p>
        </w:tc>
        <w:tc>
          <w:tcPr>
            <w:tcW w:w="880" w:type="dxa"/>
            <w:vAlign w:val="bottom"/>
          </w:tcPr>
          <w:p>
            <w:pPr>
              <w:jc w:val="center"/>
              <w:ind w:right="290"/>
              <w:spacing w:after="0"/>
              <w:rPr>
                <w:sz w:val="20"/>
                <w:szCs w:val="20"/>
                <w:color w:val="auto"/>
              </w:rPr>
            </w:pPr>
            <w:r>
              <w:rPr>
                <w:rFonts w:ascii="Arial" w:cs="Arial" w:eastAsia="Arial" w:hAnsi="Arial"/>
                <w:sz w:val="18"/>
                <w:szCs w:val="18"/>
                <w:color w:val="auto"/>
                <w:w w:val="99"/>
              </w:rPr>
              <w:t>0%</w:t>
            </w:r>
          </w:p>
        </w:tc>
      </w:tr>
      <w:tr>
        <w:trPr>
          <w:trHeight w:val="387"/>
        </w:trPr>
        <w:tc>
          <w:tcPr>
            <w:tcW w:w="1080" w:type="dxa"/>
            <w:vAlign w:val="bottom"/>
          </w:tcPr>
          <w:p>
            <w:pPr>
              <w:spacing w:after="0"/>
              <w:rPr>
                <w:sz w:val="24"/>
                <w:szCs w:val="24"/>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Direct Costs Subtotal</w:t>
            </w:r>
          </w:p>
        </w:tc>
        <w:tc>
          <w:tcPr>
            <w:tcW w:w="2640" w:type="dxa"/>
            <w:vAlign w:val="bottom"/>
          </w:tcPr>
          <w:p>
            <w:pPr>
              <w:jc w:val="center"/>
              <w:ind w:left="750"/>
              <w:spacing w:after="0"/>
              <w:rPr>
                <w:sz w:val="20"/>
                <w:szCs w:val="20"/>
                <w:color w:val="auto"/>
              </w:rPr>
            </w:pPr>
            <w:r>
              <w:rPr>
                <w:rFonts w:ascii="Arial" w:cs="Arial" w:eastAsia="Arial" w:hAnsi="Arial"/>
                <w:sz w:val="18"/>
                <w:szCs w:val="18"/>
                <w:b w:val="1"/>
                <w:bCs w:val="1"/>
                <w:color w:val="auto"/>
                <w:w w:val="98"/>
              </w:rPr>
              <w:t>200,598</w:t>
            </w:r>
          </w:p>
        </w:tc>
        <w:tc>
          <w:tcPr>
            <w:tcW w:w="900" w:type="dxa"/>
            <w:vAlign w:val="bottom"/>
          </w:tcPr>
          <w:p>
            <w:pPr>
              <w:jc w:val="center"/>
              <w:ind w:right="370"/>
              <w:spacing w:after="0"/>
              <w:rPr>
                <w:sz w:val="20"/>
                <w:szCs w:val="20"/>
                <w:color w:val="auto"/>
              </w:rPr>
            </w:pPr>
            <w:r>
              <w:rPr>
                <w:rFonts w:ascii="Arial" w:cs="Arial" w:eastAsia="Arial" w:hAnsi="Arial"/>
                <w:sz w:val="18"/>
                <w:szCs w:val="18"/>
                <w:b w:val="1"/>
                <w:bCs w:val="1"/>
                <w:color w:val="auto"/>
                <w:w w:val="97"/>
              </w:rPr>
              <w:t>5,015</w:t>
            </w:r>
          </w:p>
        </w:tc>
        <w:tc>
          <w:tcPr>
            <w:tcW w:w="1000" w:type="dxa"/>
            <w:vAlign w:val="bottom"/>
          </w:tcPr>
          <w:p>
            <w:pPr>
              <w:spacing w:after="0"/>
              <w:rPr>
                <w:sz w:val="24"/>
                <w:szCs w:val="24"/>
                <w:color w:val="auto"/>
              </w:rPr>
            </w:pPr>
          </w:p>
        </w:tc>
        <w:tc>
          <w:tcPr>
            <w:tcW w:w="88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93%</w:t>
            </w:r>
          </w:p>
        </w:tc>
      </w:tr>
      <w:tr>
        <w:trPr>
          <w:trHeight w:val="46"/>
        </w:trPr>
        <w:tc>
          <w:tcPr>
            <w:tcW w:w="1080" w:type="dxa"/>
            <w:vAlign w:val="bottom"/>
          </w:tcPr>
          <w:p>
            <w:pPr>
              <w:spacing w:after="0"/>
              <w:rPr>
                <w:sz w:val="4"/>
                <w:szCs w:val="4"/>
                <w:color w:val="auto"/>
              </w:rPr>
            </w:pPr>
          </w:p>
        </w:tc>
        <w:tc>
          <w:tcPr>
            <w:tcW w:w="4140" w:type="dxa"/>
            <w:vAlign w:val="bottom"/>
          </w:tcPr>
          <w:p>
            <w:pPr>
              <w:spacing w:after="0"/>
              <w:rPr>
                <w:sz w:val="4"/>
                <w:szCs w:val="4"/>
                <w:color w:val="auto"/>
              </w:rPr>
            </w:pPr>
          </w:p>
        </w:tc>
        <w:tc>
          <w:tcPr>
            <w:tcW w:w="2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95"/>
        </w:trPr>
        <w:tc>
          <w:tcPr>
            <w:tcW w:w="1080" w:type="dxa"/>
            <w:vAlign w:val="bottom"/>
          </w:tcPr>
          <w:p>
            <w:pPr>
              <w:spacing w:after="0"/>
              <w:rPr>
                <w:sz w:val="24"/>
                <w:szCs w:val="24"/>
                <w:color w:val="auto"/>
              </w:rPr>
            </w:pPr>
          </w:p>
        </w:tc>
        <w:tc>
          <w:tcPr>
            <w:tcW w:w="4140" w:type="dxa"/>
            <w:vAlign w:val="bottom"/>
            <w:shd w:val="clear" w:color="auto" w:fill="D9D9D9"/>
          </w:tcPr>
          <w:p>
            <w:pPr>
              <w:ind w:left="200"/>
              <w:spacing w:after="0"/>
              <w:rPr>
                <w:sz w:val="20"/>
                <w:szCs w:val="20"/>
                <w:color w:val="auto"/>
              </w:rPr>
            </w:pPr>
            <w:r>
              <w:rPr>
                <w:rFonts w:ascii="Arial" w:cs="Arial" w:eastAsia="Arial" w:hAnsi="Arial"/>
                <w:sz w:val="18"/>
                <w:szCs w:val="18"/>
                <w:b w:val="1"/>
                <w:bCs w:val="1"/>
                <w:color w:val="auto"/>
              </w:rPr>
              <w:t>Indirect Costs</w:t>
            </w:r>
          </w:p>
        </w:tc>
        <w:tc>
          <w:tcPr>
            <w:tcW w:w="2640" w:type="dxa"/>
            <w:vAlign w:val="bottom"/>
            <w:shd w:val="clear" w:color="auto" w:fill="D9D9D9"/>
          </w:tcPr>
          <w:p>
            <w:pPr>
              <w:spacing w:after="0"/>
              <w:rPr>
                <w:sz w:val="24"/>
                <w:szCs w:val="24"/>
                <w:color w:val="auto"/>
              </w:rPr>
            </w:pPr>
          </w:p>
        </w:tc>
        <w:tc>
          <w:tcPr>
            <w:tcW w:w="900" w:type="dxa"/>
            <w:vAlign w:val="bottom"/>
            <w:shd w:val="clear" w:color="auto" w:fill="D9D9D9"/>
          </w:tcPr>
          <w:p>
            <w:pPr>
              <w:spacing w:after="0"/>
              <w:rPr>
                <w:sz w:val="24"/>
                <w:szCs w:val="24"/>
                <w:color w:val="auto"/>
              </w:rPr>
            </w:pPr>
          </w:p>
        </w:tc>
        <w:tc>
          <w:tcPr>
            <w:tcW w:w="100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4"/>
                <w:szCs w:val="24"/>
                <w:color w:val="auto"/>
              </w:rPr>
            </w:pPr>
          </w:p>
        </w:tc>
      </w:tr>
      <w:tr>
        <w:trPr>
          <w:trHeight w:val="92"/>
        </w:trPr>
        <w:tc>
          <w:tcPr>
            <w:tcW w:w="1080" w:type="dxa"/>
            <w:vAlign w:val="bottom"/>
          </w:tcPr>
          <w:p>
            <w:pPr>
              <w:spacing w:after="0"/>
              <w:rPr>
                <w:sz w:val="7"/>
                <w:szCs w:val="7"/>
                <w:color w:val="auto"/>
              </w:rPr>
            </w:pPr>
          </w:p>
        </w:tc>
        <w:tc>
          <w:tcPr>
            <w:tcW w:w="4140" w:type="dxa"/>
            <w:vAlign w:val="bottom"/>
            <w:shd w:val="clear" w:color="auto" w:fill="D9D9D9"/>
          </w:tcPr>
          <w:p>
            <w:pPr>
              <w:spacing w:after="0"/>
              <w:rPr>
                <w:sz w:val="7"/>
                <w:szCs w:val="7"/>
                <w:color w:val="auto"/>
              </w:rPr>
            </w:pPr>
          </w:p>
        </w:tc>
        <w:tc>
          <w:tcPr>
            <w:tcW w:w="2640" w:type="dxa"/>
            <w:vAlign w:val="bottom"/>
            <w:shd w:val="clear" w:color="auto" w:fill="D9D9D9"/>
          </w:tcPr>
          <w:p>
            <w:pPr>
              <w:spacing w:after="0"/>
              <w:rPr>
                <w:sz w:val="7"/>
                <w:szCs w:val="7"/>
                <w:color w:val="auto"/>
              </w:rPr>
            </w:pPr>
          </w:p>
        </w:tc>
        <w:tc>
          <w:tcPr>
            <w:tcW w:w="900" w:type="dxa"/>
            <w:vAlign w:val="bottom"/>
            <w:shd w:val="clear" w:color="auto" w:fill="D9D9D9"/>
          </w:tcPr>
          <w:p>
            <w:pPr>
              <w:spacing w:after="0"/>
              <w:rPr>
                <w:sz w:val="7"/>
                <w:szCs w:val="7"/>
                <w:color w:val="auto"/>
              </w:rPr>
            </w:pPr>
          </w:p>
        </w:tc>
        <w:tc>
          <w:tcPr>
            <w:tcW w:w="1000" w:type="dxa"/>
            <w:vAlign w:val="bottom"/>
            <w:shd w:val="clear" w:color="auto" w:fill="D9D9D9"/>
          </w:tcPr>
          <w:p>
            <w:pPr>
              <w:spacing w:after="0"/>
              <w:rPr>
                <w:sz w:val="7"/>
                <w:szCs w:val="7"/>
                <w:color w:val="auto"/>
              </w:rPr>
            </w:pPr>
          </w:p>
        </w:tc>
        <w:tc>
          <w:tcPr>
            <w:tcW w:w="880" w:type="dxa"/>
            <w:vAlign w:val="bottom"/>
            <w:shd w:val="clear" w:color="auto" w:fill="D9D9D9"/>
          </w:tcPr>
          <w:p>
            <w:pPr>
              <w:spacing w:after="0"/>
              <w:rPr>
                <w:sz w:val="7"/>
                <w:szCs w:val="7"/>
                <w:color w:val="auto"/>
              </w:rPr>
            </w:pPr>
          </w:p>
        </w:tc>
      </w:tr>
      <w:tr>
        <w:trPr>
          <w:trHeight w:val="340"/>
        </w:trPr>
        <w:tc>
          <w:tcPr>
            <w:tcW w:w="1080" w:type="dxa"/>
            <w:vAlign w:val="bottom"/>
          </w:tcPr>
          <w:p>
            <w:pPr>
              <w:spacing w:after="0"/>
              <w:rPr>
                <w:sz w:val="24"/>
                <w:szCs w:val="24"/>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G&amp;A</w:t>
            </w:r>
          </w:p>
        </w:tc>
        <w:tc>
          <w:tcPr>
            <w:tcW w:w="2640" w:type="dxa"/>
            <w:vAlign w:val="bottom"/>
          </w:tcPr>
          <w:p>
            <w:pPr>
              <w:jc w:val="center"/>
              <w:ind w:left="750"/>
              <w:spacing w:after="0"/>
              <w:rPr>
                <w:sz w:val="20"/>
                <w:szCs w:val="20"/>
                <w:color w:val="auto"/>
              </w:rPr>
            </w:pPr>
            <w:r>
              <w:rPr>
                <w:rFonts w:ascii="Arial" w:cs="Arial" w:eastAsia="Arial" w:hAnsi="Arial"/>
                <w:sz w:val="18"/>
                <w:szCs w:val="18"/>
                <w:color w:val="auto"/>
              </w:rPr>
              <w:t>15,824</w:t>
            </w:r>
          </w:p>
        </w:tc>
        <w:tc>
          <w:tcPr>
            <w:tcW w:w="900" w:type="dxa"/>
            <w:vAlign w:val="bottom"/>
          </w:tcPr>
          <w:p>
            <w:pPr>
              <w:jc w:val="center"/>
              <w:ind w:right="350"/>
              <w:spacing w:after="0"/>
              <w:rPr>
                <w:sz w:val="20"/>
                <w:szCs w:val="20"/>
                <w:color w:val="auto"/>
              </w:rPr>
            </w:pPr>
            <w:r>
              <w:rPr>
                <w:rFonts w:ascii="Arial" w:cs="Arial" w:eastAsia="Arial" w:hAnsi="Arial"/>
                <w:sz w:val="18"/>
                <w:szCs w:val="18"/>
                <w:color w:val="auto"/>
                <w:w w:val="99"/>
              </w:rPr>
              <w:t>396</w:t>
            </w:r>
          </w:p>
        </w:tc>
        <w:tc>
          <w:tcPr>
            <w:tcW w:w="1000" w:type="dxa"/>
            <w:vAlign w:val="bottom"/>
          </w:tcPr>
          <w:p>
            <w:pPr>
              <w:spacing w:after="0"/>
              <w:rPr>
                <w:sz w:val="24"/>
                <w:szCs w:val="24"/>
                <w:color w:val="auto"/>
              </w:rPr>
            </w:pPr>
          </w:p>
        </w:tc>
        <w:tc>
          <w:tcPr>
            <w:tcW w:w="880" w:type="dxa"/>
            <w:vAlign w:val="bottom"/>
          </w:tcPr>
          <w:p>
            <w:pPr>
              <w:jc w:val="center"/>
              <w:ind w:right="290"/>
              <w:spacing w:after="0"/>
              <w:rPr>
                <w:sz w:val="20"/>
                <w:szCs w:val="20"/>
                <w:color w:val="auto"/>
              </w:rPr>
            </w:pPr>
            <w:r>
              <w:rPr>
                <w:rFonts w:ascii="Arial" w:cs="Arial" w:eastAsia="Arial" w:hAnsi="Arial"/>
                <w:sz w:val="18"/>
                <w:szCs w:val="18"/>
                <w:color w:val="auto"/>
                <w:w w:val="99"/>
              </w:rPr>
              <w:t>7%</w:t>
            </w:r>
          </w:p>
        </w:tc>
      </w:tr>
      <w:tr>
        <w:trPr>
          <w:trHeight w:val="387"/>
        </w:trPr>
        <w:tc>
          <w:tcPr>
            <w:tcW w:w="1080" w:type="dxa"/>
            <w:vAlign w:val="bottom"/>
          </w:tcPr>
          <w:p>
            <w:pPr>
              <w:spacing w:after="0"/>
              <w:rPr>
                <w:sz w:val="24"/>
                <w:szCs w:val="24"/>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Indirect Costs Subtotal</w:t>
            </w:r>
          </w:p>
        </w:tc>
        <w:tc>
          <w:tcPr>
            <w:tcW w:w="2640" w:type="dxa"/>
            <w:vAlign w:val="bottom"/>
          </w:tcPr>
          <w:p>
            <w:pPr>
              <w:jc w:val="center"/>
              <w:ind w:left="750"/>
              <w:spacing w:after="0"/>
              <w:rPr>
                <w:sz w:val="20"/>
                <w:szCs w:val="20"/>
                <w:color w:val="auto"/>
              </w:rPr>
            </w:pPr>
            <w:r>
              <w:rPr>
                <w:rFonts w:ascii="Arial" w:cs="Arial" w:eastAsia="Arial" w:hAnsi="Arial"/>
                <w:sz w:val="18"/>
                <w:szCs w:val="18"/>
                <w:b w:val="1"/>
                <w:bCs w:val="1"/>
                <w:color w:val="auto"/>
              </w:rPr>
              <w:t>15,824</w:t>
            </w:r>
          </w:p>
        </w:tc>
        <w:tc>
          <w:tcPr>
            <w:tcW w:w="900" w:type="dxa"/>
            <w:vAlign w:val="bottom"/>
          </w:tcPr>
          <w:p>
            <w:pPr>
              <w:jc w:val="center"/>
              <w:ind w:right="350"/>
              <w:spacing w:after="0"/>
              <w:rPr>
                <w:sz w:val="20"/>
                <w:szCs w:val="20"/>
                <w:color w:val="auto"/>
              </w:rPr>
            </w:pPr>
            <w:r>
              <w:rPr>
                <w:rFonts w:ascii="Arial" w:cs="Arial" w:eastAsia="Arial" w:hAnsi="Arial"/>
                <w:sz w:val="18"/>
                <w:szCs w:val="18"/>
                <w:b w:val="1"/>
                <w:bCs w:val="1"/>
                <w:color w:val="auto"/>
                <w:w w:val="99"/>
              </w:rPr>
              <w:t>396</w:t>
            </w:r>
          </w:p>
        </w:tc>
        <w:tc>
          <w:tcPr>
            <w:tcW w:w="1000" w:type="dxa"/>
            <w:vAlign w:val="bottom"/>
          </w:tcPr>
          <w:p>
            <w:pPr>
              <w:spacing w:after="0"/>
              <w:rPr>
                <w:sz w:val="24"/>
                <w:szCs w:val="24"/>
                <w:color w:val="auto"/>
              </w:rPr>
            </w:pPr>
          </w:p>
        </w:tc>
        <w:tc>
          <w:tcPr>
            <w:tcW w:w="88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7%</w:t>
            </w:r>
          </w:p>
        </w:tc>
      </w:tr>
      <w:tr>
        <w:trPr>
          <w:trHeight w:val="46"/>
        </w:trPr>
        <w:tc>
          <w:tcPr>
            <w:tcW w:w="1080" w:type="dxa"/>
            <w:vAlign w:val="bottom"/>
          </w:tcPr>
          <w:p>
            <w:pPr>
              <w:spacing w:after="0"/>
              <w:rPr>
                <w:sz w:val="4"/>
                <w:szCs w:val="4"/>
                <w:color w:val="auto"/>
              </w:rPr>
            </w:pPr>
          </w:p>
        </w:tc>
        <w:tc>
          <w:tcPr>
            <w:tcW w:w="4140" w:type="dxa"/>
            <w:vAlign w:val="bottom"/>
          </w:tcPr>
          <w:p>
            <w:pPr>
              <w:spacing w:after="0"/>
              <w:rPr>
                <w:sz w:val="4"/>
                <w:szCs w:val="4"/>
                <w:color w:val="auto"/>
              </w:rPr>
            </w:pPr>
          </w:p>
        </w:tc>
        <w:tc>
          <w:tcPr>
            <w:tcW w:w="2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67"/>
        </w:trPr>
        <w:tc>
          <w:tcPr>
            <w:tcW w:w="1080" w:type="dxa"/>
            <w:vAlign w:val="bottom"/>
          </w:tcPr>
          <w:p>
            <w:pPr>
              <w:spacing w:after="0"/>
              <w:rPr>
                <w:sz w:val="24"/>
                <w:szCs w:val="24"/>
                <w:color w:val="auto"/>
              </w:rPr>
            </w:pPr>
          </w:p>
        </w:tc>
        <w:tc>
          <w:tcPr>
            <w:tcW w:w="4140" w:type="dxa"/>
            <w:vAlign w:val="bottom"/>
            <w:tcBorders>
              <w:bottom w:val="single" w:sz="8" w:color="D9D9D9"/>
            </w:tcBorders>
            <w:shd w:val="clear" w:color="auto" w:fill="D9D9D9"/>
          </w:tcPr>
          <w:p>
            <w:pPr>
              <w:ind w:left="200"/>
              <w:spacing w:after="0"/>
              <w:rPr>
                <w:sz w:val="20"/>
                <w:szCs w:val="20"/>
                <w:color w:val="auto"/>
              </w:rPr>
            </w:pPr>
            <w:r>
              <w:rPr>
                <w:rFonts w:ascii="Arial" w:cs="Arial" w:eastAsia="Arial" w:hAnsi="Arial"/>
                <w:sz w:val="18"/>
                <w:szCs w:val="18"/>
                <w:b w:val="1"/>
                <w:bCs w:val="1"/>
                <w:color w:val="auto"/>
              </w:rPr>
              <w:t>Total Operating Costs</w:t>
            </w:r>
          </w:p>
        </w:tc>
        <w:tc>
          <w:tcPr>
            <w:tcW w:w="264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8"/>
                <w:szCs w:val="18"/>
                <w:b w:val="1"/>
                <w:bCs w:val="1"/>
                <w:color w:val="auto"/>
              </w:rPr>
              <w:t>216,423</w:t>
            </w:r>
          </w:p>
        </w:tc>
        <w:tc>
          <w:tcPr>
            <w:tcW w:w="900" w:type="dxa"/>
            <w:vAlign w:val="bottom"/>
            <w:tcBorders>
              <w:bottom w:val="single" w:sz="8" w:color="D9D9D9"/>
            </w:tcBorders>
            <w:shd w:val="clear" w:color="auto" w:fill="D9D9D9"/>
          </w:tcPr>
          <w:p>
            <w:pPr>
              <w:spacing w:after="0"/>
              <w:rPr>
                <w:sz w:val="24"/>
                <w:szCs w:val="24"/>
                <w:color w:val="auto"/>
              </w:rPr>
            </w:pPr>
          </w:p>
        </w:tc>
        <w:tc>
          <w:tcPr>
            <w:tcW w:w="100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8"/>
                <w:szCs w:val="18"/>
                <w:b w:val="1"/>
                <w:bCs w:val="1"/>
                <w:color w:val="auto"/>
              </w:rPr>
              <w:t>5,411</w:t>
            </w:r>
          </w:p>
        </w:tc>
        <w:tc>
          <w:tcPr>
            <w:tcW w:w="88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8"/>
                <w:szCs w:val="18"/>
                <w:b w:val="1"/>
                <w:bCs w:val="1"/>
                <w:color w:val="auto"/>
              </w:rPr>
              <w:t>100.</w:t>
            </w:r>
          </w:p>
        </w:tc>
      </w:tr>
      <w:tr>
        <w:trPr>
          <w:trHeight w:val="2052"/>
        </w:trPr>
        <w:tc>
          <w:tcPr>
            <w:tcW w:w="1080" w:type="dxa"/>
            <w:vAlign w:val="bottom"/>
            <w:tcBorders>
              <w:bottom w:val="single" w:sz="8" w:color="010101"/>
            </w:tcBorders>
          </w:tcPr>
          <w:p>
            <w:pPr>
              <w:spacing w:after="0"/>
              <w:rPr>
                <w:sz w:val="24"/>
                <w:szCs w:val="24"/>
                <w:color w:val="auto"/>
              </w:rPr>
            </w:pPr>
          </w:p>
        </w:tc>
        <w:tc>
          <w:tcPr>
            <w:tcW w:w="4140" w:type="dxa"/>
            <w:vAlign w:val="bottom"/>
            <w:tcBorders>
              <w:bottom w:val="single" w:sz="8" w:color="010101"/>
            </w:tcBorders>
          </w:tcPr>
          <w:p>
            <w:pPr>
              <w:spacing w:after="0"/>
              <w:rPr>
                <w:sz w:val="24"/>
                <w:szCs w:val="24"/>
                <w:color w:val="auto"/>
              </w:rPr>
            </w:pPr>
          </w:p>
        </w:tc>
        <w:tc>
          <w:tcPr>
            <w:tcW w:w="264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1482090</wp:posOffset>
            </wp:positionH>
            <wp:positionV relativeFrom="page">
              <wp:posOffset>720090</wp:posOffset>
            </wp:positionV>
            <wp:extent cx="4886960" cy="2457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9">
                      <a:extLst>
                        <a:ext uri="{28A0092B-C50C-407E-A947-70E740481C1C}"/>
                      </a:extLst>
                    </a:blip>
                    <a:srcRect/>
                    <a:stretch>
                      <a:fillRect/>
                    </a:stretch>
                  </pic:blipFill>
                  <pic:spPr bwMode="auto">
                    <a:xfrm>
                      <a:off x="0" y="0"/>
                      <a:ext cx="4886960" cy="2457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0">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-2548890</wp:posOffset>
            </wp:positionV>
            <wp:extent cx="6078220" cy="12338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1">
                      <a:extLst>
                        <a:ext uri="{28A0092B-C50C-407E-A947-70E740481C1C}"/>
                      </a:extLst>
                    </a:blip>
                    <a:srcRect/>
                    <a:stretch>
                      <a:fillRect/>
                    </a:stretch>
                  </pic:blipFill>
                  <pic:spPr bwMode="auto">
                    <a:xfrm>
                      <a:off x="0" y="0"/>
                      <a:ext cx="6078220" cy="123380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-2548890</wp:posOffset>
            </wp:positionV>
            <wp:extent cx="6078220" cy="12338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2">
                      <a:extLst>
                        <a:ext uri="{28A0092B-C50C-407E-A947-70E740481C1C}"/>
                      </a:extLst>
                    </a:blip>
                    <a:srcRect/>
                    <a:stretch>
                      <a:fillRect/>
                    </a:stretch>
                  </pic:blipFill>
                  <pic:spPr bwMode="auto">
                    <a:xfrm>
                      <a:off x="0" y="0"/>
                      <a:ext cx="6078220" cy="1233805"/>
                    </a:xfrm>
                    <a:prstGeom prst="rect">
                      <a:avLst/>
                    </a:prstGeom>
                    <a:noFill/>
                  </pic:spPr>
                </pic:pic>
              </a:graphicData>
            </a:graphic>
          </wp:anchor>
        </w:drawing>
      </w:r>
    </w:p>
    <w:p>
      <w:pPr>
        <w:sectPr>
          <w:pgSz w:w="11900" w:h="16838" w:orient="portrait"/>
          <w:cols w:equalWidth="0" w:num="1">
            <w:col w:w="10640"/>
          </w:cols>
          <w:pgMar w:left="1260" w:top="1221"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14 / 25</w:t>
      </w:r>
    </w:p>
    <w:p>
      <w:pPr>
        <w:sectPr>
          <w:pgSz w:w="11900" w:h="16838" w:orient="portrait"/>
          <w:cols w:equalWidth="0" w:num="1">
            <w:col w:w="10640"/>
          </w:cols>
          <w:pgMar w:left="1260" w:top="1221" w:right="6" w:bottom="0" w:gutter="0" w:footer="0" w:header="0"/>
          <w:type w:val="continuous"/>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Capital Costs</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Capital costs for Cauchari-Olaroz (“CAPEX”) are based on the total engineering and construction work, hav design capacity of 40,000 tonnes per year of lithium carbonate. The CAPEX is expressed in current US dolla a 100% project equity basis. The Company contributed 49% of these costs, matching its shareholding in Exa excluding JEMSE’s 8.5% interest.</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Capital costs include direct and indirect costs for:</w:t>
      </w:r>
    </w:p>
    <w:p>
      <w:pPr>
        <w:spacing w:after="0" w:line="236" w:lineRule="exact"/>
        <w:rPr>
          <w:sz w:val="20"/>
          <w:szCs w:val="20"/>
          <w:color w:val="auto"/>
        </w:rPr>
      </w:pPr>
    </w:p>
    <w:p>
      <w:pPr>
        <w:ind w:left="1620" w:hanging="366"/>
        <w:spacing w:after="0"/>
        <w:tabs>
          <w:tab w:leader="none" w:pos="16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Brine production wells.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Evaporation and concentration ponds.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Lithium carbonate plant.</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General site areas, such as electric, gas, and water distribution.</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Stand-by power plant, roads, offices, laboratory and camp, and other items.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Off-site infrastructure, including gas supply pipeline and high voltage power line and water pipeline;</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Salaries, construction equipment mobilization, and other expenses.</w:t>
      </w:r>
    </w:p>
    <w:p>
      <w:pPr>
        <w:spacing w:after="0" w:line="293"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capital investment for the 40,000 tpa lithium carbonate project, including equipment, materials, indirect and contingencies after completion of the construction period is consolidated to $979 million. This total excl interest expense capitalized during the same period. Disbursements of these expenditures started in 2017 a of the 25,000 tpa lithium carbonate project.</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These capital expenditures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283845</wp:posOffset>
            </wp:positionV>
            <wp:extent cx="6078220" cy="2197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3">
                      <a:extLst>
                        <a:ext uri="{28A0092B-C50C-407E-A947-70E740481C1C}"/>
                      </a:extLst>
                    </a:blip>
                    <a:srcRect/>
                    <a:stretch>
                      <a:fillRect/>
                    </a:stretch>
                  </pic:blipFill>
                  <pic:spPr bwMode="auto">
                    <a:xfrm>
                      <a:off x="0" y="0"/>
                      <a:ext cx="6078220" cy="21971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FFFFFF"/>
        </w:rPr>
        <w:t>Capital Costs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41910</wp:posOffset>
            </wp:positionV>
            <wp:extent cx="6078220" cy="280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4">
                      <a:extLst>
                        <a:ext uri="{28A0092B-C50C-407E-A947-70E740481C1C}"/>
                      </a:extLst>
                    </a:blip>
                    <a:srcRect/>
                    <a:stretch>
                      <a:fillRect/>
                    </a:stretch>
                  </pic:blipFill>
                  <pic:spPr bwMode="auto">
                    <a:xfrm>
                      <a:off x="0" y="0"/>
                      <a:ext cx="6078220" cy="280035"/>
                    </a:xfrm>
                    <a:prstGeom prst="rect">
                      <a:avLst/>
                    </a:prstGeom>
                    <a:noFill/>
                  </pic:spPr>
                </pic:pic>
              </a:graphicData>
            </a:graphic>
          </wp:anchor>
        </w:drawing>
      </w:r>
    </w:p>
    <w:p>
      <w:pPr>
        <w:spacing w:after="0" w:line="204"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5900" w:type="dxa"/>
            <w:vAlign w:val="bottom"/>
          </w:tcPr>
          <w:p>
            <w:pPr>
              <w:ind w:left="200"/>
              <w:spacing w:after="0"/>
              <w:rPr>
                <w:sz w:val="20"/>
                <w:szCs w:val="20"/>
                <w:color w:val="auto"/>
              </w:rPr>
            </w:pPr>
            <w:r>
              <w:rPr>
                <w:rFonts w:ascii="Arial" w:cs="Arial" w:eastAsia="Arial" w:hAnsi="Arial"/>
                <w:sz w:val="18"/>
                <w:szCs w:val="18"/>
                <w:b w:val="1"/>
                <w:bCs w:val="1"/>
                <w:color w:val="153A57"/>
              </w:rPr>
              <w:t>Item</w:t>
            </w:r>
          </w:p>
        </w:tc>
        <w:tc>
          <w:tcPr>
            <w:tcW w:w="3660" w:type="dxa"/>
            <w:vAlign w:val="bottom"/>
          </w:tcPr>
          <w:p>
            <w:pPr>
              <w:ind w:left="3000"/>
              <w:spacing w:after="0"/>
              <w:rPr>
                <w:sz w:val="20"/>
                <w:szCs w:val="20"/>
                <w:color w:val="auto"/>
              </w:rPr>
            </w:pPr>
            <w:r>
              <w:rPr>
                <w:rFonts w:ascii="Arial" w:cs="Arial" w:eastAsia="Arial" w:hAnsi="Arial"/>
                <w:sz w:val="18"/>
                <w:szCs w:val="18"/>
                <w:b w:val="1"/>
                <w:bCs w:val="1"/>
                <w:color w:val="153A57"/>
              </w:rPr>
              <w:t>US$ M</w:t>
            </w:r>
          </w:p>
        </w:tc>
      </w:tr>
      <w:tr>
        <w:trPr>
          <w:trHeight w:val="356"/>
        </w:trPr>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Direct Cost</w:t>
            </w:r>
          </w:p>
        </w:tc>
        <w:tc>
          <w:tcPr>
            <w:tcW w:w="3660" w:type="dxa"/>
            <w:vAlign w:val="bottom"/>
          </w:tcPr>
          <w:p>
            <w:pPr>
              <w:spacing w:after="0"/>
              <w:rPr>
                <w:sz w:val="24"/>
                <w:szCs w:val="24"/>
                <w:color w:val="auto"/>
              </w:rPr>
            </w:pPr>
          </w:p>
        </w:tc>
      </w:tr>
      <w:tr>
        <w:trPr>
          <w:trHeight w:val="356"/>
        </w:trPr>
        <w:tc>
          <w:tcPr>
            <w:tcW w:w="5900" w:type="dxa"/>
            <w:vAlign w:val="bottom"/>
          </w:tcPr>
          <w:p>
            <w:pPr>
              <w:ind w:left="200"/>
              <w:spacing w:after="0"/>
              <w:rPr>
                <w:sz w:val="20"/>
                <w:szCs w:val="20"/>
                <w:color w:val="auto"/>
              </w:rPr>
            </w:pPr>
            <w:r>
              <w:rPr>
                <w:rFonts w:ascii="Arial" w:cs="Arial" w:eastAsia="Arial" w:hAnsi="Arial"/>
                <w:sz w:val="18"/>
                <w:szCs w:val="18"/>
                <w:color w:val="auto"/>
              </w:rPr>
              <w:t>Salar Development</w:t>
            </w:r>
          </w:p>
        </w:tc>
        <w:tc>
          <w:tcPr>
            <w:tcW w:w="3660" w:type="dxa"/>
            <w:vAlign w:val="bottom"/>
          </w:tcPr>
          <w:p>
            <w:pPr>
              <w:jc w:val="center"/>
              <w:ind w:left="2810"/>
              <w:spacing w:after="0"/>
              <w:rPr>
                <w:sz w:val="20"/>
                <w:szCs w:val="20"/>
                <w:color w:val="auto"/>
              </w:rPr>
            </w:pPr>
            <w:r>
              <w:rPr>
                <w:rFonts w:ascii="Arial" w:cs="Arial" w:eastAsia="Arial" w:hAnsi="Arial"/>
                <w:sz w:val="18"/>
                <w:szCs w:val="18"/>
                <w:color w:val="auto"/>
              </w:rPr>
              <w:t>51.0</w:t>
            </w:r>
          </w:p>
        </w:tc>
      </w:tr>
      <w:tr>
        <w:trPr>
          <w:trHeight w:val="356"/>
        </w:trPr>
        <w:tc>
          <w:tcPr>
            <w:tcW w:w="5900" w:type="dxa"/>
            <w:vAlign w:val="bottom"/>
          </w:tcPr>
          <w:p>
            <w:pPr>
              <w:ind w:left="200"/>
              <w:spacing w:after="0"/>
              <w:rPr>
                <w:sz w:val="20"/>
                <w:szCs w:val="20"/>
                <w:color w:val="auto"/>
              </w:rPr>
            </w:pPr>
            <w:r>
              <w:rPr>
                <w:rFonts w:ascii="Arial" w:cs="Arial" w:eastAsia="Arial" w:hAnsi="Arial"/>
                <w:sz w:val="18"/>
                <w:szCs w:val="18"/>
                <w:color w:val="auto"/>
              </w:rPr>
              <w:t>Evaporation Ponds</w:t>
            </w:r>
          </w:p>
        </w:tc>
        <w:tc>
          <w:tcPr>
            <w:tcW w:w="3660" w:type="dxa"/>
            <w:vAlign w:val="bottom"/>
          </w:tcPr>
          <w:p>
            <w:pPr>
              <w:jc w:val="center"/>
              <w:ind w:left="2810"/>
              <w:spacing w:after="0"/>
              <w:rPr>
                <w:sz w:val="20"/>
                <w:szCs w:val="20"/>
                <w:color w:val="auto"/>
              </w:rPr>
            </w:pPr>
            <w:r>
              <w:rPr>
                <w:rFonts w:ascii="Arial" w:cs="Arial" w:eastAsia="Arial" w:hAnsi="Arial"/>
                <w:sz w:val="18"/>
                <w:szCs w:val="18"/>
                <w:color w:val="auto"/>
                <w:w w:val="97"/>
              </w:rPr>
              <w:t>175.5</w:t>
            </w:r>
          </w:p>
        </w:tc>
      </w:tr>
      <w:tr>
        <w:trPr>
          <w:trHeight w:val="356"/>
        </w:trPr>
        <w:tc>
          <w:tcPr>
            <w:tcW w:w="5900" w:type="dxa"/>
            <w:vAlign w:val="bottom"/>
          </w:tcPr>
          <w:p>
            <w:pPr>
              <w:ind w:left="200"/>
              <w:spacing w:after="0"/>
              <w:rPr>
                <w:sz w:val="20"/>
                <w:szCs w:val="20"/>
                <w:color w:val="auto"/>
              </w:rPr>
            </w:pPr>
            <w:r>
              <w:rPr>
                <w:rFonts w:ascii="Arial" w:cs="Arial" w:eastAsia="Arial" w:hAnsi="Arial"/>
                <w:sz w:val="18"/>
                <w:szCs w:val="18"/>
                <w:color w:val="auto"/>
              </w:rPr>
              <w:t>Lithium Carbonate Plant and Aux.</w:t>
            </w:r>
          </w:p>
        </w:tc>
        <w:tc>
          <w:tcPr>
            <w:tcW w:w="3660" w:type="dxa"/>
            <w:vAlign w:val="bottom"/>
          </w:tcPr>
          <w:p>
            <w:pPr>
              <w:jc w:val="center"/>
              <w:ind w:left="2810"/>
              <w:spacing w:after="0"/>
              <w:rPr>
                <w:sz w:val="20"/>
                <w:szCs w:val="20"/>
                <w:color w:val="auto"/>
              </w:rPr>
            </w:pPr>
            <w:r>
              <w:rPr>
                <w:rFonts w:ascii="Arial" w:cs="Arial" w:eastAsia="Arial" w:hAnsi="Arial"/>
                <w:sz w:val="18"/>
                <w:szCs w:val="18"/>
                <w:color w:val="auto"/>
                <w:w w:val="97"/>
              </w:rPr>
              <w:t>361.7</w:t>
            </w:r>
          </w:p>
        </w:tc>
      </w:tr>
      <w:tr>
        <w:trPr>
          <w:trHeight w:val="356"/>
        </w:trPr>
        <w:tc>
          <w:tcPr>
            <w:tcW w:w="5900" w:type="dxa"/>
            <w:vAlign w:val="bottom"/>
          </w:tcPr>
          <w:p>
            <w:pPr>
              <w:ind w:left="200"/>
              <w:spacing w:after="0"/>
              <w:rPr>
                <w:sz w:val="20"/>
                <w:szCs w:val="20"/>
                <w:color w:val="auto"/>
              </w:rPr>
            </w:pPr>
            <w:r>
              <w:rPr>
                <w:rFonts w:ascii="Arial" w:cs="Arial" w:eastAsia="Arial" w:hAnsi="Arial"/>
                <w:sz w:val="18"/>
                <w:szCs w:val="18"/>
                <w:color w:val="auto"/>
              </w:rPr>
              <w:t>Reagents</w:t>
            </w:r>
          </w:p>
        </w:tc>
        <w:tc>
          <w:tcPr>
            <w:tcW w:w="3660" w:type="dxa"/>
            <w:vAlign w:val="bottom"/>
          </w:tcPr>
          <w:p>
            <w:pPr>
              <w:jc w:val="center"/>
              <w:ind w:left="2810"/>
              <w:spacing w:after="0"/>
              <w:rPr>
                <w:sz w:val="20"/>
                <w:szCs w:val="20"/>
                <w:color w:val="auto"/>
              </w:rPr>
            </w:pPr>
            <w:r>
              <w:rPr>
                <w:rFonts w:ascii="Arial" w:cs="Arial" w:eastAsia="Arial" w:hAnsi="Arial"/>
                <w:sz w:val="18"/>
                <w:szCs w:val="18"/>
                <w:color w:val="auto"/>
              </w:rPr>
              <w:t>26.2</w:t>
            </w:r>
          </w:p>
        </w:tc>
      </w:tr>
      <w:tr>
        <w:trPr>
          <w:trHeight w:val="356"/>
        </w:trPr>
        <w:tc>
          <w:tcPr>
            <w:tcW w:w="5900" w:type="dxa"/>
            <w:vAlign w:val="bottom"/>
          </w:tcPr>
          <w:p>
            <w:pPr>
              <w:ind w:left="200"/>
              <w:spacing w:after="0"/>
              <w:rPr>
                <w:sz w:val="20"/>
                <w:szCs w:val="20"/>
                <w:color w:val="auto"/>
              </w:rPr>
            </w:pPr>
            <w:r>
              <w:rPr>
                <w:rFonts w:ascii="Arial" w:cs="Arial" w:eastAsia="Arial" w:hAnsi="Arial"/>
                <w:sz w:val="18"/>
                <w:szCs w:val="18"/>
                <w:color w:val="auto"/>
              </w:rPr>
              <w:t>On-Site Infrastructure</w:t>
            </w:r>
          </w:p>
        </w:tc>
        <w:tc>
          <w:tcPr>
            <w:tcW w:w="3660" w:type="dxa"/>
            <w:vAlign w:val="bottom"/>
          </w:tcPr>
          <w:p>
            <w:pPr>
              <w:jc w:val="center"/>
              <w:ind w:left="2810"/>
              <w:spacing w:after="0"/>
              <w:rPr>
                <w:sz w:val="20"/>
                <w:szCs w:val="20"/>
                <w:color w:val="auto"/>
              </w:rPr>
            </w:pPr>
            <w:r>
              <w:rPr>
                <w:rFonts w:ascii="Arial" w:cs="Arial" w:eastAsia="Arial" w:hAnsi="Arial"/>
                <w:sz w:val="18"/>
                <w:szCs w:val="18"/>
                <w:color w:val="auto"/>
                <w:w w:val="97"/>
              </w:rPr>
              <w:t>108.7</w:t>
            </w:r>
          </w:p>
        </w:tc>
      </w:tr>
      <w:tr>
        <w:trPr>
          <w:trHeight w:val="356"/>
        </w:trPr>
        <w:tc>
          <w:tcPr>
            <w:tcW w:w="5900" w:type="dxa"/>
            <w:vAlign w:val="bottom"/>
          </w:tcPr>
          <w:p>
            <w:pPr>
              <w:ind w:left="200"/>
              <w:spacing w:after="0"/>
              <w:rPr>
                <w:sz w:val="20"/>
                <w:szCs w:val="20"/>
                <w:color w:val="auto"/>
              </w:rPr>
            </w:pPr>
            <w:r>
              <w:rPr>
                <w:rFonts w:ascii="Arial" w:cs="Arial" w:eastAsia="Arial" w:hAnsi="Arial"/>
                <w:sz w:val="18"/>
                <w:szCs w:val="18"/>
                <w:color w:val="auto"/>
              </w:rPr>
              <w:t>Off-Site Services</w:t>
            </w:r>
          </w:p>
        </w:tc>
        <w:tc>
          <w:tcPr>
            <w:tcW w:w="3660" w:type="dxa"/>
            <w:vAlign w:val="bottom"/>
          </w:tcPr>
          <w:p>
            <w:pPr>
              <w:jc w:val="center"/>
              <w:ind w:left="2810"/>
              <w:spacing w:after="0"/>
              <w:rPr>
                <w:sz w:val="20"/>
                <w:szCs w:val="20"/>
                <w:color w:val="auto"/>
              </w:rPr>
            </w:pPr>
            <w:r>
              <w:rPr>
                <w:rFonts w:ascii="Arial" w:cs="Arial" w:eastAsia="Arial" w:hAnsi="Arial"/>
                <w:sz w:val="18"/>
                <w:szCs w:val="18"/>
                <w:color w:val="auto"/>
              </w:rPr>
              <w:t>13.6</w:t>
            </w:r>
          </w:p>
        </w:tc>
      </w:tr>
      <w:tr>
        <w:trPr>
          <w:trHeight w:val="76"/>
        </w:trPr>
        <w:tc>
          <w:tcPr>
            <w:tcW w:w="5900" w:type="dxa"/>
            <w:vAlign w:val="bottom"/>
          </w:tcPr>
          <w:p>
            <w:pPr>
              <w:spacing w:after="0"/>
              <w:rPr>
                <w:sz w:val="6"/>
                <w:szCs w:val="6"/>
                <w:color w:val="auto"/>
              </w:rPr>
            </w:pPr>
          </w:p>
        </w:tc>
        <w:tc>
          <w:tcPr>
            <w:tcW w:w="3660" w:type="dxa"/>
            <w:vAlign w:val="bottom"/>
          </w:tcPr>
          <w:p>
            <w:pPr>
              <w:spacing w:after="0"/>
              <w:rPr>
                <w:sz w:val="6"/>
                <w:szCs w:val="6"/>
                <w:color w:val="auto"/>
              </w:rPr>
            </w:pPr>
          </w:p>
        </w:tc>
      </w:tr>
      <w:tr>
        <w:trPr>
          <w:trHeight w:val="280"/>
        </w:trPr>
        <w:tc>
          <w:tcPr>
            <w:tcW w:w="590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Total Direct Cost</w:t>
            </w:r>
          </w:p>
        </w:tc>
        <w:tc>
          <w:tcPr>
            <w:tcW w:w="3660" w:type="dxa"/>
            <w:vAlign w:val="bottom"/>
            <w:shd w:val="clear" w:color="auto" w:fill="BFBFBF"/>
          </w:tcPr>
          <w:p>
            <w:pPr>
              <w:jc w:val="center"/>
              <w:ind w:left="2810"/>
              <w:spacing w:after="0"/>
              <w:rPr>
                <w:sz w:val="20"/>
                <w:szCs w:val="20"/>
                <w:color w:val="auto"/>
              </w:rPr>
            </w:pPr>
            <w:r>
              <w:rPr>
                <w:rFonts w:ascii="Arial" w:cs="Arial" w:eastAsia="Arial" w:hAnsi="Arial"/>
                <w:sz w:val="18"/>
                <w:szCs w:val="18"/>
                <w:b w:val="1"/>
                <w:bCs w:val="1"/>
                <w:color w:val="auto"/>
                <w:w w:val="97"/>
              </w:rPr>
              <w:t>736.7</w:t>
            </w:r>
          </w:p>
        </w:tc>
      </w:tr>
      <w:tr>
        <w:trPr>
          <w:trHeight w:val="76"/>
        </w:trPr>
        <w:tc>
          <w:tcPr>
            <w:tcW w:w="5900" w:type="dxa"/>
            <w:vAlign w:val="bottom"/>
            <w:shd w:val="clear" w:color="auto" w:fill="BFBFBF"/>
          </w:tcPr>
          <w:p>
            <w:pPr>
              <w:spacing w:after="0"/>
              <w:rPr>
                <w:sz w:val="6"/>
                <w:szCs w:val="6"/>
                <w:color w:val="auto"/>
              </w:rPr>
            </w:pPr>
          </w:p>
        </w:tc>
        <w:tc>
          <w:tcPr>
            <w:tcW w:w="3660" w:type="dxa"/>
            <w:vAlign w:val="bottom"/>
            <w:shd w:val="clear" w:color="auto" w:fill="BFBFBF"/>
          </w:tcPr>
          <w:p>
            <w:pPr>
              <w:spacing w:after="0"/>
              <w:rPr>
                <w:sz w:val="6"/>
                <w:szCs w:val="6"/>
                <w:color w:val="auto"/>
              </w:rPr>
            </w:pPr>
          </w:p>
        </w:tc>
      </w:tr>
      <w:tr>
        <w:trPr>
          <w:trHeight w:val="280"/>
        </w:trPr>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Indirect Cost</w:t>
            </w:r>
          </w:p>
        </w:tc>
        <w:tc>
          <w:tcPr>
            <w:tcW w:w="3660" w:type="dxa"/>
            <w:vAlign w:val="bottom"/>
          </w:tcPr>
          <w:p>
            <w:pPr>
              <w:spacing w:after="0"/>
              <w:rPr>
                <w:sz w:val="24"/>
                <w:szCs w:val="24"/>
                <w:color w:val="auto"/>
              </w:rPr>
            </w:pPr>
          </w:p>
        </w:tc>
      </w:tr>
      <w:tr>
        <w:trPr>
          <w:trHeight w:val="76"/>
        </w:trPr>
        <w:tc>
          <w:tcPr>
            <w:tcW w:w="5900" w:type="dxa"/>
            <w:vAlign w:val="bottom"/>
          </w:tcPr>
          <w:p>
            <w:pPr>
              <w:spacing w:after="0"/>
              <w:rPr>
                <w:sz w:val="6"/>
                <w:szCs w:val="6"/>
                <w:color w:val="auto"/>
              </w:rPr>
            </w:pPr>
          </w:p>
        </w:tc>
        <w:tc>
          <w:tcPr>
            <w:tcW w:w="3660" w:type="dxa"/>
            <w:vAlign w:val="bottom"/>
          </w:tcPr>
          <w:p>
            <w:pPr>
              <w:spacing w:after="0"/>
              <w:rPr>
                <w:sz w:val="6"/>
                <w:szCs w:val="6"/>
                <w:color w:val="auto"/>
              </w:rPr>
            </w:pPr>
          </w:p>
        </w:tc>
      </w:tr>
      <w:tr>
        <w:trPr>
          <w:trHeight w:val="280"/>
        </w:trPr>
        <w:tc>
          <w:tcPr>
            <w:tcW w:w="590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Total Indirect Cost</w:t>
            </w:r>
          </w:p>
        </w:tc>
        <w:tc>
          <w:tcPr>
            <w:tcW w:w="3660" w:type="dxa"/>
            <w:vAlign w:val="bottom"/>
            <w:shd w:val="clear" w:color="auto" w:fill="BFBFBF"/>
          </w:tcPr>
          <w:p>
            <w:pPr>
              <w:jc w:val="center"/>
              <w:ind w:left="2810"/>
              <w:spacing w:after="0"/>
              <w:rPr>
                <w:sz w:val="20"/>
                <w:szCs w:val="20"/>
                <w:color w:val="auto"/>
              </w:rPr>
            </w:pPr>
            <w:r>
              <w:rPr>
                <w:rFonts w:ascii="Arial" w:cs="Arial" w:eastAsia="Arial" w:hAnsi="Arial"/>
                <w:sz w:val="18"/>
                <w:szCs w:val="18"/>
                <w:b w:val="1"/>
                <w:bCs w:val="1"/>
                <w:color w:val="auto"/>
                <w:w w:val="97"/>
              </w:rPr>
              <w:t>224.5</w:t>
            </w:r>
          </w:p>
        </w:tc>
      </w:tr>
      <w:tr>
        <w:trPr>
          <w:trHeight w:val="76"/>
        </w:trPr>
        <w:tc>
          <w:tcPr>
            <w:tcW w:w="5900" w:type="dxa"/>
            <w:vAlign w:val="bottom"/>
            <w:shd w:val="clear" w:color="auto" w:fill="BFBFBF"/>
          </w:tcPr>
          <w:p>
            <w:pPr>
              <w:spacing w:after="0"/>
              <w:rPr>
                <w:sz w:val="6"/>
                <w:szCs w:val="6"/>
                <w:color w:val="auto"/>
              </w:rPr>
            </w:pPr>
          </w:p>
        </w:tc>
        <w:tc>
          <w:tcPr>
            <w:tcW w:w="3660" w:type="dxa"/>
            <w:vAlign w:val="bottom"/>
            <w:shd w:val="clear" w:color="auto" w:fill="BFBFBF"/>
          </w:tcPr>
          <w:p>
            <w:pPr>
              <w:spacing w:after="0"/>
              <w:rPr>
                <w:sz w:val="6"/>
                <w:szCs w:val="6"/>
                <w:color w:val="auto"/>
              </w:rPr>
            </w:pPr>
          </w:p>
        </w:tc>
      </w:tr>
      <w:tr>
        <w:trPr>
          <w:trHeight w:val="280"/>
        </w:trPr>
        <w:tc>
          <w:tcPr>
            <w:tcW w:w="5900" w:type="dxa"/>
            <w:vAlign w:val="bottom"/>
          </w:tcPr>
          <w:p>
            <w:pPr>
              <w:ind w:left="200"/>
              <w:spacing w:after="0"/>
              <w:rPr>
                <w:sz w:val="20"/>
                <w:szCs w:val="20"/>
                <w:color w:val="auto"/>
              </w:rPr>
            </w:pPr>
            <w:r>
              <w:rPr>
                <w:rFonts w:ascii="Arial" w:cs="Arial" w:eastAsia="Arial" w:hAnsi="Arial"/>
                <w:sz w:val="18"/>
                <w:szCs w:val="18"/>
                <w:color w:val="auto"/>
              </w:rPr>
              <w:t>Total Direct and Indirect Cost</w:t>
            </w:r>
          </w:p>
        </w:tc>
        <w:tc>
          <w:tcPr>
            <w:tcW w:w="3660" w:type="dxa"/>
            <w:vAlign w:val="bottom"/>
          </w:tcPr>
          <w:p>
            <w:pPr>
              <w:jc w:val="center"/>
              <w:ind w:left="2810"/>
              <w:spacing w:after="0"/>
              <w:rPr>
                <w:sz w:val="20"/>
                <w:szCs w:val="20"/>
                <w:color w:val="auto"/>
              </w:rPr>
            </w:pPr>
            <w:r>
              <w:rPr>
                <w:rFonts w:ascii="Arial" w:cs="Arial" w:eastAsia="Arial" w:hAnsi="Arial"/>
                <w:sz w:val="18"/>
                <w:szCs w:val="18"/>
                <w:color w:val="auto"/>
                <w:w w:val="97"/>
              </w:rPr>
              <w:t>961.2</w:t>
            </w:r>
          </w:p>
        </w:tc>
      </w:tr>
      <w:tr>
        <w:trPr>
          <w:trHeight w:val="356"/>
        </w:trPr>
        <w:tc>
          <w:tcPr>
            <w:tcW w:w="5900" w:type="dxa"/>
            <w:vAlign w:val="bottom"/>
          </w:tcPr>
          <w:p>
            <w:pPr>
              <w:ind w:left="200"/>
              <w:spacing w:after="0"/>
              <w:rPr>
                <w:sz w:val="20"/>
                <w:szCs w:val="20"/>
                <w:color w:val="auto"/>
              </w:rPr>
            </w:pPr>
            <w:r>
              <w:rPr>
                <w:rFonts w:ascii="Arial" w:cs="Arial" w:eastAsia="Arial" w:hAnsi="Arial"/>
                <w:sz w:val="18"/>
                <w:szCs w:val="18"/>
                <w:color w:val="auto"/>
              </w:rPr>
              <w:t>Others</w:t>
            </w:r>
          </w:p>
        </w:tc>
        <w:tc>
          <w:tcPr>
            <w:tcW w:w="3660" w:type="dxa"/>
            <w:vAlign w:val="bottom"/>
          </w:tcPr>
          <w:p>
            <w:pPr>
              <w:jc w:val="center"/>
              <w:ind w:left="2810"/>
              <w:spacing w:after="0"/>
              <w:rPr>
                <w:sz w:val="20"/>
                <w:szCs w:val="20"/>
                <w:color w:val="auto"/>
              </w:rPr>
            </w:pPr>
            <w:r>
              <w:rPr>
                <w:rFonts w:ascii="Arial" w:cs="Arial" w:eastAsia="Arial" w:hAnsi="Arial"/>
                <w:sz w:val="18"/>
                <w:szCs w:val="18"/>
                <w:color w:val="auto"/>
              </w:rPr>
              <w:t>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-2673350</wp:posOffset>
            </wp:positionV>
            <wp:extent cx="6078220" cy="2722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5">
                      <a:extLst>
                        <a:ext uri="{28A0092B-C50C-407E-A947-70E740481C1C}"/>
                      </a:extLst>
                    </a:blip>
                    <a:srcRect/>
                    <a:stretch>
                      <a:fillRect/>
                    </a:stretch>
                  </pic:blipFill>
                  <pic:spPr bwMode="auto">
                    <a:xfrm>
                      <a:off x="0" y="0"/>
                      <a:ext cx="6078220" cy="272224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-2673350</wp:posOffset>
            </wp:positionV>
            <wp:extent cx="6078220" cy="2722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6">
                      <a:extLst>
                        <a:ext uri="{28A0092B-C50C-407E-A947-70E740481C1C}"/>
                      </a:extLst>
                    </a:blip>
                    <a:srcRect/>
                    <a:stretch>
                      <a:fillRect/>
                    </a:stretch>
                  </pic:blipFill>
                  <pic:spPr bwMode="auto">
                    <a:xfrm>
                      <a:off x="0" y="0"/>
                      <a:ext cx="6078220" cy="272224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15 / 25</w:t>
      </w:r>
    </w:p>
    <w:p>
      <w:pPr>
        <w:sectPr>
          <w:pgSz w:w="11900" w:h="16838" w:orient="portrait"/>
          <w:cols w:equalWidth="0" w:num="1">
            <w:col w:w="10460"/>
          </w:cols>
          <w:pgMar w:left="1440" w:top="1440" w:right="6" w:bottom="0" w:gutter="0" w:footer="0" w:header="0"/>
          <w:type w:val="continuous"/>
        </w:sectPr>
      </w:pPr>
    </w:p>
    <w:bookmarkStart w:id="100" w:name="page101"/>
    <w:bookmarkEnd w:id="100"/>
    <w:tbl>
      <w:tblPr>
        <w:tblLayout w:type="fixed"/>
        <w:tblInd w:w="900" w:type="dxa"/>
        <w:tblCellMar>
          <w:top w:w="0" w:type="dxa"/>
          <w:left w:w="0" w:type="dxa"/>
          <w:bottom w:w="0" w:type="dxa"/>
          <w:right w:w="0" w:type="dxa"/>
        </w:tblCellMar>
      </w:tblPr>
      <w:tr>
        <w:trPr>
          <w:trHeight w:val="280"/>
        </w:trPr>
        <w:tc>
          <w:tcPr>
            <w:tcW w:w="5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Total Capital</w:t>
            </w:r>
          </w:p>
        </w:tc>
        <w:tc>
          <w:tcPr>
            <w:tcW w:w="4040" w:type="dxa"/>
            <w:vAlign w:val="bottom"/>
            <w:shd w:val="clear" w:color="auto" w:fill="BFBFBF"/>
          </w:tcPr>
          <w:p>
            <w:pPr>
              <w:jc w:val="center"/>
              <w:ind w:left="3210"/>
              <w:spacing w:after="0"/>
              <w:rPr>
                <w:sz w:val="20"/>
                <w:szCs w:val="20"/>
                <w:color w:val="auto"/>
              </w:rPr>
            </w:pPr>
            <w:r>
              <w:rPr>
                <w:rFonts w:ascii="Arial" w:cs="Arial" w:eastAsia="Arial" w:hAnsi="Arial"/>
                <w:sz w:val="18"/>
                <w:szCs w:val="18"/>
                <w:b w:val="1"/>
                <w:bCs w:val="1"/>
                <w:color w:val="auto"/>
                <w:w w:val="99"/>
              </w:rPr>
              <w:t>979</w:t>
            </w:r>
          </w:p>
        </w:tc>
      </w:tr>
      <w:tr>
        <w:trPr>
          <w:trHeight w:val="356"/>
        </w:trPr>
        <w:tc>
          <w:tcPr>
            <w:tcW w:w="5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Expended to date</w:t>
            </w:r>
          </w:p>
        </w:tc>
        <w:tc>
          <w:tcPr>
            <w:tcW w:w="4040" w:type="dxa"/>
            <w:vAlign w:val="bottom"/>
            <w:shd w:val="clear" w:color="auto" w:fill="BFBFBF"/>
          </w:tcPr>
          <w:p>
            <w:pPr>
              <w:jc w:val="center"/>
              <w:ind w:left="3210"/>
              <w:spacing w:after="0"/>
              <w:rPr>
                <w:sz w:val="20"/>
                <w:szCs w:val="20"/>
                <w:color w:val="auto"/>
              </w:rPr>
            </w:pPr>
            <w:r>
              <w:rPr>
                <w:rFonts w:ascii="Arial" w:cs="Arial" w:eastAsia="Arial" w:hAnsi="Arial"/>
                <w:sz w:val="18"/>
                <w:szCs w:val="18"/>
                <w:b w:val="1"/>
                <w:bCs w:val="1"/>
                <w:color w:val="auto"/>
                <w:w w:val="99"/>
              </w:rPr>
              <w:t>979</w:t>
            </w:r>
          </w:p>
        </w:tc>
      </w:tr>
      <w:tr>
        <w:trPr>
          <w:trHeight w:val="356"/>
        </w:trPr>
        <w:tc>
          <w:tcPr>
            <w:tcW w:w="5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Estimate to complete</w:t>
            </w:r>
          </w:p>
        </w:tc>
        <w:tc>
          <w:tcPr>
            <w:tcW w:w="4040" w:type="dxa"/>
            <w:vAlign w:val="bottom"/>
            <w:shd w:val="clear" w:color="auto" w:fill="BFBFBF"/>
          </w:tcPr>
          <w:p>
            <w:pPr>
              <w:jc w:val="center"/>
              <w:ind w:left="3210"/>
              <w:spacing w:after="0"/>
              <w:rPr>
                <w:sz w:val="20"/>
                <w:szCs w:val="20"/>
                <w:color w:val="auto"/>
              </w:rPr>
            </w:pPr>
            <w:r>
              <w:rPr>
                <w:rFonts w:ascii="Arial" w:cs="Arial" w:eastAsia="Arial" w:hAnsi="Arial"/>
                <w:sz w:val="18"/>
                <w:szCs w:val="18"/>
                <w:b w:val="1"/>
                <w:bCs w:val="1"/>
                <w:color w:val="auto"/>
                <w:w w:val="99"/>
              </w:rPr>
              <w:t>-</w:t>
            </w:r>
          </w:p>
        </w:tc>
      </w:tr>
      <w:tr>
        <w:trPr>
          <w:trHeight w:val="76"/>
        </w:trPr>
        <w:tc>
          <w:tcPr>
            <w:tcW w:w="5520" w:type="dxa"/>
            <w:vAlign w:val="bottom"/>
            <w:shd w:val="clear" w:color="auto" w:fill="BFBFBF"/>
          </w:tcPr>
          <w:p>
            <w:pPr>
              <w:spacing w:after="0"/>
              <w:rPr>
                <w:sz w:val="6"/>
                <w:szCs w:val="6"/>
                <w:color w:val="auto"/>
              </w:rPr>
            </w:pPr>
          </w:p>
        </w:tc>
        <w:tc>
          <w:tcPr>
            <w:tcW w:w="4040" w:type="dxa"/>
            <w:vAlign w:val="bottom"/>
            <w:shd w:val="clear" w:color="auto" w:fill="BFBFB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1482090</wp:posOffset>
            </wp:positionH>
            <wp:positionV relativeFrom="page">
              <wp:posOffset>720090</wp:posOffset>
            </wp:positionV>
            <wp:extent cx="5050790" cy="2260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7">
                      <a:extLst>
                        <a:ext uri="{28A0092B-C50C-407E-A947-70E740481C1C}"/>
                      </a:extLst>
                    </a:blip>
                    <a:srcRect/>
                    <a:stretch>
                      <a:fillRect/>
                    </a:stretch>
                  </pic:blipFill>
                  <pic:spPr bwMode="auto">
                    <a:xfrm>
                      <a:off x="0" y="0"/>
                      <a:ext cx="5050790" cy="22606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-458470</wp:posOffset>
            </wp:positionV>
            <wp:extent cx="6078220" cy="4591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8">
                      <a:extLst>
                        <a:ext uri="{28A0092B-C50C-407E-A947-70E740481C1C}"/>
                      </a:extLst>
                    </a:blip>
                    <a:srcRect/>
                    <a:stretch>
                      <a:fillRect/>
                    </a:stretch>
                  </pic:blipFill>
                  <pic:spPr bwMode="auto">
                    <a:xfrm>
                      <a:off x="0" y="0"/>
                      <a:ext cx="6078220" cy="45910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-458470</wp:posOffset>
            </wp:positionV>
            <wp:extent cx="6078220" cy="4591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9">
                      <a:extLst>
                        <a:ext uri="{28A0092B-C50C-407E-A947-70E740481C1C}"/>
                      </a:extLst>
                    </a:blip>
                    <a:srcRect/>
                    <a:stretch>
                      <a:fillRect/>
                    </a:stretch>
                  </pic:blipFill>
                  <pic:spPr bwMode="auto">
                    <a:xfrm>
                      <a:off x="0" y="0"/>
                      <a:ext cx="6078220" cy="459105"/>
                    </a:xfrm>
                    <a:prstGeom prst="rect">
                      <a:avLst/>
                    </a:prstGeom>
                    <a:noFill/>
                  </pic:spPr>
                </pic:pic>
              </a:graphicData>
            </a:graphic>
          </wp:anchor>
        </w:drawing>
      </w:r>
    </w:p>
    <w:p>
      <w:pPr>
        <w:spacing w:after="0" w:line="320"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Sustaining capital expenditures are estimated to total $971 million over the life of the project of the Cau Olaroz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1091565</wp:posOffset>
            </wp:positionV>
            <wp:extent cx="6764020"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16 / 25</w:t>
      </w:r>
    </w:p>
    <w:p>
      <w:pPr>
        <w:sectPr>
          <w:pgSz w:w="11900" w:h="16838" w:orient="portrait"/>
          <w:cols w:equalWidth="0" w:num="1">
            <w:col w:w="10460"/>
          </w:cols>
          <w:pgMar w:left="1440" w:top="1133" w:right="6" w:bottom="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Capital costs include direct and indirect costs for:</w:t>
      </w:r>
    </w:p>
    <w:p>
      <w:pPr>
        <w:spacing w:after="0" w:line="236" w:lineRule="exact"/>
        <w:rPr>
          <w:sz w:val="20"/>
          <w:szCs w:val="20"/>
          <w:color w:val="auto"/>
        </w:rPr>
      </w:pPr>
    </w:p>
    <w:p>
      <w:pPr>
        <w:ind w:left="1620" w:hanging="366"/>
        <w:spacing w:after="0"/>
        <w:tabs>
          <w:tab w:leader="none" w:pos="16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Brine production wells;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Evaporation and concentration ponds;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Lithium carbonate plant;</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General site areas, such as electric, gas and water distribution;</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Stand-by power plant, roads, offices, laboratory and camp and other items;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Off-site infrastructure, including gas supply pipeline and high voltage power line and water pipeline;</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Contingencies, salaries, construction equipment mobilization and other expenses.</w:t>
      </w:r>
    </w:p>
    <w:p>
      <w:pPr>
        <w:spacing w:after="0" w:line="286"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following items were not included in the estimate:</w:t>
      </w:r>
    </w:p>
    <w:p>
      <w:pPr>
        <w:spacing w:after="0" w:line="236" w:lineRule="exact"/>
        <w:rPr>
          <w:sz w:val="20"/>
          <w:szCs w:val="20"/>
          <w:color w:val="auto"/>
        </w:rPr>
      </w:pPr>
    </w:p>
    <w:p>
      <w:pPr>
        <w:ind w:left="1620" w:hanging="366"/>
        <w:spacing w:after="0"/>
        <w:tabs>
          <w:tab w:leader="none" w:pos="16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Legal costs;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Costs to implement the COVID Protocol and special incentives and allowances;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Mineral license costs;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Escalation; and</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Start-up costs beyond those specifically included.</w:t>
      </w:r>
    </w:p>
    <w:p>
      <w:pPr>
        <w:spacing w:after="0" w:line="286"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Mineral Reserve and Resource Estimate Comparison Between December 31, 2024 and 2025</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Mineral Resources</w:t>
      </w:r>
    </w:p>
    <w:p>
      <w:pPr>
        <w:spacing w:after="0" w:line="27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table below sets forth the comparison of the Mineral Resources for the year ended December 31, 2024 December 31, 2025.</w:t>
      </w:r>
    </w:p>
    <w:p>
      <w:pPr>
        <w:spacing w:after="0" w:line="215"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table below compares the current 2026 Mineral Resource Estimate and the previous (Burga et al. 2 resource estimate. The current Mineral Resource Estimate is 8% larger for the Olaroz North Project Area 42% in total. The differences between the two Mineral Resources Estimates are attributable to the follo factors:</w:t>
      </w:r>
    </w:p>
    <w:p>
      <w:pPr>
        <w:spacing w:after="0" w:line="175" w:lineRule="exact"/>
        <w:rPr>
          <w:sz w:val="20"/>
          <w:szCs w:val="20"/>
          <w:color w:val="auto"/>
        </w:rPr>
      </w:pPr>
    </w:p>
    <w:p>
      <w:pPr>
        <w:jc w:val="both"/>
        <w:ind w:left="1260" w:hanging="366"/>
        <w:spacing w:after="0" w:line="372" w:lineRule="auto"/>
        <w:tabs>
          <w:tab w:leader="none" w:pos="12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current Mineral Resource Estimate includes production samples that provide evidence of sustain grades during the sustained production pumping, supporting expansion of Measured and Indicated Res zones.</w:t>
      </w:r>
    </w:p>
    <w:p>
      <w:pPr>
        <w:spacing w:after="0" w:line="130" w:lineRule="exact"/>
        <w:rPr>
          <w:rFonts w:ascii="Arial" w:cs="Arial" w:eastAsia="Arial" w:hAnsi="Arial"/>
          <w:sz w:val="20"/>
          <w:szCs w:val="20"/>
          <w:color w:val="auto"/>
        </w:rPr>
      </w:pPr>
    </w:p>
    <w:p>
      <w:pPr>
        <w:jc w:val="both"/>
        <w:ind w:left="1260" w:hanging="366"/>
        <w:spacing w:after="0" w:line="373" w:lineRule="auto"/>
        <w:tabs>
          <w:tab w:leader="none" w:pos="12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 updated resource categorization method was used, that is based on well density instead of well spa The updated method is acceptable due to the enhanced resource certainty that is afforded primaril sustained production pumping, and also by additional drilling and sampling. This categorization update resulted in zones that are relatively continuous, as opposed to the discontinuous zones derived through spacing.</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7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17 / 25</w:t>
      </w:r>
    </w:p>
    <w:p>
      <w:pPr>
        <w:sectPr>
          <w:pgSz w:w="11900" w:h="16838" w:orient="portrait"/>
          <w:cols w:equalWidth="0" w:num="1">
            <w:col w:w="10460"/>
          </w:cols>
          <w:pgMar w:left="1440" w:top="1440" w:right="6" w:bottom="0" w:gutter="0" w:footer="0" w:header="0"/>
          <w:type w:val="continuous"/>
        </w:sectPr>
      </w:pPr>
    </w:p>
    <w:bookmarkStart w:id="102" w:name="page103"/>
    <w:bookmarkEnd w:id="102"/>
    <w:p>
      <w:pPr>
        <w:ind w:left="1260" w:hanging="366"/>
        <w:spacing w:after="0" w:line="368" w:lineRule="auto"/>
        <w:tabs>
          <w:tab w:leader="none" w:pos="12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Resource zone in Olaroz North has been expanded by 19% due to the categorization update carrie due to the reasons exposed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1063625</wp:posOffset>
            </wp:positionV>
            <wp:extent cx="6764020"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33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18 / 25</w:t>
      </w:r>
    </w:p>
    <w:p>
      <w:pPr>
        <w:sectPr>
          <w:pgSz w:w="11900" w:h="16838" w:orient="portrait"/>
          <w:cols w:equalWidth="0" w:num="1">
            <w:col w:w="10460"/>
          </w:cols>
          <w:pgMar w:left="1440" w:top="1335" w:right="6" w:bottom="0" w:gutter="0" w:footer="0" w:header="0"/>
          <w:type w:val="continuous"/>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080"/>
        <w:spacing w:after="0" w:line="312" w:lineRule="auto"/>
        <w:rPr>
          <w:sz w:val="20"/>
          <w:szCs w:val="20"/>
          <w:color w:val="auto"/>
        </w:rPr>
      </w:pPr>
      <w:r>
        <w:rPr>
          <w:rFonts w:ascii="Arial" w:cs="Arial" w:eastAsia="Arial" w:hAnsi="Arial"/>
          <w:sz w:val="20"/>
          <w:szCs w:val="20"/>
          <w:color w:val="auto"/>
        </w:rPr>
        <w:t>The new Resource zone also includes areas of the Cauchari South basin that were not included in the pre evaluation. The major increase of Resources is because of the addition of Cauchari South exploration Cam data which account for 6,746,787 t LCE Measured + Indicated Resources and 4,467,557 t LCE Infe Resources, making a total addition of 11,214,344 t LCE coming from Cauchari South area.</w:t>
      </w:r>
    </w:p>
    <w:p>
      <w:pPr>
        <w:spacing w:after="0" w:line="175" w:lineRule="exact"/>
        <w:rPr>
          <w:sz w:val="20"/>
          <w:szCs w:val="20"/>
          <w:color w:val="auto"/>
        </w:rPr>
      </w:pPr>
    </w:p>
    <w:p>
      <w:pPr>
        <w:jc w:val="both"/>
        <w:ind w:left="2060" w:hanging="497"/>
        <w:spacing w:after="0" w:line="372" w:lineRule="auto"/>
        <w:tabs>
          <w:tab w:leader="none" w:pos="20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 updated characterization of porosity values for the hydrostratigraphic units, based on 762 sam taken from the different wells and piezometers during different field campaigns carried out in previous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152400</wp:posOffset>
            </wp:positionV>
            <wp:extent cx="6090920" cy="15716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2">
                      <a:extLst>
                        <a:ext uri="{28A0092B-C50C-407E-A947-70E740481C1C}"/>
                      </a:extLst>
                    </a:blip>
                    <a:srcRect/>
                    <a:stretch>
                      <a:fillRect/>
                    </a:stretch>
                  </pic:blipFill>
                  <pic:spPr bwMode="auto">
                    <a:xfrm>
                      <a:off x="0" y="0"/>
                      <a:ext cx="6090920" cy="1571625"/>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080" w:type="dxa"/>
            <w:vAlign w:val="bottom"/>
          </w:tcPr>
          <w:p>
            <w:pPr>
              <w:spacing w:after="0"/>
              <w:rPr>
                <w:sz w:val="23"/>
                <w:szCs w:val="23"/>
                <w:color w:val="auto"/>
              </w:rPr>
            </w:pPr>
          </w:p>
        </w:tc>
        <w:tc>
          <w:tcPr>
            <w:tcW w:w="1640" w:type="dxa"/>
            <w:vAlign w:val="bottom"/>
            <w:shd w:val="clear" w:color="auto" w:fill="153A57"/>
          </w:tcPr>
          <w:p>
            <w:pPr>
              <w:spacing w:after="0"/>
              <w:rPr>
                <w:sz w:val="23"/>
                <w:szCs w:val="23"/>
                <w:color w:val="auto"/>
              </w:rPr>
            </w:pPr>
          </w:p>
        </w:tc>
        <w:tc>
          <w:tcPr>
            <w:tcW w:w="7120" w:type="dxa"/>
            <w:vAlign w:val="bottom"/>
            <w:gridSpan w:val="3"/>
            <w:shd w:val="clear" w:color="auto" w:fill="153A57"/>
          </w:tcPr>
          <w:p>
            <w:pPr>
              <w:jc w:val="center"/>
              <w:ind w:right="213"/>
              <w:spacing w:after="0"/>
              <w:rPr>
                <w:sz w:val="20"/>
                <w:szCs w:val="20"/>
                <w:color w:val="auto"/>
              </w:rPr>
            </w:pPr>
            <w:r>
              <w:rPr>
                <w:rFonts w:ascii="Arial" w:cs="Arial" w:eastAsia="Arial" w:hAnsi="Arial"/>
                <w:sz w:val="20"/>
                <w:szCs w:val="20"/>
                <w:b w:val="1"/>
                <w:bCs w:val="1"/>
                <w:color w:val="FFFFFF"/>
                <w:w w:val="99"/>
              </w:rPr>
              <w:t>Comparison Between the Current and Previous (Burga et al., 2025)</w:t>
            </w:r>
          </w:p>
        </w:tc>
        <w:tc>
          <w:tcPr>
            <w:tcW w:w="800" w:type="dxa"/>
            <w:vAlign w:val="bottom"/>
            <w:shd w:val="clear" w:color="auto" w:fill="153A57"/>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080" w:type="dxa"/>
            <w:vAlign w:val="bottom"/>
          </w:tcPr>
          <w:p>
            <w:pPr>
              <w:spacing w:after="0"/>
              <w:rPr>
                <w:sz w:val="24"/>
                <w:szCs w:val="24"/>
                <w:color w:val="auto"/>
              </w:rPr>
            </w:pPr>
          </w:p>
        </w:tc>
        <w:tc>
          <w:tcPr>
            <w:tcW w:w="1640" w:type="dxa"/>
            <w:vAlign w:val="bottom"/>
            <w:shd w:val="clear" w:color="auto" w:fill="153A57"/>
          </w:tcPr>
          <w:p>
            <w:pPr>
              <w:spacing w:after="0"/>
              <w:rPr>
                <w:sz w:val="24"/>
                <w:szCs w:val="24"/>
                <w:color w:val="auto"/>
              </w:rPr>
            </w:pPr>
          </w:p>
        </w:tc>
        <w:tc>
          <w:tcPr>
            <w:tcW w:w="4880" w:type="dxa"/>
            <w:vAlign w:val="bottom"/>
            <w:gridSpan w:val="2"/>
            <w:shd w:val="clear" w:color="auto" w:fill="153A57"/>
          </w:tcPr>
          <w:p>
            <w:pPr>
              <w:jc w:val="center"/>
              <w:ind w:left="1796"/>
              <w:spacing w:after="0"/>
              <w:rPr>
                <w:sz w:val="20"/>
                <w:szCs w:val="20"/>
                <w:color w:val="auto"/>
              </w:rPr>
            </w:pPr>
            <w:r>
              <w:rPr>
                <w:rFonts w:ascii="Arial" w:cs="Arial" w:eastAsia="Arial" w:hAnsi="Arial"/>
                <w:sz w:val="20"/>
                <w:szCs w:val="20"/>
                <w:b w:val="1"/>
                <w:bCs w:val="1"/>
                <w:color w:val="FFFFFF"/>
                <w:w w:val="99"/>
              </w:rPr>
              <w:t>Mineral Resource Estimates</w:t>
            </w:r>
          </w:p>
        </w:tc>
        <w:tc>
          <w:tcPr>
            <w:tcW w:w="2240" w:type="dxa"/>
            <w:vAlign w:val="bottom"/>
            <w:shd w:val="clear" w:color="auto" w:fill="153A57"/>
          </w:tcPr>
          <w:p>
            <w:pPr>
              <w:spacing w:after="0"/>
              <w:rPr>
                <w:sz w:val="24"/>
                <w:szCs w:val="24"/>
                <w:color w:val="auto"/>
              </w:rPr>
            </w:pPr>
          </w:p>
        </w:tc>
        <w:tc>
          <w:tcPr>
            <w:tcW w:w="800" w:type="dxa"/>
            <w:vAlign w:val="bottom"/>
            <w:shd w:val="clear" w:color="auto" w:fill="153A57"/>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080" w:type="dxa"/>
            <w:vAlign w:val="bottom"/>
          </w:tcPr>
          <w:p>
            <w:pPr>
              <w:spacing w:after="0"/>
              <w:rPr>
                <w:sz w:val="24"/>
                <w:szCs w:val="24"/>
                <w:color w:val="auto"/>
              </w:rPr>
            </w:pPr>
          </w:p>
        </w:tc>
        <w:tc>
          <w:tcPr>
            <w:tcW w:w="1640" w:type="dxa"/>
            <w:vAlign w:val="bottom"/>
            <w:shd w:val="clear" w:color="auto" w:fill="153A57"/>
          </w:tcPr>
          <w:p>
            <w:pPr>
              <w:spacing w:after="0"/>
              <w:rPr>
                <w:sz w:val="24"/>
                <w:szCs w:val="24"/>
                <w:color w:val="auto"/>
              </w:rPr>
            </w:pPr>
          </w:p>
        </w:tc>
        <w:tc>
          <w:tcPr>
            <w:tcW w:w="4880" w:type="dxa"/>
            <w:vAlign w:val="bottom"/>
            <w:gridSpan w:val="2"/>
            <w:shd w:val="clear" w:color="auto" w:fill="153A57"/>
          </w:tcPr>
          <w:p>
            <w:pPr>
              <w:ind w:left="1300"/>
              <w:spacing w:after="0"/>
              <w:rPr>
                <w:sz w:val="20"/>
                <w:szCs w:val="20"/>
                <w:color w:val="auto"/>
              </w:rPr>
            </w:pPr>
            <w:r>
              <w:rPr>
                <w:rFonts w:ascii="Arial" w:cs="Arial" w:eastAsia="Arial" w:hAnsi="Arial"/>
                <w:sz w:val="20"/>
                <w:szCs w:val="20"/>
                <w:b w:val="1"/>
                <w:bCs w:val="1"/>
                <w:color w:val="FFFFFF"/>
              </w:rPr>
              <w:t>Resources LCE (tonnes)</w:t>
            </w:r>
          </w:p>
        </w:tc>
        <w:tc>
          <w:tcPr>
            <w:tcW w:w="2240" w:type="dxa"/>
            <w:vAlign w:val="bottom"/>
            <w:shd w:val="clear" w:color="auto" w:fill="153A57"/>
          </w:tcPr>
          <w:p>
            <w:pPr>
              <w:ind w:left="1160"/>
              <w:spacing w:after="0"/>
              <w:rPr>
                <w:sz w:val="20"/>
                <w:szCs w:val="20"/>
                <w:color w:val="auto"/>
              </w:rPr>
            </w:pPr>
            <w:r>
              <w:rPr>
                <w:rFonts w:ascii="Arial" w:cs="Arial" w:eastAsia="Arial" w:hAnsi="Arial"/>
                <w:sz w:val="20"/>
                <w:szCs w:val="20"/>
                <w:b w:val="1"/>
                <w:bCs w:val="1"/>
                <w:color w:val="FFFFFF"/>
              </w:rPr>
              <w:t>Difference</w:t>
            </w:r>
          </w:p>
        </w:tc>
        <w:tc>
          <w:tcPr>
            <w:tcW w:w="800" w:type="dxa"/>
            <w:vAlign w:val="bottom"/>
            <w:shd w:val="clear" w:color="auto" w:fill="153A57"/>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080" w:type="dxa"/>
            <w:vAlign w:val="bottom"/>
          </w:tcPr>
          <w:p>
            <w:pPr>
              <w:spacing w:after="0"/>
              <w:rPr>
                <w:sz w:val="24"/>
                <w:szCs w:val="24"/>
                <w:color w:val="auto"/>
              </w:rPr>
            </w:pPr>
          </w:p>
        </w:tc>
        <w:tc>
          <w:tcPr>
            <w:tcW w:w="1640" w:type="dxa"/>
            <w:vAlign w:val="bottom"/>
            <w:shd w:val="clear" w:color="auto" w:fill="153A57"/>
          </w:tcPr>
          <w:p>
            <w:pPr>
              <w:spacing w:after="0"/>
              <w:rPr>
                <w:sz w:val="24"/>
                <w:szCs w:val="24"/>
                <w:color w:val="auto"/>
              </w:rPr>
            </w:pPr>
          </w:p>
        </w:tc>
        <w:tc>
          <w:tcPr>
            <w:tcW w:w="2660" w:type="dxa"/>
            <w:vAlign w:val="bottom"/>
            <w:shd w:val="clear" w:color="auto" w:fill="153A57"/>
          </w:tcPr>
          <w:p>
            <w:pPr>
              <w:spacing w:after="0"/>
              <w:rPr>
                <w:sz w:val="24"/>
                <w:szCs w:val="24"/>
                <w:color w:val="auto"/>
              </w:rPr>
            </w:pPr>
          </w:p>
        </w:tc>
        <w:tc>
          <w:tcPr>
            <w:tcW w:w="2220" w:type="dxa"/>
            <w:vAlign w:val="bottom"/>
            <w:shd w:val="clear" w:color="auto" w:fill="153A57"/>
          </w:tcPr>
          <w:p>
            <w:pPr>
              <w:jc w:val="center"/>
              <w:ind w:right="139"/>
              <w:spacing w:after="0"/>
              <w:rPr>
                <w:sz w:val="20"/>
                <w:szCs w:val="20"/>
                <w:color w:val="auto"/>
              </w:rPr>
            </w:pPr>
            <w:r>
              <w:rPr>
                <w:rFonts w:ascii="Arial" w:cs="Arial" w:eastAsia="Arial" w:hAnsi="Arial"/>
                <w:sz w:val="20"/>
                <w:szCs w:val="20"/>
                <w:b w:val="1"/>
                <w:bCs w:val="1"/>
                <w:color w:val="FFFFFF"/>
                <w:w w:val="99"/>
              </w:rPr>
              <w:t>Previous (Burga</w:t>
            </w:r>
          </w:p>
        </w:tc>
        <w:tc>
          <w:tcPr>
            <w:tcW w:w="2240" w:type="dxa"/>
            <w:vAlign w:val="bottom"/>
            <w:shd w:val="clear" w:color="auto" w:fill="153A57"/>
          </w:tcPr>
          <w:p>
            <w:pPr>
              <w:spacing w:after="0"/>
              <w:rPr>
                <w:sz w:val="24"/>
                <w:szCs w:val="24"/>
                <w:color w:val="auto"/>
              </w:rPr>
            </w:pPr>
          </w:p>
        </w:tc>
        <w:tc>
          <w:tcPr>
            <w:tcW w:w="800" w:type="dxa"/>
            <w:vAlign w:val="bottom"/>
            <w:shd w:val="clear" w:color="auto" w:fill="153A57"/>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080" w:type="dxa"/>
            <w:vAlign w:val="bottom"/>
          </w:tcPr>
          <w:p>
            <w:pPr>
              <w:spacing w:after="0"/>
              <w:rPr>
                <w:sz w:val="24"/>
                <w:szCs w:val="24"/>
                <w:color w:val="auto"/>
              </w:rPr>
            </w:pPr>
          </w:p>
        </w:tc>
        <w:tc>
          <w:tcPr>
            <w:tcW w:w="1640" w:type="dxa"/>
            <w:vAlign w:val="bottom"/>
            <w:shd w:val="clear" w:color="auto" w:fill="153A57"/>
          </w:tcPr>
          <w:p>
            <w:pPr>
              <w:ind w:left="120"/>
              <w:spacing w:after="0"/>
              <w:rPr>
                <w:sz w:val="20"/>
                <w:szCs w:val="20"/>
                <w:color w:val="auto"/>
              </w:rPr>
            </w:pPr>
            <w:r>
              <w:rPr>
                <w:rFonts w:ascii="Arial" w:cs="Arial" w:eastAsia="Arial" w:hAnsi="Arial"/>
                <w:sz w:val="20"/>
                <w:szCs w:val="20"/>
                <w:b w:val="1"/>
                <w:bCs w:val="1"/>
                <w:color w:val="FFFFFF"/>
              </w:rPr>
              <w:t>Resource</w:t>
            </w:r>
          </w:p>
        </w:tc>
        <w:tc>
          <w:tcPr>
            <w:tcW w:w="2660" w:type="dxa"/>
            <w:vAlign w:val="bottom"/>
            <w:shd w:val="clear" w:color="auto" w:fill="153A57"/>
          </w:tcPr>
          <w:p>
            <w:pPr>
              <w:jc w:val="center"/>
              <w:ind w:left="156"/>
              <w:spacing w:after="0"/>
              <w:rPr>
                <w:sz w:val="20"/>
                <w:szCs w:val="20"/>
                <w:color w:val="auto"/>
              </w:rPr>
            </w:pPr>
            <w:r>
              <w:rPr>
                <w:rFonts w:ascii="Arial" w:cs="Arial" w:eastAsia="Arial" w:hAnsi="Arial"/>
                <w:sz w:val="20"/>
                <w:szCs w:val="20"/>
                <w:b w:val="1"/>
                <w:bCs w:val="1"/>
                <w:color w:val="FFFFFF"/>
              </w:rPr>
              <w:t>Current (Effective</w:t>
            </w:r>
          </w:p>
        </w:tc>
        <w:tc>
          <w:tcPr>
            <w:tcW w:w="2220" w:type="dxa"/>
            <w:vAlign w:val="bottom"/>
            <w:shd w:val="clear" w:color="auto" w:fill="153A57"/>
          </w:tcPr>
          <w:p>
            <w:pPr>
              <w:jc w:val="center"/>
              <w:ind w:right="119"/>
              <w:spacing w:after="0"/>
              <w:rPr>
                <w:sz w:val="20"/>
                <w:szCs w:val="20"/>
                <w:color w:val="auto"/>
              </w:rPr>
            </w:pPr>
            <w:r>
              <w:rPr>
                <w:rFonts w:ascii="Arial" w:cs="Arial" w:eastAsia="Arial" w:hAnsi="Arial"/>
                <w:sz w:val="20"/>
                <w:szCs w:val="20"/>
                <w:b w:val="1"/>
                <w:bCs w:val="1"/>
                <w:color w:val="FFFFFF"/>
              </w:rPr>
              <w:t>et al. (2025))</w:t>
            </w:r>
          </w:p>
        </w:tc>
        <w:tc>
          <w:tcPr>
            <w:tcW w:w="2240" w:type="dxa"/>
            <w:vAlign w:val="bottom"/>
            <w:shd w:val="clear" w:color="auto" w:fill="153A57"/>
          </w:tcPr>
          <w:p>
            <w:pPr>
              <w:spacing w:after="0"/>
              <w:rPr>
                <w:sz w:val="24"/>
                <w:szCs w:val="24"/>
                <w:color w:val="auto"/>
              </w:rPr>
            </w:pPr>
          </w:p>
        </w:tc>
        <w:tc>
          <w:tcPr>
            <w:tcW w:w="800" w:type="dxa"/>
            <w:vAlign w:val="bottom"/>
            <w:shd w:val="clear" w:color="auto" w:fill="153A57"/>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080" w:type="dxa"/>
            <w:vAlign w:val="bottom"/>
          </w:tcPr>
          <w:p>
            <w:pPr>
              <w:spacing w:after="0"/>
              <w:rPr>
                <w:sz w:val="24"/>
                <w:szCs w:val="24"/>
                <w:color w:val="auto"/>
              </w:rPr>
            </w:pPr>
          </w:p>
        </w:tc>
        <w:tc>
          <w:tcPr>
            <w:tcW w:w="1640" w:type="dxa"/>
            <w:vAlign w:val="bottom"/>
            <w:shd w:val="clear" w:color="auto" w:fill="153A57"/>
          </w:tcPr>
          <w:p>
            <w:pPr>
              <w:ind w:left="120"/>
              <w:spacing w:after="0"/>
              <w:rPr>
                <w:sz w:val="20"/>
                <w:szCs w:val="20"/>
                <w:color w:val="auto"/>
              </w:rPr>
            </w:pPr>
            <w:r>
              <w:rPr>
                <w:rFonts w:ascii="Arial" w:cs="Arial" w:eastAsia="Arial" w:hAnsi="Arial"/>
                <w:sz w:val="20"/>
                <w:szCs w:val="20"/>
                <w:b w:val="1"/>
                <w:bCs w:val="1"/>
                <w:color w:val="FFFFFF"/>
              </w:rPr>
              <w:t>Classification</w:t>
            </w:r>
          </w:p>
        </w:tc>
        <w:tc>
          <w:tcPr>
            <w:tcW w:w="2660" w:type="dxa"/>
            <w:vAlign w:val="bottom"/>
            <w:shd w:val="clear" w:color="auto" w:fill="153A57"/>
          </w:tcPr>
          <w:p>
            <w:pPr>
              <w:jc w:val="center"/>
              <w:ind w:left="216"/>
              <w:spacing w:after="0"/>
              <w:rPr>
                <w:sz w:val="20"/>
                <w:szCs w:val="20"/>
                <w:color w:val="auto"/>
              </w:rPr>
            </w:pPr>
            <w:r>
              <w:rPr>
                <w:rFonts w:ascii="Arial" w:cs="Arial" w:eastAsia="Arial" w:hAnsi="Arial"/>
                <w:sz w:val="20"/>
                <w:szCs w:val="20"/>
                <w:b w:val="1"/>
                <w:bCs w:val="1"/>
                <w:color w:val="FFFFFF"/>
              </w:rPr>
              <w:t>date</w:t>
            </w:r>
          </w:p>
        </w:tc>
        <w:tc>
          <w:tcPr>
            <w:tcW w:w="2220" w:type="dxa"/>
            <w:vAlign w:val="bottom"/>
            <w:shd w:val="clear" w:color="auto" w:fill="153A57"/>
          </w:tcPr>
          <w:p>
            <w:pPr>
              <w:jc w:val="center"/>
              <w:ind w:right="119"/>
              <w:spacing w:after="0"/>
              <w:rPr>
                <w:sz w:val="20"/>
                <w:szCs w:val="20"/>
                <w:color w:val="auto"/>
              </w:rPr>
            </w:pPr>
            <w:r>
              <w:rPr>
                <w:rFonts w:ascii="Arial" w:cs="Arial" w:eastAsia="Arial" w:hAnsi="Arial"/>
                <w:sz w:val="20"/>
                <w:szCs w:val="20"/>
                <w:b w:val="1"/>
                <w:bCs w:val="1"/>
                <w:color w:val="FFFFFF"/>
                <w:w w:val="99"/>
              </w:rPr>
              <w:t>(Effective date</w:t>
            </w:r>
          </w:p>
        </w:tc>
        <w:tc>
          <w:tcPr>
            <w:tcW w:w="2240" w:type="dxa"/>
            <w:vAlign w:val="bottom"/>
            <w:shd w:val="clear" w:color="auto" w:fill="153A57"/>
          </w:tcPr>
          <w:p>
            <w:pPr>
              <w:ind w:left="360"/>
              <w:spacing w:after="0"/>
              <w:rPr>
                <w:sz w:val="20"/>
                <w:szCs w:val="20"/>
                <w:color w:val="auto"/>
              </w:rPr>
            </w:pPr>
            <w:r>
              <w:rPr>
                <w:rFonts w:ascii="Arial" w:cs="Arial" w:eastAsia="Arial" w:hAnsi="Arial"/>
                <w:sz w:val="20"/>
                <w:szCs w:val="20"/>
                <w:b w:val="1"/>
                <w:bCs w:val="1"/>
                <w:color w:val="FFFFFF"/>
              </w:rPr>
              <w:t>Tonnes</w:t>
            </w:r>
          </w:p>
        </w:tc>
        <w:tc>
          <w:tcPr>
            <w:tcW w:w="800" w:type="dxa"/>
            <w:vAlign w:val="bottom"/>
            <w:shd w:val="clear" w:color="auto" w:fill="153A57"/>
          </w:tcPr>
          <w:p>
            <w:pPr>
              <w:jc w:val="center"/>
              <w:spacing w:after="0"/>
              <w:rPr>
                <w:sz w:val="20"/>
                <w:szCs w:val="20"/>
                <w:color w:val="auto"/>
              </w:rPr>
            </w:pPr>
            <w:r>
              <w:rPr>
                <w:rFonts w:ascii="Arial" w:cs="Arial" w:eastAsia="Arial" w:hAnsi="Arial"/>
                <w:sz w:val="20"/>
                <w:szCs w:val="20"/>
                <w:b w:val="1"/>
                <w:bCs w:val="1"/>
                <w:color w:val="FFFFFF"/>
              </w:rPr>
              <w:t>%</w:t>
            </w:r>
          </w:p>
        </w:tc>
        <w:tc>
          <w:tcPr>
            <w:tcW w:w="0" w:type="dxa"/>
            <w:vAlign w:val="bottom"/>
          </w:tcPr>
          <w:p>
            <w:pPr>
              <w:spacing w:after="0"/>
              <w:rPr>
                <w:sz w:val="1"/>
                <w:szCs w:val="1"/>
                <w:color w:val="auto"/>
              </w:rPr>
            </w:pPr>
          </w:p>
        </w:tc>
      </w:tr>
      <w:tr>
        <w:trPr>
          <w:trHeight w:val="302"/>
        </w:trPr>
        <w:tc>
          <w:tcPr>
            <w:tcW w:w="1080" w:type="dxa"/>
            <w:vAlign w:val="bottom"/>
          </w:tcPr>
          <w:p>
            <w:pPr>
              <w:spacing w:after="0"/>
              <w:rPr>
                <w:sz w:val="24"/>
                <w:szCs w:val="24"/>
                <w:color w:val="auto"/>
              </w:rPr>
            </w:pPr>
          </w:p>
        </w:tc>
        <w:tc>
          <w:tcPr>
            <w:tcW w:w="1640" w:type="dxa"/>
            <w:vAlign w:val="bottom"/>
            <w:shd w:val="clear" w:color="auto" w:fill="153A57"/>
          </w:tcPr>
          <w:p>
            <w:pPr>
              <w:spacing w:after="0"/>
              <w:rPr>
                <w:sz w:val="24"/>
                <w:szCs w:val="24"/>
                <w:color w:val="auto"/>
              </w:rPr>
            </w:pPr>
          </w:p>
        </w:tc>
        <w:tc>
          <w:tcPr>
            <w:tcW w:w="2660" w:type="dxa"/>
            <w:vAlign w:val="bottom"/>
            <w:shd w:val="clear" w:color="auto" w:fill="153A57"/>
          </w:tcPr>
          <w:p>
            <w:pPr>
              <w:jc w:val="center"/>
              <w:ind w:left="216"/>
              <w:spacing w:after="0"/>
              <w:rPr>
                <w:sz w:val="20"/>
                <w:szCs w:val="20"/>
                <w:color w:val="auto"/>
              </w:rPr>
            </w:pPr>
            <w:r>
              <w:rPr>
                <w:rFonts w:ascii="Arial" w:cs="Arial" w:eastAsia="Arial" w:hAnsi="Arial"/>
                <w:sz w:val="20"/>
                <w:szCs w:val="20"/>
                <w:b w:val="1"/>
                <w:bCs w:val="1"/>
                <w:color w:val="FFFFFF"/>
                <w:w w:val="99"/>
              </w:rPr>
              <w:t>December 31, 2025)</w:t>
            </w:r>
          </w:p>
        </w:tc>
        <w:tc>
          <w:tcPr>
            <w:tcW w:w="2220" w:type="dxa"/>
            <w:vAlign w:val="bottom"/>
            <w:shd w:val="clear" w:color="auto" w:fill="153A57"/>
          </w:tcPr>
          <w:p>
            <w:pPr>
              <w:jc w:val="center"/>
              <w:ind w:right="139"/>
              <w:spacing w:after="0"/>
              <w:rPr>
                <w:sz w:val="20"/>
                <w:szCs w:val="20"/>
                <w:color w:val="auto"/>
              </w:rPr>
            </w:pPr>
            <w:r>
              <w:rPr>
                <w:rFonts w:ascii="Arial" w:cs="Arial" w:eastAsia="Arial" w:hAnsi="Arial"/>
                <w:sz w:val="20"/>
                <w:szCs w:val="20"/>
                <w:b w:val="1"/>
                <w:bCs w:val="1"/>
                <w:color w:val="FFFFFF"/>
                <w:w w:val="99"/>
              </w:rPr>
              <w:t>December 31,</w:t>
            </w:r>
          </w:p>
        </w:tc>
        <w:tc>
          <w:tcPr>
            <w:tcW w:w="2240" w:type="dxa"/>
            <w:vAlign w:val="bottom"/>
            <w:shd w:val="clear" w:color="auto" w:fill="153A57"/>
          </w:tcPr>
          <w:p>
            <w:pPr>
              <w:spacing w:after="0"/>
              <w:rPr>
                <w:sz w:val="24"/>
                <w:szCs w:val="24"/>
                <w:color w:val="auto"/>
              </w:rPr>
            </w:pPr>
          </w:p>
        </w:tc>
        <w:tc>
          <w:tcPr>
            <w:tcW w:w="800" w:type="dxa"/>
            <w:vAlign w:val="bottom"/>
            <w:shd w:val="clear" w:color="auto" w:fill="153A57"/>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80" w:type="dxa"/>
            <w:vAlign w:val="bottom"/>
          </w:tcPr>
          <w:p>
            <w:pPr>
              <w:spacing w:after="0"/>
              <w:rPr>
                <w:sz w:val="24"/>
                <w:szCs w:val="24"/>
                <w:color w:val="auto"/>
              </w:rPr>
            </w:pPr>
          </w:p>
        </w:tc>
        <w:tc>
          <w:tcPr>
            <w:tcW w:w="1640" w:type="dxa"/>
            <w:vAlign w:val="bottom"/>
            <w:tcBorders>
              <w:bottom w:val="single" w:sz="8" w:color="153A57"/>
            </w:tcBorders>
            <w:shd w:val="clear" w:color="auto" w:fill="153A57"/>
          </w:tcPr>
          <w:p>
            <w:pPr>
              <w:spacing w:after="0"/>
              <w:rPr>
                <w:sz w:val="24"/>
                <w:szCs w:val="24"/>
                <w:color w:val="auto"/>
              </w:rPr>
            </w:pPr>
          </w:p>
        </w:tc>
        <w:tc>
          <w:tcPr>
            <w:tcW w:w="2660" w:type="dxa"/>
            <w:vAlign w:val="bottom"/>
            <w:tcBorders>
              <w:bottom w:val="single" w:sz="8" w:color="153A57"/>
            </w:tcBorders>
            <w:shd w:val="clear" w:color="auto" w:fill="153A57"/>
          </w:tcPr>
          <w:p>
            <w:pPr>
              <w:spacing w:after="0"/>
              <w:rPr>
                <w:sz w:val="24"/>
                <w:szCs w:val="24"/>
                <w:color w:val="auto"/>
              </w:rPr>
            </w:pPr>
          </w:p>
        </w:tc>
        <w:tc>
          <w:tcPr>
            <w:tcW w:w="2220" w:type="dxa"/>
            <w:vAlign w:val="bottom"/>
            <w:tcBorders>
              <w:bottom w:val="single" w:sz="8" w:color="153A57"/>
            </w:tcBorders>
            <w:shd w:val="clear" w:color="auto" w:fill="153A57"/>
          </w:tcPr>
          <w:p>
            <w:pPr>
              <w:jc w:val="center"/>
              <w:ind w:right="139"/>
              <w:spacing w:after="0"/>
              <w:rPr>
                <w:sz w:val="20"/>
                <w:szCs w:val="20"/>
                <w:color w:val="auto"/>
              </w:rPr>
            </w:pPr>
            <w:r>
              <w:rPr>
                <w:rFonts w:ascii="Arial" w:cs="Arial" w:eastAsia="Arial" w:hAnsi="Arial"/>
                <w:sz w:val="20"/>
                <w:szCs w:val="20"/>
                <w:b w:val="1"/>
                <w:bCs w:val="1"/>
                <w:color w:val="FFFFFF"/>
                <w:w w:val="97"/>
              </w:rPr>
              <w:t>2024)</w:t>
            </w:r>
          </w:p>
        </w:tc>
        <w:tc>
          <w:tcPr>
            <w:tcW w:w="2240" w:type="dxa"/>
            <w:vAlign w:val="bottom"/>
            <w:tcBorders>
              <w:bottom w:val="single" w:sz="8" w:color="153A57"/>
            </w:tcBorders>
            <w:shd w:val="clear" w:color="auto" w:fill="153A57"/>
          </w:tcPr>
          <w:p>
            <w:pPr>
              <w:spacing w:after="0"/>
              <w:rPr>
                <w:sz w:val="24"/>
                <w:szCs w:val="24"/>
                <w:color w:val="auto"/>
              </w:rPr>
            </w:pPr>
          </w:p>
        </w:tc>
        <w:tc>
          <w:tcPr>
            <w:tcW w:w="800" w:type="dxa"/>
            <w:vAlign w:val="bottom"/>
            <w:tcBorders>
              <w:bottom w:val="single" w:sz="8" w:color="153A57"/>
            </w:tcBorders>
            <w:shd w:val="clear" w:color="auto" w:fill="153A57"/>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080" w:type="dxa"/>
            <w:vAlign w:val="bottom"/>
          </w:tcPr>
          <w:p>
            <w:pPr>
              <w:spacing w:after="0"/>
              <w:rPr>
                <w:sz w:val="24"/>
                <w:szCs w:val="24"/>
                <w:color w:val="auto"/>
              </w:rPr>
            </w:pPr>
          </w:p>
        </w:tc>
        <w:tc>
          <w:tcPr>
            <w:tcW w:w="1640" w:type="dxa"/>
            <w:vAlign w:val="bottom"/>
          </w:tcPr>
          <w:p>
            <w:pPr>
              <w:ind w:left="120"/>
              <w:spacing w:after="0"/>
              <w:rPr>
                <w:sz w:val="20"/>
                <w:szCs w:val="20"/>
                <w:color w:val="auto"/>
              </w:rPr>
            </w:pPr>
            <w:r>
              <w:rPr>
                <w:rFonts w:ascii="Arial" w:cs="Arial" w:eastAsia="Arial" w:hAnsi="Arial"/>
                <w:sz w:val="22"/>
                <w:szCs w:val="22"/>
                <w:color w:val="auto"/>
              </w:rPr>
              <w:t>Measured</w:t>
            </w:r>
          </w:p>
        </w:tc>
        <w:tc>
          <w:tcPr>
            <w:tcW w:w="2660" w:type="dxa"/>
            <w:vAlign w:val="bottom"/>
          </w:tcPr>
          <w:p>
            <w:pPr>
              <w:jc w:val="center"/>
              <w:ind w:left="216"/>
              <w:spacing w:after="0"/>
              <w:rPr>
                <w:sz w:val="20"/>
                <w:szCs w:val="20"/>
                <w:color w:val="auto"/>
              </w:rPr>
            </w:pPr>
            <w:r>
              <w:rPr>
                <w:rFonts w:ascii="Arial" w:cs="Arial" w:eastAsia="Arial" w:hAnsi="Arial"/>
                <w:sz w:val="22"/>
                <w:szCs w:val="22"/>
                <w:color w:val="auto"/>
                <w:w w:val="99"/>
              </w:rPr>
              <w:t>14,599,317</w:t>
            </w:r>
          </w:p>
        </w:tc>
        <w:tc>
          <w:tcPr>
            <w:tcW w:w="2220" w:type="dxa"/>
            <w:vAlign w:val="bottom"/>
          </w:tcPr>
          <w:p>
            <w:pPr>
              <w:jc w:val="center"/>
              <w:ind w:right="139"/>
              <w:spacing w:after="0"/>
              <w:rPr>
                <w:sz w:val="20"/>
                <w:szCs w:val="20"/>
                <w:color w:val="auto"/>
              </w:rPr>
            </w:pPr>
            <w:r>
              <w:rPr>
                <w:rFonts w:ascii="Arial" w:cs="Arial" w:eastAsia="Arial" w:hAnsi="Arial"/>
                <w:sz w:val="22"/>
                <w:szCs w:val="22"/>
                <w:color w:val="auto"/>
              </w:rPr>
              <w:t>3,040,109</w:t>
            </w:r>
          </w:p>
        </w:tc>
        <w:tc>
          <w:tcPr>
            <w:tcW w:w="2240" w:type="dxa"/>
            <w:vAlign w:val="bottom"/>
          </w:tcPr>
          <w:p>
            <w:pPr>
              <w:jc w:val="center"/>
              <w:ind w:right="713"/>
              <w:spacing w:after="0"/>
              <w:rPr>
                <w:sz w:val="20"/>
                <w:szCs w:val="20"/>
                <w:color w:val="auto"/>
              </w:rPr>
            </w:pPr>
            <w:r>
              <w:rPr>
                <w:rFonts w:ascii="Arial" w:cs="Arial" w:eastAsia="Arial" w:hAnsi="Arial"/>
                <w:sz w:val="22"/>
                <w:szCs w:val="22"/>
                <w:color w:val="auto"/>
                <w:w w:val="99"/>
              </w:rPr>
              <w:t>11,559,208</w:t>
            </w:r>
          </w:p>
        </w:tc>
        <w:tc>
          <w:tcPr>
            <w:tcW w:w="800" w:type="dxa"/>
            <w:vAlign w:val="bottom"/>
          </w:tcPr>
          <w:p>
            <w:pPr>
              <w:jc w:val="center"/>
              <w:spacing w:after="0"/>
              <w:rPr>
                <w:sz w:val="20"/>
                <w:szCs w:val="20"/>
                <w:color w:val="auto"/>
              </w:rPr>
            </w:pPr>
            <w:r>
              <w:rPr>
                <w:rFonts w:ascii="Arial" w:cs="Arial" w:eastAsia="Arial" w:hAnsi="Arial"/>
                <w:sz w:val="22"/>
                <w:szCs w:val="22"/>
                <w:color w:val="auto"/>
                <w:w w:val="99"/>
              </w:rPr>
              <w:t>380%</w:t>
            </w:r>
          </w:p>
        </w:tc>
        <w:tc>
          <w:tcPr>
            <w:tcW w:w="0" w:type="dxa"/>
            <w:vAlign w:val="bottom"/>
          </w:tcPr>
          <w:p>
            <w:pPr>
              <w:spacing w:after="0"/>
              <w:rPr>
                <w:sz w:val="1"/>
                <w:szCs w:val="1"/>
                <w:color w:val="auto"/>
              </w:rPr>
            </w:pPr>
          </w:p>
        </w:tc>
      </w:tr>
      <w:tr>
        <w:trPr>
          <w:trHeight w:val="342"/>
        </w:trPr>
        <w:tc>
          <w:tcPr>
            <w:tcW w:w="1080" w:type="dxa"/>
            <w:vAlign w:val="bottom"/>
          </w:tcPr>
          <w:p>
            <w:pPr>
              <w:spacing w:after="0"/>
              <w:rPr>
                <w:sz w:val="24"/>
                <w:szCs w:val="24"/>
                <w:color w:val="auto"/>
              </w:rPr>
            </w:pPr>
          </w:p>
        </w:tc>
        <w:tc>
          <w:tcPr>
            <w:tcW w:w="1640" w:type="dxa"/>
            <w:vAlign w:val="bottom"/>
          </w:tcPr>
          <w:p>
            <w:pPr>
              <w:ind w:left="120"/>
              <w:spacing w:after="0"/>
              <w:rPr>
                <w:sz w:val="20"/>
                <w:szCs w:val="20"/>
                <w:color w:val="auto"/>
              </w:rPr>
            </w:pPr>
            <w:r>
              <w:rPr>
                <w:rFonts w:ascii="Arial" w:cs="Arial" w:eastAsia="Arial" w:hAnsi="Arial"/>
                <w:sz w:val="22"/>
                <w:szCs w:val="22"/>
                <w:color w:val="auto"/>
              </w:rPr>
              <w:t>Indicated</w:t>
            </w:r>
          </w:p>
        </w:tc>
        <w:tc>
          <w:tcPr>
            <w:tcW w:w="2660" w:type="dxa"/>
            <w:vAlign w:val="bottom"/>
          </w:tcPr>
          <w:p>
            <w:pPr>
              <w:jc w:val="center"/>
              <w:ind w:left="216"/>
              <w:spacing w:after="0"/>
              <w:rPr>
                <w:sz w:val="20"/>
                <w:szCs w:val="20"/>
                <w:color w:val="auto"/>
              </w:rPr>
            </w:pPr>
            <w:r>
              <w:rPr>
                <w:rFonts w:ascii="Arial" w:cs="Arial" w:eastAsia="Arial" w:hAnsi="Arial"/>
                <w:sz w:val="22"/>
                <w:szCs w:val="22"/>
                <w:color w:val="auto"/>
                <w:w w:val="99"/>
              </w:rPr>
              <w:t>11,299,172</w:t>
            </w:r>
          </w:p>
        </w:tc>
        <w:tc>
          <w:tcPr>
            <w:tcW w:w="2220" w:type="dxa"/>
            <w:vAlign w:val="bottom"/>
          </w:tcPr>
          <w:p>
            <w:pPr>
              <w:jc w:val="center"/>
              <w:ind w:right="119"/>
              <w:spacing w:after="0"/>
              <w:rPr>
                <w:sz w:val="20"/>
                <w:szCs w:val="20"/>
                <w:color w:val="auto"/>
              </w:rPr>
            </w:pPr>
            <w:r>
              <w:rPr>
                <w:rFonts w:ascii="Arial" w:cs="Arial" w:eastAsia="Arial" w:hAnsi="Arial"/>
                <w:sz w:val="20"/>
                <w:szCs w:val="20"/>
                <w:color w:val="auto"/>
                <w:w w:val="99"/>
              </w:rPr>
              <w:t>13,177,246</w:t>
            </w:r>
          </w:p>
        </w:tc>
        <w:tc>
          <w:tcPr>
            <w:tcW w:w="2240" w:type="dxa"/>
            <w:vAlign w:val="bottom"/>
          </w:tcPr>
          <w:p>
            <w:pPr>
              <w:jc w:val="center"/>
              <w:ind w:right="713"/>
              <w:spacing w:after="0"/>
              <w:rPr>
                <w:sz w:val="20"/>
                <w:szCs w:val="20"/>
                <w:color w:val="auto"/>
              </w:rPr>
            </w:pPr>
            <w:r>
              <w:rPr>
                <w:rFonts w:ascii="Arial" w:cs="Arial" w:eastAsia="Arial" w:hAnsi="Arial"/>
                <w:sz w:val="22"/>
                <w:szCs w:val="22"/>
                <w:color w:val="auto"/>
              </w:rPr>
              <w:t>-1,878,074</w:t>
            </w:r>
          </w:p>
        </w:tc>
        <w:tc>
          <w:tcPr>
            <w:tcW w:w="800" w:type="dxa"/>
            <w:vAlign w:val="bottom"/>
          </w:tcPr>
          <w:p>
            <w:pPr>
              <w:jc w:val="center"/>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342"/>
        </w:trPr>
        <w:tc>
          <w:tcPr>
            <w:tcW w:w="1080" w:type="dxa"/>
            <w:vAlign w:val="bottom"/>
          </w:tcPr>
          <w:p>
            <w:pPr>
              <w:spacing w:after="0"/>
              <w:rPr>
                <w:sz w:val="24"/>
                <w:szCs w:val="24"/>
                <w:color w:val="auto"/>
              </w:rPr>
            </w:pPr>
          </w:p>
        </w:tc>
        <w:tc>
          <w:tcPr>
            <w:tcW w:w="1640" w:type="dxa"/>
            <w:vAlign w:val="bottom"/>
          </w:tcPr>
          <w:p>
            <w:pPr>
              <w:ind w:left="120"/>
              <w:spacing w:after="0"/>
              <w:rPr>
                <w:sz w:val="20"/>
                <w:szCs w:val="20"/>
                <w:color w:val="auto"/>
              </w:rPr>
            </w:pPr>
            <w:r>
              <w:rPr>
                <w:rFonts w:ascii="Arial" w:cs="Arial" w:eastAsia="Arial" w:hAnsi="Arial"/>
                <w:sz w:val="22"/>
                <w:szCs w:val="22"/>
                <w:b w:val="1"/>
                <w:bCs w:val="1"/>
                <w:color w:val="auto"/>
              </w:rPr>
              <w:t>Measured +</w:t>
            </w:r>
          </w:p>
        </w:tc>
        <w:tc>
          <w:tcPr>
            <w:tcW w:w="2660" w:type="dxa"/>
            <w:vAlign w:val="bottom"/>
            <w:vMerge w:val="restart"/>
          </w:tcPr>
          <w:p>
            <w:pPr>
              <w:jc w:val="center"/>
              <w:ind w:left="216"/>
              <w:spacing w:after="0"/>
              <w:rPr>
                <w:sz w:val="20"/>
                <w:szCs w:val="20"/>
                <w:color w:val="auto"/>
              </w:rPr>
            </w:pPr>
            <w:r>
              <w:rPr>
                <w:rFonts w:ascii="Arial" w:cs="Arial" w:eastAsia="Arial" w:hAnsi="Arial"/>
                <w:sz w:val="22"/>
                <w:szCs w:val="22"/>
                <w:b w:val="1"/>
                <w:bCs w:val="1"/>
                <w:color w:val="auto"/>
                <w:w w:val="99"/>
              </w:rPr>
              <w:t>25,898,489</w:t>
            </w:r>
          </w:p>
        </w:tc>
        <w:tc>
          <w:tcPr>
            <w:tcW w:w="2220" w:type="dxa"/>
            <w:vAlign w:val="bottom"/>
            <w:vMerge w:val="restart"/>
          </w:tcPr>
          <w:p>
            <w:pPr>
              <w:jc w:val="center"/>
              <w:ind w:right="119"/>
              <w:spacing w:after="0"/>
              <w:rPr>
                <w:sz w:val="20"/>
                <w:szCs w:val="20"/>
                <w:color w:val="auto"/>
              </w:rPr>
            </w:pPr>
            <w:r>
              <w:rPr>
                <w:rFonts w:ascii="Arial" w:cs="Arial" w:eastAsia="Arial" w:hAnsi="Arial"/>
                <w:sz w:val="20"/>
                <w:szCs w:val="20"/>
                <w:b w:val="1"/>
                <w:bCs w:val="1"/>
                <w:color w:val="auto"/>
                <w:w w:val="99"/>
              </w:rPr>
              <w:t>16,217,355</w:t>
            </w:r>
          </w:p>
        </w:tc>
        <w:tc>
          <w:tcPr>
            <w:tcW w:w="2240" w:type="dxa"/>
            <w:vAlign w:val="bottom"/>
            <w:vMerge w:val="restart"/>
          </w:tcPr>
          <w:p>
            <w:pPr>
              <w:jc w:val="center"/>
              <w:ind w:right="713"/>
              <w:spacing w:after="0"/>
              <w:rPr>
                <w:sz w:val="20"/>
                <w:szCs w:val="20"/>
                <w:color w:val="auto"/>
              </w:rPr>
            </w:pPr>
            <w:r>
              <w:rPr>
                <w:rFonts w:ascii="Arial" w:cs="Arial" w:eastAsia="Arial" w:hAnsi="Arial"/>
                <w:sz w:val="22"/>
                <w:szCs w:val="22"/>
                <w:b w:val="1"/>
                <w:bCs w:val="1"/>
                <w:color w:val="auto"/>
              </w:rPr>
              <w:t>9,681,134</w:t>
            </w:r>
          </w:p>
        </w:tc>
        <w:tc>
          <w:tcPr>
            <w:tcW w:w="800" w:type="dxa"/>
            <w:vAlign w:val="bottom"/>
            <w:vMerge w:val="restart"/>
          </w:tcPr>
          <w:p>
            <w:pPr>
              <w:jc w:val="center"/>
              <w:spacing w:after="0"/>
              <w:rPr>
                <w:sz w:val="20"/>
                <w:szCs w:val="20"/>
                <w:color w:val="auto"/>
              </w:rPr>
            </w:pPr>
            <w:r>
              <w:rPr>
                <w:rFonts w:ascii="Arial" w:cs="Arial" w:eastAsia="Arial" w:hAnsi="Arial"/>
                <w:sz w:val="22"/>
                <w:szCs w:val="22"/>
                <w:color w:val="auto"/>
                <w:w w:val="99"/>
              </w:rPr>
              <w:t>60%</w:t>
            </w: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1640" w:type="dxa"/>
            <w:vAlign w:val="bottom"/>
            <w:vMerge w:val="restart"/>
          </w:tcPr>
          <w:p>
            <w:pPr>
              <w:ind w:left="120"/>
              <w:spacing w:after="0"/>
              <w:rPr>
                <w:sz w:val="20"/>
                <w:szCs w:val="20"/>
                <w:color w:val="auto"/>
              </w:rPr>
            </w:pPr>
            <w:r>
              <w:rPr>
                <w:rFonts w:ascii="Arial" w:cs="Arial" w:eastAsia="Arial" w:hAnsi="Arial"/>
                <w:sz w:val="22"/>
                <w:szCs w:val="22"/>
                <w:b w:val="1"/>
                <w:bCs w:val="1"/>
                <w:color w:val="auto"/>
              </w:rPr>
              <w:t>Indicated</w:t>
            </w:r>
          </w:p>
        </w:tc>
        <w:tc>
          <w:tcPr>
            <w:tcW w:w="2660" w:type="dxa"/>
            <w:vAlign w:val="bottom"/>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26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2"/>
        </w:trPr>
        <w:tc>
          <w:tcPr>
            <w:tcW w:w="1080" w:type="dxa"/>
            <w:vAlign w:val="bottom"/>
          </w:tcPr>
          <w:p>
            <w:pPr>
              <w:spacing w:after="0"/>
              <w:rPr>
                <w:sz w:val="24"/>
                <w:szCs w:val="24"/>
                <w:color w:val="auto"/>
              </w:rPr>
            </w:pPr>
          </w:p>
        </w:tc>
        <w:tc>
          <w:tcPr>
            <w:tcW w:w="1640" w:type="dxa"/>
            <w:vAlign w:val="bottom"/>
          </w:tcPr>
          <w:p>
            <w:pPr>
              <w:ind w:left="120"/>
              <w:spacing w:after="0"/>
              <w:rPr>
                <w:sz w:val="20"/>
                <w:szCs w:val="20"/>
                <w:color w:val="auto"/>
              </w:rPr>
            </w:pPr>
            <w:r>
              <w:rPr>
                <w:rFonts w:ascii="Arial" w:cs="Arial" w:eastAsia="Arial" w:hAnsi="Arial"/>
                <w:sz w:val="22"/>
                <w:szCs w:val="22"/>
                <w:color w:val="auto"/>
              </w:rPr>
              <w:t>Inferred</w:t>
            </w:r>
          </w:p>
        </w:tc>
        <w:tc>
          <w:tcPr>
            <w:tcW w:w="2660" w:type="dxa"/>
            <w:vAlign w:val="bottom"/>
          </w:tcPr>
          <w:p>
            <w:pPr>
              <w:jc w:val="center"/>
              <w:ind w:left="216"/>
              <w:spacing w:after="0"/>
              <w:rPr>
                <w:sz w:val="20"/>
                <w:szCs w:val="20"/>
                <w:color w:val="auto"/>
              </w:rPr>
            </w:pPr>
            <w:r>
              <w:rPr>
                <w:rFonts w:ascii="Arial" w:cs="Arial" w:eastAsia="Arial" w:hAnsi="Arial"/>
                <w:sz w:val="22"/>
                <w:szCs w:val="22"/>
                <w:color w:val="auto"/>
              </w:rPr>
              <w:t>9,614,004</w:t>
            </w:r>
          </w:p>
        </w:tc>
        <w:tc>
          <w:tcPr>
            <w:tcW w:w="2220" w:type="dxa"/>
            <w:vAlign w:val="bottom"/>
          </w:tcPr>
          <w:p>
            <w:pPr>
              <w:jc w:val="center"/>
              <w:ind w:right="139"/>
              <w:spacing w:after="0"/>
              <w:rPr>
                <w:sz w:val="20"/>
                <w:szCs w:val="20"/>
                <w:color w:val="auto"/>
              </w:rPr>
            </w:pPr>
            <w:r>
              <w:rPr>
                <w:rFonts w:ascii="Arial" w:cs="Arial" w:eastAsia="Arial" w:hAnsi="Arial"/>
                <w:sz w:val="20"/>
                <w:szCs w:val="20"/>
                <w:color w:val="auto"/>
              </w:rPr>
              <w:t>4,722,700</w:t>
            </w:r>
          </w:p>
        </w:tc>
        <w:tc>
          <w:tcPr>
            <w:tcW w:w="2240" w:type="dxa"/>
            <w:vAlign w:val="bottom"/>
          </w:tcPr>
          <w:p>
            <w:pPr>
              <w:jc w:val="center"/>
              <w:ind w:right="713"/>
              <w:spacing w:after="0"/>
              <w:rPr>
                <w:sz w:val="20"/>
                <w:szCs w:val="20"/>
                <w:color w:val="auto"/>
              </w:rPr>
            </w:pPr>
            <w:r>
              <w:rPr>
                <w:rFonts w:ascii="Arial" w:cs="Arial" w:eastAsia="Arial" w:hAnsi="Arial"/>
                <w:sz w:val="22"/>
                <w:szCs w:val="22"/>
                <w:color w:val="auto"/>
              </w:rPr>
              <w:t>4,891,304</w:t>
            </w:r>
          </w:p>
        </w:tc>
        <w:tc>
          <w:tcPr>
            <w:tcW w:w="800" w:type="dxa"/>
            <w:vAlign w:val="bottom"/>
          </w:tcPr>
          <w:p>
            <w:pPr>
              <w:jc w:val="center"/>
              <w:spacing w:after="0"/>
              <w:rPr>
                <w:sz w:val="20"/>
                <w:szCs w:val="20"/>
                <w:color w:val="auto"/>
              </w:rPr>
            </w:pPr>
            <w:r>
              <w:rPr>
                <w:rFonts w:ascii="Arial" w:cs="Arial" w:eastAsia="Arial" w:hAnsi="Arial"/>
                <w:sz w:val="22"/>
                <w:szCs w:val="22"/>
                <w:color w:val="auto"/>
                <w:w w:val="99"/>
              </w:rPr>
              <w:t>104%</w:t>
            </w:r>
          </w:p>
        </w:tc>
        <w:tc>
          <w:tcPr>
            <w:tcW w:w="0" w:type="dxa"/>
            <w:vAlign w:val="bottom"/>
          </w:tcPr>
          <w:p>
            <w:pPr>
              <w:spacing w:after="0"/>
              <w:rPr>
                <w:sz w:val="1"/>
                <w:szCs w:val="1"/>
                <w:color w:val="auto"/>
              </w:rPr>
            </w:pPr>
          </w:p>
        </w:tc>
      </w:tr>
      <w:tr>
        <w:trPr>
          <w:trHeight w:val="2107"/>
        </w:trPr>
        <w:tc>
          <w:tcPr>
            <w:tcW w:w="1080" w:type="dxa"/>
            <w:vAlign w:val="bottom"/>
            <w:tcBorders>
              <w:bottom w:val="single" w:sz="8" w:color="010101"/>
            </w:tcBorders>
          </w:tcPr>
          <w:p>
            <w:pPr>
              <w:spacing w:after="0"/>
              <w:rPr>
                <w:sz w:val="24"/>
                <w:szCs w:val="24"/>
                <w:color w:val="auto"/>
              </w:rPr>
            </w:pPr>
          </w:p>
        </w:tc>
        <w:tc>
          <w:tcPr>
            <w:tcW w:w="1640" w:type="dxa"/>
            <w:vAlign w:val="bottom"/>
            <w:tcBorders>
              <w:bottom w:val="single" w:sz="8" w:color="010101"/>
            </w:tcBorders>
          </w:tcPr>
          <w:p>
            <w:pPr>
              <w:spacing w:after="0"/>
              <w:rPr>
                <w:sz w:val="24"/>
                <w:szCs w:val="24"/>
                <w:color w:val="auto"/>
              </w:rPr>
            </w:pPr>
          </w:p>
        </w:tc>
        <w:tc>
          <w:tcPr>
            <w:tcW w:w="2660" w:type="dxa"/>
            <w:vAlign w:val="bottom"/>
            <w:tcBorders>
              <w:bottom w:val="single" w:sz="8" w:color="010101"/>
            </w:tcBorders>
          </w:tcPr>
          <w:p>
            <w:pPr>
              <w:spacing w:after="0"/>
              <w:rPr>
                <w:sz w:val="24"/>
                <w:szCs w:val="24"/>
                <w:color w:val="auto"/>
              </w:rPr>
            </w:pPr>
          </w:p>
        </w:tc>
        <w:tc>
          <w:tcPr>
            <w:tcW w:w="2220" w:type="dxa"/>
            <w:vAlign w:val="bottom"/>
            <w:tcBorders>
              <w:bottom w:val="single" w:sz="8" w:color="010101"/>
            </w:tcBorders>
          </w:tcPr>
          <w:p>
            <w:pPr>
              <w:spacing w:after="0"/>
              <w:rPr>
                <w:sz w:val="24"/>
                <w:szCs w:val="24"/>
                <w:color w:val="auto"/>
              </w:rPr>
            </w:pPr>
          </w:p>
        </w:tc>
        <w:tc>
          <w:tcPr>
            <w:tcW w:w="224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3">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-2394585</wp:posOffset>
            </wp:positionV>
            <wp:extent cx="6078220" cy="10795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4">
                      <a:extLst>
                        <a:ext uri="{28A0092B-C50C-407E-A947-70E740481C1C}"/>
                      </a:extLst>
                    </a:blip>
                    <a:srcRect/>
                    <a:stretch>
                      <a:fillRect/>
                    </a:stretch>
                  </pic:blipFill>
                  <pic:spPr bwMode="auto">
                    <a:xfrm>
                      <a:off x="0" y="0"/>
                      <a:ext cx="6078220" cy="1079500"/>
                    </a:xfrm>
                    <a:prstGeom prst="rect">
                      <a:avLst/>
                    </a:prstGeom>
                    <a:noFill/>
                  </pic:spPr>
                </pic:pic>
              </a:graphicData>
            </a:graphic>
          </wp:anchor>
        </w:drawing>
      </w:r>
    </w:p>
    <w:p>
      <w:pPr>
        <w:sectPr>
          <w:pgSz w:w="11900" w:h="16838" w:orient="portrait"/>
          <w:cols w:equalWidth="0" w:num="1">
            <w:col w:w="10640"/>
          </w:cols>
          <w:pgMar w:left="126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19 / 25</w:t>
      </w:r>
    </w:p>
    <w:p>
      <w:pPr>
        <w:sectPr>
          <w:pgSz w:w="11900" w:h="16838" w:orient="portrait"/>
          <w:cols w:equalWidth="0" w:num="1">
            <w:col w:w="10640"/>
          </w:cols>
          <w:pgMar w:left="1260" w:top="1440" w:right="6" w:bottom="0" w:gutter="0" w:footer="0" w:header="0"/>
          <w:type w:val="continuous"/>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Figure below shows a comparison between the current and previous resource evaluation areas (Burga 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1577340</wp:posOffset>
            </wp:positionH>
            <wp:positionV relativeFrom="paragraph">
              <wp:posOffset>177165</wp:posOffset>
            </wp:positionV>
            <wp:extent cx="4381500" cy="62007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5">
                      <a:extLst>
                        <a:ext uri="{28A0092B-C50C-407E-A947-70E740481C1C}"/>
                      </a:extLst>
                    </a:blip>
                    <a:srcRect/>
                    <a:stretch>
                      <a:fillRect/>
                    </a:stretch>
                  </pic:blipFill>
                  <pic:spPr bwMode="auto">
                    <a:xfrm>
                      <a:off x="0" y="0"/>
                      <a:ext cx="4381500" cy="620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i w:val="1"/>
          <w:iCs w:val="1"/>
          <w:color w:val="auto"/>
        </w:rPr>
        <w:t>Figure: Comparison between the extension of the current Mineral Resource evaluation and the Previous Mi Resource evaluation (Burga,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747395</wp:posOffset>
            </wp:positionV>
            <wp:extent cx="6764020"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20 / 25</w:t>
      </w:r>
    </w:p>
    <w:p>
      <w:pPr>
        <w:sectPr>
          <w:pgSz w:w="11900" w:h="16838" w:orient="portrait"/>
          <w:cols w:equalWidth="0" w:num="1">
            <w:col w:w="10460"/>
          </w:cols>
          <w:pgMar w:left="1440" w:top="1440" w:right="6" w:bottom="0" w:gutter="0" w:footer="0" w:header="0"/>
          <w:type w:val="continuous"/>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Mineral Reserves</w:t>
      </w:r>
    </w:p>
    <w:p>
      <w:pPr>
        <w:spacing w:after="0" w:line="27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table below sets forth the comparison of the Mineral Reserves for the year ended December 31, 2024 December 31, 2025</w:t>
      </w:r>
    </w:p>
    <w:p>
      <w:pPr>
        <w:spacing w:after="0" w:line="2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2025 Mineral Reserve Estimate was derived from the 2019 Mineral Resource Estimate prepare Montgomery &amp; Associates, which incorporated the hydrostratigraphic framework and numerical models, as as additional drilling and testing data collected up to the effective date of May 7, 2019, using an expa dataset. It was reviewed and confirmed as current as of December 31, 2024. Once formulated and calibrate updated model simulated a production wellfield to evaluate the ability of the brine aquifer to sustain produ sufficient to support a minimum processing rate of 40,000 tpa of LCE over a 40-year operating period. verifying that this target was technically feasible, the model was used to evaluate a higher potential produ rate of 48,800 tpa LCE in support of the Total Mineral Reserve Estimate for the same 40-year period.</w:t>
      </w:r>
    </w:p>
    <w:p>
      <w:pPr>
        <w:spacing w:after="0" w:line="215"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In 2025, Exar engaged Aquatec and Mark King, PhD, P.Geo., FGC the QP to estimate the 2026 Mi Reserves associated with the 2026 Resource Estimate, incorporating additional drilling, testing and produ data through an effective date of December 31, 2025. To support the updated Mineral Reserve Estimate Aq developed a new hydrostratigraphic framework and numerical model and the expanded dataset. Follo calibration with the historical operation and production data, the updated numerical model simulated the cu production wellfield to evaluate the ability of the brine aquifer to sustain a target of 40,000 tpa LCE ove additional 35-year operational period which is reported as reserves, starting January 1 2026 and exten through the end of year 2060, designed to match the original 40-year period which was defined based o estimated useful life of the plant.</w:t>
      </w:r>
    </w:p>
    <w:p>
      <w:pPr>
        <w:spacing w:after="0" w:line="20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Following the verification that the current production wellfield is capable of delivering sufficient brine to sustai minimum Stage 1 target production rate of 40,000 tpa of LCE, ongoing updates to the calibrated numerical m are being undertaken to evaluate this production rate from the entire Salar basin.</w:t>
      </w:r>
    </w:p>
    <w:p>
      <w:pPr>
        <w:spacing w:after="0" w:line="2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These modeling efforts are designed to support the estimation of a Total Mineral Reserve to allow for a Sta expansion reaching a total production of more than 80,000 tpa over a 40-year operating life. Stage II w incorporating a new processing technology that will help increase the lithium recovery, reduce the land foo and accelerate the Project schedule.</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main differences between 2019 and 2026 Mineral Reserves Estimations are summarized below:</w:t>
      </w:r>
    </w:p>
    <w:p>
      <w:pPr>
        <w:spacing w:after="0" w:line="236" w:lineRule="exact"/>
        <w:rPr>
          <w:sz w:val="20"/>
          <w:szCs w:val="20"/>
          <w:color w:val="auto"/>
        </w:rPr>
      </w:pPr>
    </w:p>
    <w:p>
      <w:pPr>
        <w:ind w:left="1620" w:hanging="366"/>
        <w:spacing w:after="0"/>
        <w:tabs>
          <w:tab w:leader="none" w:pos="16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Production Basis and Expansion Framework</w:t>
      </w:r>
    </w:p>
    <w:p>
      <w:pPr>
        <w:spacing w:after="0" w:line="257" w:lineRule="exact"/>
        <w:rPr>
          <w:rFonts w:ascii="Arial" w:cs="Arial" w:eastAsia="Arial" w:hAnsi="Arial"/>
          <w:sz w:val="20"/>
          <w:szCs w:val="20"/>
          <w:color w:val="auto"/>
        </w:rPr>
      </w:pPr>
    </w:p>
    <w:p>
      <w:pPr>
        <w:ind w:left="1980" w:hanging="360"/>
        <w:spacing w:after="0" w:line="373" w:lineRule="auto"/>
        <w:rPr>
          <w:rFonts w:ascii="Arial" w:cs="Arial" w:eastAsia="Arial" w:hAnsi="Arial"/>
          <w:sz w:val="20"/>
          <w:szCs w:val="20"/>
          <w:color w:val="auto"/>
        </w:rPr>
      </w:pPr>
      <w:r>
        <w:rPr>
          <w:rFonts w:ascii="Arial" w:cs="Arial" w:eastAsia="Arial" w:hAnsi="Arial"/>
          <w:sz w:val="20"/>
          <w:szCs w:val="20"/>
          <w:color w:val="auto"/>
        </w:rPr>
        <w:t>o The 2026 Mineral Reserves Estimate is based on a target production rate of 40,000 tpa of LC Stage 1 operations. The current mineral reserve estimate intentionally evaluates reserves suffici support this base production rate, while preserving additional extraction capacity for a potential S 2 expansion in the future which could include Cauchari South and a total production of approxim 80,000 tpa LCE.</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21 / 25</w:t>
      </w:r>
    </w:p>
    <w:p>
      <w:pPr>
        <w:sectPr>
          <w:pgSz w:w="11900" w:h="16838" w:orient="portrait"/>
          <w:cols w:equalWidth="0" w:num="1">
            <w:col w:w="10460"/>
          </w:cols>
          <w:pgMar w:left="1440" w:top="1440" w:right="6" w:bottom="0" w:gutter="0" w:footer="0" w:header="0"/>
          <w:type w:val="continuous"/>
        </w:sectPr>
      </w:pPr>
    </w:p>
    <w:bookmarkStart w:id="106" w:name="page107"/>
    <w:bookmarkEnd w:id="106"/>
    <w:p>
      <w:pPr>
        <w:jc w:val="both"/>
        <w:ind w:left="1980" w:hanging="366"/>
        <w:spacing w:after="0" w:line="372" w:lineRule="auto"/>
        <w:tabs>
          <w:tab w:leader="none" w:pos="1980" w:val="left"/>
        </w:tabs>
        <w:numPr>
          <w:ilvl w:val="1"/>
          <w:numId w:val="29"/>
        </w:numPr>
        <w:rPr>
          <w:rFonts w:ascii="Arial" w:cs="Arial" w:eastAsia="Arial" w:hAnsi="Arial"/>
          <w:sz w:val="20"/>
          <w:szCs w:val="20"/>
          <w:color w:val="auto"/>
        </w:rPr>
      </w:pPr>
      <w:r>
        <w:rPr>
          <w:rFonts w:ascii="Arial" w:cs="Arial" w:eastAsia="Arial" w:hAnsi="Arial"/>
          <w:sz w:val="20"/>
          <w:szCs w:val="20"/>
          <w:color w:val="auto"/>
        </w:rPr>
        <w:t>In contrast, the 2019 Mineral Reserves Estimate, considered a maximum production of 48,80 LCE over a 40 year operating period, based on a larger wellfield and production capacity be Stage 1.</w:t>
      </w:r>
    </w:p>
    <w:p>
      <w:pPr>
        <w:spacing w:after="0" w:line="123" w:lineRule="exact"/>
        <w:rPr>
          <w:rFonts w:ascii="Arial" w:cs="Arial" w:eastAsia="Arial" w:hAnsi="Arial"/>
          <w:sz w:val="20"/>
          <w:szCs w:val="20"/>
          <w:color w:val="auto"/>
        </w:rPr>
      </w:pPr>
    </w:p>
    <w:p>
      <w:pPr>
        <w:ind w:left="1620" w:hanging="366"/>
        <w:spacing w:after="0"/>
        <w:tabs>
          <w:tab w:leader="none" w:pos="16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Mine Life and Treatment of Historical Production</w:t>
      </w:r>
    </w:p>
    <w:p>
      <w:pPr>
        <w:spacing w:after="0" w:line="257" w:lineRule="exact"/>
        <w:rPr>
          <w:rFonts w:ascii="Arial" w:cs="Arial" w:eastAsia="Arial" w:hAnsi="Arial"/>
          <w:sz w:val="20"/>
          <w:szCs w:val="20"/>
          <w:color w:val="auto"/>
        </w:rPr>
      </w:pPr>
    </w:p>
    <w:p>
      <w:pPr>
        <w:jc w:val="both"/>
        <w:ind w:left="1980" w:right="20" w:hanging="366"/>
        <w:spacing w:after="0" w:line="372" w:lineRule="auto"/>
        <w:tabs>
          <w:tab w:leader="none" w:pos="1980"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2026 Mineral Reserves Estimate considers a 35-year period, from January 1, 2026, thr December 31, 2060. The estimate is forward-looking and excludes historical production from 2018 to 2025 of 280,978 t LCE which includes the current brine inventory.</w:t>
      </w:r>
    </w:p>
    <w:p>
      <w:pPr>
        <w:spacing w:after="0" w:line="130" w:lineRule="exact"/>
        <w:rPr>
          <w:rFonts w:ascii="Arial" w:cs="Arial" w:eastAsia="Arial" w:hAnsi="Arial"/>
          <w:sz w:val="20"/>
          <w:szCs w:val="20"/>
          <w:color w:val="auto"/>
        </w:rPr>
      </w:pPr>
    </w:p>
    <w:p>
      <w:pPr>
        <w:ind w:left="1980" w:hanging="366"/>
        <w:spacing w:after="0" w:line="372" w:lineRule="auto"/>
        <w:tabs>
          <w:tab w:leader="none" w:pos="1980" w:val="left"/>
        </w:tabs>
        <w:numPr>
          <w:ilvl w:val="1"/>
          <w:numId w:val="29"/>
        </w:numPr>
        <w:rPr>
          <w:rFonts w:ascii="Arial" w:cs="Arial" w:eastAsia="Arial" w:hAnsi="Arial"/>
          <w:sz w:val="20"/>
          <w:szCs w:val="20"/>
          <w:color w:val="auto"/>
        </w:rPr>
      </w:pPr>
      <w:r>
        <w:rPr>
          <w:rFonts w:ascii="Arial" w:cs="Arial" w:eastAsia="Arial" w:hAnsi="Arial"/>
          <w:sz w:val="20"/>
          <w:szCs w:val="20"/>
          <w:color w:val="auto"/>
        </w:rPr>
        <w:t>No material changes to previous 40-year project life from 2019 Mineral Reserve Estimate adjusting for brine production from 2018-2025 and 2026 Mineral Reserves Estimate of 35-year p from January 1, 2026 to December 31, 2060.</w:t>
      </w:r>
    </w:p>
    <w:p>
      <w:pPr>
        <w:spacing w:after="0" w:line="130" w:lineRule="exact"/>
        <w:rPr>
          <w:rFonts w:ascii="Arial" w:cs="Arial" w:eastAsia="Arial" w:hAnsi="Arial"/>
          <w:sz w:val="20"/>
          <w:szCs w:val="20"/>
          <w:color w:val="auto"/>
        </w:rPr>
      </w:pPr>
    </w:p>
    <w:p>
      <w:pPr>
        <w:jc w:val="both"/>
        <w:ind w:left="1980" w:hanging="366"/>
        <w:spacing w:after="0" w:line="372" w:lineRule="auto"/>
        <w:tabs>
          <w:tab w:leader="none" w:pos="1980" w:val="left"/>
        </w:tabs>
        <w:numPr>
          <w:ilvl w:val="1"/>
          <w:numId w:val="29"/>
        </w:numPr>
        <w:rPr>
          <w:rFonts w:ascii="Arial" w:cs="Arial" w:eastAsia="Arial" w:hAnsi="Arial"/>
          <w:sz w:val="20"/>
          <w:szCs w:val="20"/>
          <w:color w:val="auto"/>
        </w:rPr>
      </w:pPr>
      <w:r>
        <w:rPr>
          <w:rFonts w:ascii="Arial" w:cs="Arial" w:eastAsia="Arial" w:hAnsi="Arial"/>
          <w:sz w:val="20"/>
          <w:szCs w:val="20"/>
          <w:color w:val="auto"/>
        </w:rPr>
        <w:t>Despite the exclusion of historical production, modeled lithium at the end of the reserve life rem robust and drawdowns in both salars are not significant, leaving room for an extension of proje or future Stage 2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1060450</wp:posOffset>
            </wp:positionV>
            <wp:extent cx="6764020"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33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22 / 25</w:t>
      </w:r>
    </w:p>
    <w:p>
      <w:pPr>
        <w:sectPr>
          <w:pgSz w:w="11900" w:h="16838" w:orient="portrait"/>
          <w:cols w:equalWidth="0" w:num="1">
            <w:col w:w="10460"/>
          </w:cols>
          <w:pgMar w:left="1440" w:top="1335" w:right="6" w:bottom="0" w:gutter="0" w:footer="0" w:header="0"/>
          <w:type w:val="continuous"/>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20" w:hanging="366"/>
        <w:spacing w:after="0"/>
        <w:tabs>
          <w:tab w:leader="none" w:pos="16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Process Recovery Assumptions</w:t>
      </w:r>
    </w:p>
    <w:p>
      <w:pPr>
        <w:spacing w:after="0" w:line="257" w:lineRule="exact"/>
        <w:rPr>
          <w:rFonts w:ascii="Arial" w:cs="Arial" w:eastAsia="Arial" w:hAnsi="Arial"/>
          <w:sz w:val="20"/>
          <w:szCs w:val="20"/>
          <w:color w:val="auto"/>
        </w:rPr>
      </w:pPr>
    </w:p>
    <w:p>
      <w:pPr>
        <w:ind w:left="1980" w:hanging="360"/>
        <w:spacing w:after="0" w:line="372" w:lineRule="auto"/>
        <w:rPr>
          <w:rFonts w:ascii="Arial" w:cs="Arial" w:eastAsia="Arial" w:hAnsi="Arial"/>
          <w:sz w:val="20"/>
          <w:szCs w:val="20"/>
          <w:color w:val="auto"/>
        </w:rPr>
      </w:pPr>
      <w:r>
        <w:rPr>
          <w:rFonts w:ascii="Arial" w:cs="Arial" w:eastAsia="Arial" w:hAnsi="Arial"/>
          <w:sz w:val="20"/>
          <w:szCs w:val="20"/>
          <w:color w:val="auto"/>
        </w:rPr>
        <w:t>o The 2026 Mineral Reserves Estimate uses an updated process recovery assumption of 63 reflecting demonstrated operating performance, while the 2019 Mineral Reserve Estimate appl theoretical process efficiency of 53.7 %.</w:t>
      </w:r>
    </w:p>
    <w:p>
      <w:pPr>
        <w:spacing w:after="0" w:line="123" w:lineRule="exact"/>
        <w:rPr>
          <w:rFonts w:ascii="Arial" w:cs="Arial" w:eastAsia="Arial" w:hAnsi="Arial"/>
          <w:sz w:val="20"/>
          <w:szCs w:val="20"/>
          <w:color w:val="auto"/>
        </w:rPr>
      </w:pPr>
    </w:p>
    <w:p>
      <w:pPr>
        <w:ind w:left="1620" w:hanging="366"/>
        <w:spacing w:after="0"/>
        <w:tabs>
          <w:tab w:leader="none" w:pos="16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Proven Mineral Reserves</w:t>
      </w:r>
    </w:p>
    <w:p>
      <w:pPr>
        <w:spacing w:after="0" w:line="257" w:lineRule="exact"/>
        <w:rPr>
          <w:rFonts w:ascii="Arial" w:cs="Arial" w:eastAsia="Arial" w:hAnsi="Arial"/>
          <w:sz w:val="20"/>
          <w:szCs w:val="20"/>
          <w:color w:val="auto"/>
        </w:rPr>
      </w:pPr>
    </w:p>
    <w:p>
      <w:pPr>
        <w:ind w:left="1980" w:hanging="360"/>
        <w:spacing w:after="0" w:line="373" w:lineRule="auto"/>
        <w:rPr>
          <w:rFonts w:ascii="Arial" w:cs="Arial" w:eastAsia="Arial" w:hAnsi="Arial"/>
          <w:sz w:val="20"/>
          <w:szCs w:val="20"/>
          <w:color w:val="auto"/>
        </w:rPr>
      </w:pPr>
      <w:r>
        <w:rPr>
          <w:rFonts w:ascii="Arial" w:cs="Arial" w:eastAsia="Arial" w:hAnsi="Arial"/>
          <w:sz w:val="20"/>
          <w:szCs w:val="20"/>
          <w:color w:val="auto"/>
        </w:rPr>
        <w:t>o The 2026 proven Mineral Reserves Estimate are evaluated in the first 10 years of produc supported by available production history, updated resource modeling, and drawdowns and lit concentration, giving additional certainty compared to the 2019 Reserves Estimates. As a res the incorporation of operating history and updated modeling, Proven Mineral Reserves increased by 45% in 2026 relative to the 2019 estimations.</w:t>
      </w:r>
    </w:p>
    <w:p>
      <w:pPr>
        <w:spacing w:after="0" w:line="125" w:lineRule="exact"/>
        <w:rPr>
          <w:rFonts w:ascii="Arial" w:cs="Arial" w:eastAsia="Arial" w:hAnsi="Arial"/>
          <w:sz w:val="20"/>
          <w:szCs w:val="20"/>
          <w:color w:val="auto"/>
        </w:rPr>
      </w:pPr>
    </w:p>
    <w:p>
      <w:pPr>
        <w:ind w:left="1620" w:hanging="366"/>
        <w:spacing w:after="0"/>
        <w:tabs>
          <w:tab w:leader="none" w:pos="16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Probable Mineral Reserves</w:t>
      </w:r>
    </w:p>
    <w:p>
      <w:pPr>
        <w:spacing w:after="0" w:line="257" w:lineRule="exact"/>
        <w:rPr>
          <w:rFonts w:ascii="Arial" w:cs="Arial" w:eastAsia="Arial" w:hAnsi="Arial"/>
          <w:sz w:val="20"/>
          <w:szCs w:val="20"/>
          <w:color w:val="auto"/>
        </w:rPr>
      </w:pPr>
    </w:p>
    <w:p>
      <w:pPr>
        <w:jc w:val="right"/>
        <w:ind w:left="1980" w:right="40" w:hanging="360"/>
        <w:spacing w:after="0" w:line="400" w:lineRule="auto"/>
        <w:rPr>
          <w:rFonts w:ascii="Arial" w:cs="Arial" w:eastAsia="Arial" w:hAnsi="Arial"/>
          <w:sz w:val="20"/>
          <w:szCs w:val="20"/>
          <w:color w:val="auto"/>
        </w:rPr>
      </w:pPr>
      <w:r>
        <w:rPr>
          <w:rFonts w:ascii="Arial" w:cs="Arial" w:eastAsia="Arial" w:hAnsi="Arial"/>
          <w:sz w:val="19"/>
          <w:szCs w:val="19"/>
          <w:color w:val="auto"/>
        </w:rPr>
        <w:t>o   The 2026 Probable Reserves estimates are reduced by 40% changes in classification method and production assumptions, rather than a deterioration in resource quality. Key factors include:</w:t>
      </w:r>
    </w:p>
    <w:p>
      <w:pPr>
        <w:spacing w:after="0" w:line="111" w:lineRule="exact"/>
        <w:rPr>
          <w:rFonts w:ascii="Arial" w:cs="Arial" w:eastAsia="Arial" w:hAnsi="Arial"/>
          <w:sz w:val="20"/>
          <w:szCs w:val="20"/>
          <w:color w:val="auto"/>
        </w:rPr>
      </w:pPr>
    </w:p>
    <w:p>
      <w:pPr>
        <w:ind w:left="2340" w:hanging="366"/>
        <w:spacing w:after="0" w:line="368" w:lineRule="auto"/>
        <w:tabs>
          <w:tab w:leader="none" w:pos="2340" w:val="left"/>
        </w:tabs>
        <w:numPr>
          <w:ilvl w:val="1"/>
          <w:numId w:val="30"/>
        </w:numPr>
        <w:rPr>
          <w:rFonts w:ascii="Arial" w:cs="Arial" w:eastAsia="Arial" w:hAnsi="Arial"/>
          <w:sz w:val="20"/>
          <w:szCs w:val="20"/>
          <w:color w:val="auto"/>
        </w:rPr>
      </w:pPr>
      <w:r>
        <w:rPr>
          <w:rFonts w:ascii="Arial" w:cs="Arial" w:eastAsia="Arial" w:hAnsi="Arial"/>
          <w:sz w:val="20"/>
          <w:szCs w:val="20"/>
          <w:color w:val="auto"/>
        </w:rPr>
        <w:t>Five years of production previously classified at Probable being reclassified as proven, supp by operational data.</w:t>
      </w:r>
    </w:p>
    <w:p>
      <w:pPr>
        <w:spacing w:after="0" w:line="134" w:lineRule="exact"/>
        <w:rPr>
          <w:rFonts w:ascii="Arial" w:cs="Arial" w:eastAsia="Arial" w:hAnsi="Arial"/>
          <w:sz w:val="20"/>
          <w:szCs w:val="20"/>
          <w:color w:val="auto"/>
        </w:rPr>
      </w:pPr>
    </w:p>
    <w:p>
      <w:pPr>
        <w:ind w:left="2340" w:right="40" w:hanging="366"/>
        <w:spacing w:after="0" w:line="368" w:lineRule="auto"/>
        <w:tabs>
          <w:tab w:leader="none" w:pos="2340" w:val="left"/>
        </w:tabs>
        <w:numPr>
          <w:ilvl w:val="1"/>
          <w:numId w:val="30"/>
        </w:numPr>
        <w:rPr>
          <w:rFonts w:ascii="Arial" w:cs="Arial" w:eastAsia="Arial" w:hAnsi="Arial"/>
          <w:sz w:val="20"/>
          <w:szCs w:val="20"/>
          <w:color w:val="auto"/>
        </w:rPr>
      </w:pPr>
      <w:r>
        <w:rPr>
          <w:rFonts w:ascii="Arial" w:cs="Arial" w:eastAsia="Arial" w:hAnsi="Arial"/>
          <w:sz w:val="20"/>
          <w:szCs w:val="20"/>
          <w:color w:val="auto"/>
        </w:rPr>
        <w:t>Production from 2018 to end of 2025 is not considered in the 2025 Reserves Estimate as th calculated forward looking.</w:t>
      </w:r>
    </w:p>
    <w:p>
      <w:pPr>
        <w:spacing w:after="0" w:line="134" w:lineRule="exact"/>
        <w:rPr>
          <w:rFonts w:ascii="Arial" w:cs="Arial" w:eastAsia="Arial" w:hAnsi="Arial"/>
          <w:sz w:val="20"/>
          <w:szCs w:val="20"/>
          <w:color w:val="auto"/>
        </w:rPr>
      </w:pPr>
    </w:p>
    <w:p>
      <w:pPr>
        <w:jc w:val="both"/>
        <w:ind w:left="2340" w:hanging="366"/>
        <w:spacing w:after="0" w:line="372" w:lineRule="auto"/>
        <w:tabs>
          <w:tab w:leader="none" w:pos="2340" w:val="left"/>
        </w:tabs>
        <w:numPr>
          <w:ilvl w:val="1"/>
          <w:numId w:val="30"/>
        </w:numPr>
        <w:rPr>
          <w:rFonts w:ascii="Arial" w:cs="Arial" w:eastAsia="Arial" w:hAnsi="Arial"/>
          <w:sz w:val="20"/>
          <w:szCs w:val="20"/>
          <w:color w:val="auto"/>
        </w:rPr>
      </w:pPr>
      <w:r>
        <w:rPr>
          <w:rFonts w:ascii="Arial" w:cs="Arial" w:eastAsia="Arial" w:hAnsi="Arial"/>
          <w:sz w:val="20"/>
          <w:szCs w:val="20"/>
          <w:color w:val="auto"/>
        </w:rPr>
        <w:t>Production in 2026 estimate only considers sufficient brine for target of 40,000 tpa LCE le additional production for a future expansion, while 2019 Probable Reserves Estimates cons a production of 48,800 tpa LCE.</w:t>
      </w:r>
    </w:p>
    <w:p>
      <w:pPr>
        <w:spacing w:after="0" w:line="123" w:lineRule="exact"/>
        <w:rPr>
          <w:rFonts w:ascii="Arial" w:cs="Arial" w:eastAsia="Arial" w:hAnsi="Arial"/>
          <w:sz w:val="20"/>
          <w:szCs w:val="20"/>
          <w:color w:val="auto"/>
        </w:rPr>
      </w:pPr>
    </w:p>
    <w:p>
      <w:pPr>
        <w:ind w:left="1620" w:hanging="366"/>
        <w:spacing w:after="0"/>
        <w:tabs>
          <w:tab w:leader="none" w:pos="16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Wellfield Development Assumptions</w:t>
      </w:r>
    </w:p>
    <w:p>
      <w:pPr>
        <w:spacing w:after="0" w:line="257" w:lineRule="exact"/>
        <w:rPr>
          <w:rFonts w:ascii="Arial" w:cs="Arial" w:eastAsia="Arial" w:hAnsi="Arial"/>
          <w:sz w:val="20"/>
          <w:szCs w:val="20"/>
          <w:color w:val="auto"/>
        </w:rPr>
      </w:pPr>
    </w:p>
    <w:p>
      <w:pPr>
        <w:jc w:val="both"/>
        <w:ind w:left="1980" w:hanging="360"/>
        <w:spacing w:after="0" w:line="373" w:lineRule="auto"/>
        <w:rPr>
          <w:rFonts w:ascii="Arial" w:cs="Arial" w:eastAsia="Arial" w:hAnsi="Arial"/>
          <w:sz w:val="20"/>
          <w:szCs w:val="20"/>
          <w:color w:val="auto"/>
        </w:rPr>
      </w:pPr>
      <w:r>
        <w:rPr>
          <w:rFonts w:ascii="Arial" w:cs="Arial" w:eastAsia="Arial" w:hAnsi="Arial"/>
          <w:sz w:val="20"/>
          <w:szCs w:val="20"/>
          <w:color w:val="auto"/>
        </w:rPr>
        <w:t>o In 2019 Reserves Estimation, the wellfield output involved 56 wells to produce 48,800 tpa LCE, was considered the wellfield limit, whereas in 2026 Reserve Estimation considers curren production wells drilled to prove sufficient brine in Stage 1 for production of 40,000 tpa LCE. On Numerical Model simulations aim to prove Stage 2 expansion to a total production of over 80,00 LCE based on a larger wellfield.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154305</wp:posOffset>
            </wp:positionV>
            <wp:extent cx="6042025" cy="6108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8">
                      <a:extLst>
                        <a:ext uri="{28A0092B-C50C-407E-A947-70E740481C1C}"/>
                      </a:extLst>
                    </a:blip>
                    <a:srcRect/>
                    <a:stretch>
                      <a:fillRect/>
                    </a:stretch>
                  </pic:blipFill>
                  <pic:spPr bwMode="auto">
                    <a:xfrm>
                      <a:off x="0" y="0"/>
                      <a:ext cx="6042025" cy="610870"/>
                    </a:xfrm>
                    <a:prstGeom prst="rect">
                      <a:avLst/>
                    </a:prstGeom>
                    <a:noFill/>
                  </pic:spPr>
                </pic:pic>
              </a:graphicData>
            </a:graphic>
          </wp:anchor>
        </w:drawing>
      </w:r>
    </w:p>
    <w:p>
      <w:pPr>
        <w:spacing w:after="0" w:line="287"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FFFFFF"/>
        </w:rPr>
        <w:t>Comparison of Mineral Reserve Estimates- Current and Previous (Burga et al. 2025)</w:t>
      </w:r>
    </w:p>
    <w:p>
      <w:pPr>
        <w:spacing w:after="0" w:line="54" w:lineRule="exact"/>
        <w:rPr>
          <w:sz w:val="20"/>
          <w:szCs w:val="20"/>
          <w:color w:val="auto"/>
        </w:rPr>
      </w:pPr>
    </w:p>
    <w:tbl>
      <w:tblPr>
        <w:tblLayout w:type="fixed"/>
        <w:tblInd w:w="900" w:type="dxa"/>
        <w:tblCellMar>
          <w:top w:w="0" w:type="dxa"/>
          <w:left w:w="0" w:type="dxa"/>
          <w:bottom w:w="0" w:type="dxa"/>
          <w:right w:w="0" w:type="dxa"/>
        </w:tblCellMar>
      </w:tblPr>
      <w:tr>
        <w:trPr>
          <w:trHeight w:val="412"/>
        </w:trPr>
        <w:tc>
          <w:tcPr>
            <w:tcW w:w="1920" w:type="dxa"/>
            <w:vAlign w:val="bottom"/>
            <w:vMerge w:val="restart"/>
            <w:shd w:val="clear" w:color="auto" w:fill="153A57"/>
          </w:tcPr>
          <w:p>
            <w:pPr>
              <w:ind w:left="120"/>
              <w:spacing w:after="0"/>
              <w:rPr>
                <w:sz w:val="20"/>
                <w:szCs w:val="20"/>
                <w:color w:val="auto"/>
              </w:rPr>
            </w:pPr>
            <w:r>
              <w:rPr>
                <w:rFonts w:ascii="Arial" w:cs="Arial" w:eastAsia="Arial" w:hAnsi="Arial"/>
                <w:sz w:val="20"/>
                <w:szCs w:val="20"/>
                <w:b w:val="1"/>
                <w:bCs w:val="1"/>
                <w:color w:val="FFFFFF"/>
              </w:rPr>
              <w:t>Reserve Category</w:t>
            </w:r>
          </w:p>
        </w:tc>
        <w:tc>
          <w:tcPr>
            <w:tcW w:w="5160" w:type="dxa"/>
            <w:vAlign w:val="bottom"/>
            <w:gridSpan w:val="2"/>
            <w:shd w:val="clear" w:color="auto" w:fill="153A57"/>
          </w:tcPr>
          <w:p>
            <w:pPr>
              <w:ind w:left="940"/>
              <w:spacing w:after="0"/>
              <w:rPr>
                <w:sz w:val="20"/>
                <w:szCs w:val="20"/>
                <w:color w:val="auto"/>
              </w:rPr>
            </w:pPr>
            <w:r>
              <w:rPr>
                <w:rFonts w:ascii="Arial" w:cs="Arial" w:eastAsia="Arial" w:hAnsi="Arial"/>
                <w:sz w:val="20"/>
                <w:szCs w:val="20"/>
                <w:b w:val="1"/>
                <w:bCs w:val="1"/>
                <w:color w:val="FFFFFF"/>
              </w:rPr>
              <w:t>Mineral Reserves Estimates t LCE</w:t>
            </w:r>
          </w:p>
        </w:tc>
        <w:tc>
          <w:tcPr>
            <w:tcW w:w="1720" w:type="dxa"/>
            <w:vAlign w:val="bottom"/>
            <w:shd w:val="clear" w:color="auto" w:fill="153A57"/>
          </w:tcPr>
          <w:p>
            <w:pPr>
              <w:ind w:left="660"/>
              <w:spacing w:after="0"/>
              <w:rPr>
                <w:sz w:val="20"/>
                <w:szCs w:val="20"/>
                <w:color w:val="auto"/>
              </w:rPr>
            </w:pPr>
            <w:r>
              <w:rPr>
                <w:rFonts w:ascii="Arial" w:cs="Arial" w:eastAsia="Arial" w:hAnsi="Arial"/>
                <w:sz w:val="20"/>
                <w:szCs w:val="20"/>
                <w:b w:val="1"/>
                <w:bCs w:val="1"/>
                <w:color w:val="FFFFFF"/>
              </w:rPr>
              <w:t>Difference</w:t>
            </w:r>
          </w:p>
        </w:tc>
        <w:tc>
          <w:tcPr>
            <w:tcW w:w="660" w:type="dxa"/>
            <w:vAlign w:val="bottom"/>
            <w:shd w:val="clear" w:color="auto" w:fill="153A57"/>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920" w:type="dxa"/>
            <w:vAlign w:val="bottom"/>
            <w:vMerge w:val="continue"/>
            <w:shd w:val="clear" w:color="auto" w:fill="153A57"/>
          </w:tcPr>
          <w:p>
            <w:pPr>
              <w:spacing w:after="0"/>
              <w:rPr>
                <w:sz w:val="13"/>
                <w:szCs w:val="13"/>
                <w:color w:val="auto"/>
              </w:rPr>
            </w:pPr>
          </w:p>
        </w:tc>
        <w:tc>
          <w:tcPr>
            <w:tcW w:w="2820" w:type="dxa"/>
            <w:vAlign w:val="bottom"/>
            <w:shd w:val="clear" w:color="auto" w:fill="153A57"/>
          </w:tcPr>
          <w:p>
            <w:pPr>
              <w:spacing w:after="0"/>
              <w:rPr>
                <w:sz w:val="13"/>
                <w:szCs w:val="13"/>
                <w:color w:val="auto"/>
              </w:rPr>
            </w:pPr>
          </w:p>
        </w:tc>
        <w:tc>
          <w:tcPr>
            <w:tcW w:w="2340" w:type="dxa"/>
            <w:vAlign w:val="bottom"/>
            <w:shd w:val="clear" w:color="auto" w:fill="153A57"/>
          </w:tcPr>
          <w:p>
            <w:pPr>
              <w:spacing w:after="0"/>
              <w:rPr>
                <w:sz w:val="13"/>
                <w:szCs w:val="13"/>
                <w:color w:val="auto"/>
              </w:rPr>
            </w:pPr>
          </w:p>
        </w:tc>
        <w:tc>
          <w:tcPr>
            <w:tcW w:w="1720" w:type="dxa"/>
            <w:vAlign w:val="bottom"/>
            <w:shd w:val="clear" w:color="auto" w:fill="153A57"/>
          </w:tcPr>
          <w:p>
            <w:pPr>
              <w:spacing w:after="0"/>
              <w:rPr>
                <w:sz w:val="13"/>
                <w:szCs w:val="13"/>
                <w:color w:val="auto"/>
              </w:rPr>
            </w:pPr>
          </w:p>
        </w:tc>
        <w:tc>
          <w:tcPr>
            <w:tcW w:w="660" w:type="dxa"/>
            <w:vAlign w:val="bottom"/>
            <w:shd w:val="clear" w:color="auto" w:fill="153A57"/>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1920" w:type="dxa"/>
            <w:vAlign w:val="bottom"/>
            <w:shd w:val="clear" w:color="auto" w:fill="153A57"/>
          </w:tcPr>
          <w:p>
            <w:pPr>
              <w:spacing w:after="0"/>
              <w:rPr>
                <w:sz w:val="4"/>
                <w:szCs w:val="4"/>
                <w:color w:val="auto"/>
              </w:rPr>
            </w:pPr>
          </w:p>
        </w:tc>
        <w:tc>
          <w:tcPr>
            <w:tcW w:w="2820" w:type="dxa"/>
            <w:vAlign w:val="bottom"/>
            <w:shd w:val="clear" w:color="auto" w:fill="153A57"/>
          </w:tcPr>
          <w:p>
            <w:pPr>
              <w:spacing w:after="0"/>
              <w:rPr>
                <w:sz w:val="4"/>
                <w:szCs w:val="4"/>
                <w:color w:val="auto"/>
              </w:rPr>
            </w:pPr>
          </w:p>
        </w:tc>
        <w:tc>
          <w:tcPr>
            <w:tcW w:w="2340" w:type="dxa"/>
            <w:vAlign w:val="bottom"/>
            <w:shd w:val="clear" w:color="auto" w:fill="153A57"/>
          </w:tcPr>
          <w:p>
            <w:pPr>
              <w:spacing w:after="0"/>
              <w:rPr>
                <w:sz w:val="4"/>
                <w:szCs w:val="4"/>
                <w:color w:val="auto"/>
              </w:rPr>
            </w:pPr>
          </w:p>
        </w:tc>
        <w:tc>
          <w:tcPr>
            <w:tcW w:w="1720" w:type="dxa"/>
            <w:vAlign w:val="bottom"/>
            <w:shd w:val="clear" w:color="auto" w:fill="153A57"/>
          </w:tcPr>
          <w:p>
            <w:pPr>
              <w:spacing w:after="0"/>
              <w:rPr>
                <w:sz w:val="4"/>
                <w:szCs w:val="4"/>
                <w:color w:val="auto"/>
              </w:rPr>
            </w:pPr>
          </w:p>
        </w:tc>
        <w:tc>
          <w:tcPr>
            <w:tcW w:w="660" w:type="dxa"/>
            <w:vAlign w:val="bottom"/>
            <w:shd w:val="clear" w:color="auto" w:fill="153A57"/>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1920" w:type="dxa"/>
            <w:vAlign w:val="bottom"/>
            <w:shd w:val="clear" w:color="auto" w:fill="153A57"/>
          </w:tcPr>
          <w:p>
            <w:pPr>
              <w:spacing w:after="0"/>
              <w:rPr>
                <w:sz w:val="22"/>
                <w:szCs w:val="22"/>
                <w:color w:val="auto"/>
              </w:rPr>
            </w:pPr>
          </w:p>
        </w:tc>
        <w:tc>
          <w:tcPr>
            <w:tcW w:w="2820" w:type="dxa"/>
            <w:vAlign w:val="bottom"/>
            <w:shd w:val="clear" w:color="auto" w:fill="153A57"/>
          </w:tcPr>
          <w:p>
            <w:pPr>
              <w:jc w:val="center"/>
              <w:spacing w:after="0"/>
              <w:rPr>
                <w:sz w:val="20"/>
                <w:szCs w:val="20"/>
                <w:color w:val="auto"/>
              </w:rPr>
            </w:pPr>
            <w:r>
              <w:rPr>
                <w:rFonts w:ascii="Arial" w:cs="Arial" w:eastAsia="Arial" w:hAnsi="Arial"/>
                <w:sz w:val="20"/>
                <w:szCs w:val="20"/>
                <w:b w:val="1"/>
                <w:bCs w:val="1"/>
                <w:color w:val="FFFFFF"/>
              </w:rPr>
              <w:t>Previous Burga (et al.2025)</w:t>
            </w:r>
          </w:p>
        </w:tc>
        <w:tc>
          <w:tcPr>
            <w:tcW w:w="2340" w:type="dxa"/>
            <w:vAlign w:val="bottom"/>
            <w:shd w:val="clear" w:color="auto" w:fill="153A57"/>
          </w:tcPr>
          <w:p>
            <w:pPr>
              <w:jc w:val="center"/>
              <w:ind w:right="40"/>
              <w:spacing w:after="0"/>
              <w:rPr>
                <w:sz w:val="20"/>
                <w:szCs w:val="20"/>
                <w:color w:val="auto"/>
              </w:rPr>
            </w:pPr>
            <w:r>
              <w:rPr>
                <w:rFonts w:ascii="Arial" w:cs="Arial" w:eastAsia="Arial" w:hAnsi="Arial"/>
                <w:sz w:val="20"/>
                <w:szCs w:val="20"/>
                <w:b w:val="1"/>
                <w:bCs w:val="1"/>
                <w:color w:val="FFFFFF"/>
                <w:w w:val="99"/>
              </w:rPr>
              <w:t>Current Estimation</w:t>
            </w:r>
          </w:p>
        </w:tc>
        <w:tc>
          <w:tcPr>
            <w:tcW w:w="1720" w:type="dxa"/>
            <w:vAlign w:val="bottom"/>
            <w:shd w:val="clear" w:color="auto" w:fill="153A57"/>
          </w:tcPr>
          <w:p>
            <w:pPr>
              <w:spacing w:after="0"/>
              <w:rPr>
                <w:sz w:val="22"/>
                <w:szCs w:val="22"/>
                <w:color w:val="auto"/>
              </w:rPr>
            </w:pPr>
          </w:p>
        </w:tc>
        <w:tc>
          <w:tcPr>
            <w:tcW w:w="660" w:type="dxa"/>
            <w:vAlign w:val="bottom"/>
            <w:shd w:val="clear" w:color="auto" w:fill="153A57"/>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1920" w:type="dxa"/>
            <w:vAlign w:val="bottom"/>
            <w:shd w:val="clear" w:color="auto" w:fill="153A57"/>
          </w:tcPr>
          <w:p>
            <w:pPr>
              <w:spacing w:after="0"/>
              <w:rPr>
                <w:sz w:val="24"/>
                <w:szCs w:val="24"/>
                <w:color w:val="auto"/>
              </w:rPr>
            </w:pPr>
          </w:p>
        </w:tc>
        <w:tc>
          <w:tcPr>
            <w:tcW w:w="2820" w:type="dxa"/>
            <w:vAlign w:val="bottom"/>
            <w:shd w:val="clear" w:color="auto" w:fill="153A57"/>
          </w:tcPr>
          <w:p>
            <w:pPr>
              <w:jc w:val="center"/>
              <w:spacing w:after="0"/>
              <w:rPr>
                <w:sz w:val="20"/>
                <w:szCs w:val="20"/>
                <w:color w:val="auto"/>
              </w:rPr>
            </w:pPr>
            <w:r>
              <w:rPr>
                <w:rFonts w:ascii="Arial" w:cs="Arial" w:eastAsia="Arial" w:hAnsi="Arial"/>
                <w:sz w:val="20"/>
                <w:szCs w:val="20"/>
                <w:b w:val="1"/>
                <w:bCs w:val="1"/>
                <w:color w:val="FFFFFF"/>
                <w:w w:val="99"/>
              </w:rPr>
              <w:t>(Effective Date</w:t>
            </w:r>
          </w:p>
        </w:tc>
        <w:tc>
          <w:tcPr>
            <w:tcW w:w="2340" w:type="dxa"/>
            <w:vAlign w:val="bottom"/>
            <w:shd w:val="clear" w:color="auto" w:fill="153A57"/>
          </w:tcPr>
          <w:p>
            <w:pPr>
              <w:jc w:val="center"/>
              <w:ind w:right="60"/>
              <w:spacing w:after="0"/>
              <w:rPr>
                <w:sz w:val="20"/>
                <w:szCs w:val="20"/>
                <w:color w:val="auto"/>
              </w:rPr>
            </w:pPr>
            <w:r>
              <w:rPr>
                <w:rFonts w:ascii="Arial" w:cs="Arial" w:eastAsia="Arial" w:hAnsi="Arial"/>
                <w:sz w:val="20"/>
                <w:szCs w:val="20"/>
                <w:b w:val="1"/>
                <w:bCs w:val="1"/>
                <w:color w:val="FFFFFF"/>
                <w:w w:val="99"/>
              </w:rPr>
              <w:t>(Effective Date</w:t>
            </w:r>
          </w:p>
        </w:tc>
        <w:tc>
          <w:tcPr>
            <w:tcW w:w="1720" w:type="dxa"/>
            <w:vAlign w:val="bottom"/>
            <w:shd w:val="clear" w:color="auto" w:fill="153A57"/>
          </w:tcPr>
          <w:p>
            <w:pPr>
              <w:ind w:left="320"/>
              <w:spacing w:after="0"/>
              <w:rPr>
                <w:sz w:val="20"/>
                <w:szCs w:val="20"/>
                <w:color w:val="auto"/>
              </w:rPr>
            </w:pPr>
            <w:r>
              <w:rPr>
                <w:rFonts w:ascii="Arial" w:cs="Arial" w:eastAsia="Arial" w:hAnsi="Arial"/>
                <w:sz w:val="20"/>
                <w:szCs w:val="20"/>
                <w:b w:val="1"/>
                <w:bCs w:val="1"/>
                <w:color w:val="FFFFFF"/>
              </w:rPr>
              <w:t>Tonnes</w:t>
            </w:r>
          </w:p>
        </w:tc>
        <w:tc>
          <w:tcPr>
            <w:tcW w:w="660" w:type="dxa"/>
            <w:vAlign w:val="bottom"/>
            <w:shd w:val="clear" w:color="auto" w:fill="153A57"/>
          </w:tcPr>
          <w:p>
            <w:pPr>
              <w:jc w:val="right"/>
              <w:ind w:right="280"/>
              <w:spacing w:after="0"/>
              <w:rPr>
                <w:sz w:val="20"/>
                <w:szCs w:val="20"/>
                <w:color w:val="auto"/>
              </w:rPr>
            </w:pPr>
            <w:r>
              <w:rPr>
                <w:rFonts w:ascii="Arial" w:cs="Arial" w:eastAsia="Arial" w:hAnsi="Arial"/>
                <w:sz w:val="20"/>
                <w:szCs w:val="20"/>
                <w:b w:val="1"/>
                <w:bCs w:val="1"/>
                <w:color w:val="FFFFFF"/>
              </w:rPr>
              <w:t>%</w:t>
            </w:r>
          </w:p>
        </w:tc>
        <w:tc>
          <w:tcPr>
            <w:tcW w:w="0" w:type="dxa"/>
            <w:vAlign w:val="bottom"/>
          </w:tcPr>
          <w:p>
            <w:pPr>
              <w:spacing w:after="0"/>
              <w:rPr>
                <w:sz w:val="1"/>
                <w:szCs w:val="1"/>
                <w:color w:val="auto"/>
              </w:rPr>
            </w:pPr>
          </w:p>
        </w:tc>
      </w:tr>
      <w:tr>
        <w:trPr>
          <w:trHeight w:val="302"/>
        </w:trPr>
        <w:tc>
          <w:tcPr>
            <w:tcW w:w="1920" w:type="dxa"/>
            <w:vAlign w:val="bottom"/>
            <w:shd w:val="clear" w:color="auto" w:fill="153A57"/>
          </w:tcPr>
          <w:p>
            <w:pPr>
              <w:spacing w:after="0"/>
              <w:rPr>
                <w:sz w:val="24"/>
                <w:szCs w:val="24"/>
                <w:color w:val="auto"/>
              </w:rPr>
            </w:pPr>
          </w:p>
        </w:tc>
        <w:tc>
          <w:tcPr>
            <w:tcW w:w="2820" w:type="dxa"/>
            <w:vAlign w:val="bottom"/>
            <w:shd w:val="clear" w:color="auto" w:fill="153A57"/>
          </w:tcPr>
          <w:p>
            <w:pPr>
              <w:jc w:val="center"/>
              <w:spacing w:after="0"/>
              <w:rPr>
                <w:sz w:val="20"/>
                <w:szCs w:val="20"/>
                <w:color w:val="auto"/>
              </w:rPr>
            </w:pPr>
            <w:r>
              <w:rPr>
                <w:rFonts w:ascii="Arial" w:cs="Arial" w:eastAsia="Arial" w:hAnsi="Arial"/>
                <w:sz w:val="20"/>
                <w:szCs w:val="20"/>
                <w:b w:val="1"/>
                <w:bCs w:val="1"/>
                <w:color w:val="FFFFFF"/>
                <w:w w:val="99"/>
              </w:rPr>
              <w:t>December 31, 2024)</w:t>
            </w:r>
          </w:p>
        </w:tc>
        <w:tc>
          <w:tcPr>
            <w:tcW w:w="2340" w:type="dxa"/>
            <w:vAlign w:val="bottom"/>
            <w:shd w:val="clear" w:color="auto" w:fill="153A57"/>
          </w:tcPr>
          <w:p>
            <w:pPr>
              <w:jc w:val="center"/>
              <w:ind w:right="60"/>
              <w:spacing w:after="0"/>
              <w:rPr>
                <w:sz w:val="20"/>
                <w:szCs w:val="20"/>
                <w:color w:val="auto"/>
              </w:rPr>
            </w:pPr>
            <w:r>
              <w:rPr>
                <w:rFonts w:ascii="Arial" w:cs="Arial" w:eastAsia="Arial" w:hAnsi="Arial"/>
                <w:sz w:val="20"/>
                <w:szCs w:val="20"/>
                <w:b w:val="1"/>
                <w:bCs w:val="1"/>
                <w:color w:val="FFFFFF"/>
                <w:w w:val="99"/>
              </w:rPr>
              <w:t>December 31, 2025)</w:t>
            </w:r>
          </w:p>
        </w:tc>
        <w:tc>
          <w:tcPr>
            <w:tcW w:w="1720" w:type="dxa"/>
            <w:vAlign w:val="bottom"/>
            <w:shd w:val="clear" w:color="auto" w:fill="153A57"/>
          </w:tcPr>
          <w:p>
            <w:pPr>
              <w:spacing w:after="0"/>
              <w:rPr>
                <w:sz w:val="24"/>
                <w:szCs w:val="24"/>
                <w:color w:val="auto"/>
              </w:rPr>
            </w:pPr>
          </w:p>
        </w:tc>
        <w:tc>
          <w:tcPr>
            <w:tcW w:w="660" w:type="dxa"/>
            <w:vAlign w:val="bottom"/>
            <w:shd w:val="clear" w:color="auto" w:fill="153A57"/>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920" w:type="dxa"/>
            <w:vAlign w:val="bottom"/>
            <w:shd w:val="clear" w:color="auto" w:fill="153A57"/>
          </w:tcPr>
          <w:p>
            <w:pPr>
              <w:spacing w:after="0"/>
              <w:rPr>
                <w:sz w:val="4"/>
                <w:szCs w:val="4"/>
                <w:color w:val="auto"/>
              </w:rPr>
            </w:pPr>
          </w:p>
        </w:tc>
        <w:tc>
          <w:tcPr>
            <w:tcW w:w="2820" w:type="dxa"/>
            <w:vAlign w:val="bottom"/>
            <w:shd w:val="clear" w:color="auto" w:fill="153A57"/>
          </w:tcPr>
          <w:p>
            <w:pPr>
              <w:spacing w:after="0"/>
              <w:rPr>
                <w:sz w:val="4"/>
                <w:szCs w:val="4"/>
                <w:color w:val="auto"/>
              </w:rPr>
            </w:pPr>
          </w:p>
        </w:tc>
        <w:tc>
          <w:tcPr>
            <w:tcW w:w="2340" w:type="dxa"/>
            <w:vAlign w:val="bottom"/>
            <w:shd w:val="clear" w:color="auto" w:fill="153A57"/>
          </w:tcPr>
          <w:p>
            <w:pPr>
              <w:spacing w:after="0"/>
              <w:rPr>
                <w:sz w:val="4"/>
                <w:szCs w:val="4"/>
                <w:color w:val="auto"/>
              </w:rPr>
            </w:pPr>
          </w:p>
        </w:tc>
        <w:tc>
          <w:tcPr>
            <w:tcW w:w="1720" w:type="dxa"/>
            <w:vAlign w:val="bottom"/>
            <w:shd w:val="clear" w:color="auto" w:fill="153A57"/>
          </w:tcPr>
          <w:p>
            <w:pPr>
              <w:spacing w:after="0"/>
              <w:rPr>
                <w:sz w:val="4"/>
                <w:szCs w:val="4"/>
                <w:color w:val="auto"/>
              </w:rPr>
            </w:pPr>
          </w:p>
        </w:tc>
        <w:tc>
          <w:tcPr>
            <w:tcW w:w="660" w:type="dxa"/>
            <w:vAlign w:val="bottom"/>
            <w:shd w:val="clear" w:color="auto" w:fill="153A57"/>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-581025</wp:posOffset>
            </wp:positionV>
            <wp:extent cx="6016625" cy="5816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9">
                      <a:extLst>
                        <a:ext uri="{28A0092B-C50C-407E-A947-70E740481C1C}"/>
                      </a:extLst>
                    </a:blip>
                    <a:srcRect/>
                    <a:stretch>
                      <a:fillRect/>
                    </a:stretch>
                  </pic:blipFill>
                  <pic:spPr bwMode="auto">
                    <a:xfrm>
                      <a:off x="0" y="0"/>
                      <a:ext cx="6016625" cy="58166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23 / 25</w:t>
      </w:r>
    </w:p>
    <w:p>
      <w:pPr>
        <w:sectPr>
          <w:pgSz w:w="11900" w:h="16838" w:orient="portrait"/>
          <w:cols w:equalWidth="0" w:num="1">
            <w:col w:w="10460"/>
          </w:cols>
          <w:pgMar w:left="1440" w:top="1440" w:right="6" w:bottom="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30"/>
        </w:trPr>
        <w:tc>
          <w:tcPr>
            <w:tcW w:w="3220" w:type="dxa"/>
            <w:vAlign w:val="bottom"/>
          </w:tcPr>
          <w:p>
            <w:pPr>
              <w:ind w:left="1160"/>
              <w:spacing w:after="0"/>
              <w:rPr>
                <w:sz w:val="20"/>
                <w:szCs w:val="20"/>
                <w:color w:val="auto"/>
              </w:rPr>
            </w:pPr>
            <w:r>
              <w:rPr>
                <w:rFonts w:ascii="Arial" w:cs="Arial" w:eastAsia="Arial" w:hAnsi="Arial"/>
                <w:sz w:val="20"/>
                <w:szCs w:val="20"/>
                <w:color w:val="auto"/>
              </w:rPr>
              <w:t>Proven</w:t>
            </w:r>
          </w:p>
        </w:tc>
        <w:tc>
          <w:tcPr>
            <w:tcW w:w="2440" w:type="dxa"/>
            <w:vAlign w:val="bottom"/>
          </w:tcPr>
          <w:p>
            <w:pPr>
              <w:jc w:val="center"/>
              <w:spacing w:after="0"/>
              <w:rPr>
                <w:sz w:val="20"/>
                <w:szCs w:val="20"/>
                <w:color w:val="auto"/>
              </w:rPr>
            </w:pPr>
            <w:r>
              <w:rPr>
                <w:rFonts w:ascii="Arial" w:cs="Arial" w:eastAsia="Arial" w:hAnsi="Arial"/>
                <w:sz w:val="20"/>
                <w:szCs w:val="20"/>
                <w:color w:val="auto"/>
              </w:rPr>
              <w:t>276.250 (5 y)</w:t>
            </w:r>
          </w:p>
        </w:tc>
        <w:tc>
          <w:tcPr>
            <w:tcW w:w="2400" w:type="dxa"/>
            <w:vAlign w:val="bottom"/>
          </w:tcPr>
          <w:p>
            <w:pPr>
              <w:jc w:val="center"/>
              <w:spacing w:after="0"/>
              <w:rPr>
                <w:sz w:val="20"/>
                <w:szCs w:val="20"/>
                <w:color w:val="auto"/>
              </w:rPr>
            </w:pPr>
            <w:r>
              <w:rPr>
                <w:rFonts w:ascii="Arial" w:cs="Arial" w:eastAsia="Arial" w:hAnsi="Arial"/>
                <w:sz w:val="20"/>
                <w:szCs w:val="20"/>
                <w:color w:val="auto"/>
              </w:rPr>
              <w:t>400,886 (10 y)</w:t>
            </w:r>
          </w:p>
        </w:tc>
        <w:tc>
          <w:tcPr>
            <w:tcW w:w="1460" w:type="dxa"/>
            <w:vAlign w:val="bottom"/>
          </w:tcPr>
          <w:p>
            <w:pPr>
              <w:jc w:val="center"/>
              <w:spacing w:after="0"/>
              <w:rPr>
                <w:sz w:val="20"/>
                <w:szCs w:val="20"/>
                <w:color w:val="auto"/>
              </w:rPr>
            </w:pPr>
            <w:r>
              <w:rPr>
                <w:rFonts w:ascii="Arial" w:cs="Arial" w:eastAsia="Arial" w:hAnsi="Arial"/>
                <w:sz w:val="20"/>
                <w:szCs w:val="20"/>
                <w:color w:val="auto"/>
              </w:rPr>
              <w:t>124,636</w:t>
            </w:r>
          </w:p>
        </w:tc>
        <w:tc>
          <w:tcPr>
            <w:tcW w:w="1120" w:type="dxa"/>
            <w:vAlign w:val="bottom"/>
          </w:tcPr>
          <w:p>
            <w:pPr>
              <w:jc w:val="center"/>
              <w:spacing w:after="0"/>
              <w:rPr>
                <w:sz w:val="20"/>
                <w:szCs w:val="20"/>
                <w:color w:val="auto"/>
              </w:rPr>
            </w:pPr>
            <w:r>
              <w:rPr>
                <w:rFonts w:ascii="Arial" w:cs="Arial" w:eastAsia="Arial" w:hAnsi="Arial"/>
                <w:sz w:val="20"/>
                <w:szCs w:val="20"/>
                <w:color w:val="auto"/>
                <w:w w:val="99"/>
              </w:rPr>
              <w:t>45%</w:t>
            </w:r>
          </w:p>
        </w:tc>
      </w:tr>
      <w:tr>
        <w:trPr>
          <w:trHeight w:val="634"/>
        </w:trPr>
        <w:tc>
          <w:tcPr>
            <w:tcW w:w="3220" w:type="dxa"/>
            <w:vAlign w:val="bottom"/>
          </w:tcPr>
          <w:p>
            <w:pPr>
              <w:ind w:left="1160"/>
              <w:spacing w:after="0"/>
              <w:rPr>
                <w:sz w:val="20"/>
                <w:szCs w:val="20"/>
                <w:color w:val="auto"/>
              </w:rPr>
            </w:pPr>
            <w:r>
              <w:rPr>
                <w:rFonts w:ascii="Arial" w:cs="Arial" w:eastAsia="Arial" w:hAnsi="Arial"/>
                <w:sz w:val="20"/>
                <w:szCs w:val="20"/>
                <w:color w:val="auto"/>
              </w:rPr>
              <w:t>Probable</w:t>
            </w:r>
          </w:p>
        </w:tc>
        <w:tc>
          <w:tcPr>
            <w:tcW w:w="2440" w:type="dxa"/>
            <w:vAlign w:val="bottom"/>
          </w:tcPr>
          <w:p>
            <w:pPr>
              <w:jc w:val="center"/>
              <w:spacing w:after="0"/>
              <w:rPr>
                <w:sz w:val="20"/>
                <w:szCs w:val="20"/>
                <w:color w:val="auto"/>
              </w:rPr>
            </w:pPr>
            <w:r>
              <w:rPr>
                <w:rFonts w:ascii="Arial" w:cs="Arial" w:eastAsia="Arial" w:hAnsi="Arial"/>
                <w:sz w:val="20"/>
                <w:szCs w:val="20"/>
                <w:color w:val="auto"/>
              </w:rPr>
              <w:t>1.675.770 (35 y)</w:t>
            </w:r>
          </w:p>
        </w:tc>
        <w:tc>
          <w:tcPr>
            <w:tcW w:w="2400" w:type="dxa"/>
            <w:vAlign w:val="bottom"/>
          </w:tcPr>
          <w:p>
            <w:pPr>
              <w:jc w:val="center"/>
              <w:spacing w:after="0"/>
              <w:rPr>
                <w:sz w:val="20"/>
                <w:szCs w:val="20"/>
                <w:color w:val="auto"/>
              </w:rPr>
            </w:pPr>
            <w:r>
              <w:rPr>
                <w:rFonts w:ascii="Arial" w:cs="Arial" w:eastAsia="Arial" w:hAnsi="Arial"/>
                <w:sz w:val="20"/>
                <w:szCs w:val="20"/>
                <w:color w:val="auto"/>
              </w:rPr>
              <w:t>1,013,796 (25 y)</w:t>
            </w:r>
          </w:p>
        </w:tc>
        <w:tc>
          <w:tcPr>
            <w:tcW w:w="1460" w:type="dxa"/>
            <w:vAlign w:val="bottom"/>
          </w:tcPr>
          <w:p>
            <w:pPr>
              <w:jc w:val="center"/>
              <w:spacing w:after="0"/>
              <w:rPr>
                <w:sz w:val="20"/>
                <w:szCs w:val="20"/>
                <w:color w:val="auto"/>
              </w:rPr>
            </w:pPr>
            <w:r>
              <w:rPr>
                <w:rFonts w:ascii="Arial" w:cs="Arial" w:eastAsia="Arial" w:hAnsi="Arial"/>
                <w:sz w:val="20"/>
                <w:szCs w:val="20"/>
                <w:color w:val="auto"/>
                <w:w w:val="98"/>
              </w:rPr>
              <w:t>-661,974</w:t>
            </w:r>
          </w:p>
        </w:tc>
        <w:tc>
          <w:tcPr>
            <w:tcW w:w="1120" w:type="dxa"/>
            <w:vAlign w:val="bottom"/>
          </w:tcPr>
          <w:p>
            <w:pPr>
              <w:jc w:val="center"/>
              <w:spacing w:after="0"/>
              <w:rPr>
                <w:sz w:val="20"/>
                <w:szCs w:val="20"/>
                <w:color w:val="auto"/>
              </w:rPr>
            </w:pPr>
            <w:r>
              <w:rPr>
                <w:rFonts w:ascii="Arial" w:cs="Arial" w:eastAsia="Arial" w:hAnsi="Arial"/>
                <w:sz w:val="20"/>
                <w:szCs w:val="20"/>
                <w:color w:val="auto"/>
                <w:w w:val="98"/>
              </w:rPr>
              <w:t>-40%</w:t>
            </w:r>
          </w:p>
        </w:tc>
      </w:tr>
      <w:tr>
        <w:trPr>
          <w:trHeight w:val="500"/>
        </w:trPr>
        <w:tc>
          <w:tcPr>
            <w:tcW w:w="3220" w:type="dxa"/>
            <w:vAlign w:val="bottom"/>
          </w:tcPr>
          <w:p>
            <w:pPr>
              <w:ind w:left="1160"/>
              <w:spacing w:after="0"/>
              <w:rPr>
                <w:sz w:val="20"/>
                <w:szCs w:val="20"/>
                <w:color w:val="auto"/>
              </w:rPr>
            </w:pPr>
            <w:r>
              <w:rPr>
                <w:rFonts w:ascii="Arial" w:cs="Arial" w:eastAsia="Arial" w:hAnsi="Arial"/>
                <w:sz w:val="20"/>
                <w:szCs w:val="20"/>
                <w:color w:val="auto"/>
              </w:rPr>
              <w:t>Total P&amp;P</w:t>
            </w:r>
          </w:p>
        </w:tc>
        <w:tc>
          <w:tcPr>
            <w:tcW w:w="2440" w:type="dxa"/>
            <w:vAlign w:val="bottom"/>
          </w:tcPr>
          <w:p>
            <w:pPr>
              <w:jc w:val="center"/>
              <w:spacing w:after="0"/>
              <w:rPr>
                <w:sz w:val="20"/>
                <w:szCs w:val="20"/>
                <w:color w:val="auto"/>
              </w:rPr>
            </w:pPr>
            <w:r>
              <w:rPr>
                <w:rFonts w:ascii="Arial" w:cs="Arial" w:eastAsia="Arial" w:hAnsi="Arial"/>
                <w:sz w:val="20"/>
                <w:szCs w:val="20"/>
                <w:color w:val="auto"/>
              </w:rPr>
              <w:t>1.952.020 (40 y)</w:t>
            </w:r>
          </w:p>
        </w:tc>
        <w:tc>
          <w:tcPr>
            <w:tcW w:w="2400" w:type="dxa"/>
            <w:vAlign w:val="bottom"/>
          </w:tcPr>
          <w:p>
            <w:pPr>
              <w:ind w:left="560"/>
              <w:spacing w:after="0"/>
              <w:rPr>
                <w:sz w:val="20"/>
                <w:szCs w:val="20"/>
                <w:color w:val="auto"/>
              </w:rPr>
            </w:pPr>
            <w:r>
              <w:rPr>
                <w:rFonts w:ascii="Arial" w:cs="Arial" w:eastAsia="Arial" w:hAnsi="Arial"/>
                <w:sz w:val="20"/>
                <w:szCs w:val="20"/>
                <w:color w:val="auto"/>
              </w:rPr>
              <w:t>1,414,682 (35 y)</w:t>
            </w:r>
          </w:p>
        </w:tc>
        <w:tc>
          <w:tcPr>
            <w:tcW w:w="1460" w:type="dxa"/>
            <w:vAlign w:val="bottom"/>
          </w:tcPr>
          <w:p>
            <w:pPr>
              <w:jc w:val="center"/>
              <w:spacing w:after="0"/>
              <w:rPr>
                <w:sz w:val="20"/>
                <w:szCs w:val="20"/>
                <w:color w:val="auto"/>
              </w:rPr>
            </w:pPr>
            <w:r>
              <w:rPr>
                <w:rFonts w:ascii="Arial" w:cs="Arial" w:eastAsia="Arial" w:hAnsi="Arial"/>
                <w:sz w:val="20"/>
                <w:szCs w:val="20"/>
                <w:color w:val="auto"/>
                <w:w w:val="98"/>
              </w:rPr>
              <w:t>-537,338</w:t>
            </w:r>
          </w:p>
        </w:tc>
        <w:tc>
          <w:tcPr>
            <w:tcW w:w="1120" w:type="dxa"/>
            <w:vAlign w:val="bottom"/>
          </w:tcPr>
          <w:p>
            <w:pPr>
              <w:jc w:val="center"/>
              <w:spacing w:after="0"/>
              <w:rPr>
                <w:sz w:val="20"/>
                <w:szCs w:val="20"/>
                <w:color w:val="auto"/>
              </w:rPr>
            </w:pPr>
            <w:r>
              <w:rPr>
                <w:rFonts w:ascii="Arial" w:cs="Arial" w:eastAsia="Arial" w:hAnsi="Arial"/>
                <w:sz w:val="20"/>
                <w:szCs w:val="20"/>
                <w:color w:val="auto"/>
                <w:w w:val="98"/>
              </w:rPr>
              <w:t>-28%</w:t>
            </w:r>
          </w:p>
        </w:tc>
      </w:tr>
      <w:tr>
        <w:trPr>
          <w:trHeight w:val="812"/>
        </w:trPr>
        <w:tc>
          <w:tcPr>
            <w:tcW w:w="3220" w:type="dxa"/>
            <w:vAlign w:val="bottom"/>
          </w:tcPr>
          <w:p>
            <w:pPr>
              <w:ind w:left="1160"/>
              <w:spacing w:after="0"/>
              <w:rPr>
                <w:sz w:val="20"/>
                <w:szCs w:val="20"/>
                <w:color w:val="auto"/>
              </w:rPr>
            </w:pPr>
            <w:r>
              <w:rPr>
                <w:rFonts w:ascii="Arial" w:cs="Arial" w:eastAsia="Arial" w:hAnsi="Arial"/>
                <w:sz w:val="20"/>
                <w:szCs w:val="20"/>
                <w:color w:val="auto"/>
              </w:rPr>
              <w:t>Process efficiency</w:t>
            </w:r>
          </w:p>
        </w:tc>
        <w:tc>
          <w:tcPr>
            <w:tcW w:w="2440" w:type="dxa"/>
            <w:vAlign w:val="bottom"/>
          </w:tcPr>
          <w:p>
            <w:pPr>
              <w:jc w:val="center"/>
              <w:spacing w:after="0"/>
              <w:rPr>
                <w:sz w:val="20"/>
                <w:szCs w:val="20"/>
                <w:color w:val="auto"/>
              </w:rPr>
            </w:pPr>
            <w:r>
              <w:rPr>
                <w:rFonts w:ascii="Arial" w:cs="Arial" w:eastAsia="Arial" w:hAnsi="Arial"/>
                <w:sz w:val="20"/>
                <w:szCs w:val="20"/>
                <w:color w:val="auto"/>
              </w:rPr>
              <w:t>53.7%</w:t>
            </w:r>
          </w:p>
        </w:tc>
        <w:tc>
          <w:tcPr>
            <w:tcW w:w="2400" w:type="dxa"/>
            <w:vAlign w:val="bottom"/>
          </w:tcPr>
          <w:p>
            <w:pPr>
              <w:jc w:val="center"/>
              <w:ind w:left="20"/>
              <w:spacing w:after="0"/>
              <w:rPr>
                <w:sz w:val="20"/>
                <w:szCs w:val="20"/>
                <w:color w:val="auto"/>
              </w:rPr>
            </w:pPr>
            <w:r>
              <w:rPr>
                <w:rFonts w:ascii="Arial" w:cs="Arial" w:eastAsia="Arial" w:hAnsi="Arial"/>
                <w:sz w:val="20"/>
                <w:szCs w:val="20"/>
                <w:color w:val="auto"/>
                <w:w w:val="99"/>
              </w:rPr>
              <w:t>63%</w:t>
            </w:r>
          </w:p>
        </w:tc>
        <w:tc>
          <w:tcPr>
            <w:tcW w:w="146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1120" w:type="dxa"/>
            <w:vAlign w:val="bottom"/>
          </w:tcPr>
          <w:p>
            <w:pPr>
              <w:jc w:val="center"/>
              <w:spacing w:after="0"/>
              <w:rPr>
                <w:sz w:val="20"/>
                <w:szCs w:val="20"/>
                <w:color w:val="auto"/>
              </w:rPr>
            </w:pPr>
            <w:r>
              <w:rPr>
                <w:rFonts w:ascii="Arial" w:cs="Arial" w:eastAsia="Arial" w:hAnsi="Arial"/>
                <w:sz w:val="20"/>
                <w:szCs w:val="20"/>
                <w:color w:val="auto"/>
              </w:rPr>
              <w:t>9.3%</w:t>
            </w:r>
          </w:p>
        </w:tc>
      </w:tr>
      <w:tr>
        <w:trPr>
          <w:trHeight w:val="618"/>
        </w:trPr>
        <w:tc>
          <w:tcPr>
            <w:tcW w:w="3220" w:type="dxa"/>
            <w:vAlign w:val="bottom"/>
          </w:tcPr>
          <w:p>
            <w:pPr>
              <w:ind w:left="1160"/>
              <w:spacing w:after="0"/>
              <w:rPr>
                <w:sz w:val="20"/>
                <w:szCs w:val="20"/>
                <w:color w:val="auto"/>
              </w:rPr>
            </w:pPr>
            <w:r>
              <w:rPr>
                <w:rFonts w:ascii="Arial" w:cs="Arial" w:eastAsia="Arial" w:hAnsi="Arial"/>
                <w:sz w:val="20"/>
                <w:szCs w:val="20"/>
                <w:color w:val="auto"/>
              </w:rPr>
              <w:t>Tonnes Per year</w:t>
            </w:r>
          </w:p>
        </w:tc>
        <w:tc>
          <w:tcPr>
            <w:tcW w:w="2440" w:type="dxa"/>
            <w:vAlign w:val="bottom"/>
          </w:tcPr>
          <w:p>
            <w:pPr>
              <w:jc w:val="center"/>
              <w:spacing w:after="0"/>
              <w:rPr>
                <w:sz w:val="20"/>
                <w:szCs w:val="20"/>
                <w:color w:val="auto"/>
              </w:rPr>
            </w:pPr>
            <w:r>
              <w:rPr>
                <w:rFonts w:ascii="Arial" w:cs="Arial" w:eastAsia="Arial" w:hAnsi="Arial"/>
                <w:sz w:val="20"/>
                <w:szCs w:val="20"/>
                <w:color w:val="auto"/>
              </w:rPr>
              <w:t>48,800</w:t>
            </w:r>
          </w:p>
        </w:tc>
        <w:tc>
          <w:tcPr>
            <w:tcW w:w="2400" w:type="dxa"/>
            <w:vAlign w:val="bottom"/>
          </w:tcPr>
          <w:p>
            <w:pPr>
              <w:jc w:val="center"/>
              <w:spacing w:after="0"/>
              <w:rPr>
                <w:sz w:val="20"/>
                <w:szCs w:val="20"/>
                <w:color w:val="auto"/>
              </w:rPr>
            </w:pPr>
            <w:r>
              <w:rPr>
                <w:rFonts w:ascii="Arial" w:cs="Arial" w:eastAsia="Arial" w:hAnsi="Arial"/>
                <w:sz w:val="20"/>
                <w:szCs w:val="20"/>
                <w:color w:val="auto"/>
              </w:rPr>
              <w:t>40,419</w:t>
            </w:r>
          </w:p>
        </w:tc>
        <w:tc>
          <w:tcPr>
            <w:tcW w:w="1460" w:type="dxa"/>
            <w:vAlign w:val="bottom"/>
          </w:tcPr>
          <w:p>
            <w:pPr>
              <w:jc w:val="center"/>
              <w:spacing w:after="0"/>
              <w:rPr>
                <w:sz w:val="20"/>
                <w:szCs w:val="20"/>
                <w:color w:val="auto"/>
              </w:rPr>
            </w:pPr>
            <w:r>
              <w:rPr>
                <w:rFonts w:ascii="Arial" w:cs="Arial" w:eastAsia="Arial" w:hAnsi="Arial"/>
                <w:sz w:val="20"/>
                <w:szCs w:val="20"/>
                <w:color w:val="auto"/>
              </w:rPr>
              <w:t>-8,381</w:t>
            </w:r>
          </w:p>
        </w:tc>
        <w:tc>
          <w:tcPr>
            <w:tcW w:w="1120" w:type="dxa"/>
            <w:vAlign w:val="bottom"/>
          </w:tcPr>
          <w:p>
            <w:pPr>
              <w:jc w:val="center"/>
              <w:spacing w:after="0"/>
              <w:rPr>
                <w:sz w:val="20"/>
                <w:szCs w:val="20"/>
                <w:color w:val="auto"/>
              </w:rPr>
            </w:pPr>
            <w:r>
              <w:rPr>
                <w:rFonts w:ascii="Arial" w:cs="Arial" w:eastAsia="Arial" w:hAnsi="Arial"/>
                <w:sz w:val="20"/>
                <w:szCs w:val="20"/>
                <w:color w:val="auto"/>
                <w:w w:val="98"/>
              </w:rPr>
              <w:t>-17%</w:t>
            </w:r>
          </w:p>
        </w:tc>
      </w:tr>
      <w:tr>
        <w:trPr>
          <w:trHeight w:val="469"/>
        </w:trPr>
        <w:tc>
          <w:tcPr>
            <w:tcW w:w="3220" w:type="dxa"/>
            <w:vAlign w:val="bottom"/>
          </w:tcPr>
          <w:p>
            <w:pPr>
              <w:ind w:left="1160"/>
              <w:spacing w:after="0"/>
              <w:rPr>
                <w:sz w:val="20"/>
                <w:szCs w:val="20"/>
                <w:color w:val="auto"/>
              </w:rPr>
            </w:pPr>
            <w:r>
              <w:rPr>
                <w:rFonts w:ascii="Arial" w:cs="Arial" w:eastAsia="Arial" w:hAnsi="Arial"/>
                <w:sz w:val="20"/>
                <w:szCs w:val="20"/>
                <w:color w:val="auto"/>
              </w:rPr>
              <w:t>Years</w:t>
            </w:r>
          </w:p>
        </w:tc>
        <w:tc>
          <w:tcPr>
            <w:tcW w:w="2440" w:type="dxa"/>
            <w:vAlign w:val="bottom"/>
          </w:tcPr>
          <w:p>
            <w:pPr>
              <w:jc w:val="center"/>
              <w:spacing w:after="0"/>
              <w:rPr>
                <w:sz w:val="20"/>
                <w:szCs w:val="20"/>
                <w:color w:val="auto"/>
              </w:rPr>
            </w:pPr>
            <w:r>
              <w:rPr>
                <w:rFonts w:ascii="Arial" w:cs="Arial" w:eastAsia="Arial" w:hAnsi="Arial"/>
                <w:sz w:val="20"/>
                <w:szCs w:val="20"/>
                <w:color w:val="auto"/>
                <w:w w:val="98"/>
              </w:rPr>
              <w:t>40</w:t>
            </w:r>
          </w:p>
        </w:tc>
        <w:tc>
          <w:tcPr>
            <w:tcW w:w="2400" w:type="dxa"/>
            <w:vAlign w:val="bottom"/>
          </w:tcPr>
          <w:p>
            <w:pPr>
              <w:jc w:val="center"/>
              <w:spacing w:after="0"/>
              <w:rPr>
                <w:sz w:val="20"/>
                <w:szCs w:val="20"/>
                <w:color w:val="auto"/>
              </w:rPr>
            </w:pPr>
            <w:r>
              <w:rPr>
                <w:rFonts w:ascii="Arial" w:cs="Arial" w:eastAsia="Arial" w:hAnsi="Arial"/>
                <w:sz w:val="20"/>
                <w:szCs w:val="20"/>
                <w:color w:val="auto"/>
                <w:w w:val="98"/>
              </w:rPr>
              <w:t>35</w:t>
            </w:r>
          </w:p>
        </w:tc>
        <w:tc>
          <w:tcPr>
            <w:tcW w:w="1460" w:type="dxa"/>
            <w:vAlign w:val="bottom"/>
          </w:tcPr>
          <w:p>
            <w:pPr>
              <w:jc w:val="center"/>
              <w:spacing w:after="0"/>
              <w:rPr>
                <w:sz w:val="20"/>
                <w:szCs w:val="20"/>
                <w:color w:val="auto"/>
              </w:rPr>
            </w:pPr>
            <w:r>
              <w:rPr>
                <w:rFonts w:ascii="Arial" w:cs="Arial" w:eastAsia="Arial" w:hAnsi="Arial"/>
                <w:sz w:val="20"/>
                <w:szCs w:val="20"/>
                <w:color w:val="auto"/>
              </w:rPr>
              <w:t>-5</w:t>
            </w:r>
          </w:p>
        </w:tc>
        <w:tc>
          <w:tcPr>
            <w:tcW w:w="1120" w:type="dxa"/>
            <w:vAlign w:val="bottom"/>
          </w:tcPr>
          <w:p>
            <w:pPr>
              <w:spacing w:after="0"/>
              <w:rPr>
                <w:sz w:val="24"/>
                <w:szCs w:val="24"/>
                <w:color w:val="auto"/>
              </w:rPr>
            </w:pPr>
          </w:p>
        </w:tc>
      </w:tr>
      <w:tr>
        <w:trPr>
          <w:trHeight w:val="328"/>
        </w:trPr>
        <w:tc>
          <w:tcPr>
            <w:tcW w:w="3220" w:type="dxa"/>
            <w:vAlign w:val="bottom"/>
          </w:tcPr>
          <w:p>
            <w:pPr>
              <w:ind w:left="1160"/>
              <w:spacing w:after="0"/>
              <w:rPr>
                <w:sz w:val="20"/>
                <w:szCs w:val="20"/>
                <w:color w:val="auto"/>
              </w:rPr>
            </w:pPr>
            <w:r>
              <w:rPr>
                <w:rFonts w:ascii="Arial" w:cs="Arial" w:eastAsia="Arial" w:hAnsi="Arial"/>
                <w:sz w:val="20"/>
                <w:szCs w:val="20"/>
                <w:color w:val="auto"/>
              </w:rPr>
              <w:t># of wells</w:t>
            </w:r>
          </w:p>
        </w:tc>
        <w:tc>
          <w:tcPr>
            <w:tcW w:w="2440" w:type="dxa"/>
            <w:vAlign w:val="bottom"/>
          </w:tcPr>
          <w:p>
            <w:pPr>
              <w:jc w:val="center"/>
              <w:spacing w:after="0"/>
              <w:rPr>
                <w:sz w:val="20"/>
                <w:szCs w:val="20"/>
                <w:color w:val="auto"/>
              </w:rPr>
            </w:pPr>
            <w:r>
              <w:rPr>
                <w:rFonts w:ascii="Arial" w:cs="Arial" w:eastAsia="Arial" w:hAnsi="Arial"/>
                <w:sz w:val="20"/>
                <w:szCs w:val="20"/>
                <w:color w:val="auto"/>
                <w:w w:val="98"/>
              </w:rPr>
              <w:t>56</w:t>
            </w:r>
          </w:p>
        </w:tc>
        <w:tc>
          <w:tcPr>
            <w:tcW w:w="2400" w:type="dxa"/>
            <w:vAlign w:val="bottom"/>
          </w:tcPr>
          <w:p>
            <w:pPr>
              <w:jc w:val="center"/>
              <w:spacing w:after="0"/>
              <w:rPr>
                <w:sz w:val="20"/>
                <w:szCs w:val="20"/>
                <w:color w:val="auto"/>
              </w:rPr>
            </w:pPr>
            <w:r>
              <w:rPr>
                <w:rFonts w:ascii="Arial" w:cs="Arial" w:eastAsia="Arial" w:hAnsi="Arial"/>
                <w:sz w:val="20"/>
                <w:szCs w:val="20"/>
                <w:color w:val="auto"/>
                <w:w w:val="98"/>
              </w:rPr>
              <w:t>39</w:t>
            </w:r>
          </w:p>
        </w:tc>
        <w:tc>
          <w:tcPr>
            <w:tcW w:w="1460" w:type="dxa"/>
            <w:vAlign w:val="bottom"/>
          </w:tcPr>
          <w:p>
            <w:pPr>
              <w:jc w:val="center"/>
              <w:spacing w:after="0"/>
              <w:rPr>
                <w:sz w:val="20"/>
                <w:szCs w:val="20"/>
                <w:color w:val="auto"/>
              </w:rPr>
            </w:pPr>
            <w:r>
              <w:rPr>
                <w:rFonts w:ascii="Arial" w:cs="Arial" w:eastAsia="Arial" w:hAnsi="Arial"/>
                <w:sz w:val="20"/>
                <w:szCs w:val="20"/>
                <w:color w:val="auto"/>
              </w:rPr>
              <w:t>-14</w:t>
            </w:r>
          </w:p>
        </w:tc>
        <w:tc>
          <w:tcPr>
            <w:tcW w:w="1120" w:type="dxa"/>
            <w:vAlign w:val="bottom"/>
          </w:tcPr>
          <w:p>
            <w:pPr>
              <w:spacing w:after="0"/>
              <w:rPr>
                <w:sz w:val="24"/>
                <w:szCs w:val="24"/>
                <w:color w:val="auto"/>
              </w:rPr>
            </w:pPr>
          </w:p>
        </w:tc>
      </w:tr>
      <w:tr>
        <w:trPr>
          <w:trHeight w:val="2110"/>
        </w:trPr>
        <w:tc>
          <w:tcPr>
            <w:tcW w:w="3220" w:type="dxa"/>
            <w:vAlign w:val="bottom"/>
            <w:tcBorders>
              <w:bottom w:val="single" w:sz="8" w:color="010101"/>
            </w:tcBorders>
          </w:tcPr>
          <w:p>
            <w:pPr>
              <w:spacing w:after="0"/>
              <w:rPr>
                <w:sz w:val="24"/>
                <w:szCs w:val="24"/>
                <w:color w:val="auto"/>
              </w:rPr>
            </w:pPr>
          </w:p>
        </w:tc>
        <w:tc>
          <w:tcPr>
            <w:tcW w:w="2440" w:type="dxa"/>
            <w:vAlign w:val="bottom"/>
            <w:tcBorders>
              <w:bottom w:val="single" w:sz="8" w:color="010101"/>
            </w:tcBorders>
          </w:tcPr>
          <w:p>
            <w:pPr>
              <w:spacing w:after="0"/>
              <w:rPr>
                <w:sz w:val="24"/>
                <w:szCs w:val="24"/>
                <w:color w:val="auto"/>
              </w:rPr>
            </w:pPr>
          </w:p>
        </w:tc>
        <w:tc>
          <w:tcPr>
            <w:tcW w:w="2400" w:type="dxa"/>
            <w:vAlign w:val="bottom"/>
            <w:tcBorders>
              <w:bottom w:val="single" w:sz="8" w:color="010101"/>
            </w:tcBorders>
          </w:tcPr>
          <w:p>
            <w:pPr>
              <w:spacing w:after="0"/>
              <w:rPr>
                <w:sz w:val="24"/>
                <w:szCs w:val="24"/>
                <w:color w:val="auto"/>
              </w:rPr>
            </w:pPr>
          </w:p>
        </w:tc>
        <w:tc>
          <w:tcPr>
            <w:tcW w:w="146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1482090</wp:posOffset>
            </wp:positionH>
            <wp:positionV relativeFrom="page">
              <wp:posOffset>720090</wp:posOffset>
            </wp:positionV>
            <wp:extent cx="6016625" cy="407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0">
                      <a:extLst>
                        <a:ext uri="{28A0092B-C50C-407E-A947-70E740481C1C}"/>
                      </a:extLst>
                    </a:blip>
                    <a:srcRect/>
                    <a:stretch>
                      <a:fillRect/>
                    </a:stretch>
                  </pic:blipFill>
                  <pic:spPr bwMode="auto">
                    <a:xfrm>
                      <a:off x="0" y="0"/>
                      <a:ext cx="6016625" cy="407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1">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-3350260</wp:posOffset>
            </wp:positionV>
            <wp:extent cx="6016625" cy="20351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2">
                      <a:extLst>
                        <a:ext uri="{28A0092B-C50C-407E-A947-70E740481C1C}"/>
                      </a:extLst>
                    </a:blip>
                    <a:srcRect/>
                    <a:stretch>
                      <a:fillRect/>
                    </a:stretch>
                  </pic:blipFill>
                  <pic:spPr bwMode="auto">
                    <a:xfrm>
                      <a:off x="0" y="0"/>
                      <a:ext cx="6016625" cy="2035175"/>
                    </a:xfrm>
                    <a:prstGeom prst="rect">
                      <a:avLst/>
                    </a:prstGeom>
                    <a:noFill/>
                  </pic:spPr>
                </pic:pic>
              </a:graphicData>
            </a:graphic>
          </wp:anchor>
        </w:drawing>
      </w:r>
    </w:p>
    <w:p>
      <w:pPr>
        <w:sectPr>
          <w:pgSz w:w="11900" w:h="16838" w:orient="portrait"/>
          <w:cols w:equalWidth="0" w:num="1">
            <w:col w:w="10640"/>
          </w:cols>
          <w:pgMar w:left="1260" w:top="132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24 / 25</w:t>
      </w:r>
    </w:p>
    <w:p>
      <w:pPr>
        <w:sectPr>
          <w:pgSz w:w="11900" w:h="16838" w:orient="portrait"/>
          <w:cols w:equalWidth="0" w:num="1">
            <w:col w:w="10640"/>
          </w:cols>
          <w:pgMar w:left="1260" w:top="1329" w:right="6" w:bottom="0" w:gutter="0" w:footer="0" w:header="0"/>
          <w:type w:val="continuous"/>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00"/>
        <w:spacing w:after="0"/>
        <w:rPr>
          <w:sz w:val="20"/>
          <w:szCs w:val="20"/>
          <w:color w:val="auto"/>
        </w:rPr>
      </w:pPr>
      <w:r>
        <w:rPr>
          <w:rFonts w:ascii="Arial" w:cs="Arial" w:eastAsia="Arial" w:hAnsi="Arial"/>
          <w:sz w:val="20"/>
          <w:szCs w:val="20"/>
          <w:b w:val="1"/>
          <w:bCs w:val="1"/>
          <w:u w:val="single" w:color="auto"/>
          <w:color w:val="auto"/>
        </w:rPr>
        <w:t>POZUELOS PASTOS GRANDES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224790</wp:posOffset>
            </wp:positionV>
            <wp:extent cx="5973445" cy="46386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3">
                      <a:extLst>
                        <a:ext uri="{28A0092B-C50C-407E-A947-70E740481C1C}"/>
                      </a:extLst>
                    </a:blip>
                    <a:srcRect/>
                    <a:stretch>
                      <a:fillRect/>
                    </a:stretch>
                  </pic:blipFill>
                  <pic:spPr bwMode="auto">
                    <a:xfrm>
                      <a:off x="0" y="0"/>
                      <a:ext cx="5973445" cy="463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Project Overview</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PPG lithium brine project incorporates the adjacent Pozuelos and Pastos Grandes salars in the Puna (Altip region of northwestern Argentina, approximately 600 km to the port of Antofagasta, Chile, The project outlin phased development - with initial 50,000 tpa of LCE increasing to 150,000 tpa over three stages using a h DLE flowsheet that pre-concentrates brine in ponds using solar evaporation, then selectively recovers lithium concentrated brine using solvent extraction (SX) before final purification and production of primarily lit carbonate. The technical approach is designed to lower reagent and environmental impact versus altern processes and is expected to improve product consistency and quality, while reducing costs at a large produ scale.</w:t>
      </w:r>
    </w:p>
    <w:p>
      <w:pPr>
        <w:spacing w:after="0" w:line="215"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Secretariat of Mining and Energy of the Province of Salta, Argentina, issued the Environmental Im Statement, Declaración de Impacto Ambiental, (“DIA”) for Stage 1 of the PPG Project.</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25 / 25</w:t>
      </w:r>
    </w:p>
    <w:p>
      <w:pPr>
        <w:sectPr>
          <w:pgSz w:w="11900" w:h="16838" w:orient="portrait"/>
          <w:cols w:equalWidth="0" w:num="1">
            <w:col w:w="10460"/>
          </w:cols>
          <w:pgMar w:left="1440" w:top="1440" w:right="6" w:bottom="0" w:gutter="0" w:footer="0" w:header="0"/>
          <w:type w:val="continuous"/>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1902460</wp:posOffset>
            </wp:positionV>
            <wp:extent cx="6764020"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26</w:t>
      </w:r>
    </w:p>
    <w:p>
      <w:pPr>
        <w:sectPr>
          <w:pgSz w:w="11900" w:h="16838" w:orient="portrait"/>
          <w:cols w:equalWidth="0" w:num="1">
            <w:col w:w="9026"/>
          </w:cols>
          <w:pgMar w:left="1440" w:top="1440" w:right="1440" w:bottom="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Detailed Property Description</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Technical Information</w:t>
      </w:r>
    </w:p>
    <w:p>
      <w:pPr>
        <w:spacing w:after="0" w:line="27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All capitalized terms used in the disclosure below that are not otherwise defined shall have the meanings asc thereto in the PPG Scoping Study.</w:t>
      </w:r>
    </w:p>
    <w:p>
      <w:pPr>
        <w:spacing w:after="0" w:line="2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b w:val="1"/>
          <w:bCs w:val="1"/>
          <w:color w:val="auto"/>
        </w:rPr>
        <w:t xml:space="preserve">Information contained in the PPG </w:t>
      </w:r>
      <w:r>
        <w:rPr>
          <w:rFonts w:ascii="Arial" w:cs="Arial" w:eastAsia="Arial" w:hAnsi="Arial"/>
          <w:sz w:val="20"/>
          <w:szCs w:val="20"/>
          <w:color w:val="auto"/>
        </w:rPr>
        <w:t>Scoping Study</w:t>
      </w:r>
      <w:r>
        <w:rPr>
          <w:rFonts w:ascii="Arial" w:cs="Arial" w:eastAsia="Arial" w:hAnsi="Arial"/>
          <w:sz w:val="20"/>
          <w:szCs w:val="20"/>
          <w:b w:val="1"/>
          <w:bCs w:val="1"/>
          <w:color w:val="auto"/>
        </w:rPr>
        <w:t xml:space="preserve">, including (but not limited to) mineral extrac processing and recovery operations, projected costs, and project economics for the PPG Opera (including, for greater certainty, revenue, net present value, cash flow and earnings) are presented the date of the PPG </w:t>
      </w:r>
      <w:r>
        <w:rPr>
          <w:rFonts w:ascii="Arial" w:cs="Arial" w:eastAsia="Arial" w:hAnsi="Arial"/>
          <w:sz w:val="20"/>
          <w:szCs w:val="20"/>
          <w:color w:val="auto"/>
        </w:rPr>
        <w:t>Scoping Study</w:t>
      </w:r>
      <w:r>
        <w:rPr>
          <w:rFonts w:ascii="Arial" w:cs="Arial" w:eastAsia="Arial" w:hAnsi="Arial"/>
          <w:sz w:val="20"/>
          <w:szCs w:val="20"/>
          <w:b w:val="1"/>
          <w:bCs w:val="1"/>
          <w:color w:val="auto"/>
        </w:rPr>
        <w:t xml:space="preserve"> based on criteria, assumptions, estimates and other informa available at the time and therefore may not reflect actual results and outcomes, updated pro economics, capital costs and/or operating costs for the project. As a result, actual results may differ those presented</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See “Item 3.D - Risk Factors”</w:t>
      </w:r>
      <w:r>
        <w:rPr>
          <w:rFonts w:ascii="Arial" w:cs="Arial" w:eastAsia="Arial" w:hAnsi="Arial"/>
          <w:sz w:val="20"/>
          <w:szCs w:val="20"/>
          <w:color w:val="auto"/>
        </w:rPr>
        <w:t>.</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Property Description and Location</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PPG Project is located in the “lithium triangle” in the province of Salta, Argentina. The Project incorpo two salars that are in close proximity to each other, namely the Pozuelos and Pastos Grandes salars, centr 24°42′S, 66°49′W, and 24°34′S, 66°42′W, respectively. The project is surrounded by Salar de Pocitos to the Salar de Rincon to the Northwest, Caucharí to the North, and Salar de Centenario to the South.</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Property Location — Pozuelos–Pastos Grandes Basins, Salta Province (see map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217170</wp:posOffset>
            </wp:positionV>
            <wp:extent cx="5391150" cy="3467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5">
                      <a:extLst>
                        <a:ext uri="{28A0092B-C50C-407E-A947-70E740481C1C}"/>
                      </a:extLst>
                    </a:blip>
                    <a:srcRect/>
                    <a:stretch>
                      <a:fillRect/>
                    </a:stretch>
                  </pic:blipFill>
                  <pic:spPr bwMode="auto">
                    <a:xfrm>
                      <a:off x="0" y="0"/>
                      <a:ext cx="5391150" cy="3467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Ownership</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 / 26</w:t>
      </w:r>
    </w:p>
    <w:p>
      <w:pPr>
        <w:sectPr>
          <w:pgSz w:w="11900" w:h="16838" w:orient="portrait"/>
          <w:cols w:equalWidth="0" w:num="1">
            <w:col w:w="10460"/>
          </w:cols>
          <w:pgMar w:left="1440" w:top="1440" w:right="6" w:bottom="0" w:gutter="0" w:footer="0" w:header="0"/>
          <w:type w:val="continuous"/>
        </w:sectPr>
      </w:pPr>
    </w:p>
    <w:bookmarkStart w:id="112" w:name="page113"/>
    <w:bookmarkEnd w:id="112"/>
    <w:p>
      <w:pPr>
        <w:ind w:left="900"/>
        <w:spacing w:after="0"/>
        <w:rPr>
          <w:sz w:val="20"/>
          <w:szCs w:val="20"/>
          <w:color w:val="auto"/>
        </w:rPr>
      </w:pPr>
      <w:r>
        <w:rPr>
          <w:rFonts w:ascii="Arial" w:cs="Arial" w:eastAsia="Arial" w:hAnsi="Arial"/>
          <w:sz w:val="20"/>
          <w:szCs w:val="20"/>
          <w:color w:val="auto"/>
        </w:rPr>
        <w:t>The Project is owned by Ganfeng and Lithium Argentina.</w:t>
      </w:r>
    </w:p>
    <w:p>
      <w:pPr>
        <w:spacing w:after="0" w:line="23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Project areas cover the following:</w:t>
      </w:r>
    </w:p>
    <w:p>
      <w:pPr>
        <w:spacing w:after="0" w:line="283" w:lineRule="exact"/>
        <w:rPr>
          <w:sz w:val="20"/>
          <w:szCs w:val="20"/>
          <w:color w:val="auto"/>
        </w:rPr>
      </w:pPr>
    </w:p>
    <w:p>
      <w:pPr>
        <w:ind w:left="1620" w:hanging="366"/>
        <w:spacing w:after="0" w:line="368" w:lineRule="auto"/>
        <w:tabs>
          <w:tab w:leader="none" w:pos="16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Lithea Project (Pozuelos-Pastos Grandes - “Pozuelos”) is owned 100% by Ganfeng, with the ar 32,314 hectares.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1063625</wp:posOffset>
            </wp:positionV>
            <wp:extent cx="6764020"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20"/>
          </w:cols>
          <w:pgMar w:left="1440" w:top="1165" w:right="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 / 26</w:t>
      </w:r>
    </w:p>
    <w:p>
      <w:pPr>
        <w:sectPr>
          <w:pgSz w:w="11900" w:h="16838" w:orient="portrait"/>
          <w:cols w:equalWidth="0" w:num="1">
            <w:col w:w="10420"/>
          </w:cols>
          <w:pgMar w:left="1440" w:top="1165" w:right="46" w:bottom="0" w:gutter="0" w:footer="0" w:header="0"/>
          <w:type w:val="continuous"/>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20" w:hanging="366"/>
        <w:spacing w:after="0" w:line="368" w:lineRule="auto"/>
        <w:tabs>
          <w:tab w:leader="none" w:pos="16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Pastos Grandes SA (Pastos Grandes - “PGCo”) is owned 15% by Ganfeng Lithium and 85% by LAR the area of 20,095 hectares.</w:t>
      </w:r>
    </w:p>
    <w:p>
      <w:pPr>
        <w:spacing w:after="0" w:line="134"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Sal de la Puna Project (Pastos Grandes - “SdlP”) is owned 100% by Puna Argentina SAU, whose p company, Sal de la Puna Holdings S.à r.l., is owned 35% by Ganfeng and 65% by LAR, with the ar 13,852 hectares.</w:t>
      </w:r>
    </w:p>
    <w:p>
      <w:pPr>
        <w:spacing w:after="0" w:line="167"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In August 2025, Ganfeng and Lithium Argentina agreed to establish a new joint venture consolidating the pro above. Upon closing, Ganfeng will hold 67% and Lithium Argentina 33% of PPG, with ownership base resources, capital contributions and technology inputs.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total PPG Project covers 66,261 hectares.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217170</wp:posOffset>
            </wp:positionV>
            <wp:extent cx="5849620" cy="4800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7">
                      <a:extLst>
                        <a:ext uri="{28A0092B-C50C-407E-A947-70E740481C1C}"/>
                      </a:extLst>
                    </a:blip>
                    <a:srcRect/>
                    <a:stretch>
                      <a:fillRect/>
                    </a:stretch>
                  </pic:blipFill>
                  <pic:spPr bwMode="auto">
                    <a:xfrm>
                      <a:off x="0" y="0"/>
                      <a:ext cx="5849620" cy="4800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History Pozuelos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 / 26</w:t>
      </w:r>
    </w:p>
    <w:p>
      <w:pPr>
        <w:sectPr>
          <w:pgSz w:w="11900" w:h="16838" w:orient="portrait"/>
          <w:cols w:equalWidth="0" w:num="1">
            <w:col w:w="10460"/>
          </w:cols>
          <w:pgMar w:left="1440" w:top="1440" w:right="6" w:bottom="0" w:gutter="0" w:footer="0" w:header="0"/>
          <w:type w:val="continuous"/>
        </w:sectPr>
      </w:pPr>
    </w:p>
    <w:bookmarkStart w:id="114" w:name="page115"/>
    <w:bookmarkEnd w:id="114"/>
    <w:p>
      <w:pPr>
        <w:jc w:val="both"/>
        <w:ind w:left="900"/>
        <w:spacing w:after="0" w:line="311" w:lineRule="auto"/>
        <w:rPr>
          <w:sz w:val="20"/>
          <w:szCs w:val="20"/>
          <w:color w:val="auto"/>
        </w:rPr>
      </w:pPr>
      <w:r>
        <w:rPr>
          <w:rFonts w:ascii="Arial" w:cs="Arial" w:eastAsia="Arial" w:hAnsi="Arial"/>
          <w:sz w:val="20"/>
          <w:szCs w:val="20"/>
          <w:color w:val="auto"/>
        </w:rPr>
        <w:t>The prior exploration history and ownership of Salar de Pozuelos and Salar de Pastos Grandes properti documented in NI 43-101 technical reports filed by LSC Lithium Corporation (“LSC Lithium”) DAR (Hains, 2 2017a, b; 2018a, b).</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A brief summary is provided below:</w:t>
      </w:r>
    </w:p>
    <w:p>
      <w:pPr>
        <w:spacing w:after="0" w:line="243" w:lineRule="exact"/>
        <w:rPr>
          <w:sz w:val="20"/>
          <w:szCs w:val="20"/>
          <w:color w:val="auto"/>
        </w:rPr>
      </w:pPr>
    </w:p>
    <w:p>
      <w:pPr>
        <w:ind w:left="1620" w:hanging="366"/>
        <w:spacing w:after="0" w:line="368" w:lineRule="auto"/>
        <w:tabs>
          <w:tab w:leader="none" w:pos="16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Sampling of brine in Argentine salars by Fabricaciones Militares (an Argentine government age during 1970.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1063625</wp:posOffset>
            </wp:positionV>
            <wp:extent cx="6764020"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 / 26</w:t>
      </w:r>
    </w:p>
    <w:p>
      <w:pPr>
        <w:sectPr>
          <w:pgSz w:w="11900" w:h="16838" w:orient="portrait"/>
          <w:cols w:equalWidth="0" w:num="1">
            <w:col w:w="10460"/>
          </w:cols>
          <w:pgMar w:left="1440" w:top="1172" w:right="6" w:bottom="0" w:gutter="0" w:footer="0" w:header="0"/>
          <w:type w:val="continuous"/>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620" w:hanging="366"/>
        <w:spacing w:after="0" w:line="400" w:lineRule="auto"/>
        <w:tabs>
          <w:tab w:leader="none" w:pos="16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Evaluation of mineral potential of Argentine salars, including Pozuelos, by Igarzábal (1984) as part o Instituto de Benefico de Minerales (INBEMI) investigation carried out by the National University of Sa</w:t>
      </w:r>
    </w:p>
    <w:p>
      <w:pPr>
        <w:spacing w:after="0" w:line="111" w:lineRule="exact"/>
        <w:rPr>
          <w:rFonts w:ascii="Arial" w:cs="Arial" w:eastAsia="Arial" w:hAnsi="Arial"/>
          <w:sz w:val="19"/>
          <w:szCs w:val="19"/>
          <w:color w:val="auto"/>
        </w:rPr>
      </w:pPr>
    </w:p>
    <w:p>
      <w:pPr>
        <w:ind w:left="1620" w:hanging="366"/>
        <w:spacing w:after="0" w:line="368" w:lineRule="auto"/>
        <w:tabs>
          <w:tab w:leader="none" w:pos="16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Production of borates from surface of northern portion of salar de Pozuelos (on-going on interm basis).</w:t>
      </w:r>
    </w:p>
    <w:p>
      <w:pPr>
        <w:spacing w:after="0" w:line="134"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Acquired by Ekeko S.A. in about 2007. Acquired by LitheA Inc. in 2008 (Ekeko and LitheA were re companies at the time).</w:t>
      </w:r>
    </w:p>
    <w:p>
      <w:pPr>
        <w:spacing w:after="0" w:line="134" w:lineRule="exact"/>
        <w:rPr>
          <w:rFonts w:ascii="Arial" w:cs="Arial" w:eastAsia="Arial" w:hAnsi="Arial"/>
          <w:sz w:val="20"/>
          <w:szCs w:val="20"/>
          <w:color w:val="auto"/>
        </w:rPr>
      </w:pPr>
    </w:p>
    <w:p>
      <w:pPr>
        <w:jc w:val="both"/>
        <w:ind w:left="1620" w:hanging="366"/>
        <w:spacing w:after="0" w:line="368" w:lineRule="auto"/>
        <w:tabs>
          <w:tab w:leader="none" w:pos="16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LitheA was acquired by LSC Lithium by way of purchase option dated November 23, 2016. O exercised March 15, 2017. (See press release issued by LSC Lithium on March 15, 2017, for details</w:t>
      </w:r>
    </w:p>
    <w:p>
      <w:pPr>
        <w:spacing w:after="0" w:line="171"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Details of the exploration by LitheA are described in detail in Hains (2017a, b; 2018a, b). Exploration ac included the following:</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Surface Sampling:</w:t>
      </w:r>
    </w:p>
    <w:p>
      <w:pPr>
        <w:spacing w:after="0" w:line="243" w:lineRule="exact"/>
        <w:rPr>
          <w:sz w:val="20"/>
          <w:szCs w:val="20"/>
          <w:color w:val="auto"/>
        </w:rPr>
      </w:pPr>
    </w:p>
    <w:p>
      <w:pPr>
        <w:jc w:val="both"/>
        <w:ind w:left="1620" w:hanging="366"/>
        <w:spacing w:after="0" w:line="373" w:lineRule="auto"/>
        <w:tabs>
          <w:tab w:leader="none" w:pos="16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Widely spaced surface sampling (40 pits) to maximum depth of 1.8 m and mechanically dug pits (23 500 m x 500 m grid). Assay results indicated the presence of two higher grade areas within the sala a significant area of high-grade brine within the central nucleus of the salar, with decreasing lit grades towards the margins of the salar.</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Geophysics</w:t>
      </w:r>
    </w:p>
    <w:p>
      <w:pPr>
        <w:spacing w:after="0" w:line="243" w:lineRule="exact"/>
        <w:rPr>
          <w:sz w:val="20"/>
          <w:szCs w:val="20"/>
          <w:color w:val="auto"/>
        </w:rPr>
      </w:pPr>
    </w:p>
    <w:p>
      <w:pPr>
        <w:jc w:val="both"/>
        <w:ind w:left="1620" w:right="40" w:hanging="366"/>
        <w:spacing w:after="0" w:line="372" w:lineRule="auto"/>
        <w:tabs>
          <w:tab w:leader="none" w:pos="16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2009 Vertical Electrical Sounding (SEV) and magnetotelluric (MT) surveys to determine the presenc distribution of aquifer zones and the shape of the salar basin. The work identified the presence of resistivity response zones indicating the presence of brine:</w:t>
      </w:r>
    </w:p>
    <w:p>
      <w:pPr>
        <w:spacing w:after="0" w:line="130" w:lineRule="exact"/>
        <w:rPr>
          <w:rFonts w:ascii="Arial" w:cs="Arial" w:eastAsia="Arial" w:hAnsi="Arial"/>
          <w:sz w:val="20"/>
          <w:szCs w:val="20"/>
          <w:color w:val="auto"/>
        </w:rPr>
      </w:pPr>
    </w:p>
    <w:p>
      <w:pPr>
        <w:ind w:left="1980" w:hanging="366"/>
        <w:spacing w:after="0" w:line="368" w:lineRule="auto"/>
        <w:tabs>
          <w:tab w:leader="none" w:pos="1980" w:val="left"/>
        </w:tabs>
        <w:numPr>
          <w:ilvl w:val="1"/>
          <w:numId w:val="36"/>
        </w:numPr>
        <w:rPr>
          <w:rFonts w:ascii="Arial" w:cs="Arial" w:eastAsia="Arial" w:hAnsi="Arial"/>
          <w:sz w:val="20"/>
          <w:szCs w:val="20"/>
          <w:i w:val="1"/>
          <w:iCs w:val="1"/>
          <w:color w:val="auto"/>
        </w:rPr>
      </w:pPr>
      <w:r>
        <w:rPr>
          <w:rFonts w:ascii="Arial" w:cs="Arial" w:eastAsia="Arial" w:hAnsi="Arial"/>
          <w:sz w:val="20"/>
          <w:szCs w:val="20"/>
          <w:i w:val="1"/>
          <w:iCs w:val="1"/>
          <w:color w:val="auto"/>
        </w:rPr>
        <w:t>Upper Conductive Zone (UCZ) is likely to consist of current or recent evaporite facies and highly porous brine-saturated halite.</w:t>
      </w:r>
    </w:p>
    <w:p>
      <w:pPr>
        <w:spacing w:after="0" w:line="134" w:lineRule="exact"/>
        <w:rPr>
          <w:rFonts w:ascii="Arial" w:cs="Arial" w:eastAsia="Arial" w:hAnsi="Arial"/>
          <w:sz w:val="20"/>
          <w:szCs w:val="20"/>
          <w:i w:val="1"/>
          <w:iCs w:val="1"/>
          <w:color w:val="auto"/>
        </w:rPr>
      </w:pPr>
    </w:p>
    <w:p>
      <w:pPr>
        <w:ind w:left="1980" w:hanging="366"/>
        <w:spacing w:after="0" w:line="368" w:lineRule="auto"/>
        <w:tabs>
          <w:tab w:leader="none" w:pos="1980" w:val="left"/>
        </w:tabs>
        <w:numPr>
          <w:ilvl w:val="1"/>
          <w:numId w:val="36"/>
        </w:numPr>
        <w:rPr>
          <w:rFonts w:ascii="Arial" w:cs="Arial" w:eastAsia="Arial" w:hAnsi="Arial"/>
          <w:sz w:val="20"/>
          <w:szCs w:val="20"/>
          <w:i w:val="1"/>
          <w:iCs w:val="1"/>
          <w:color w:val="auto"/>
        </w:rPr>
      </w:pPr>
      <w:r>
        <w:rPr>
          <w:rFonts w:ascii="Arial" w:cs="Arial" w:eastAsia="Arial" w:hAnsi="Arial"/>
          <w:sz w:val="20"/>
          <w:szCs w:val="20"/>
          <w:i w:val="1"/>
          <w:iCs w:val="1"/>
          <w:color w:val="auto"/>
        </w:rPr>
        <w:t>Intermediate Resistive Zone (IRZ) mainly formed by massive halite, gypsum, carbonates, borate interbedded clastic sediments; and,</w:t>
      </w:r>
    </w:p>
    <w:p>
      <w:pPr>
        <w:spacing w:after="0" w:line="134" w:lineRule="exact"/>
        <w:rPr>
          <w:rFonts w:ascii="Arial" w:cs="Arial" w:eastAsia="Arial" w:hAnsi="Arial"/>
          <w:sz w:val="20"/>
          <w:szCs w:val="20"/>
          <w:i w:val="1"/>
          <w:iCs w:val="1"/>
          <w:color w:val="auto"/>
        </w:rPr>
      </w:pPr>
    </w:p>
    <w:p>
      <w:pPr>
        <w:ind w:left="1980" w:right="360" w:hanging="366"/>
        <w:spacing w:after="0" w:line="368" w:lineRule="auto"/>
        <w:tabs>
          <w:tab w:leader="none" w:pos="1980" w:val="left"/>
        </w:tabs>
        <w:numPr>
          <w:ilvl w:val="1"/>
          <w:numId w:val="36"/>
        </w:numPr>
        <w:rPr>
          <w:rFonts w:ascii="Arial" w:cs="Arial" w:eastAsia="Arial" w:hAnsi="Arial"/>
          <w:sz w:val="20"/>
          <w:szCs w:val="20"/>
          <w:i w:val="1"/>
          <w:iCs w:val="1"/>
          <w:color w:val="auto"/>
        </w:rPr>
      </w:pPr>
      <w:r>
        <w:rPr>
          <w:rFonts w:ascii="Arial" w:cs="Arial" w:eastAsia="Arial" w:hAnsi="Arial"/>
          <w:sz w:val="20"/>
          <w:szCs w:val="20"/>
          <w:i w:val="1"/>
          <w:iCs w:val="1"/>
          <w:color w:val="auto"/>
        </w:rPr>
        <w:t>Lower Conductive Zone (LCZ) or geoelectrical basement composed of buried equivalents of Ordovician and Cenozoic sedimentary outcrops surrounding the salar.</w:t>
      </w:r>
    </w:p>
    <w:p>
      <w:pPr>
        <w:spacing w:after="0" w:line="91"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Presence of two depocenters in the salar one greater than 150 m depth with a halite composition and the o smaller one, greater than 100 m depth and probably of a more clastic nature.</w:t>
      </w:r>
    </w:p>
    <w:p>
      <w:pPr>
        <w:spacing w:after="0" w:line="12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Drilling, pump tests, and evaporation tests</w:t>
      </w:r>
    </w:p>
    <w:p>
      <w:pPr>
        <w:spacing w:after="0" w:line="236" w:lineRule="exact"/>
        <w:rPr>
          <w:sz w:val="20"/>
          <w:szCs w:val="20"/>
          <w:color w:val="auto"/>
        </w:rPr>
      </w:pPr>
    </w:p>
    <w:p>
      <w:pPr>
        <w:ind w:left="1260" w:hanging="366"/>
        <w:spacing w:after="0"/>
        <w:tabs>
          <w:tab w:leader="none" w:pos="12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Drilling</w:t>
      </w:r>
    </w:p>
    <w:p>
      <w:pPr>
        <w:spacing w:after="0" w:line="257" w:lineRule="exact"/>
        <w:rPr>
          <w:rFonts w:ascii="Arial" w:cs="Arial" w:eastAsia="Arial" w:hAnsi="Arial"/>
          <w:sz w:val="20"/>
          <w:szCs w:val="20"/>
          <w:color w:val="auto"/>
        </w:rPr>
      </w:pPr>
    </w:p>
    <w:p>
      <w:pPr>
        <w:ind w:left="1620" w:hanging="366"/>
        <w:spacing w:after="0" w:line="368" w:lineRule="auto"/>
        <w:tabs>
          <w:tab w:leader="none" w:pos="1620" w:val="left"/>
        </w:tabs>
        <w:numPr>
          <w:ilvl w:val="1"/>
          <w:numId w:val="37"/>
        </w:numPr>
        <w:rPr>
          <w:rFonts w:ascii="Arial" w:cs="Arial" w:eastAsia="Arial" w:hAnsi="Arial"/>
          <w:sz w:val="20"/>
          <w:szCs w:val="20"/>
          <w:color w:val="auto"/>
        </w:rPr>
      </w:pPr>
      <w:r>
        <w:rPr>
          <w:rFonts w:ascii="Arial" w:cs="Arial" w:eastAsia="Arial" w:hAnsi="Arial"/>
          <w:sz w:val="20"/>
          <w:szCs w:val="20"/>
          <w:i w:val="1"/>
          <w:iCs w:val="1"/>
          <w:color w:val="auto"/>
        </w:rPr>
        <w:t>Two vertical wells (SPZRC001 and SPZRC002) to a depth of approximately 90 m. A short (20 m d uncased piezometer well was drilled approximately 11 m east of SPZ RC001;</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 / 26</w:t>
      </w:r>
    </w:p>
    <w:p>
      <w:pPr>
        <w:sectPr>
          <w:pgSz w:w="11900" w:h="16838" w:orient="portrait"/>
          <w:cols w:equalWidth="0" w:num="1">
            <w:col w:w="10460"/>
          </w:cols>
          <w:pgMar w:left="1440" w:top="1440" w:right="6" w:bottom="0" w:gutter="0" w:footer="0" w:header="0"/>
          <w:type w:val="continuous"/>
        </w:sectPr>
      </w:pPr>
    </w:p>
    <w:bookmarkStart w:id="116" w:name="page117"/>
    <w:bookmarkEnd w:id="116"/>
    <w:p>
      <w:pPr>
        <w:jc w:val="both"/>
        <w:ind w:left="1620" w:hanging="366"/>
        <w:spacing w:after="0" w:line="372" w:lineRule="auto"/>
        <w:tabs>
          <w:tab w:leader="none" w:pos="1620" w:val="left"/>
        </w:tabs>
        <w:numPr>
          <w:ilvl w:val="1"/>
          <w:numId w:val="38"/>
        </w:numPr>
        <w:rPr>
          <w:rFonts w:ascii="Arial" w:cs="Arial" w:eastAsia="Arial" w:hAnsi="Arial"/>
          <w:sz w:val="20"/>
          <w:szCs w:val="20"/>
          <w:color w:val="auto"/>
        </w:rPr>
      </w:pPr>
      <w:r>
        <w:rPr>
          <w:rFonts w:ascii="Arial" w:cs="Arial" w:eastAsia="Arial" w:hAnsi="Arial"/>
          <w:sz w:val="20"/>
          <w:szCs w:val="20"/>
          <w:i w:val="1"/>
          <w:iCs w:val="1"/>
          <w:color w:val="auto"/>
        </w:rPr>
        <w:t>One HQ size diamond drillhole (SPZ DDH001) drilled to a depth of 183 m adjacent to SPZ RC001. hole was drilled to collect data on variations in lithology with depth and to collect brine samples bel massive clay layer encountered at about 90 m depth in the rotary holes.</w:t>
      </w:r>
    </w:p>
    <w:p>
      <w:pPr>
        <w:spacing w:after="0" w:line="123" w:lineRule="exact"/>
        <w:rPr>
          <w:rFonts w:ascii="Arial" w:cs="Arial" w:eastAsia="Arial" w:hAnsi="Arial"/>
          <w:sz w:val="20"/>
          <w:szCs w:val="20"/>
          <w:color w:val="auto"/>
        </w:rPr>
      </w:pPr>
    </w:p>
    <w:p>
      <w:pPr>
        <w:ind w:left="1260" w:hanging="366"/>
        <w:spacing w:after="0"/>
        <w:tabs>
          <w:tab w:leader="none" w:pos="12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Pump Tests</w:t>
      </w:r>
    </w:p>
    <w:p>
      <w:pPr>
        <w:spacing w:after="0" w:line="257" w:lineRule="exact"/>
        <w:rPr>
          <w:rFonts w:ascii="Arial" w:cs="Arial" w:eastAsia="Arial" w:hAnsi="Arial"/>
          <w:sz w:val="20"/>
          <w:szCs w:val="20"/>
          <w:color w:val="auto"/>
        </w:rPr>
      </w:pPr>
    </w:p>
    <w:p>
      <w:pPr>
        <w:jc w:val="both"/>
        <w:ind w:left="1620" w:hanging="366"/>
        <w:spacing w:after="0" w:line="368" w:lineRule="auto"/>
        <w:tabs>
          <w:tab w:leader="none" w:pos="1620" w:val="left"/>
        </w:tabs>
        <w:numPr>
          <w:ilvl w:val="1"/>
          <w:numId w:val="38"/>
        </w:numPr>
        <w:rPr>
          <w:rFonts w:ascii="Arial" w:cs="Arial" w:eastAsia="Arial" w:hAnsi="Arial"/>
          <w:sz w:val="20"/>
          <w:szCs w:val="20"/>
          <w:color w:val="auto"/>
        </w:rPr>
      </w:pPr>
      <w:r>
        <w:rPr>
          <w:rFonts w:ascii="Arial" w:cs="Arial" w:eastAsia="Arial" w:hAnsi="Arial"/>
          <w:sz w:val="20"/>
          <w:szCs w:val="20"/>
          <w:i w:val="1"/>
          <w:iCs w:val="1"/>
          <w:color w:val="auto"/>
        </w:rPr>
        <w:t>Pump tests were conducted by Eramine Sudamerica and LitheA from holes SPZ001 and SPZ002. results of the pumping tests by Conhidro (2011) indicated a transmissivity in the area of hole SPZ0</w:t>
      </w:r>
    </w:p>
    <w:p>
      <w:pPr>
        <w:spacing w:after="0" w:line="7" w:lineRule="exact"/>
        <w:rPr>
          <w:rFonts w:ascii="Arial" w:cs="Arial" w:eastAsia="Arial" w:hAnsi="Arial"/>
          <w:sz w:val="20"/>
          <w:szCs w:val="20"/>
          <w:color w:val="auto"/>
        </w:rPr>
      </w:pPr>
    </w:p>
    <w:p>
      <w:pPr>
        <w:ind w:left="1620"/>
        <w:spacing w:after="0" w:line="341" w:lineRule="auto"/>
        <w:rPr>
          <w:rFonts w:ascii="Arial" w:cs="Arial" w:eastAsia="Arial" w:hAnsi="Arial"/>
          <w:sz w:val="20"/>
          <w:szCs w:val="20"/>
          <w:color w:val="auto"/>
        </w:rPr>
      </w:pPr>
      <w:r>
        <w:rPr>
          <w:rFonts w:ascii="Arial" w:cs="Arial" w:eastAsia="Arial" w:hAnsi="Arial"/>
          <w:sz w:val="20"/>
          <w:szCs w:val="20"/>
          <w:i w:val="1"/>
          <w:iCs w:val="1"/>
          <w:color w:val="auto"/>
        </w:rPr>
        <w:t>1,001 m</w:t>
      </w:r>
      <w:r>
        <w:rPr>
          <w:rFonts w:ascii="Arial" w:cs="Arial" w:eastAsia="Arial" w:hAnsi="Arial"/>
          <w:sz w:val="26"/>
          <w:szCs w:val="26"/>
          <w:i w:val="1"/>
          <w:iCs w:val="1"/>
          <w:color w:val="auto"/>
          <w:vertAlign w:val="superscript"/>
        </w:rPr>
        <w:t>2</w:t>
      </w:r>
      <w:r>
        <w:rPr>
          <w:rFonts w:ascii="Arial" w:cs="Arial" w:eastAsia="Arial" w:hAnsi="Arial"/>
          <w:sz w:val="20"/>
          <w:szCs w:val="20"/>
          <w:i w:val="1"/>
          <w:iCs w:val="1"/>
          <w:color w:val="auto"/>
        </w:rPr>
        <w:t>/day and a storage coefficient of 0.0025 to 20 m depth and a transmissivity of 639 m</w:t>
      </w:r>
      <w:r>
        <w:rPr>
          <w:rFonts w:ascii="Arial" w:cs="Arial" w:eastAsia="Arial" w:hAnsi="Arial"/>
          <w:sz w:val="26"/>
          <w:szCs w:val="26"/>
          <w:i w:val="1"/>
          <w:iCs w:val="1"/>
          <w:color w:val="auto"/>
          <w:vertAlign w:val="superscript"/>
        </w:rPr>
        <w:t>2</w:t>
      </w:r>
      <w:r>
        <w:rPr>
          <w:rFonts w:ascii="Arial" w:cs="Arial" w:eastAsia="Arial" w:hAnsi="Arial"/>
          <w:sz w:val="20"/>
          <w:szCs w:val="20"/>
          <w:i w:val="1"/>
          <w:iCs w:val="1"/>
          <w:color w:val="auto"/>
        </w:rPr>
        <w:t>/day storage coefficient of 0.0000855 to 79.5 m. The pumping test for SPZ002 indicated a substa drawdown of 55 m and a flow rate of 100 m3/hr over the full depth of the well. Grades (&gt;500 lithium).</w:t>
      </w:r>
    </w:p>
    <w:p>
      <w:pPr>
        <w:spacing w:after="0" w:line="155" w:lineRule="exact"/>
        <w:rPr>
          <w:rFonts w:ascii="Arial" w:cs="Arial" w:eastAsia="Arial" w:hAnsi="Arial"/>
          <w:sz w:val="20"/>
          <w:szCs w:val="20"/>
          <w:color w:val="auto"/>
        </w:rPr>
      </w:pPr>
    </w:p>
    <w:p>
      <w:pPr>
        <w:ind w:left="1620" w:hanging="366"/>
        <w:spacing w:after="0"/>
        <w:tabs>
          <w:tab w:leader="none" w:pos="1620" w:val="left"/>
        </w:tabs>
        <w:numPr>
          <w:ilvl w:val="1"/>
          <w:numId w:val="38"/>
        </w:numPr>
        <w:rPr>
          <w:rFonts w:ascii="Arial" w:cs="Arial" w:eastAsia="Arial" w:hAnsi="Arial"/>
          <w:sz w:val="20"/>
          <w:szCs w:val="20"/>
          <w:color w:val="auto"/>
        </w:rPr>
      </w:pPr>
      <w:r>
        <w:rPr>
          <w:rFonts w:ascii="Arial" w:cs="Arial" w:eastAsia="Arial" w:hAnsi="Arial"/>
          <w:sz w:val="20"/>
          <w:szCs w:val="20"/>
          <w:color w:val="auto"/>
        </w:rPr>
        <w:t>Eramine Sudamerica (2012) completed step tests at well RC001PZ (ex SPZ RC001) and determin</w:t>
      </w:r>
    </w:p>
    <w:p>
      <w:pPr>
        <w:spacing w:after="0" w:line="129" w:lineRule="exact"/>
        <w:rPr>
          <w:rFonts w:ascii="Arial" w:cs="Arial" w:eastAsia="Arial" w:hAnsi="Arial"/>
          <w:sz w:val="20"/>
          <w:szCs w:val="20"/>
          <w:color w:val="auto"/>
        </w:rPr>
      </w:pPr>
    </w:p>
    <w:p>
      <w:pPr>
        <w:ind w:left="1620"/>
        <w:spacing w:after="0" w:line="303" w:lineRule="auto"/>
        <w:rPr>
          <w:rFonts w:ascii="Arial" w:cs="Arial" w:eastAsia="Arial" w:hAnsi="Arial"/>
          <w:sz w:val="20"/>
          <w:szCs w:val="20"/>
          <w:color w:val="auto"/>
        </w:rPr>
      </w:pPr>
      <w:r>
        <w:rPr>
          <w:rFonts w:ascii="Arial" w:cs="Arial" w:eastAsia="Arial" w:hAnsi="Arial"/>
          <w:sz w:val="20"/>
          <w:szCs w:val="20"/>
          <w:color w:val="auto"/>
        </w:rPr>
        <w:t>transmissivity on the order of 400 m</w:t>
      </w:r>
      <w:r>
        <w:rPr>
          <w:rFonts w:ascii="Arial" w:cs="Arial" w:eastAsia="Arial" w:hAnsi="Arial"/>
          <w:sz w:val="26"/>
          <w:szCs w:val="26"/>
          <w:color w:val="auto"/>
          <w:vertAlign w:val="superscript"/>
        </w:rPr>
        <w:t>2</w:t>
      </w:r>
      <w:r>
        <w:rPr>
          <w:rFonts w:ascii="Arial" w:cs="Arial" w:eastAsia="Arial" w:hAnsi="Arial"/>
          <w:sz w:val="20"/>
          <w:szCs w:val="20"/>
          <w:color w:val="auto"/>
        </w:rPr>
        <w:t>/day. A long-term pumping test (19 days) showed average lit content during pumping was about 570 mg/L, with similar stability in other key anions and cations.</w:t>
      </w:r>
    </w:p>
    <w:p>
      <w:pPr>
        <w:spacing w:after="0" w:line="172" w:lineRule="exact"/>
        <w:rPr>
          <w:rFonts w:ascii="Arial" w:cs="Arial" w:eastAsia="Arial" w:hAnsi="Arial"/>
          <w:sz w:val="20"/>
          <w:szCs w:val="20"/>
          <w:color w:val="auto"/>
        </w:rPr>
      </w:pPr>
    </w:p>
    <w:p>
      <w:pPr>
        <w:ind w:left="1260" w:hanging="366"/>
        <w:spacing w:after="0"/>
        <w:tabs>
          <w:tab w:leader="none" w:pos="12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Evaporation Tests</w:t>
      </w:r>
    </w:p>
    <w:p>
      <w:pPr>
        <w:spacing w:after="0" w:line="257"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1"/>
          <w:numId w:val="38"/>
        </w:numPr>
        <w:rPr>
          <w:rFonts w:ascii="Arial" w:cs="Arial" w:eastAsia="Arial" w:hAnsi="Arial"/>
          <w:sz w:val="20"/>
          <w:szCs w:val="20"/>
          <w:color w:val="auto"/>
        </w:rPr>
      </w:pPr>
      <w:r>
        <w:rPr>
          <w:rFonts w:ascii="Arial" w:cs="Arial" w:eastAsia="Arial" w:hAnsi="Arial"/>
          <w:sz w:val="20"/>
          <w:szCs w:val="20"/>
          <w:color w:val="auto"/>
        </w:rPr>
        <w:t>As part of the work with POSCO, LitheA undertook a series of evaporation tests on brine recovered the salar. These tests included analyses of evaporation from small test pits, as well as studie evaporation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1060450</wp:posOffset>
            </wp:positionV>
            <wp:extent cx="6764020"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33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 / 26</w:t>
      </w:r>
    </w:p>
    <w:p>
      <w:pPr>
        <w:sectPr>
          <w:pgSz w:w="11900" w:h="16838" w:orient="portrait"/>
          <w:cols w:equalWidth="0" w:num="1">
            <w:col w:w="10460"/>
          </w:cols>
          <w:pgMar w:left="1440" w:top="1335" w:right="6" w:bottom="0" w:gutter="0" w:footer="0" w:header="0"/>
          <w:type w:val="continuous"/>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620"/>
        <w:spacing w:after="0" w:line="372" w:lineRule="auto"/>
        <w:rPr>
          <w:sz w:val="20"/>
          <w:szCs w:val="20"/>
          <w:color w:val="auto"/>
        </w:rPr>
      </w:pPr>
      <w:r>
        <w:rPr>
          <w:rFonts w:ascii="Arial" w:cs="Arial" w:eastAsia="Arial" w:hAnsi="Arial"/>
          <w:sz w:val="20"/>
          <w:szCs w:val="20"/>
          <w:color w:val="auto"/>
        </w:rPr>
        <w:t>using both lined and unlined ponds on the salar. It was found that due to the high porosity of the su halite, pond evaporation using unlined ponds was not possible, but that use of lined ponds coul considered.</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History of Pastos Grandes</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Mining for borates has been conducted in the Pastos Grandes area since the early 1960s. Borax Argenti subsidiary of Orocobre Limited, mines colemanite, hydroboracite and ulexite from the Sijes Formatio tenements located on the southern and eastern margins of the Pastos Grandes basin. The minerals processed at the Sijes borates plant operated by Minera Santa Rita.</w:t>
      </w:r>
    </w:p>
    <w:p>
      <w:pPr>
        <w:spacing w:after="0" w:line="212"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In 1987 Ulex started borate mining operations on the southeastern extension of the Pastos Grandes basin a Sol de Mañana mine, producing approximately 1,000 ton per annum of colemanite- hydroboracite-ulexite. T SRL has mined colemanite on an intermittent basis at the Quebracho property on the southern border o Pastos Grandes salar and common salt on the salar surface since 2006. Various other mining groups recovered salt from the salar using solar evaporation on various properties across the salar.</w:t>
      </w:r>
    </w:p>
    <w:p>
      <w:pPr>
        <w:spacing w:after="0" w:line="210"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Initial exploration for lithium at Pastos Grandes was undertaken by the Direcion Generale Fabricaciones Mili (DGFM), an agency of the Argentine government, in 1979 when a program to explore for lithium in many o salars in the Puna was started (Nicolli et al, 1982). Work at Pastos Grandes included geological mapping surface sampling, with six brine samples from surface and eight from hand-dug pits and four from str samples. The samples from the salar showed an average value of 384 ppm Li and 4,066 ppm K for pit sam and 327 ppm Li and 3,518 ppm K for surface samples (Nicolli et al, 1982).</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In 2011 and 2012 Eramine Sudamerica SA (“</w:t>
      </w:r>
      <w:r>
        <w:rPr>
          <w:rFonts w:ascii="Arial" w:cs="Arial" w:eastAsia="Arial" w:hAnsi="Arial"/>
          <w:sz w:val="20"/>
          <w:szCs w:val="20"/>
          <w:b w:val="1"/>
          <w:bCs w:val="1"/>
          <w:color w:val="auto"/>
        </w:rPr>
        <w:t>Eramine</w:t>
      </w:r>
      <w:r>
        <w:rPr>
          <w:rFonts w:ascii="Arial" w:cs="Arial" w:eastAsia="Arial" w:hAnsi="Arial"/>
          <w:sz w:val="20"/>
          <w:szCs w:val="20"/>
          <w:color w:val="auto"/>
        </w:rPr>
        <w:t>”), a subsidiary of Eramet SA, carried out surface ma and sampling, drilling and pump testing at locations across the salar. Drilling was limited to a maximum dep 160 m. In addition, Eramine also completed a program of geophysical surveys, including TEM, CS-AMT and (Eramine, 2016). The work by Eramine was summarized in an NI 43-101 technical report filed by Mille Lithium in 2016 (Rojas, 2016) and updated in 2017 (Rosko, 2017).</w:t>
      </w:r>
    </w:p>
    <w:p>
      <w:pPr>
        <w:spacing w:after="0" w:line="210"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LSC Lithium, as part of its initial due diligence exploration program related to acquisition of tenements on sal Pastos Grandes, completed a program of surface sampling under the direction of the author. Details of the re of the due diligence program can be found in Hains (2017a).</w:t>
      </w:r>
    </w:p>
    <w:p>
      <w:pPr>
        <w:spacing w:after="0" w:line="2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LSC Lithium completed a program of exploration geophysics, drilling, and brine sampling resulting in an i resource estimate for its salar de Pastos Grandes tenements dated October 19, 2018, of measured and indi resources of 344 kt Li and of inferred resources of 58 kt Li.</w:t>
      </w:r>
    </w:p>
    <w:p>
      <w:pPr>
        <w:spacing w:after="0" w:line="212" w:lineRule="exact"/>
        <w:rPr>
          <w:sz w:val="20"/>
          <w:szCs w:val="20"/>
          <w:color w:val="auto"/>
        </w:rPr>
      </w:pPr>
    </w:p>
    <w:p>
      <w:pPr>
        <w:jc w:val="both"/>
        <w:ind w:left="900"/>
        <w:spacing w:after="0" w:line="332" w:lineRule="auto"/>
        <w:rPr>
          <w:sz w:val="20"/>
          <w:szCs w:val="20"/>
          <w:color w:val="auto"/>
        </w:rPr>
      </w:pPr>
      <w:r>
        <w:rPr>
          <w:rFonts w:ascii="Arial" w:cs="Arial" w:eastAsia="Arial" w:hAnsi="Arial"/>
          <w:sz w:val="19"/>
          <w:szCs w:val="19"/>
          <w:color w:val="auto"/>
        </w:rPr>
        <w:t>Millennial conducted an extensive program of field work across the Salar from 2016 to 2021 known as the S Two and Three investigations of the Pastos Grandes Project. These programs delineated measured and indi resources of 4,120 kt of LCE (Montgomery &amp; Associates 2019). A positive NI 43-101 Feasibility Study (FS) completed (Worley 2019) for a 24,000 TPA battery lithium carbonate production plant with a 40-year min using conventional lithium processing technology based on 943 kt of proven and probable Mineral Reserve January of 2022 Lithium Americas Corp completed the acquisition of Millennial including the Pastos Gra Project. LAR does not treat the mineral reserve estimate as a current mineral reserve estimate and no qua</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3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 / 26</w:t>
      </w:r>
    </w:p>
    <w:p>
      <w:pPr>
        <w:sectPr>
          <w:pgSz w:w="11900" w:h="16838" w:orient="portrait"/>
          <w:cols w:equalWidth="0" w:num="1">
            <w:col w:w="10460"/>
          </w:cols>
          <w:pgMar w:left="1440" w:top="1440" w:right="6" w:bottom="0" w:gutter="0" w:footer="0" w:header="0"/>
          <w:type w:val="continuous"/>
        </w:sectPr>
      </w:pPr>
    </w:p>
    <w:bookmarkStart w:id="118" w:name="page119"/>
    <w:bookmarkEnd w:id="118"/>
    <w:p>
      <w:pPr>
        <w:jc w:val="both"/>
        <w:ind w:left="900"/>
        <w:spacing w:after="0" w:line="311" w:lineRule="auto"/>
        <w:rPr>
          <w:sz w:val="20"/>
          <w:szCs w:val="20"/>
          <w:color w:val="auto"/>
        </w:rPr>
      </w:pPr>
      <w:r>
        <w:rPr>
          <w:rFonts w:ascii="Arial" w:cs="Arial" w:eastAsia="Arial" w:hAnsi="Arial"/>
          <w:sz w:val="20"/>
          <w:szCs w:val="20"/>
          <w:color w:val="auto"/>
        </w:rPr>
        <w:t>person has done sufficient work to classify this historical mineral reserve estimate as a current mineral res While the mineral reserve estimate was reported in accordance with CIM categories, the qualified pers unable to verify the relevance and reliability of the estimate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9 / 26</w:t>
      </w:r>
    </w:p>
    <w:p>
      <w:pPr>
        <w:sectPr>
          <w:pgSz w:w="11900" w:h="16838" w:orient="portrait"/>
          <w:cols w:equalWidth="0" w:num="1">
            <w:col w:w="10460"/>
          </w:cols>
          <w:pgMar w:left="1440" w:top="1172" w:right="6" w:bottom="0" w:gutter="0" w:footer="0" w:header="0"/>
          <w:type w:val="continuous"/>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Centaur Resources (“Centaur”) carried out lithium exploration activities on the ‘Alma Fuerte’ mining claim Sal de la Puna Project immediate to the south and east of the LAR mining claims during 2018/2019. This pro included drilling of three boreholes including a pumping well to around 600 m depth, pumping tests, and seis TEM geophysical surveys. On October 19, 2021, AMSA announced the results of the maiden mineral reso estimate (effective as of September 9, 2021) conducted on its Sal de la Puna Project (SdlP). An Inferred mi resource consisting of 560,000 t LCE was defined on the Almafuerte property.</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In 2023, LAR purchased AMSA (Sal de la puna project). AMSA is now 65% owned by LAR and 35% owne Ganfeng.</w:t>
      </w:r>
    </w:p>
    <w:p>
      <w:pPr>
        <w:spacing w:after="0" w:line="215" w:lineRule="exact"/>
        <w:rPr>
          <w:sz w:val="20"/>
          <w:szCs w:val="20"/>
          <w:color w:val="auto"/>
        </w:rPr>
      </w:pPr>
    </w:p>
    <w:p>
      <w:pPr>
        <w:jc w:val="both"/>
        <w:ind w:left="900" w:right="20"/>
        <w:spacing w:after="0" w:line="307" w:lineRule="auto"/>
        <w:rPr>
          <w:sz w:val="20"/>
          <w:szCs w:val="20"/>
          <w:color w:val="auto"/>
        </w:rPr>
      </w:pPr>
      <w:r>
        <w:rPr>
          <w:rFonts w:ascii="Arial" w:cs="Arial" w:eastAsia="Arial" w:hAnsi="Arial"/>
          <w:sz w:val="20"/>
          <w:szCs w:val="20"/>
          <w:color w:val="auto"/>
        </w:rPr>
        <w:t>LAR owns 85% of Pastos Grandes Co Project (PGCo) while Ganfeng Lithium Netherlands Co., B.V. own other 15%.</w:t>
      </w:r>
    </w:p>
    <w:p>
      <w:pPr>
        <w:spacing w:after="0" w:line="215"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Pozuelos hosts the Pozuelos exploration camp, which was completed in October 2018. The camp serves a exploration base for the PPG Project and will be expanded as the Project advances. In addition to that, Poz has a pilot plant, solar panels, and evaporation ponds for tests.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Pastos Grandes has a camp for 100 people, a pilot plant and solar panels.</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Through diligent drilling operations conducted by Ganfeng and LAR, a total of 104 exploration wells have drilled: in Pozuelos, 43 DDH wells and 11 RC wells have been drilled; in Pastos Grandes, 31 DDH wells an RC wells have been drilled. In addition, 27 production wells were successfully drilled through the salars.</w:t>
      </w:r>
    </w:p>
    <w:p>
      <w:pPr>
        <w:spacing w:after="0" w:line="2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Company has already submitted an Environmental Study for the pipeline corridor which allows the tran of brine from Pastos Grandes to Pozuelos. The EIR/EIS for Phase 1 (Pozuelos) was approved by the Provin Salta in November 2025. For Phase 2 and 3, the permits need to be submitted.</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There are no known environmental liabilities.</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Geological Setting and Mineralization</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PPG Project is in the Altiplano-Puna Plateau portion of the Andean Mountain range. The basement ro the region is primarily comprised of Ordovician metasediments overlain by Eocene to Neogene sedimentary with intercalated volcanic rock. These basement rocks are exposed along the margins of the Pozuelos Pastos Grandes salars due to NNE-trending thrust faults and NW-SE lineaments. Both salar basins contain sequences of clastic sedimentary rock and halite bodies (Coira et al., 1982; Marret et al., 1994; Allmending al., 1997; Chernicoff et al., 2002).</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Pozuelos</w:t>
      </w:r>
    </w:p>
    <w:p>
      <w:pPr>
        <w:spacing w:after="0" w:line="279" w:lineRule="exact"/>
        <w:rPr>
          <w:sz w:val="20"/>
          <w:szCs w:val="20"/>
          <w:color w:val="auto"/>
        </w:rPr>
      </w:pPr>
    </w:p>
    <w:p>
      <w:pPr>
        <w:ind w:left="900" w:right="40"/>
        <w:spacing w:after="0" w:line="307" w:lineRule="auto"/>
        <w:rPr>
          <w:sz w:val="20"/>
          <w:szCs w:val="20"/>
          <w:color w:val="auto"/>
        </w:rPr>
      </w:pPr>
      <w:r>
        <w:rPr>
          <w:rFonts w:ascii="Arial" w:cs="Arial" w:eastAsia="Arial" w:hAnsi="Arial"/>
          <w:sz w:val="20"/>
          <w:szCs w:val="20"/>
          <w:color w:val="auto"/>
        </w:rPr>
        <w:t>The modern salar at Pozuelos is classified as a mature salar. The lithology of the salar reflects this develop with the following general sequence of hydrogeologic units:</w:t>
      </w:r>
    </w:p>
    <w:p>
      <w:pPr>
        <w:spacing w:after="0" w:line="179" w:lineRule="exact"/>
        <w:rPr>
          <w:sz w:val="20"/>
          <w:szCs w:val="20"/>
          <w:color w:val="auto"/>
        </w:rPr>
      </w:pPr>
    </w:p>
    <w:p>
      <w:pPr>
        <w:ind w:left="1620" w:hanging="366"/>
        <w:spacing w:after="0" w:line="368" w:lineRule="auto"/>
        <w:tabs>
          <w:tab w:leader="none" w:pos="16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Ephemeral Saline Lake Facies: comprised of halite with mixed textures is the uppermost layer of the and contains sediments related the modern hypersaline lake.</w:t>
      </w:r>
    </w:p>
    <w:p>
      <w:pPr>
        <w:spacing w:after="0" w:line="134" w:lineRule="exact"/>
        <w:rPr>
          <w:rFonts w:ascii="Arial" w:cs="Arial" w:eastAsia="Arial" w:hAnsi="Arial"/>
          <w:sz w:val="20"/>
          <w:szCs w:val="20"/>
          <w:color w:val="auto"/>
        </w:rPr>
      </w:pPr>
    </w:p>
    <w:p>
      <w:pPr>
        <w:ind w:left="1620" w:hanging="366"/>
        <w:spacing w:after="0"/>
        <w:tabs>
          <w:tab w:leader="none" w:pos="16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Perennial Saline Lake Facies: comprised of fractures and massive halite with interstitial clays and sa</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10 / 26</w:t>
      </w:r>
    </w:p>
    <w:p>
      <w:pPr>
        <w:sectPr>
          <w:pgSz w:w="11900" w:h="16838" w:orient="portrait"/>
          <w:cols w:equalWidth="0" w:num="1">
            <w:col w:w="10460"/>
          </w:cols>
          <w:pgMar w:left="1440" w:top="1440" w:right="6" w:bottom="0" w:gutter="0" w:footer="0" w:header="0"/>
          <w:type w:val="continuous"/>
        </w:sectPr>
      </w:pPr>
    </w:p>
    <w:bookmarkStart w:id="120" w:name="page121"/>
    <w:bookmarkEnd w:id="120"/>
    <w:p>
      <w:pPr>
        <w:jc w:val="both"/>
        <w:ind w:left="1620" w:hanging="366"/>
        <w:spacing w:after="0" w:line="400" w:lineRule="auto"/>
        <w:tabs>
          <w:tab w:leader="none" w:pos="16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Saline Mudflat Facies: comprised of silt mixed with clays and fine sand, associated with an o oversaturated lake and quiet environment, likely time-equivalent to the Sijes and Blanca Lila Formati</w:t>
      </w:r>
    </w:p>
    <w:p>
      <w:pPr>
        <w:spacing w:after="0" w:line="111" w:lineRule="exact"/>
        <w:rPr>
          <w:rFonts w:ascii="Arial" w:cs="Arial" w:eastAsia="Arial" w:hAnsi="Arial"/>
          <w:sz w:val="19"/>
          <w:szCs w:val="19"/>
          <w:color w:val="auto"/>
        </w:rPr>
      </w:pPr>
    </w:p>
    <w:p>
      <w:pPr>
        <w:jc w:val="both"/>
        <w:ind w:left="1620" w:hanging="366"/>
        <w:spacing w:after="0" w:line="372" w:lineRule="auto"/>
        <w:tabs>
          <w:tab w:leader="none" w:pos="16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Playa Margin Facies: comprised of gravels representing alluvial and colluvial deposits with s interbedding of more sandy facies, both laterally and vertically, likely corresponding to Geste Pozuelos Formations, respectively.</w:t>
      </w:r>
    </w:p>
    <w:p>
      <w:pPr>
        <w:spacing w:after="0" w:line="123" w:lineRule="exact"/>
        <w:rPr>
          <w:rFonts w:ascii="Arial" w:cs="Arial" w:eastAsia="Arial" w:hAnsi="Arial"/>
          <w:sz w:val="20"/>
          <w:szCs w:val="20"/>
          <w:color w:val="auto"/>
        </w:rPr>
      </w:pPr>
    </w:p>
    <w:p>
      <w:pPr>
        <w:ind w:left="1620" w:hanging="366"/>
        <w:spacing w:after="0"/>
        <w:tabs>
          <w:tab w:leader="none" w:pos="16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Siltstone: comprised of Cenozoic siltstones likely correlative with the Pozuelos Formation; and</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Fractured Aquifer: comprised of the Copalayo Formation bedrock with varying degrees of fractures.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1141095</wp:posOffset>
            </wp:positionV>
            <wp:extent cx="6764020"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33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11 / 26</w:t>
      </w:r>
    </w:p>
    <w:p>
      <w:pPr>
        <w:sectPr>
          <w:pgSz w:w="11900" w:h="16838" w:orient="portrait"/>
          <w:cols w:equalWidth="0" w:num="1">
            <w:col w:w="10460"/>
          </w:cols>
          <w:pgMar w:left="1440" w:top="1335" w:right="6" w:bottom="0" w:gutter="0" w:footer="0" w:header="0"/>
          <w:type w:val="continuous"/>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281" w:lineRule="auto"/>
        <w:rPr>
          <w:sz w:val="20"/>
          <w:szCs w:val="20"/>
          <w:color w:val="auto"/>
        </w:rPr>
      </w:pPr>
      <w:r>
        <w:rPr>
          <w:rFonts w:ascii="Arial" w:cs="Arial" w:eastAsia="Arial" w:hAnsi="Arial"/>
          <w:sz w:val="20"/>
          <w:szCs w:val="20"/>
          <w:color w:val="auto"/>
        </w:rPr>
        <w:t>The brine from Pozuelos are solutions saturated in sodium chloride with an average concentration of TDS o g/L and an average density of 1.21 g/cm</w:t>
      </w:r>
      <w:r>
        <w:rPr>
          <w:rFonts w:ascii="Arial" w:cs="Arial" w:eastAsia="Arial" w:hAnsi="Arial"/>
          <w:sz w:val="26"/>
          <w:szCs w:val="26"/>
          <w:color w:val="auto"/>
          <w:vertAlign w:val="superscript"/>
        </w:rPr>
        <w:t>3</w:t>
      </w:r>
      <w:r>
        <w:rPr>
          <w:rFonts w:ascii="Arial" w:cs="Arial" w:eastAsia="Arial" w:hAnsi="Arial"/>
          <w:sz w:val="20"/>
          <w:szCs w:val="20"/>
          <w:color w:val="auto"/>
        </w:rPr>
        <w:t>. The other components present in the Pozuelos brine are K, Li, SO</w:t>
      </w:r>
      <w:r>
        <w:rPr>
          <w:rFonts w:ascii="Arial" w:cs="Arial" w:eastAsia="Arial" w:hAnsi="Arial"/>
          <w:sz w:val="26"/>
          <w:szCs w:val="26"/>
          <w:color w:val="auto"/>
          <w:vertAlign w:val="subscript"/>
        </w:rPr>
        <w:t>4</w:t>
      </w:r>
      <w:r>
        <w:rPr>
          <w:rFonts w:ascii="Arial" w:cs="Arial" w:eastAsia="Arial" w:hAnsi="Arial"/>
          <w:sz w:val="26"/>
          <w:szCs w:val="26"/>
          <w:color w:val="auto"/>
          <w:vertAlign w:val="superscript"/>
        </w:rPr>
        <w:t>2-</w:t>
      </w:r>
      <w:r>
        <w:rPr>
          <w:rFonts w:ascii="Arial" w:cs="Arial" w:eastAsia="Arial" w:hAnsi="Arial"/>
          <w:sz w:val="20"/>
          <w:szCs w:val="20"/>
          <w:color w:val="auto"/>
        </w:rPr>
        <w:t>, Cl and B with relatively low Ca. The brine can be classified as a sulphate-chloride type with anom lithium. Lithium concentrations in Salar de Pozuelos have an average value of 518 mg/L, with some sam reaching up to 908 mg/L.</w:t>
      </w:r>
    </w:p>
    <w:p>
      <w:pPr>
        <w:spacing w:after="0" w:line="233"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Pastos Grandes</w:t>
      </w:r>
    </w:p>
    <w:p>
      <w:pPr>
        <w:spacing w:after="0" w:line="279" w:lineRule="exact"/>
        <w:rPr>
          <w:sz w:val="20"/>
          <w:szCs w:val="20"/>
          <w:color w:val="auto"/>
        </w:rPr>
      </w:pPr>
    </w:p>
    <w:p>
      <w:pPr>
        <w:ind w:left="900" w:right="20"/>
        <w:spacing w:after="0" w:line="307" w:lineRule="auto"/>
        <w:rPr>
          <w:sz w:val="20"/>
          <w:szCs w:val="20"/>
          <w:color w:val="auto"/>
        </w:rPr>
      </w:pPr>
      <w:r>
        <w:rPr>
          <w:rFonts w:ascii="Arial" w:cs="Arial" w:eastAsia="Arial" w:hAnsi="Arial"/>
          <w:sz w:val="20"/>
          <w:szCs w:val="20"/>
          <w:color w:val="auto"/>
        </w:rPr>
        <w:t>The modern salar at Pastos Grandes contains five major hydrogeological units based on drill core, su mapping, and geophysical information. This includes:</w:t>
      </w:r>
    </w:p>
    <w:p>
      <w:pPr>
        <w:spacing w:after="0" w:line="179" w:lineRule="exact"/>
        <w:rPr>
          <w:sz w:val="20"/>
          <w:szCs w:val="20"/>
          <w:color w:val="auto"/>
        </w:rPr>
      </w:pPr>
    </w:p>
    <w:p>
      <w:pPr>
        <w:ind w:left="1620" w:hanging="366"/>
        <w:spacing w:after="0" w:line="368" w:lineRule="auto"/>
        <w:tabs>
          <w:tab w:leader="none" w:pos="16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 Fluvial/Alluvial unit: comprised of gravel and sand around the salar, with thicknesses up to 450 m i northern sector of the basin.</w:t>
      </w:r>
    </w:p>
    <w:p>
      <w:pPr>
        <w:spacing w:after="0" w:line="134"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An Upper Clay unit: comprised of claystones and siltstones mostly in the centre-south of the b roughly correlative with the marginal facies of the Blanca Lila Formation.</w:t>
      </w:r>
    </w:p>
    <w:p>
      <w:pPr>
        <w:spacing w:after="0" w:line="134"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 Saline Lacustrine unit: comprised of thick massive halite beds and minor interbedded claysto ranging from 200 to over 700 m in thickness, roughly correlative with the indurated halite core o Blanca Lila Formation typified by the Blanca Lila islands.</w:t>
      </w:r>
    </w:p>
    <w:p>
      <w:pPr>
        <w:spacing w:after="0" w:line="130"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 Central Clastic unit: comprised of clays and clayey sands underneath the halite bodies with thickn up to 300 m, roughly correlative with marginal lacustrine facies of the Sijes and/or Blanca Lila Forma and</w:t>
      </w:r>
    </w:p>
    <w:p>
      <w:pPr>
        <w:spacing w:after="0" w:line="130" w:lineRule="exact"/>
        <w:rPr>
          <w:rFonts w:ascii="Arial" w:cs="Arial" w:eastAsia="Arial" w:hAnsi="Arial"/>
          <w:sz w:val="20"/>
          <w:szCs w:val="20"/>
          <w:color w:val="auto"/>
        </w:rPr>
      </w:pPr>
    </w:p>
    <w:p>
      <w:pPr>
        <w:jc w:val="both"/>
        <w:ind w:left="1620" w:hanging="366"/>
        <w:spacing w:after="0" w:line="373" w:lineRule="auto"/>
        <w:tabs>
          <w:tab w:leader="none" w:pos="16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Base Breccia/Gravels unit: comprised of sedimentary breccia with coarse fragments of silic conglomerate, metasediments, ignimbrite, and intercalated tuff, reaching over 200 m on the we margin of the salar and corresponding mostly to the Pozuelos Formation (and locally Tajamar Tuff, V Conglomerate, and marginal facies of the Sijes Formation).</w:t>
      </w:r>
    </w:p>
    <w:p>
      <w:pPr>
        <w:spacing w:after="0" w:line="167" w:lineRule="exact"/>
        <w:rPr>
          <w:sz w:val="20"/>
          <w:szCs w:val="20"/>
          <w:color w:val="auto"/>
        </w:rPr>
      </w:pPr>
    </w:p>
    <w:p>
      <w:pPr>
        <w:jc w:val="both"/>
        <w:ind w:left="900"/>
        <w:spacing w:after="0" w:line="281" w:lineRule="auto"/>
        <w:rPr>
          <w:sz w:val="20"/>
          <w:szCs w:val="20"/>
          <w:color w:val="auto"/>
        </w:rPr>
      </w:pPr>
      <w:r>
        <w:rPr>
          <w:rFonts w:ascii="Arial" w:cs="Arial" w:eastAsia="Arial" w:hAnsi="Arial"/>
          <w:sz w:val="20"/>
          <w:szCs w:val="20"/>
          <w:color w:val="auto"/>
        </w:rPr>
        <w:t>The brine from Pastos Grandes are solutions saturated in sodium chloride with an average concentration of of 302 g/L and an average density of 1.19 g/cm</w:t>
      </w:r>
      <w:r>
        <w:rPr>
          <w:rFonts w:ascii="Arial" w:cs="Arial" w:eastAsia="Arial" w:hAnsi="Arial"/>
          <w:sz w:val="26"/>
          <w:szCs w:val="26"/>
          <w:color w:val="auto"/>
          <w:vertAlign w:val="superscript"/>
        </w:rPr>
        <w:t>3</w:t>
      </w:r>
      <w:r>
        <w:rPr>
          <w:rFonts w:ascii="Arial" w:cs="Arial" w:eastAsia="Arial" w:hAnsi="Arial"/>
          <w:sz w:val="20"/>
          <w:szCs w:val="20"/>
          <w:color w:val="auto"/>
        </w:rPr>
        <w:t>. The other components present in the Pastos Grandes brin K, Li, Mg, SO</w:t>
      </w:r>
      <w:r>
        <w:rPr>
          <w:rFonts w:ascii="Arial" w:cs="Arial" w:eastAsia="Arial" w:hAnsi="Arial"/>
          <w:sz w:val="26"/>
          <w:szCs w:val="26"/>
          <w:color w:val="auto"/>
          <w:vertAlign w:val="subscript"/>
        </w:rPr>
        <w:t>4</w:t>
      </w:r>
      <w:r>
        <w:rPr>
          <w:rFonts w:ascii="Arial" w:cs="Arial" w:eastAsia="Arial" w:hAnsi="Arial"/>
          <w:sz w:val="20"/>
          <w:szCs w:val="20"/>
          <w:color w:val="auto"/>
        </w:rPr>
        <w:t>, Cl and B with relatively low Ca. The brine can be classified as a sulphate-chloride type anomalous lithium. Lithium concentrations in Salar de Pastos Grandes have an average value of 403 mg/L, some samples reaching up to 700 mg/L.</w:t>
      </w:r>
    </w:p>
    <w:p>
      <w:pPr>
        <w:spacing w:after="0" w:line="233"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Deposit Types</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Pozuelos</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According to Alonso et al. (1991), Salar de Pozuelos is a dry salar, characterized by high rates of evaporatio there is sediment starved (fluvial input is restricted to rare flash floods, and groundwater is the most impo source of brine). This is consistent with the conceptual model for mineralization, indicating that the main sour water/Li in the system was a one-time input from the catastrophic flooding of the Pastos Grandes basin Pozuelos less than 200,000 years ago.</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5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12 / 26</w:t>
      </w:r>
    </w:p>
    <w:p>
      <w:pPr>
        <w:sectPr>
          <w:pgSz w:w="11900" w:h="16838" w:orient="portrait"/>
          <w:cols w:equalWidth="0" w:num="1">
            <w:col w:w="10460"/>
          </w:cols>
          <w:pgMar w:left="1440" w:top="1440" w:right="6" w:bottom="0" w:gutter="0" w:footer="0" w:header="0"/>
          <w:type w:val="continuous"/>
        </w:sectPr>
      </w:pPr>
    </w:p>
    <w:bookmarkStart w:id="122" w:name="page123"/>
    <w:bookmarkEnd w:id="122"/>
    <w:p>
      <w:pPr>
        <w:jc w:val="both"/>
        <w:ind w:left="900"/>
        <w:spacing w:after="0" w:line="311" w:lineRule="auto"/>
        <w:rPr>
          <w:sz w:val="20"/>
          <w:szCs w:val="20"/>
          <w:color w:val="auto"/>
        </w:rPr>
      </w:pPr>
      <w:r>
        <w:rPr>
          <w:rFonts w:ascii="Arial" w:cs="Arial" w:eastAsia="Arial" w:hAnsi="Arial"/>
          <w:sz w:val="20"/>
          <w:szCs w:val="20"/>
          <w:color w:val="auto"/>
        </w:rPr>
        <w:t>The Pozuelos basin covers an area of 384 km2 including 10 sub-basins that provide lateral groundwater inf The Salar nucleus itself covers an area of 84 km2. No surface water inflows occur into the Salar. The source of surface water within the Pozuelos watershed are the fourteen springs.</w:t>
      </w:r>
    </w:p>
    <w:p>
      <w:pPr>
        <w:spacing w:after="0" w:line="2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Salar de Pozueles basin is an enclosed (endorheic) basin in which recharge occurs through direct infiltr of precipitation and groundwater inflows from the surrounding sub-basins. Discharge occurs mainly thr evaporation.</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Groundwater recharge is estimated to range between 128 L/s and 707 L/s. Evaporation is estimated at 493</w:t>
      </w:r>
    </w:p>
    <w:p>
      <w:pPr>
        <w:spacing w:after="0" w:line="279" w:lineRule="exact"/>
        <w:rPr>
          <w:sz w:val="20"/>
          <w:szCs w:val="20"/>
          <w:color w:val="auto"/>
        </w:rPr>
      </w:pPr>
    </w:p>
    <w:p>
      <w:pPr>
        <w:ind w:left="900"/>
        <w:spacing w:after="0" w:line="311" w:lineRule="auto"/>
        <w:rPr>
          <w:sz w:val="20"/>
          <w:szCs w:val="20"/>
          <w:color w:val="auto"/>
        </w:rPr>
      </w:pPr>
      <w:r>
        <w:rPr>
          <w:rFonts w:ascii="Arial" w:cs="Arial" w:eastAsia="Arial" w:hAnsi="Arial"/>
          <w:sz w:val="20"/>
          <w:szCs w:val="20"/>
          <w:color w:val="auto"/>
        </w:rPr>
        <w:t>In mid-2024, LAR and Ganfeng engaged the UMASS/UAA Lithium Solutions team to initiate an updated balance study of the Pozuelos basin using the same methodology that was applied in the 2023/2024 Pa Grandes water balance study (Blin et 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13 / 26</w:t>
      </w:r>
    </w:p>
    <w:p>
      <w:pPr>
        <w:sectPr>
          <w:pgSz w:w="11900" w:h="16838" w:orient="portrait"/>
          <w:cols w:equalWidth="0" w:num="1">
            <w:col w:w="10460"/>
          </w:cols>
          <w:pgMar w:left="1440" w:top="1172" w:right="6" w:bottom="0" w:gutter="0" w:footer="0" w:header="0"/>
          <w:type w:val="continuous"/>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Pastos Grandes</w:t>
      </w:r>
    </w:p>
    <w:p>
      <w:pPr>
        <w:spacing w:after="0" w:line="279"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The Pastos Grandes basin covers an area of 1,738 km2 with a salar nucleus of 36 km2 comprised mostly o sandy-silty salt crust. The general elevation of the salar surface is 3,773 masl, with the “islands” having a ty elevation of approximately 3,785 - 3,790 masl. The surrounding hills range in elevation from approximately masl on the south, east and northeast sides of the salar and increase rapidly on the west side to approxim 3,990 masl.</w:t>
      </w:r>
    </w:p>
    <w:p>
      <w:pPr>
        <w:spacing w:after="0" w:line="210"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Surface runoff is mainly restricted to the rainy season during summer. A water balance for the Pastos Gra Subbasin was prepared as part of the conceptual hydrogeological model. In closed endorheic basins suc Salar de Pastos Grandes recharge is in long-term equilibrium with evaporation in the absence of any production. Recharge is composed of direct recharge from precipitation and lateral groundwater inflows adjacent subbasins (Sijes subbasin) and was estimated within a range of 200 - 900 L/s.</w:t>
      </w:r>
    </w:p>
    <w:p>
      <w:pPr>
        <w:spacing w:after="0" w:line="210"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 systemic surface monitoring was implemented in 2023 to obtain a better understanding of the flow regim these streams throughout the different seasons of the year. Data indicate that inflows into the Pastos Gra system includes surface and groundwater flow 776 L/s – 2,130 L/s, with a mean 960 L/s of lateral recharge et al., 2024). Future dynamic models will incorporate the new data from this more comprehensive monit program utilizing state-of-the-art measurement, isotopic, and geochemical techniques.</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Exploration and drilling</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Pozuelos</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Geophysical survey exploration has been carried out in the salar since 2009.</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LSC Lithium has completed two seismic exploration programs on Salar de Pozuelos: the first program completed in later 2017 and consisted of a 28.29 km seismic survey comprising three lines with geoph placed at 400 m stations, in order to test depths to 350 m. GEC was subsequently engaged to undertak second seismic survey along the SW-NE axis of the salar in 2018 to improve the data interpretation. It comp three profiles, a longitudinal line of 14,280 m and two transvers lines of 7,690 m and 6,320 m running in a N across the salar in the south and north. GEC redid the seismic profiling of the longitudinal line in mid-2018 line run in a NE direction from the SE to the NE, with a length of 14,394 m.</w:t>
      </w:r>
    </w:p>
    <w:p>
      <w:pPr>
        <w:spacing w:after="0" w:line="214"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Gravity and Magnetotellurics studies were conducted by the company Proingeo in 2021: the gravity from Pro (2021) was used to interpret the elevation of the basin's basement; and the Magnetotellurics geophysics s from Proingeo 2021 was a guide to delineating aquifer continuity.</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Lithea completed a program of exploration for fresh water in 2016 (Hidrotec, 2016). The focus of the program on the northwestern corner of the salar based on the results of the SEV geophysics.</w:t>
      </w:r>
    </w:p>
    <w:p>
      <w:pPr>
        <w:spacing w:after="0" w:line="215"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Drilling for lithium at the Pozuelos dates from 2008. Two vertical wells (SPZ RC001 and SPZ RC002) to a d of approximately 90 m was drilled. One HQ size diamond drillhole (SPZ DDH001) drilled to a depth of 1 adjacent to SPZ RC001, to collect data on variations in lithology with depth and to collect brine samples.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14 / 26</w:t>
      </w:r>
    </w:p>
    <w:p>
      <w:pPr>
        <w:sectPr>
          <w:pgSz w:w="11900" w:h="16838" w:orient="portrait"/>
          <w:cols w:equalWidth="0" w:num="1">
            <w:col w:w="10460"/>
          </w:cols>
          <w:pgMar w:left="1440" w:top="1440" w:right="6" w:bottom="0" w:gutter="0" w:footer="0" w:header="0"/>
          <w:type w:val="continuous"/>
        </w:sectPr>
      </w:pPr>
    </w:p>
    <w:bookmarkStart w:id="124" w:name="page125"/>
    <w:bookmarkEnd w:id="124"/>
    <w:p>
      <w:pPr>
        <w:jc w:val="both"/>
        <w:ind w:left="900"/>
        <w:spacing w:after="0" w:line="311" w:lineRule="auto"/>
        <w:rPr>
          <w:sz w:val="20"/>
          <w:szCs w:val="20"/>
          <w:color w:val="auto"/>
        </w:rPr>
      </w:pPr>
      <w:r>
        <w:rPr>
          <w:rFonts w:ascii="Arial" w:cs="Arial" w:eastAsia="Arial" w:hAnsi="Arial"/>
          <w:sz w:val="20"/>
          <w:szCs w:val="20"/>
          <w:color w:val="auto"/>
        </w:rPr>
        <w:t>LSC Lithium completed sixteen diamond core drill holes (DDH-400, SP-2017-01 to SP-2017-15) at Pozuel 2017. Boreholes were drilled at HQ diameters and with the depths ranging from 51.8 m to 322.7 m. Bes fourteen pumping wells have been completed at the salar by LSC Lithium in 2017.</w:t>
      </w:r>
    </w:p>
    <w:p>
      <w:pPr>
        <w:spacing w:after="0" w:line="2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In 2018, two exploration holes were drilled to test the northern section (PZ-18-02) and the lateral and d extension of the central depocenter (PZ-18-01). The brine and core samples were collected, and a seri pumping wells and piezometers were developed to evaluate aquifer parameters and brine chemistry.</w:t>
      </w:r>
    </w:p>
    <w:p>
      <w:pPr>
        <w:spacing w:after="0" w:line="2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In each drilling campaign, lithium exploration wells have been successively drilled deeper. Wells PZ-2024-22 PZ-2023-19, from the latest drilling campaign from 2023/2024, opened new targets to deeper zones of the at the east. Recently, in the latest drilling program, wells PZ-2024-11, PZ-2024-25 and PZ-2024-21 opened deeper targets toward the southeast and northeast of the salar.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15 / 26</w:t>
      </w:r>
    </w:p>
    <w:p>
      <w:pPr>
        <w:sectPr>
          <w:pgSz w:w="11900" w:h="16838" w:orient="portrait"/>
          <w:cols w:equalWidth="0" w:num="1">
            <w:col w:w="10460"/>
          </w:cols>
          <w:pgMar w:left="1440" w:top="1172" w:right="6" w:bottom="0" w:gutter="0" w:footer="0" w:header="0"/>
          <w:type w:val="continuous"/>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Pastos Grandes</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70 boreholes for a total 31,485 m have been drilled recovering 12,265 m of core samples. Additionally pumping wells were drilled and tested to evaluate flow potential, and the results were used to forecast produ through a dynamic model.</w:t>
      </w:r>
    </w:p>
    <w:p>
      <w:pPr>
        <w:spacing w:after="0" w:line="2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In 2011 and 2012 Eramine Sudamerica SA, a subsidiary of Eramet SA, carried out surface mapping sampling, drilling and pump testing at locations across the salar. Drilling was limited to a maximum depth o m. In addition, Eramine also completed a program of geophysical surveys, including TEM, CS-AMT and (Eramine, 2016).</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Millennial conducted an extensive program of field work across the Salar from 2016 to 2021 known as the S Two and Three investigations of the Pastos Grandes Project.</w:t>
      </w:r>
    </w:p>
    <w:p>
      <w:pPr>
        <w:spacing w:after="0" w:line="215"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LSC Lithium completed six drill holes at Pastos Grandes in 2018. Boreholes were drilled using a combinati diamond bit and tri-cone at HQ diameter. Drilling was completed by Hidrotec (Holes SPG-02, 2B, 4A, 5, 5B AGV (Hole PG-18-01).</w:t>
      </w:r>
    </w:p>
    <w:p>
      <w:pPr>
        <w:spacing w:after="0" w:line="2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Centaur carried out lithium exploration activities on the ‘Alma Fuerte’ mining claim of its Sal de la Puna Pr immediate to the south and east of the LAR mining claims during 2018/2019. This program included drilli three boreholes including a pumping well to around 600 m depth, pumping tests, and seismic &amp; TEM geophy surveys.</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Recently LAR completed a fourth exploration campaign consisting of two exploration boreholes using Mud R and Diamond Drilling methodology (PGMW23-23 and PGMW23-24).</w:t>
      </w:r>
    </w:p>
    <w:p>
      <w:pPr>
        <w:spacing w:after="0" w:line="215"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AMSA and Centaur carried out drilling programs on the Sal de la Puna Project between 2018 and 2022. T programs consisted of two diamond core holes (DD-01 and DD-02), five combination core /rotary holes (P 2018, PP-02-2018 and R-01 through R-03), two production wells (PP-03-2019 and PW-1), and sev piezometer installations.</w:t>
      </w:r>
    </w:p>
    <w:p>
      <w:pPr>
        <w:spacing w:after="0" w:line="212" w:lineRule="exact"/>
        <w:rPr>
          <w:sz w:val="20"/>
          <w:szCs w:val="20"/>
          <w:color w:val="auto"/>
        </w:rPr>
      </w:pPr>
    </w:p>
    <w:p>
      <w:pPr>
        <w:jc w:val="both"/>
        <w:ind w:left="900" w:right="40"/>
        <w:spacing w:after="0" w:line="311" w:lineRule="auto"/>
        <w:rPr>
          <w:sz w:val="20"/>
          <w:szCs w:val="20"/>
          <w:color w:val="auto"/>
        </w:rPr>
      </w:pPr>
      <w:r>
        <w:rPr>
          <w:rFonts w:ascii="Arial" w:cs="Arial" w:eastAsia="Arial" w:hAnsi="Arial"/>
          <w:sz w:val="20"/>
          <w:szCs w:val="20"/>
          <w:color w:val="auto"/>
        </w:rPr>
        <w:t>Ganfeng Lithium drilled five exploration boreholes in 2023 and 2024 with the diamond drilling methodology 2023-02, 03, 04, 05 and 13) and two production wells (PG-2023-03PW and PG-2024-21PW) were drilled the mud rotary methodology.</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Mineral Resource Estimate</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A Mineral Resource estimate for the Pozuelos Pastos Grandes Project is summarized in the tables below.</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Mineral Resources</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Pozuelos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16 / 26</w:t>
      </w:r>
    </w:p>
    <w:p>
      <w:pPr>
        <w:sectPr>
          <w:pgSz w:w="11900" w:h="16838" w:orient="portrait"/>
          <w:cols w:equalWidth="0" w:num="1">
            <w:col w:w="10460"/>
          </w:cols>
          <w:pgMar w:left="1440" w:top="1440" w:right="6" w:bottom="0" w:gutter="0" w:footer="0" w:header="0"/>
          <w:type w:val="continuous"/>
        </w:sectPr>
      </w:pPr>
    </w:p>
    <w:bookmarkStart w:id="126" w:name="page127"/>
    <w:bookmarkEnd w:id="126"/>
    <w:p>
      <w:pPr>
        <w:jc w:val="both"/>
        <w:ind w:left="900"/>
        <w:spacing w:after="0" w:line="313" w:lineRule="auto"/>
        <w:rPr>
          <w:sz w:val="20"/>
          <w:szCs w:val="20"/>
          <w:color w:val="auto"/>
        </w:rPr>
      </w:pPr>
      <w:r>
        <w:rPr>
          <w:rFonts w:ascii="Arial" w:cs="Arial" w:eastAsia="Arial" w:hAnsi="Arial"/>
          <w:sz w:val="20"/>
          <w:szCs w:val="20"/>
          <w:color w:val="auto"/>
        </w:rPr>
        <w:t>The Resource Estimate was developed using three-dimensional block modelling with Leapfrog Geo (Seeq software. The modelling was supported by geophysical, geological, and geochemical data and interpreta made by Golder. The resources estimate was prepared in according with the requirements of the S-K 1300 uses the best practices methods specific to brine resources. A 125 mg/l lithium concentration cut-off was ap to the resource estimate.</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modelling method consisted of the following steps:</w:t>
      </w:r>
    </w:p>
    <w:p>
      <w:pPr>
        <w:spacing w:after="0" w:line="243" w:lineRule="exact"/>
        <w:rPr>
          <w:sz w:val="20"/>
          <w:szCs w:val="20"/>
          <w:color w:val="auto"/>
        </w:rPr>
      </w:pPr>
    </w:p>
    <w:p>
      <w:pPr>
        <w:ind w:left="1620" w:right="20" w:hanging="366"/>
        <w:spacing w:after="0" w:line="368" w:lineRule="auto"/>
        <w:tabs>
          <w:tab w:leader="none" w:pos="16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footprint of the resource zone was defined based on the interpreted boundaries of the salt fla the deposit characteristics.</w:t>
      </w:r>
    </w:p>
    <w:p>
      <w:pPr>
        <w:spacing w:after="0" w:line="134" w:lineRule="exact"/>
        <w:rPr>
          <w:rFonts w:ascii="Arial" w:cs="Arial" w:eastAsia="Arial" w:hAnsi="Arial"/>
          <w:sz w:val="20"/>
          <w:szCs w:val="20"/>
          <w:color w:val="auto"/>
        </w:rPr>
      </w:pPr>
    </w:p>
    <w:p>
      <w:pPr>
        <w:ind w:left="1620" w:right="120" w:hanging="366"/>
        <w:spacing w:after="0" w:line="368" w:lineRule="auto"/>
        <w:tabs>
          <w:tab w:leader="none" w:pos="16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drilling data and MT results were interpreted to identify primary lithologies and their continuity the resource zone. Data interpolation was conducted to develop a full 3D geological model.</w:t>
      </w:r>
    </w:p>
    <w:p>
      <w:pPr>
        <w:spacing w:after="0" w:line="134" w:lineRule="exact"/>
        <w:rPr>
          <w:rFonts w:ascii="Arial" w:cs="Arial" w:eastAsia="Arial" w:hAnsi="Arial"/>
          <w:sz w:val="20"/>
          <w:szCs w:val="20"/>
          <w:color w:val="auto"/>
        </w:rPr>
      </w:pPr>
    </w:p>
    <w:p>
      <w:pPr>
        <w:ind w:left="1620" w:right="40" w:hanging="366"/>
        <w:spacing w:after="0" w:line="368" w:lineRule="auto"/>
        <w:tabs>
          <w:tab w:leader="none" w:pos="16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3D geological model was divided into five Hydrostratigraphic Units (HSUs), which are grou lithologies with similar hydrological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1063625</wp:posOffset>
            </wp:positionV>
            <wp:extent cx="6764020"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17 / 26</w:t>
      </w:r>
    </w:p>
    <w:p>
      <w:pPr>
        <w:sectPr>
          <w:pgSz w:w="11900" w:h="16838" w:orient="portrait"/>
          <w:cols w:equalWidth="0" w:num="1">
            <w:col w:w="10460"/>
          </w:cols>
          <w:pgMar w:left="1440" w:top="1172" w:right="6" w:bottom="0" w:gutter="0" w:footer="0" w:header="0"/>
          <w:type w:val="continuous"/>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20" w:hanging="366"/>
        <w:spacing w:after="0" w:line="368" w:lineRule="auto"/>
        <w:tabs>
          <w:tab w:leader="none" w:pos="16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drainable porosity data from Neutron logs were used to calculate the amount of lithium-enriched available for the Pozuelos project.</w:t>
      </w:r>
    </w:p>
    <w:p>
      <w:pPr>
        <w:spacing w:after="0" w:line="134"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assays from the brine samples from packer testing were interpolated in the block model to obtai amount of lithium available to estimate the total resource stated as LCE.</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20"/>
          <w:szCs w:val="20"/>
          <w:color w:val="auto"/>
        </w:rPr>
        <w:t>A summary of the Measured, Indicated and Inferred Resource Estimate is shown in following table.</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Table 1: Mineral Resource Estimate for Pozuelos (Effective Date: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223520</wp:posOffset>
            </wp:positionV>
            <wp:extent cx="6090920" cy="567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5">
                      <a:extLst>
                        <a:ext uri="{28A0092B-C50C-407E-A947-70E740481C1C}"/>
                      </a:extLst>
                    </a:blip>
                    <a:srcRect/>
                    <a:stretch>
                      <a:fillRect/>
                    </a:stretch>
                  </pic:blipFill>
                  <pic:spPr bwMode="auto">
                    <a:xfrm>
                      <a:off x="0" y="0"/>
                      <a:ext cx="6090920" cy="567690"/>
                    </a:xfrm>
                    <a:prstGeom prst="rect">
                      <a:avLst/>
                    </a:prstGeom>
                    <a:noFill/>
                  </pic:spPr>
                </pic:pic>
              </a:graphicData>
            </a:graphic>
          </wp:anchor>
        </w:drawing>
      </w:r>
    </w:p>
    <w:p>
      <w:pPr>
        <w:spacing w:after="0" w:line="352" w:lineRule="exact"/>
        <w:rPr>
          <w:sz w:val="20"/>
          <w:szCs w:val="20"/>
          <w:color w:val="auto"/>
        </w:rPr>
      </w:pPr>
    </w:p>
    <w:tbl>
      <w:tblPr>
        <w:tblLayout w:type="fixed"/>
        <w:tblInd w:w="900" w:type="dxa"/>
        <w:tblCellMar>
          <w:top w:w="0" w:type="dxa"/>
          <w:left w:w="0" w:type="dxa"/>
          <w:bottom w:w="0" w:type="dxa"/>
          <w:right w:w="0" w:type="dxa"/>
        </w:tblCellMar>
      </w:tblPr>
      <w:tr>
        <w:trPr>
          <w:trHeight w:val="260"/>
        </w:trPr>
        <w:tc>
          <w:tcPr>
            <w:tcW w:w="2340" w:type="dxa"/>
            <w:vAlign w:val="bottom"/>
            <w:vMerge w:val="restart"/>
            <w:shd w:val="clear" w:color="auto" w:fill="153A57"/>
          </w:tcPr>
          <w:p>
            <w:pPr>
              <w:ind w:left="100"/>
              <w:spacing w:after="0"/>
              <w:rPr>
                <w:sz w:val="20"/>
                <w:szCs w:val="20"/>
                <w:color w:val="auto"/>
              </w:rPr>
            </w:pPr>
            <w:r>
              <w:rPr>
                <w:rFonts w:ascii="Arial" w:cs="Arial" w:eastAsia="Arial" w:hAnsi="Arial"/>
                <w:sz w:val="18"/>
                <w:szCs w:val="18"/>
                <w:b w:val="1"/>
                <w:bCs w:val="1"/>
                <w:color w:val="FFFFFF"/>
              </w:rPr>
              <w:t>Resource Category</w:t>
            </w:r>
          </w:p>
        </w:tc>
        <w:tc>
          <w:tcPr>
            <w:tcW w:w="1940" w:type="dxa"/>
            <w:vAlign w:val="bottom"/>
            <w:shd w:val="clear" w:color="auto" w:fill="153A57"/>
          </w:tcPr>
          <w:p>
            <w:pPr>
              <w:jc w:val="center"/>
              <w:ind w:left="250"/>
              <w:spacing w:after="0"/>
              <w:rPr>
                <w:sz w:val="20"/>
                <w:szCs w:val="20"/>
                <w:color w:val="auto"/>
              </w:rPr>
            </w:pPr>
            <w:r>
              <w:rPr>
                <w:rFonts w:ascii="Arial" w:cs="Arial" w:eastAsia="Arial" w:hAnsi="Arial"/>
                <w:sz w:val="18"/>
                <w:szCs w:val="18"/>
                <w:b w:val="1"/>
                <w:bCs w:val="1"/>
                <w:color w:val="FFFFFF"/>
                <w:w w:val="99"/>
              </w:rPr>
              <w:t>Rock volume</w:t>
            </w:r>
          </w:p>
        </w:tc>
        <w:tc>
          <w:tcPr>
            <w:tcW w:w="1540" w:type="dxa"/>
            <w:vAlign w:val="bottom"/>
            <w:shd w:val="clear" w:color="auto" w:fill="153A57"/>
          </w:tcPr>
          <w:p>
            <w:pPr>
              <w:jc w:val="center"/>
              <w:ind w:right="70"/>
              <w:spacing w:after="0"/>
              <w:rPr>
                <w:sz w:val="20"/>
                <w:szCs w:val="20"/>
                <w:color w:val="auto"/>
              </w:rPr>
            </w:pPr>
            <w:r>
              <w:rPr>
                <w:rFonts w:ascii="Arial" w:cs="Arial" w:eastAsia="Arial" w:hAnsi="Arial"/>
                <w:sz w:val="18"/>
                <w:szCs w:val="18"/>
                <w:b w:val="1"/>
                <w:bCs w:val="1"/>
                <w:color w:val="FFFFFF"/>
                <w:w w:val="99"/>
              </w:rPr>
              <w:t>Brine volume</w:t>
            </w:r>
          </w:p>
        </w:tc>
        <w:tc>
          <w:tcPr>
            <w:tcW w:w="1360" w:type="dxa"/>
            <w:vAlign w:val="bottom"/>
            <w:vMerge w:val="restart"/>
            <w:shd w:val="clear" w:color="auto" w:fill="153A57"/>
          </w:tcPr>
          <w:p>
            <w:pPr>
              <w:jc w:val="right"/>
              <w:ind w:right="370"/>
              <w:spacing w:after="0"/>
              <w:rPr>
                <w:sz w:val="20"/>
                <w:szCs w:val="20"/>
                <w:color w:val="auto"/>
              </w:rPr>
            </w:pPr>
            <w:r>
              <w:rPr>
                <w:rFonts w:ascii="Arial" w:cs="Arial" w:eastAsia="Arial" w:hAnsi="Arial"/>
                <w:sz w:val="18"/>
                <w:szCs w:val="18"/>
                <w:b w:val="1"/>
                <w:bCs w:val="1"/>
                <w:color w:val="FFFFFF"/>
              </w:rPr>
              <w:t>Li (mg/L)</w:t>
            </w:r>
          </w:p>
        </w:tc>
        <w:tc>
          <w:tcPr>
            <w:tcW w:w="1400" w:type="dxa"/>
            <w:vAlign w:val="bottom"/>
            <w:vMerge w:val="restart"/>
            <w:shd w:val="clear" w:color="auto" w:fill="153A57"/>
          </w:tcPr>
          <w:p>
            <w:pPr>
              <w:jc w:val="right"/>
              <w:ind w:right="230"/>
              <w:spacing w:after="0"/>
              <w:rPr>
                <w:sz w:val="20"/>
                <w:szCs w:val="20"/>
                <w:color w:val="auto"/>
              </w:rPr>
            </w:pPr>
            <w:r>
              <w:rPr>
                <w:rFonts w:ascii="Arial" w:cs="Arial" w:eastAsia="Arial" w:hAnsi="Arial"/>
                <w:sz w:val="18"/>
                <w:szCs w:val="18"/>
                <w:b w:val="1"/>
                <w:bCs w:val="1"/>
                <w:color w:val="FFFFFF"/>
              </w:rPr>
              <w:t>Li (tonnes)</w:t>
            </w:r>
          </w:p>
        </w:tc>
        <w:tc>
          <w:tcPr>
            <w:tcW w:w="980" w:type="dxa"/>
            <w:vAlign w:val="bottom"/>
            <w:vMerge w:val="restart"/>
            <w:shd w:val="clear" w:color="auto" w:fill="153A57"/>
          </w:tcPr>
          <w:p>
            <w:pPr>
              <w:jc w:val="right"/>
              <w:spacing w:after="0"/>
              <w:rPr>
                <w:sz w:val="20"/>
                <w:szCs w:val="20"/>
                <w:color w:val="auto"/>
              </w:rPr>
            </w:pPr>
            <w:r>
              <w:rPr>
                <w:rFonts w:ascii="Arial" w:cs="Arial" w:eastAsia="Arial" w:hAnsi="Arial"/>
                <w:sz w:val="18"/>
                <w:szCs w:val="18"/>
                <w:b w:val="1"/>
                <w:bCs w:val="1"/>
                <w:color w:val="FFFFFF"/>
              </w:rPr>
              <w:t>LCE (tonn</w:t>
            </w:r>
          </w:p>
        </w:tc>
        <w:tc>
          <w:tcPr>
            <w:tcW w:w="0" w:type="dxa"/>
            <w:vAlign w:val="bottom"/>
          </w:tcPr>
          <w:p>
            <w:pPr>
              <w:spacing w:after="0"/>
              <w:rPr>
                <w:sz w:val="1"/>
                <w:szCs w:val="1"/>
                <w:color w:val="auto"/>
              </w:rPr>
            </w:pPr>
          </w:p>
        </w:tc>
      </w:tr>
      <w:tr>
        <w:trPr>
          <w:trHeight w:val="136"/>
        </w:trPr>
        <w:tc>
          <w:tcPr>
            <w:tcW w:w="2340" w:type="dxa"/>
            <w:vAlign w:val="bottom"/>
            <w:vMerge w:val="continue"/>
            <w:shd w:val="clear" w:color="auto" w:fill="153A57"/>
          </w:tcPr>
          <w:p>
            <w:pPr>
              <w:spacing w:after="0"/>
              <w:rPr>
                <w:sz w:val="11"/>
                <w:szCs w:val="11"/>
                <w:color w:val="auto"/>
              </w:rPr>
            </w:pPr>
          </w:p>
        </w:tc>
        <w:tc>
          <w:tcPr>
            <w:tcW w:w="1940" w:type="dxa"/>
            <w:vAlign w:val="bottom"/>
            <w:vMerge w:val="restart"/>
            <w:shd w:val="clear" w:color="auto" w:fill="153A57"/>
          </w:tcPr>
          <w:p>
            <w:pPr>
              <w:jc w:val="center"/>
              <w:ind w:left="230"/>
              <w:spacing w:after="0"/>
              <w:rPr>
                <w:sz w:val="20"/>
                <w:szCs w:val="20"/>
                <w:color w:val="auto"/>
              </w:rPr>
            </w:pPr>
            <w:r>
              <w:rPr>
                <w:rFonts w:ascii="Arial" w:cs="Arial" w:eastAsia="Arial" w:hAnsi="Arial"/>
                <w:sz w:val="18"/>
                <w:szCs w:val="18"/>
                <w:b w:val="1"/>
                <w:bCs w:val="1"/>
                <w:color w:val="FFFFFF"/>
                <w:w w:val="97"/>
              </w:rPr>
              <w:t>(km</w:t>
            </w:r>
            <w:r>
              <w:rPr>
                <w:rFonts w:ascii="Arial" w:cs="Arial" w:eastAsia="Arial" w:hAnsi="Arial"/>
                <w:sz w:val="24"/>
                <w:szCs w:val="24"/>
                <w:b w:val="1"/>
                <w:bCs w:val="1"/>
                <w:color w:val="FFFFFF"/>
                <w:w w:val="97"/>
                <w:vertAlign w:val="superscript"/>
              </w:rPr>
              <w:t>3</w:t>
            </w:r>
            <w:r>
              <w:rPr>
                <w:rFonts w:ascii="Arial" w:cs="Arial" w:eastAsia="Arial" w:hAnsi="Arial"/>
                <w:sz w:val="18"/>
                <w:szCs w:val="18"/>
                <w:b w:val="1"/>
                <w:bCs w:val="1"/>
                <w:color w:val="FFFFFF"/>
                <w:w w:val="97"/>
              </w:rPr>
              <w:t>)</w:t>
            </w:r>
          </w:p>
        </w:tc>
        <w:tc>
          <w:tcPr>
            <w:tcW w:w="1540" w:type="dxa"/>
            <w:vAlign w:val="bottom"/>
            <w:vMerge w:val="restart"/>
            <w:shd w:val="clear" w:color="auto" w:fill="153A57"/>
          </w:tcPr>
          <w:p>
            <w:pPr>
              <w:jc w:val="center"/>
              <w:ind w:right="90"/>
              <w:spacing w:after="0"/>
              <w:rPr>
                <w:sz w:val="20"/>
                <w:szCs w:val="20"/>
                <w:color w:val="auto"/>
              </w:rPr>
            </w:pPr>
            <w:r>
              <w:rPr>
                <w:rFonts w:ascii="Arial" w:cs="Arial" w:eastAsia="Arial" w:hAnsi="Arial"/>
                <w:sz w:val="18"/>
                <w:szCs w:val="18"/>
                <w:b w:val="1"/>
                <w:bCs w:val="1"/>
                <w:color w:val="FFFFFF"/>
                <w:w w:val="93"/>
              </w:rPr>
              <w:t>(km</w:t>
            </w:r>
            <w:r>
              <w:rPr>
                <w:rFonts w:ascii="Arial" w:cs="Arial" w:eastAsia="Arial" w:hAnsi="Arial"/>
                <w:sz w:val="24"/>
                <w:szCs w:val="24"/>
                <w:b w:val="1"/>
                <w:bCs w:val="1"/>
                <w:color w:val="FFFFFF"/>
                <w:w w:val="93"/>
                <w:vertAlign w:val="superscript"/>
              </w:rPr>
              <w:t>3</w:t>
            </w:r>
            <w:r>
              <w:rPr>
                <w:rFonts w:ascii="Arial" w:cs="Arial" w:eastAsia="Arial" w:hAnsi="Arial"/>
                <w:sz w:val="18"/>
                <w:szCs w:val="18"/>
                <w:b w:val="1"/>
                <w:bCs w:val="1"/>
                <w:color w:val="FFFFFF"/>
                <w:w w:val="93"/>
              </w:rPr>
              <w:t>)</w:t>
            </w:r>
          </w:p>
        </w:tc>
        <w:tc>
          <w:tcPr>
            <w:tcW w:w="1360" w:type="dxa"/>
            <w:vAlign w:val="bottom"/>
            <w:vMerge w:val="continue"/>
            <w:shd w:val="clear" w:color="auto" w:fill="153A57"/>
          </w:tcPr>
          <w:p>
            <w:pPr>
              <w:spacing w:after="0"/>
              <w:rPr>
                <w:sz w:val="11"/>
                <w:szCs w:val="11"/>
                <w:color w:val="auto"/>
              </w:rPr>
            </w:pPr>
          </w:p>
        </w:tc>
        <w:tc>
          <w:tcPr>
            <w:tcW w:w="1400" w:type="dxa"/>
            <w:vAlign w:val="bottom"/>
            <w:vMerge w:val="continue"/>
            <w:shd w:val="clear" w:color="auto" w:fill="153A57"/>
          </w:tcPr>
          <w:p>
            <w:pPr>
              <w:spacing w:after="0"/>
              <w:rPr>
                <w:sz w:val="11"/>
                <w:szCs w:val="11"/>
                <w:color w:val="auto"/>
              </w:rPr>
            </w:pPr>
          </w:p>
        </w:tc>
        <w:tc>
          <w:tcPr>
            <w:tcW w:w="980" w:type="dxa"/>
            <w:vAlign w:val="bottom"/>
            <w:vMerge w:val="continue"/>
            <w:shd w:val="clear" w:color="auto" w:fill="153A57"/>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340" w:type="dxa"/>
            <w:vAlign w:val="bottom"/>
            <w:shd w:val="clear" w:color="auto" w:fill="153A57"/>
          </w:tcPr>
          <w:p>
            <w:pPr>
              <w:spacing w:after="0"/>
              <w:rPr>
                <w:sz w:val="15"/>
                <w:szCs w:val="15"/>
                <w:color w:val="auto"/>
              </w:rPr>
            </w:pPr>
          </w:p>
        </w:tc>
        <w:tc>
          <w:tcPr>
            <w:tcW w:w="1940" w:type="dxa"/>
            <w:vAlign w:val="bottom"/>
            <w:vMerge w:val="continue"/>
            <w:shd w:val="clear" w:color="auto" w:fill="153A57"/>
          </w:tcPr>
          <w:p>
            <w:pPr>
              <w:spacing w:after="0"/>
              <w:rPr>
                <w:sz w:val="15"/>
                <w:szCs w:val="15"/>
                <w:color w:val="auto"/>
              </w:rPr>
            </w:pPr>
          </w:p>
        </w:tc>
        <w:tc>
          <w:tcPr>
            <w:tcW w:w="1540" w:type="dxa"/>
            <w:vAlign w:val="bottom"/>
            <w:vMerge w:val="continue"/>
            <w:shd w:val="clear" w:color="auto" w:fill="153A57"/>
          </w:tcPr>
          <w:p>
            <w:pPr>
              <w:spacing w:after="0"/>
              <w:rPr>
                <w:sz w:val="15"/>
                <w:szCs w:val="15"/>
                <w:color w:val="auto"/>
              </w:rPr>
            </w:pPr>
          </w:p>
        </w:tc>
        <w:tc>
          <w:tcPr>
            <w:tcW w:w="1360" w:type="dxa"/>
            <w:vAlign w:val="bottom"/>
            <w:shd w:val="clear" w:color="auto" w:fill="153A57"/>
          </w:tcPr>
          <w:p>
            <w:pPr>
              <w:spacing w:after="0"/>
              <w:rPr>
                <w:sz w:val="15"/>
                <w:szCs w:val="15"/>
                <w:color w:val="auto"/>
              </w:rPr>
            </w:pPr>
          </w:p>
        </w:tc>
        <w:tc>
          <w:tcPr>
            <w:tcW w:w="1400" w:type="dxa"/>
            <w:vAlign w:val="bottom"/>
            <w:shd w:val="clear" w:color="auto" w:fill="153A57"/>
          </w:tcPr>
          <w:p>
            <w:pPr>
              <w:spacing w:after="0"/>
              <w:rPr>
                <w:sz w:val="15"/>
                <w:szCs w:val="15"/>
                <w:color w:val="auto"/>
              </w:rPr>
            </w:pPr>
          </w:p>
        </w:tc>
        <w:tc>
          <w:tcPr>
            <w:tcW w:w="980" w:type="dxa"/>
            <w:vAlign w:val="bottom"/>
            <w:shd w:val="clear" w:color="auto" w:fill="153A57"/>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340" w:type="dxa"/>
            <w:vAlign w:val="bottom"/>
          </w:tcPr>
          <w:p>
            <w:pPr>
              <w:ind w:left="100"/>
              <w:spacing w:after="0"/>
              <w:rPr>
                <w:sz w:val="20"/>
                <w:szCs w:val="20"/>
                <w:color w:val="auto"/>
              </w:rPr>
            </w:pPr>
            <w:r>
              <w:rPr>
                <w:rFonts w:ascii="Arial" w:cs="Arial" w:eastAsia="Arial" w:hAnsi="Arial"/>
                <w:sz w:val="18"/>
                <w:szCs w:val="18"/>
                <w:color w:val="auto"/>
              </w:rPr>
              <w:t>Measured Resource</w:t>
            </w:r>
          </w:p>
        </w:tc>
        <w:tc>
          <w:tcPr>
            <w:tcW w:w="1940" w:type="dxa"/>
            <w:vAlign w:val="bottom"/>
          </w:tcPr>
          <w:p>
            <w:pPr>
              <w:jc w:val="right"/>
              <w:ind w:right="490"/>
              <w:spacing w:after="0"/>
              <w:rPr>
                <w:sz w:val="20"/>
                <w:szCs w:val="20"/>
                <w:color w:val="auto"/>
              </w:rPr>
            </w:pPr>
            <w:r>
              <w:rPr>
                <w:rFonts w:ascii="Arial" w:cs="Arial" w:eastAsia="Arial" w:hAnsi="Arial"/>
                <w:sz w:val="18"/>
                <w:szCs w:val="18"/>
                <w:color w:val="auto"/>
              </w:rPr>
              <w:t>20.45</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6"/>
              </w:rPr>
              <w:t>2.21</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490.5</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1,097,038</w:t>
            </w:r>
          </w:p>
        </w:tc>
        <w:tc>
          <w:tcPr>
            <w:tcW w:w="980" w:type="dxa"/>
            <w:vAlign w:val="bottom"/>
          </w:tcPr>
          <w:p>
            <w:pPr>
              <w:jc w:val="right"/>
              <w:spacing w:after="0"/>
              <w:rPr>
                <w:sz w:val="20"/>
                <w:szCs w:val="20"/>
                <w:color w:val="auto"/>
              </w:rPr>
            </w:pPr>
            <w:r>
              <w:rPr>
                <w:rFonts w:ascii="Arial" w:cs="Arial" w:eastAsia="Arial" w:hAnsi="Arial"/>
                <w:sz w:val="18"/>
                <w:szCs w:val="18"/>
                <w:color w:val="auto"/>
              </w:rPr>
              <w:t>5,836</w:t>
            </w:r>
          </w:p>
        </w:tc>
        <w:tc>
          <w:tcPr>
            <w:tcW w:w="0" w:type="dxa"/>
            <w:vAlign w:val="bottom"/>
          </w:tcPr>
          <w:p>
            <w:pPr>
              <w:spacing w:after="0"/>
              <w:rPr>
                <w:sz w:val="1"/>
                <w:szCs w:val="1"/>
                <w:color w:val="auto"/>
              </w:rPr>
            </w:pPr>
          </w:p>
        </w:tc>
      </w:tr>
      <w:tr>
        <w:trPr>
          <w:trHeight w:val="296"/>
        </w:trPr>
        <w:tc>
          <w:tcPr>
            <w:tcW w:w="2340" w:type="dxa"/>
            <w:vAlign w:val="bottom"/>
          </w:tcPr>
          <w:p>
            <w:pPr>
              <w:ind w:left="100"/>
              <w:spacing w:after="0"/>
              <w:rPr>
                <w:sz w:val="20"/>
                <w:szCs w:val="20"/>
                <w:color w:val="auto"/>
              </w:rPr>
            </w:pPr>
            <w:r>
              <w:rPr>
                <w:rFonts w:ascii="Arial" w:cs="Arial" w:eastAsia="Arial" w:hAnsi="Arial"/>
                <w:sz w:val="18"/>
                <w:szCs w:val="18"/>
                <w:color w:val="auto"/>
              </w:rPr>
              <w:t>Indicated Resource</w:t>
            </w:r>
          </w:p>
        </w:tc>
        <w:tc>
          <w:tcPr>
            <w:tcW w:w="1940" w:type="dxa"/>
            <w:vAlign w:val="bottom"/>
          </w:tcPr>
          <w:p>
            <w:pPr>
              <w:jc w:val="right"/>
              <w:ind w:right="550"/>
              <w:spacing w:after="0"/>
              <w:rPr>
                <w:sz w:val="20"/>
                <w:szCs w:val="20"/>
                <w:color w:val="auto"/>
              </w:rPr>
            </w:pPr>
            <w:r>
              <w:rPr>
                <w:rFonts w:ascii="Arial" w:cs="Arial" w:eastAsia="Arial" w:hAnsi="Arial"/>
                <w:sz w:val="18"/>
                <w:szCs w:val="18"/>
                <w:color w:val="auto"/>
              </w:rPr>
              <w:t>3.54</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6"/>
              </w:rPr>
              <w:t>0.41</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528.7</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221,877</w:t>
            </w:r>
          </w:p>
        </w:tc>
        <w:tc>
          <w:tcPr>
            <w:tcW w:w="980" w:type="dxa"/>
            <w:vAlign w:val="bottom"/>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96"/>
        </w:trPr>
        <w:tc>
          <w:tcPr>
            <w:tcW w:w="2340" w:type="dxa"/>
            <w:vAlign w:val="bottom"/>
          </w:tcPr>
          <w:p>
            <w:pPr>
              <w:spacing w:after="0"/>
              <w:rPr>
                <w:sz w:val="24"/>
                <w:szCs w:val="24"/>
                <w:color w:val="auto"/>
              </w:rPr>
            </w:pPr>
          </w:p>
        </w:tc>
        <w:tc>
          <w:tcPr>
            <w:tcW w:w="3480" w:type="dxa"/>
            <w:vAlign w:val="bottom"/>
            <w:gridSpan w:val="2"/>
          </w:tcPr>
          <w:p>
            <w:pPr>
              <w:ind w:left="1480"/>
              <w:spacing w:after="0"/>
              <w:rPr>
                <w:sz w:val="20"/>
                <w:szCs w:val="20"/>
                <w:color w:val="auto"/>
              </w:rPr>
            </w:pPr>
            <w:r>
              <w:rPr>
                <w:rFonts w:ascii="Arial" w:cs="Arial" w:eastAsia="Arial" w:hAnsi="Arial"/>
                <w:sz w:val="18"/>
                <w:szCs w:val="18"/>
                <w:b w:val="1"/>
                <w:bCs w:val="1"/>
                <w:color w:val="auto"/>
              </w:rPr>
              <w:t>Measured + Indicated</w:t>
            </w: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510.0</w:t>
            </w:r>
          </w:p>
        </w:tc>
        <w:tc>
          <w:tcPr>
            <w:tcW w:w="1400" w:type="dxa"/>
            <w:vAlign w:val="bottom"/>
          </w:tcPr>
          <w:p>
            <w:pPr>
              <w:jc w:val="right"/>
              <w:ind w:right="30"/>
              <w:spacing w:after="0"/>
              <w:rPr>
                <w:sz w:val="20"/>
                <w:szCs w:val="20"/>
                <w:color w:val="auto"/>
              </w:rPr>
            </w:pPr>
            <w:r>
              <w:rPr>
                <w:rFonts w:ascii="Arial" w:cs="Arial" w:eastAsia="Arial" w:hAnsi="Arial"/>
                <w:sz w:val="18"/>
                <w:szCs w:val="18"/>
                <w:b w:val="1"/>
                <w:bCs w:val="1"/>
                <w:color w:val="auto"/>
              </w:rPr>
              <w:t>1,318,915</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7,016</w:t>
            </w:r>
          </w:p>
        </w:tc>
        <w:tc>
          <w:tcPr>
            <w:tcW w:w="0" w:type="dxa"/>
            <w:vAlign w:val="bottom"/>
          </w:tcPr>
          <w:p>
            <w:pPr>
              <w:spacing w:after="0"/>
              <w:rPr>
                <w:sz w:val="1"/>
                <w:szCs w:val="1"/>
                <w:color w:val="auto"/>
              </w:rPr>
            </w:pPr>
          </w:p>
        </w:tc>
      </w:tr>
      <w:tr>
        <w:trPr>
          <w:trHeight w:val="296"/>
        </w:trPr>
        <w:tc>
          <w:tcPr>
            <w:tcW w:w="2340" w:type="dxa"/>
            <w:vAlign w:val="bottom"/>
          </w:tcPr>
          <w:p>
            <w:pPr>
              <w:ind w:left="100"/>
              <w:spacing w:after="0"/>
              <w:rPr>
                <w:sz w:val="20"/>
                <w:szCs w:val="20"/>
                <w:color w:val="auto"/>
              </w:rPr>
            </w:pPr>
            <w:r>
              <w:rPr>
                <w:rFonts w:ascii="Arial" w:cs="Arial" w:eastAsia="Arial" w:hAnsi="Arial"/>
                <w:sz w:val="18"/>
                <w:szCs w:val="18"/>
                <w:color w:val="auto"/>
              </w:rPr>
              <w:t>Inferred Resource</w:t>
            </w:r>
          </w:p>
        </w:tc>
        <w:tc>
          <w:tcPr>
            <w:tcW w:w="1940" w:type="dxa"/>
            <w:vAlign w:val="bottom"/>
          </w:tcPr>
          <w:p>
            <w:pPr>
              <w:ind w:left="1480"/>
              <w:spacing w:after="0"/>
              <w:rPr>
                <w:sz w:val="20"/>
                <w:szCs w:val="20"/>
                <w:color w:val="auto"/>
              </w:rPr>
            </w:pPr>
            <w:r>
              <w:rPr>
                <w:rFonts w:ascii="Arial" w:cs="Arial" w:eastAsia="Arial" w:hAnsi="Arial"/>
                <w:sz w:val="18"/>
                <w:szCs w:val="18"/>
                <w:color w:val="auto"/>
              </w:rPr>
              <w:t>9.50</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6"/>
              </w:rPr>
              <w:t>1.25</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581.0</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736,924</w:t>
            </w:r>
          </w:p>
        </w:tc>
        <w:tc>
          <w:tcPr>
            <w:tcW w:w="980" w:type="dxa"/>
            <w:vAlign w:val="bottom"/>
          </w:tcPr>
          <w:p>
            <w:pPr>
              <w:jc w:val="right"/>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-728345</wp:posOffset>
            </wp:positionV>
            <wp:extent cx="6078220" cy="7581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6">
                      <a:extLst>
                        <a:ext uri="{28A0092B-C50C-407E-A947-70E740481C1C}"/>
                      </a:extLst>
                    </a:blip>
                    <a:srcRect/>
                    <a:stretch>
                      <a:fillRect/>
                    </a:stretch>
                  </pic:blipFill>
                  <pic:spPr bwMode="auto">
                    <a:xfrm>
                      <a:off x="0" y="0"/>
                      <a:ext cx="6078220" cy="7581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-728345</wp:posOffset>
            </wp:positionV>
            <wp:extent cx="6078220" cy="7581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7">
                      <a:extLst>
                        <a:ext uri="{28A0092B-C50C-407E-A947-70E740481C1C}"/>
                      </a:extLst>
                    </a:blip>
                    <a:srcRect/>
                    <a:stretch>
                      <a:fillRect/>
                    </a:stretch>
                  </pic:blipFill>
                  <pic:spPr bwMode="auto">
                    <a:xfrm>
                      <a:off x="0" y="0"/>
                      <a:ext cx="6078220" cy="758190"/>
                    </a:xfrm>
                    <a:prstGeom prst="rect">
                      <a:avLst/>
                    </a:prstGeom>
                    <a:noFill/>
                  </pic:spPr>
                </pic:pic>
              </a:graphicData>
            </a:graphic>
          </wp:anchor>
        </w:drawing>
      </w:r>
    </w:p>
    <w:p>
      <w:pPr>
        <w:spacing w:after="0" w:line="359"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Notes:</w:t>
      </w:r>
    </w:p>
    <w:p>
      <w:pPr>
        <w:spacing w:after="0" w:line="116" w:lineRule="exact"/>
        <w:rPr>
          <w:sz w:val="20"/>
          <w:szCs w:val="20"/>
          <w:color w:val="auto"/>
        </w:rPr>
      </w:pPr>
    </w:p>
    <w:p>
      <w:pPr>
        <w:ind w:left="1260" w:hanging="366"/>
        <w:spacing w:after="0"/>
        <w:tabs>
          <w:tab w:leader="none" w:pos="1260" w:val="left"/>
        </w:tabs>
        <w:numPr>
          <w:ilvl w:val="0"/>
          <w:numId w:val="44"/>
        </w:numPr>
        <w:rPr>
          <w:rFonts w:ascii="Arial" w:cs="Arial" w:eastAsia="Arial" w:hAnsi="Arial"/>
          <w:sz w:val="20"/>
          <w:szCs w:val="20"/>
          <w:i w:val="1"/>
          <w:iCs w:val="1"/>
          <w:color w:val="auto"/>
        </w:rPr>
      </w:pPr>
      <w:r>
        <w:rPr>
          <w:rFonts w:ascii="Arial" w:cs="Arial" w:eastAsia="Arial" w:hAnsi="Arial"/>
          <w:sz w:val="20"/>
          <w:szCs w:val="20"/>
          <w:i w:val="1"/>
          <w:iCs w:val="1"/>
          <w:color w:val="auto"/>
        </w:rPr>
        <w:t>S-K 1300 definitions were followed for Mineral Resources.</w:t>
      </w:r>
    </w:p>
    <w:p>
      <w:pPr>
        <w:spacing w:after="0" w:line="130" w:lineRule="exact"/>
        <w:rPr>
          <w:rFonts w:ascii="Arial" w:cs="Arial" w:eastAsia="Arial" w:hAnsi="Arial"/>
          <w:sz w:val="20"/>
          <w:szCs w:val="20"/>
          <w:i w:val="1"/>
          <w:iCs w:val="1"/>
          <w:color w:val="auto"/>
        </w:rPr>
      </w:pPr>
    </w:p>
    <w:p>
      <w:pPr>
        <w:ind w:left="1260" w:hanging="366"/>
        <w:spacing w:after="0"/>
        <w:tabs>
          <w:tab w:leader="none" w:pos="1260" w:val="left"/>
        </w:tabs>
        <w:numPr>
          <w:ilvl w:val="0"/>
          <w:numId w:val="44"/>
        </w:numPr>
        <w:rPr>
          <w:rFonts w:ascii="Arial" w:cs="Arial" w:eastAsia="Arial" w:hAnsi="Arial"/>
          <w:sz w:val="20"/>
          <w:szCs w:val="20"/>
          <w:i w:val="1"/>
          <w:iCs w:val="1"/>
          <w:color w:val="auto"/>
        </w:rPr>
      </w:pPr>
      <w:r>
        <w:rPr>
          <w:rFonts w:ascii="Arial" w:cs="Arial" w:eastAsia="Arial" w:hAnsi="Arial"/>
          <w:sz w:val="20"/>
          <w:szCs w:val="20"/>
          <w:i w:val="1"/>
          <w:iCs w:val="1"/>
          <w:color w:val="auto"/>
        </w:rPr>
        <w:t>LCE is calculated using the Li: LCE factor = 5.322785 multiplied by the mass of Lithium.</w:t>
      </w:r>
    </w:p>
    <w:p>
      <w:pPr>
        <w:spacing w:after="0" w:line="137" w:lineRule="exact"/>
        <w:rPr>
          <w:rFonts w:ascii="Arial" w:cs="Arial" w:eastAsia="Arial" w:hAnsi="Arial"/>
          <w:sz w:val="20"/>
          <w:szCs w:val="20"/>
          <w:i w:val="1"/>
          <w:iCs w:val="1"/>
          <w:color w:val="auto"/>
        </w:rPr>
      </w:pPr>
    </w:p>
    <w:p>
      <w:pPr>
        <w:jc w:val="both"/>
        <w:ind w:left="1260" w:hanging="366"/>
        <w:spacing w:after="0" w:line="373" w:lineRule="auto"/>
        <w:tabs>
          <w:tab w:leader="none" w:pos="1260" w:val="left"/>
        </w:tabs>
        <w:numPr>
          <w:ilvl w:val="0"/>
          <w:numId w:val="44"/>
        </w:numPr>
        <w:rPr>
          <w:rFonts w:ascii="Arial" w:cs="Arial" w:eastAsia="Arial" w:hAnsi="Arial"/>
          <w:sz w:val="20"/>
          <w:szCs w:val="20"/>
          <w:i w:val="1"/>
          <w:iCs w:val="1"/>
          <w:color w:val="auto"/>
        </w:rPr>
      </w:pPr>
      <w:r>
        <w:rPr>
          <w:rFonts w:ascii="Arial" w:cs="Arial" w:eastAsia="Arial" w:hAnsi="Arial"/>
          <w:sz w:val="20"/>
          <w:szCs w:val="20"/>
          <w:i w:val="1"/>
          <w:iCs w:val="1"/>
          <w:color w:val="auto"/>
        </w:rPr>
        <w:t>A cut-off grade of 125 mg/l has been applied to the mineral resource estimates. An FoB price forecast of US$18,000 per metric ton of Li2CO3 and US$17,800 per metric ton of coarse particle LiOH×H2O for yea beyond 2028 is used. A 75% overall lithium recovery efficiency factor has been applied to calculate the fi LCE production.</w:t>
      </w:r>
    </w:p>
    <w:p>
      <w:pPr>
        <w:spacing w:after="0" w:line="10" w:lineRule="exact"/>
        <w:rPr>
          <w:rFonts w:ascii="Arial" w:cs="Arial" w:eastAsia="Arial" w:hAnsi="Arial"/>
          <w:sz w:val="20"/>
          <w:szCs w:val="20"/>
          <w:i w:val="1"/>
          <w:iCs w:val="1"/>
          <w:color w:val="auto"/>
        </w:rPr>
      </w:pPr>
    </w:p>
    <w:p>
      <w:pPr>
        <w:ind w:left="1260" w:right="20" w:hanging="366"/>
        <w:spacing w:after="0" w:line="368" w:lineRule="auto"/>
        <w:tabs>
          <w:tab w:leader="none" w:pos="1260" w:val="left"/>
        </w:tabs>
        <w:numPr>
          <w:ilvl w:val="0"/>
          <w:numId w:val="44"/>
        </w:numPr>
        <w:rPr>
          <w:rFonts w:ascii="Arial" w:cs="Arial" w:eastAsia="Arial" w:hAnsi="Arial"/>
          <w:sz w:val="20"/>
          <w:szCs w:val="20"/>
          <w:i w:val="1"/>
          <w:iCs w:val="1"/>
          <w:color w:val="auto"/>
        </w:rPr>
      </w:pPr>
      <w:r>
        <w:rPr>
          <w:rFonts w:ascii="Arial" w:cs="Arial" w:eastAsia="Arial" w:hAnsi="Arial"/>
          <w:sz w:val="20"/>
          <w:szCs w:val="20"/>
          <w:i w:val="1"/>
          <w:iCs w:val="1"/>
          <w:color w:val="auto"/>
        </w:rPr>
        <w:t>The Mineral Resource Estimate is not a Mineral Reserves Estimate and has no demonstrated economic viability.</w:t>
      </w:r>
    </w:p>
    <w:p>
      <w:pPr>
        <w:spacing w:after="0" w:line="14" w:lineRule="exact"/>
        <w:rPr>
          <w:rFonts w:ascii="Arial" w:cs="Arial" w:eastAsia="Arial" w:hAnsi="Arial"/>
          <w:sz w:val="20"/>
          <w:szCs w:val="20"/>
          <w:i w:val="1"/>
          <w:iCs w:val="1"/>
          <w:color w:val="auto"/>
        </w:rPr>
      </w:pPr>
    </w:p>
    <w:p>
      <w:pPr>
        <w:ind w:left="1260" w:right="40" w:hanging="366"/>
        <w:spacing w:after="0" w:line="368" w:lineRule="auto"/>
        <w:tabs>
          <w:tab w:leader="none" w:pos="1260" w:val="left"/>
        </w:tabs>
        <w:numPr>
          <w:ilvl w:val="0"/>
          <w:numId w:val="44"/>
        </w:numPr>
        <w:rPr>
          <w:rFonts w:ascii="Arial" w:cs="Arial" w:eastAsia="Arial" w:hAnsi="Arial"/>
          <w:sz w:val="20"/>
          <w:szCs w:val="20"/>
          <w:i w:val="1"/>
          <w:iCs w:val="1"/>
          <w:color w:val="auto"/>
        </w:rPr>
      </w:pPr>
      <w:r>
        <w:rPr>
          <w:rFonts w:ascii="Arial" w:cs="Arial" w:eastAsia="Arial" w:hAnsi="Arial"/>
          <w:sz w:val="20"/>
          <w:szCs w:val="20"/>
          <w:i w:val="1"/>
          <w:iCs w:val="1"/>
          <w:color w:val="auto"/>
        </w:rPr>
        <w:t>Comparisons of values may not be equivalent due to rounding of numbers and the differences caused b of averaging methods.</w:t>
      </w:r>
    </w:p>
    <w:p>
      <w:pPr>
        <w:spacing w:after="0" w:line="7" w:lineRule="exact"/>
        <w:rPr>
          <w:rFonts w:ascii="Arial" w:cs="Arial" w:eastAsia="Arial" w:hAnsi="Arial"/>
          <w:sz w:val="20"/>
          <w:szCs w:val="20"/>
          <w:i w:val="1"/>
          <w:iCs w:val="1"/>
          <w:color w:val="auto"/>
        </w:rPr>
      </w:pPr>
    </w:p>
    <w:p>
      <w:pPr>
        <w:ind w:left="1260" w:hanging="366"/>
        <w:spacing w:after="0"/>
        <w:tabs>
          <w:tab w:leader="none" w:pos="1260" w:val="left"/>
        </w:tabs>
        <w:numPr>
          <w:ilvl w:val="0"/>
          <w:numId w:val="44"/>
        </w:numPr>
        <w:rPr>
          <w:rFonts w:ascii="Arial" w:cs="Arial" w:eastAsia="Arial" w:hAnsi="Arial"/>
          <w:sz w:val="20"/>
          <w:szCs w:val="20"/>
          <w:i w:val="1"/>
          <w:iCs w:val="1"/>
          <w:color w:val="auto"/>
        </w:rPr>
      </w:pPr>
      <w:r>
        <w:rPr>
          <w:rFonts w:ascii="Arial" w:cs="Arial" w:eastAsia="Arial" w:hAnsi="Arial"/>
          <w:sz w:val="20"/>
          <w:szCs w:val="20"/>
          <w:i w:val="1"/>
          <w:iCs w:val="1"/>
          <w:color w:val="auto"/>
        </w:rPr>
        <w:t>The Siltstone unit was not included in the resource estimate.</w:t>
      </w:r>
    </w:p>
    <w:p>
      <w:pPr>
        <w:spacing w:after="0" w:line="130" w:lineRule="exact"/>
        <w:rPr>
          <w:rFonts w:ascii="Arial" w:cs="Arial" w:eastAsia="Arial" w:hAnsi="Arial"/>
          <w:sz w:val="20"/>
          <w:szCs w:val="20"/>
          <w:i w:val="1"/>
          <w:iCs w:val="1"/>
          <w:color w:val="auto"/>
        </w:rPr>
      </w:pPr>
    </w:p>
    <w:p>
      <w:pPr>
        <w:ind w:left="1260" w:hanging="366"/>
        <w:spacing w:after="0"/>
        <w:tabs>
          <w:tab w:leader="none" w:pos="1260" w:val="left"/>
        </w:tabs>
        <w:numPr>
          <w:ilvl w:val="0"/>
          <w:numId w:val="44"/>
        </w:numPr>
        <w:rPr>
          <w:rFonts w:ascii="Arial" w:cs="Arial" w:eastAsia="Arial" w:hAnsi="Arial"/>
          <w:sz w:val="20"/>
          <w:szCs w:val="20"/>
          <w:i w:val="1"/>
          <w:iCs w:val="1"/>
          <w:color w:val="auto"/>
        </w:rPr>
      </w:pPr>
      <w:r>
        <w:rPr>
          <w:rFonts w:ascii="Arial" w:cs="Arial" w:eastAsia="Arial" w:hAnsi="Arial"/>
          <w:sz w:val="20"/>
          <w:szCs w:val="20"/>
          <w:i w:val="1"/>
          <w:iCs w:val="1"/>
          <w:color w:val="auto"/>
        </w:rPr>
        <w:t>Project economics in this report are not based on Inferred Mineral Resource.</w:t>
      </w:r>
    </w:p>
    <w:p>
      <w:pPr>
        <w:spacing w:after="0" w:line="137" w:lineRule="exact"/>
        <w:rPr>
          <w:rFonts w:ascii="Arial" w:cs="Arial" w:eastAsia="Arial" w:hAnsi="Arial"/>
          <w:sz w:val="20"/>
          <w:szCs w:val="20"/>
          <w:i w:val="1"/>
          <w:iCs w:val="1"/>
          <w:color w:val="auto"/>
        </w:rPr>
      </w:pPr>
    </w:p>
    <w:p>
      <w:pPr>
        <w:ind w:left="1260" w:right="20" w:hanging="366"/>
        <w:spacing w:after="0" w:line="368" w:lineRule="auto"/>
        <w:tabs>
          <w:tab w:leader="none" w:pos="1260" w:val="left"/>
        </w:tabs>
        <w:numPr>
          <w:ilvl w:val="0"/>
          <w:numId w:val="44"/>
        </w:numPr>
        <w:rPr>
          <w:rFonts w:ascii="Arial" w:cs="Arial" w:eastAsia="Arial" w:hAnsi="Arial"/>
          <w:sz w:val="20"/>
          <w:szCs w:val="20"/>
          <w:i w:val="1"/>
          <w:iCs w:val="1"/>
          <w:color w:val="auto"/>
        </w:rPr>
      </w:pPr>
      <w:r>
        <w:rPr>
          <w:rFonts w:ascii="Arial" w:cs="Arial" w:eastAsia="Arial" w:hAnsi="Arial"/>
          <w:sz w:val="20"/>
          <w:szCs w:val="20"/>
          <w:i w:val="1"/>
          <w:iCs w:val="1"/>
          <w:color w:val="auto"/>
        </w:rPr>
        <w:t>The QPs are not aware of any known legal, political, environmental, or other risks that could materially a the potential development of the mineral resources.</w:t>
      </w:r>
    </w:p>
    <w:p>
      <w:pPr>
        <w:spacing w:after="0" w:line="14" w:lineRule="exact"/>
        <w:rPr>
          <w:rFonts w:ascii="Arial" w:cs="Arial" w:eastAsia="Arial" w:hAnsi="Arial"/>
          <w:sz w:val="20"/>
          <w:szCs w:val="20"/>
          <w:i w:val="1"/>
          <w:iCs w:val="1"/>
          <w:color w:val="auto"/>
        </w:rPr>
      </w:pPr>
    </w:p>
    <w:p>
      <w:pPr>
        <w:ind w:left="1260" w:right="20" w:hanging="366"/>
        <w:spacing w:after="0" w:line="373" w:lineRule="auto"/>
        <w:tabs>
          <w:tab w:leader="none" w:pos="1260" w:val="left"/>
        </w:tabs>
        <w:numPr>
          <w:ilvl w:val="0"/>
          <w:numId w:val="44"/>
        </w:numPr>
        <w:rPr>
          <w:rFonts w:ascii="Arial" w:cs="Arial" w:eastAsia="Arial" w:hAnsi="Arial"/>
          <w:sz w:val="20"/>
          <w:szCs w:val="20"/>
          <w:i w:val="1"/>
          <w:iCs w:val="1"/>
          <w:color w:val="auto"/>
        </w:rPr>
      </w:pPr>
      <w:r>
        <w:rPr>
          <w:rFonts w:ascii="Arial" w:cs="Arial" w:eastAsia="Arial" w:hAnsi="Arial"/>
          <w:sz w:val="20"/>
          <w:szCs w:val="20"/>
          <w:i w:val="1"/>
          <w:iCs w:val="1"/>
          <w:color w:val="auto"/>
        </w:rPr>
        <w:t>A Qualified Person and an employee of the Company, has approved the mineral reserves and mineral resources included in this Annual Report on Form 20-F as of December 31, 2025 and reviewed the reso and material assumptions in the PPG TRS and confirmed that the resources and material assumptions remain current as of December 31, 2025.</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Pastos Grandes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18 / 26</w:t>
      </w:r>
    </w:p>
    <w:p>
      <w:pPr>
        <w:sectPr>
          <w:pgSz w:w="11900" w:h="16838" w:orient="portrait"/>
          <w:cols w:equalWidth="0" w:num="1">
            <w:col w:w="10460"/>
          </w:cols>
          <w:pgMar w:left="1440" w:top="1440" w:right="6" w:bottom="0" w:gutter="0" w:footer="0" w:header="0"/>
          <w:type w:val="continuous"/>
        </w:sectPr>
      </w:pPr>
    </w:p>
    <w:bookmarkStart w:id="128" w:name="page129"/>
    <w:bookmarkEnd w:id="128"/>
    <w:p>
      <w:pPr>
        <w:jc w:val="both"/>
        <w:ind w:left="900"/>
        <w:spacing w:after="0" w:line="312" w:lineRule="auto"/>
        <w:rPr>
          <w:sz w:val="20"/>
          <w:szCs w:val="20"/>
          <w:color w:val="auto"/>
        </w:rPr>
      </w:pPr>
      <w:r>
        <w:rPr>
          <w:rFonts w:ascii="Arial" w:cs="Arial" w:eastAsia="Arial" w:hAnsi="Arial"/>
          <w:sz w:val="20"/>
          <w:szCs w:val="20"/>
          <w:color w:val="auto"/>
        </w:rPr>
        <w:t>The resource estimation for the Pastos Grandes salar was developed using the Stanford Geostatistical Mod Software (SGeMS) by Atacama Water (AW), and it was prepared in accordance with the requirements of 1300 and uses the best practices methods specific to brine resources. A 125 mg/l lithium concentration c was applied to the resource estimate.</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modelling method consisted of the following steps:</w:t>
      </w:r>
    </w:p>
    <w:p>
      <w:pPr>
        <w:spacing w:after="0" w:line="243" w:lineRule="exact"/>
        <w:rPr>
          <w:sz w:val="20"/>
          <w:szCs w:val="20"/>
          <w:color w:val="auto"/>
        </w:rPr>
      </w:pPr>
    </w:p>
    <w:p>
      <w:pPr>
        <w:ind w:left="1620" w:right="20" w:hanging="366"/>
        <w:spacing w:after="0" w:line="368" w:lineRule="auto"/>
        <w:tabs>
          <w:tab w:leader="none" w:pos="16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footprint of the resource zone was defined based on the interpreted boundaries of the salt fla the deposit characteristics.</w:t>
      </w:r>
    </w:p>
    <w:p>
      <w:pPr>
        <w:spacing w:after="0" w:line="134"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Based on the lithological descriptions of the drill core and cutting together with the interpretation o available geophysical information and field observations, a 3-D geological model of the Pastos Gra sub-basin were developed.</w:t>
      </w:r>
    </w:p>
    <w:p>
      <w:pPr>
        <w:spacing w:after="0" w:line="130"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3D geological model was divided into five major Hydrostratigraphic Units (HSUs), which are gr of lithologies with similar hydrological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1063625</wp:posOffset>
            </wp:positionV>
            <wp:extent cx="6764020"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19 / 26</w:t>
      </w:r>
    </w:p>
    <w:p>
      <w:pPr>
        <w:sectPr>
          <w:pgSz w:w="11900" w:h="16838" w:orient="portrait"/>
          <w:cols w:equalWidth="0" w:num="1">
            <w:col w:w="10460"/>
          </w:cols>
          <w:pgMar w:left="1440" w:top="1172" w:right="6" w:bottom="0" w:gutter="0" w:footer="0" w:header="0"/>
          <w:type w:val="continuous"/>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20" w:hanging="366"/>
        <w:spacing w:after="0" w:line="368" w:lineRule="auto"/>
        <w:tabs>
          <w:tab w:leader="none" w:pos="16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specific yield values were derived from 115 valid drainable porosity analyses of undisturbed sam analysed by GeoSystems Analysis.</w:t>
      </w:r>
    </w:p>
    <w:p>
      <w:pPr>
        <w:spacing w:after="0" w:line="134"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distribution of lithium concentration in the model domain is based on a total of 530 brine anal (not including QA/QC analyses) to estimate the total resource stated as LCE.</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20"/>
          <w:szCs w:val="20"/>
          <w:color w:val="auto"/>
        </w:rPr>
        <w:t>A summary of the Measured, Indicated and Inferred Resource Estimate is shown in following table.</w:t>
      </w:r>
    </w:p>
    <w:p>
      <w:pPr>
        <w:spacing w:after="0" w:line="279"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Table 2 shows the mineral resources for the total Pastos Grades properties expressed as lithium carbo equivalent (LCE).</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Table 2: Mineral Resources Estimate for Pastos Grandes (Effective Date: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223520</wp:posOffset>
            </wp:positionV>
            <wp:extent cx="6090920" cy="567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9">
                      <a:extLst>
                        <a:ext uri="{28A0092B-C50C-407E-A947-70E740481C1C}"/>
                      </a:extLst>
                    </a:blip>
                    <a:srcRect/>
                    <a:stretch>
                      <a:fillRect/>
                    </a:stretch>
                  </pic:blipFill>
                  <pic:spPr bwMode="auto">
                    <a:xfrm>
                      <a:off x="0" y="0"/>
                      <a:ext cx="6090920" cy="567690"/>
                    </a:xfrm>
                    <a:prstGeom prst="rect">
                      <a:avLst/>
                    </a:prstGeom>
                    <a:noFill/>
                  </pic:spPr>
                </pic:pic>
              </a:graphicData>
            </a:graphic>
          </wp:anchor>
        </w:drawing>
      </w:r>
    </w:p>
    <w:p>
      <w:pPr>
        <w:spacing w:after="0" w:line="352" w:lineRule="exact"/>
        <w:rPr>
          <w:sz w:val="20"/>
          <w:szCs w:val="20"/>
          <w:color w:val="auto"/>
        </w:rPr>
      </w:pPr>
    </w:p>
    <w:tbl>
      <w:tblPr>
        <w:tblLayout w:type="fixed"/>
        <w:tblInd w:w="900" w:type="dxa"/>
        <w:tblCellMar>
          <w:top w:w="0" w:type="dxa"/>
          <w:left w:w="0" w:type="dxa"/>
          <w:bottom w:w="0" w:type="dxa"/>
          <w:right w:w="0" w:type="dxa"/>
        </w:tblCellMar>
      </w:tblPr>
      <w:tr>
        <w:trPr>
          <w:trHeight w:val="260"/>
        </w:trPr>
        <w:tc>
          <w:tcPr>
            <w:tcW w:w="2280" w:type="dxa"/>
            <w:vAlign w:val="bottom"/>
            <w:vMerge w:val="restart"/>
            <w:shd w:val="clear" w:color="auto" w:fill="153A57"/>
          </w:tcPr>
          <w:p>
            <w:pPr>
              <w:spacing w:after="0"/>
              <w:rPr>
                <w:sz w:val="20"/>
                <w:szCs w:val="20"/>
                <w:color w:val="auto"/>
              </w:rPr>
            </w:pPr>
            <w:r>
              <w:rPr>
                <w:rFonts w:ascii="Arial" w:cs="Arial" w:eastAsia="Arial" w:hAnsi="Arial"/>
                <w:sz w:val="18"/>
                <w:szCs w:val="18"/>
                <w:b w:val="1"/>
                <w:bCs w:val="1"/>
                <w:color w:val="FFFFFF"/>
              </w:rPr>
              <w:t>Resource Category</w:t>
            </w:r>
          </w:p>
        </w:tc>
        <w:tc>
          <w:tcPr>
            <w:tcW w:w="2160" w:type="dxa"/>
            <w:vAlign w:val="bottom"/>
            <w:shd w:val="clear" w:color="auto" w:fill="153A57"/>
          </w:tcPr>
          <w:p>
            <w:pPr>
              <w:jc w:val="right"/>
              <w:ind w:right="190"/>
              <w:spacing w:after="0"/>
              <w:rPr>
                <w:sz w:val="20"/>
                <w:szCs w:val="20"/>
                <w:color w:val="auto"/>
              </w:rPr>
            </w:pPr>
            <w:r>
              <w:rPr>
                <w:rFonts w:ascii="Arial" w:cs="Arial" w:eastAsia="Arial" w:hAnsi="Arial"/>
                <w:sz w:val="18"/>
                <w:szCs w:val="18"/>
                <w:b w:val="1"/>
                <w:bCs w:val="1"/>
                <w:color w:val="FFFFFF"/>
              </w:rPr>
              <w:t>Aquifer volume</w:t>
            </w:r>
          </w:p>
        </w:tc>
        <w:tc>
          <w:tcPr>
            <w:tcW w:w="1480" w:type="dxa"/>
            <w:vAlign w:val="bottom"/>
            <w:shd w:val="clear" w:color="auto" w:fill="153A57"/>
          </w:tcPr>
          <w:p>
            <w:pPr>
              <w:jc w:val="right"/>
              <w:ind w:right="150"/>
              <w:spacing w:after="0"/>
              <w:rPr>
                <w:sz w:val="20"/>
                <w:szCs w:val="20"/>
                <w:color w:val="auto"/>
              </w:rPr>
            </w:pPr>
            <w:r>
              <w:rPr>
                <w:rFonts w:ascii="Arial" w:cs="Arial" w:eastAsia="Arial" w:hAnsi="Arial"/>
                <w:sz w:val="18"/>
                <w:szCs w:val="18"/>
                <w:b w:val="1"/>
                <w:bCs w:val="1"/>
                <w:color w:val="FFFFFF"/>
              </w:rPr>
              <w:t>Brine volume</w:t>
            </w:r>
          </w:p>
        </w:tc>
        <w:tc>
          <w:tcPr>
            <w:tcW w:w="1360" w:type="dxa"/>
            <w:vAlign w:val="bottom"/>
            <w:vMerge w:val="restart"/>
            <w:shd w:val="clear" w:color="auto" w:fill="153A57"/>
          </w:tcPr>
          <w:p>
            <w:pPr>
              <w:jc w:val="right"/>
              <w:ind w:right="310"/>
              <w:spacing w:after="0"/>
              <w:rPr>
                <w:sz w:val="20"/>
                <w:szCs w:val="20"/>
                <w:color w:val="auto"/>
              </w:rPr>
            </w:pPr>
            <w:r>
              <w:rPr>
                <w:rFonts w:ascii="Arial" w:cs="Arial" w:eastAsia="Arial" w:hAnsi="Arial"/>
                <w:sz w:val="18"/>
                <w:szCs w:val="18"/>
                <w:b w:val="1"/>
                <w:bCs w:val="1"/>
                <w:color w:val="FFFFFF"/>
              </w:rPr>
              <w:t>Li (mg/L)</w:t>
            </w:r>
          </w:p>
        </w:tc>
        <w:tc>
          <w:tcPr>
            <w:tcW w:w="1340" w:type="dxa"/>
            <w:vAlign w:val="bottom"/>
            <w:vMerge w:val="restart"/>
            <w:shd w:val="clear" w:color="auto" w:fill="153A57"/>
          </w:tcPr>
          <w:p>
            <w:pPr>
              <w:jc w:val="right"/>
              <w:ind w:right="190"/>
              <w:spacing w:after="0"/>
              <w:rPr>
                <w:sz w:val="20"/>
                <w:szCs w:val="20"/>
                <w:color w:val="auto"/>
              </w:rPr>
            </w:pPr>
            <w:r>
              <w:rPr>
                <w:rFonts w:ascii="Arial" w:cs="Arial" w:eastAsia="Arial" w:hAnsi="Arial"/>
                <w:sz w:val="18"/>
                <w:szCs w:val="18"/>
                <w:b w:val="1"/>
                <w:bCs w:val="1"/>
                <w:color w:val="FFFFFF"/>
              </w:rPr>
              <w:t>Li (tonnes)</w:t>
            </w:r>
          </w:p>
        </w:tc>
        <w:tc>
          <w:tcPr>
            <w:tcW w:w="940" w:type="dxa"/>
            <w:vAlign w:val="bottom"/>
            <w:vMerge w:val="restart"/>
            <w:shd w:val="clear" w:color="auto" w:fill="153A57"/>
          </w:tcPr>
          <w:p>
            <w:pPr>
              <w:jc w:val="right"/>
              <w:spacing w:after="0"/>
              <w:rPr>
                <w:sz w:val="20"/>
                <w:szCs w:val="20"/>
                <w:color w:val="auto"/>
              </w:rPr>
            </w:pPr>
            <w:r>
              <w:rPr>
                <w:rFonts w:ascii="Arial" w:cs="Arial" w:eastAsia="Arial" w:hAnsi="Arial"/>
                <w:sz w:val="18"/>
                <w:szCs w:val="18"/>
                <w:b w:val="1"/>
                <w:bCs w:val="1"/>
                <w:color w:val="FFFFFF"/>
              </w:rPr>
              <w:t>LCE (tonn</w:t>
            </w:r>
          </w:p>
        </w:tc>
        <w:tc>
          <w:tcPr>
            <w:tcW w:w="0" w:type="dxa"/>
            <w:vAlign w:val="bottom"/>
          </w:tcPr>
          <w:p>
            <w:pPr>
              <w:spacing w:after="0"/>
              <w:rPr>
                <w:sz w:val="1"/>
                <w:szCs w:val="1"/>
                <w:color w:val="auto"/>
              </w:rPr>
            </w:pPr>
          </w:p>
        </w:tc>
      </w:tr>
      <w:tr>
        <w:trPr>
          <w:trHeight w:val="136"/>
        </w:trPr>
        <w:tc>
          <w:tcPr>
            <w:tcW w:w="2280" w:type="dxa"/>
            <w:vAlign w:val="bottom"/>
            <w:vMerge w:val="continue"/>
            <w:shd w:val="clear" w:color="auto" w:fill="153A57"/>
          </w:tcPr>
          <w:p>
            <w:pPr>
              <w:spacing w:after="0"/>
              <w:rPr>
                <w:sz w:val="11"/>
                <w:szCs w:val="11"/>
                <w:color w:val="auto"/>
              </w:rPr>
            </w:pPr>
          </w:p>
        </w:tc>
        <w:tc>
          <w:tcPr>
            <w:tcW w:w="2160" w:type="dxa"/>
            <w:vAlign w:val="bottom"/>
            <w:vMerge w:val="restart"/>
            <w:shd w:val="clear" w:color="auto" w:fill="153A57"/>
          </w:tcPr>
          <w:p>
            <w:pPr>
              <w:jc w:val="right"/>
              <w:ind w:right="610"/>
              <w:spacing w:after="0"/>
              <w:rPr>
                <w:sz w:val="20"/>
                <w:szCs w:val="20"/>
                <w:color w:val="auto"/>
              </w:rPr>
            </w:pPr>
            <w:r>
              <w:rPr>
                <w:rFonts w:ascii="Arial" w:cs="Arial" w:eastAsia="Arial" w:hAnsi="Arial"/>
                <w:sz w:val="18"/>
                <w:szCs w:val="18"/>
                <w:b w:val="1"/>
                <w:bCs w:val="1"/>
                <w:color w:val="FFFFFF"/>
              </w:rPr>
              <w:t>(km</w:t>
            </w:r>
            <w:r>
              <w:rPr>
                <w:rFonts w:ascii="Arial" w:cs="Arial" w:eastAsia="Arial" w:hAnsi="Arial"/>
                <w:sz w:val="24"/>
                <w:szCs w:val="24"/>
                <w:b w:val="1"/>
                <w:bCs w:val="1"/>
                <w:color w:val="FFFFFF"/>
                <w:vertAlign w:val="superscript"/>
              </w:rPr>
              <w:t>3</w:t>
            </w:r>
            <w:r>
              <w:rPr>
                <w:rFonts w:ascii="Arial" w:cs="Arial" w:eastAsia="Arial" w:hAnsi="Arial"/>
                <w:sz w:val="18"/>
                <w:szCs w:val="18"/>
                <w:b w:val="1"/>
                <w:bCs w:val="1"/>
                <w:color w:val="FFFFFF"/>
              </w:rPr>
              <w:t>)</w:t>
            </w:r>
          </w:p>
        </w:tc>
        <w:tc>
          <w:tcPr>
            <w:tcW w:w="1480" w:type="dxa"/>
            <w:vAlign w:val="bottom"/>
            <w:vMerge w:val="restart"/>
            <w:shd w:val="clear" w:color="auto" w:fill="153A57"/>
          </w:tcPr>
          <w:p>
            <w:pPr>
              <w:jc w:val="right"/>
              <w:ind w:right="510"/>
              <w:spacing w:after="0"/>
              <w:rPr>
                <w:sz w:val="20"/>
                <w:szCs w:val="20"/>
                <w:color w:val="auto"/>
              </w:rPr>
            </w:pPr>
            <w:r>
              <w:rPr>
                <w:rFonts w:ascii="Arial" w:cs="Arial" w:eastAsia="Arial" w:hAnsi="Arial"/>
                <w:sz w:val="18"/>
                <w:szCs w:val="18"/>
                <w:b w:val="1"/>
                <w:bCs w:val="1"/>
                <w:color w:val="FFFFFF"/>
              </w:rPr>
              <w:t>(km</w:t>
            </w:r>
            <w:r>
              <w:rPr>
                <w:rFonts w:ascii="Arial" w:cs="Arial" w:eastAsia="Arial" w:hAnsi="Arial"/>
                <w:sz w:val="24"/>
                <w:szCs w:val="24"/>
                <w:b w:val="1"/>
                <w:bCs w:val="1"/>
                <w:color w:val="FFFFFF"/>
                <w:vertAlign w:val="superscript"/>
              </w:rPr>
              <w:t>3</w:t>
            </w:r>
            <w:r>
              <w:rPr>
                <w:rFonts w:ascii="Arial" w:cs="Arial" w:eastAsia="Arial" w:hAnsi="Arial"/>
                <w:sz w:val="18"/>
                <w:szCs w:val="18"/>
                <w:b w:val="1"/>
                <w:bCs w:val="1"/>
                <w:color w:val="FFFFFF"/>
              </w:rPr>
              <w:t>)</w:t>
            </w:r>
          </w:p>
        </w:tc>
        <w:tc>
          <w:tcPr>
            <w:tcW w:w="1360" w:type="dxa"/>
            <w:vAlign w:val="bottom"/>
            <w:vMerge w:val="continue"/>
            <w:shd w:val="clear" w:color="auto" w:fill="153A57"/>
          </w:tcPr>
          <w:p>
            <w:pPr>
              <w:spacing w:after="0"/>
              <w:rPr>
                <w:sz w:val="11"/>
                <w:szCs w:val="11"/>
                <w:color w:val="auto"/>
              </w:rPr>
            </w:pPr>
          </w:p>
        </w:tc>
        <w:tc>
          <w:tcPr>
            <w:tcW w:w="1340" w:type="dxa"/>
            <w:vAlign w:val="bottom"/>
            <w:vMerge w:val="continue"/>
            <w:shd w:val="clear" w:color="auto" w:fill="153A57"/>
          </w:tcPr>
          <w:p>
            <w:pPr>
              <w:spacing w:after="0"/>
              <w:rPr>
                <w:sz w:val="11"/>
                <w:szCs w:val="11"/>
                <w:color w:val="auto"/>
              </w:rPr>
            </w:pPr>
          </w:p>
        </w:tc>
        <w:tc>
          <w:tcPr>
            <w:tcW w:w="940" w:type="dxa"/>
            <w:vAlign w:val="bottom"/>
            <w:vMerge w:val="continue"/>
            <w:shd w:val="clear" w:color="auto" w:fill="153A57"/>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280" w:type="dxa"/>
            <w:vAlign w:val="bottom"/>
            <w:shd w:val="clear" w:color="auto" w:fill="153A57"/>
          </w:tcPr>
          <w:p>
            <w:pPr>
              <w:spacing w:after="0"/>
              <w:rPr>
                <w:sz w:val="15"/>
                <w:szCs w:val="15"/>
                <w:color w:val="auto"/>
              </w:rPr>
            </w:pPr>
          </w:p>
        </w:tc>
        <w:tc>
          <w:tcPr>
            <w:tcW w:w="2160" w:type="dxa"/>
            <w:vAlign w:val="bottom"/>
            <w:vMerge w:val="continue"/>
            <w:shd w:val="clear" w:color="auto" w:fill="153A57"/>
          </w:tcPr>
          <w:p>
            <w:pPr>
              <w:spacing w:after="0"/>
              <w:rPr>
                <w:sz w:val="15"/>
                <w:szCs w:val="15"/>
                <w:color w:val="auto"/>
              </w:rPr>
            </w:pPr>
          </w:p>
        </w:tc>
        <w:tc>
          <w:tcPr>
            <w:tcW w:w="1480" w:type="dxa"/>
            <w:vAlign w:val="bottom"/>
            <w:vMerge w:val="continue"/>
            <w:shd w:val="clear" w:color="auto" w:fill="153A57"/>
          </w:tcPr>
          <w:p>
            <w:pPr>
              <w:spacing w:after="0"/>
              <w:rPr>
                <w:sz w:val="15"/>
                <w:szCs w:val="15"/>
                <w:color w:val="auto"/>
              </w:rPr>
            </w:pPr>
          </w:p>
        </w:tc>
        <w:tc>
          <w:tcPr>
            <w:tcW w:w="1360" w:type="dxa"/>
            <w:vAlign w:val="bottom"/>
            <w:shd w:val="clear" w:color="auto" w:fill="153A57"/>
          </w:tcPr>
          <w:p>
            <w:pPr>
              <w:spacing w:after="0"/>
              <w:rPr>
                <w:sz w:val="15"/>
                <w:szCs w:val="15"/>
                <w:color w:val="auto"/>
              </w:rPr>
            </w:pPr>
          </w:p>
        </w:tc>
        <w:tc>
          <w:tcPr>
            <w:tcW w:w="1340" w:type="dxa"/>
            <w:vAlign w:val="bottom"/>
            <w:shd w:val="clear" w:color="auto" w:fill="153A57"/>
          </w:tcPr>
          <w:p>
            <w:pPr>
              <w:spacing w:after="0"/>
              <w:rPr>
                <w:sz w:val="15"/>
                <w:szCs w:val="15"/>
                <w:color w:val="auto"/>
              </w:rPr>
            </w:pPr>
          </w:p>
        </w:tc>
        <w:tc>
          <w:tcPr>
            <w:tcW w:w="940" w:type="dxa"/>
            <w:vAlign w:val="bottom"/>
            <w:shd w:val="clear" w:color="auto" w:fill="153A57"/>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280" w:type="dxa"/>
            <w:vAlign w:val="bottom"/>
          </w:tcPr>
          <w:p>
            <w:pPr>
              <w:ind w:left="100"/>
              <w:spacing w:after="0"/>
              <w:rPr>
                <w:sz w:val="20"/>
                <w:szCs w:val="20"/>
                <w:color w:val="auto"/>
              </w:rPr>
            </w:pPr>
            <w:r>
              <w:rPr>
                <w:rFonts w:ascii="Arial" w:cs="Arial" w:eastAsia="Arial" w:hAnsi="Arial"/>
                <w:sz w:val="18"/>
                <w:szCs w:val="18"/>
                <w:color w:val="auto"/>
              </w:rPr>
              <w:t>Measured Resource</w:t>
            </w:r>
          </w:p>
        </w:tc>
        <w:tc>
          <w:tcPr>
            <w:tcW w:w="2160" w:type="dxa"/>
            <w:vAlign w:val="bottom"/>
          </w:tcPr>
          <w:p>
            <w:pPr>
              <w:jc w:val="right"/>
              <w:spacing w:after="0"/>
              <w:rPr>
                <w:sz w:val="20"/>
                <w:szCs w:val="20"/>
                <w:color w:val="auto"/>
              </w:rPr>
            </w:pPr>
            <w:r>
              <w:rPr>
                <w:rFonts w:ascii="Arial" w:cs="Arial" w:eastAsia="Arial" w:hAnsi="Arial"/>
                <w:sz w:val="18"/>
                <w:szCs w:val="18"/>
                <w:color w:val="auto"/>
              </w:rPr>
              <w:t>25.28</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3.09</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451.0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1,393,000</w:t>
            </w:r>
          </w:p>
        </w:tc>
        <w:tc>
          <w:tcPr>
            <w:tcW w:w="940" w:type="dxa"/>
            <w:vAlign w:val="bottom"/>
          </w:tcPr>
          <w:p>
            <w:pPr>
              <w:jc w:val="right"/>
              <w:spacing w:after="0"/>
              <w:rPr>
                <w:sz w:val="20"/>
                <w:szCs w:val="20"/>
                <w:color w:val="auto"/>
              </w:rPr>
            </w:pPr>
            <w:r>
              <w:rPr>
                <w:rFonts w:ascii="Arial" w:cs="Arial" w:eastAsia="Arial" w:hAnsi="Arial"/>
                <w:sz w:val="18"/>
                <w:szCs w:val="18"/>
                <w:color w:val="auto"/>
              </w:rPr>
              <w:t>7,414</w:t>
            </w:r>
          </w:p>
        </w:tc>
        <w:tc>
          <w:tcPr>
            <w:tcW w:w="0" w:type="dxa"/>
            <w:vAlign w:val="bottom"/>
          </w:tcPr>
          <w:p>
            <w:pPr>
              <w:spacing w:after="0"/>
              <w:rPr>
                <w:sz w:val="1"/>
                <w:szCs w:val="1"/>
                <w:color w:val="auto"/>
              </w:rPr>
            </w:pPr>
          </w:p>
        </w:tc>
      </w:tr>
      <w:tr>
        <w:trPr>
          <w:trHeight w:val="296"/>
        </w:trPr>
        <w:tc>
          <w:tcPr>
            <w:tcW w:w="2280" w:type="dxa"/>
            <w:vAlign w:val="bottom"/>
          </w:tcPr>
          <w:p>
            <w:pPr>
              <w:ind w:left="100"/>
              <w:spacing w:after="0"/>
              <w:rPr>
                <w:sz w:val="20"/>
                <w:szCs w:val="20"/>
                <w:color w:val="auto"/>
              </w:rPr>
            </w:pPr>
            <w:r>
              <w:rPr>
                <w:rFonts w:ascii="Arial" w:cs="Arial" w:eastAsia="Arial" w:hAnsi="Arial"/>
                <w:sz w:val="18"/>
                <w:szCs w:val="18"/>
                <w:color w:val="auto"/>
              </w:rPr>
              <w:t>Indicated Resource</w:t>
            </w:r>
          </w:p>
        </w:tc>
        <w:tc>
          <w:tcPr>
            <w:tcW w:w="2160" w:type="dxa"/>
            <w:vAlign w:val="bottom"/>
          </w:tcPr>
          <w:p>
            <w:pPr>
              <w:jc w:val="right"/>
              <w:spacing w:after="0"/>
              <w:rPr>
                <w:sz w:val="20"/>
                <w:szCs w:val="20"/>
                <w:color w:val="auto"/>
              </w:rPr>
            </w:pPr>
            <w:r>
              <w:rPr>
                <w:rFonts w:ascii="Arial" w:cs="Arial" w:eastAsia="Arial" w:hAnsi="Arial"/>
                <w:sz w:val="18"/>
                <w:szCs w:val="18"/>
                <w:color w:val="auto"/>
              </w:rPr>
              <w:t>1.15</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0.17</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166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28,000</w:t>
            </w:r>
          </w:p>
        </w:tc>
        <w:tc>
          <w:tcPr>
            <w:tcW w:w="94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4"/>
                <w:szCs w:val="24"/>
                <w:color w:val="auto"/>
              </w:rPr>
            </w:pPr>
          </w:p>
        </w:tc>
        <w:tc>
          <w:tcPr>
            <w:tcW w:w="36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Measured + Indicated</w:t>
            </w: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439</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1,421,000</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7,563</w:t>
            </w:r>
          </w:p>
        </w:tc>
        <w:tc>
          <w:tcPr>
            <w:tcW w:w="0" w:type="dxa"/>
            <w:vAlign w:val="bottom"/>
          </w:tcPr>
          <w:p>
            <w:pPr>
              <w:spacing w:after="0"/>
              <w:rPr>
                <w:sz w:val="1"/>
                <w:szCs w:val="1"/>
                <w:color w:val="auto"/>
              </w:rPr>
            </w:pPr>
          </w:p>
        </w:tc>
      </w:tr>
      <w:tr>
        <w:trPr>
          <w:trHeight w:val="296"/>
        </w:trPr>
        <w:tc>
          <w:tcPr>
            <w:tcW w:w="2280" w:type="dxa"/>
            <w:vAlign w:val="bottom"/>
          </w:tcPr>
          <w:p>
            <w:pPr>
              <w:ind w:left="100"/>
              <w:spacing w:after="0"/>
              <w:rPr>
                <w:sz w:val="20"/>
                <w:szCs w:val="20"/>
                <w:color w:val="auto"/>
              </w:rPr>
            </w:pPr>
            <w:r>
              <w:rPr>
                <w:rFonts w:ascii="Arial" w:cs="Arial" w:eastAsia="Arial" w:hAnsi="Arial"/>
                <w:sz w:val="18"/>
                <w:szCs w:val="18"/>
                <w:color w:val="auto"/>
              </w:rPr>
              <w:t>Inferred Resource</w:t>
            </w:r>
          </w:p>
        </w:tc>
        <w:tc>
          <w:tcPr>
            <w:tcW w:w="2160" w:type="dxa"/>
            <w:vAlign w:val="bottom"/>
          </w:tcPr>
          <w:p>
            <w:pPr>
              <w:jc w:val="right"/>
              <w:spacing w:after="0"/>
              <w:rPr>
                <w:sz w:val="20"/>
                <w:szCs w:val="20"/>
                <w:color w:val="auto"/>
              </w:rPr>
            </w:pPr>
            <w:r>
              <w:rPr>
                <w:rFonts w:ascii="Arial" w:cs="Arial" w:eastAsia="Arial" w:hAnsi="Arial"/>
                <w:sz w:val="18"/>
                <w:szCs w:val="18"/>
                <w:color w:val="auto"/>
              </w:rPr>
              <w:t>10.83</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1.18</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456.0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525,000</w:t>
            </w:r>
          </w:p>
        </w:tc>
        <w:tc>
          <w:tcPr>
            <w:tcW w:w="940" w:type="dxa"/>
            <w:vAlign w:val="bottom"/>
          </w:tcPr>
          <w:p>
            <w:pPr>
              <w:jc w:val="right"/>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-728345</wp:posOffset>
            </wp:positionV>
            <wp:extent cx="6078220" cy="7581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0">
                      <a:extLst>
                        <a:ext uri="{28A0092B-C50C-407E-A947-70E740481C1C}"/>
                      </a:extLst>
                    </a:blip>
                    <a:srcRect/>
                    <a:stretch>
                      <a:fillRect/>
                    </a:stretch>
                  </pic:blipFill>
                  <pic:spPr bwMode="auto">
                    <a:xfrm>
                      <a:off x="0" y="0"/>
                      <a:ext cx="6078220" cy="7581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-728345</wp:posOffset>
            </wp:positionV>
            <wp:extent cx="6078220" cy="7581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1">
                      <a:extLst>
                        <a:ext uri="{28A0092B-C50C-407E-A947-70E740481C1C}"/>
                      </a:extLst>
                    </a:blip>
                    <a:srcRect/>
                    <a:stretch>
                      <a:fillRect/>
                    </a:stretch>
                  </pic:blipFill>
                  <pic:spPr bwMode="auto">
                    <a:xfrm>
                      <a:off x="0" y="0"/>
                      <a:ext cx="6078220" cy="758190"/>
                    </a:xfrm>
                    <a:prstGeom prst="rect">
                      <a:avLst/>
                    </a:prstGeom>
                    <a:noFill/>
                  </pic:spPr>
                </pic:pic>
              </a:graphicData>
            </a:graphic>
          </wp:anchor>
        </w:drawing>
      </w:r>
    </w:p>
    <w:p>
      <w:pPr>
        <w:spacing w:after="0" w:line="359"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Note:</w:t>
      </w:r>
    </w:p>
    <w:p>
      <w:pPr>
        <w:spacing w:after="0" w:line="116" w:lineRule="exact"/>
        <w:rPr>
          <w:sz w:val="20"/>
          <w:szCs w:val="20"/>
          <w:color w:val="auto"/>
        </w:rPr>
      </w:pPr>
    </w:p>
    <w:p>
      <w:pPr>
        <w:ind w:left="1260" w:hanging="366"/>
        <w:spacing w:after="0"/>
        <w:tabs>
          <w:tab w:leader="none" w:pos="1260" w:val="left"/>
        </w:tabs>
        <w:numPr>
          <w:ilvl w:val="0"/>
          <w:numId w:val="47"/>
        </w:numPr>
        <w:rPr>
          <w:rFonts w:ascii="Arial" w:cs="Arial" w:eastAsia="Arial" w:hAnsi="Arial"/>
          <w:sz w:val="20"/>
          <w:szCs w:val="20"/>
          <w:i w:val="1"/>
          <w:iCs w:val="1"/>
          <w:color w:val="auto"/>
        </w:rPr>
      </w:pPr>
      <w:r>
        <w:rPr>
          <w:rFonts w:ascii="Arial" w:cs="Arial" w:eastAsia="Arial" w:hAnsi="Arial"/>
          <w:sz w:val="20"/>
          <w:szCs w:val="20"/>
          <w:i w:val="1"/>
          <w:iCs w:val="1"/>
          <w:color w:val="auto"/>
        </w:rPr>
        <w:t>S-K 1300 definitions were followed for Mineral Resources.</w:t>
      </w:r>
    </w:p>
    <w:p>
      <w:pPr>
        <w:spacing w:after="0" w:line="137" w:lineRule="exact"/>
        <w:rPr>
          <w:rFonts w:ascii="Arial" w:cs="Arial" w:eastAsia="Arial" w:hAnsi="Arial"/>
          <w:sz w:val="20"/>
          <w:szCs w:val="20"/>
          <w:i w:val="1"/>
          <w:iCs w:val="1"/>
          <w:color w:val="auto"/>
        </w:rPr>
      </w:pPr>
    </w:p>
    <w:p>
      <w:pPr>
        <w:ind w:left="1260" w:right="380" w:hanging="366"/>
        <w:spacing w:after="0" w:line="368" w:lineRule="auto"/>
        <w:tabs>
          <w:tab w:leader="none" w:pos="1260" w:val="left"/>
        </w:tabs>
        <w:numPr>
          <w:ilvl w:val="0"/>
          <w:numId w:val="47"/>
        </w:numPr>
        <w:rPr>
          <w:rFonts w:ascii="Arial" w:cs="Arial" w:eastAsia="Arial" w:hAnsi="Arial"/>
          <w:sz w:val="20"/>
          <w:szCs w:val="20"/>
          <w:i w:val="1"/>
          <w:iCs w:val="1"/>
          <w:color w:val="auto"/>
        </w:rPr>
      </w:pPr>
      <w:r>
        <w:rPr>
          <w:rFonts w:ascii="Arial" w:cs="Arial" w:eastAsia="Arial" w:hAnsi="Arial"/>
          <w:sz w:val="20"/>
          <w:szCs w:val="20"/>
          <w:i w:val="1"/>
          <w:iCs w:val="1"/>
          <w:color w:val="auto"/>
        </w:rPr>
        <w:t>This table includes resources in all areas of PG and SdlP previously owned by Ganfeng and Lithium Argentina separately.</w:t>
      </w:r>
    </w:p>
    <w:p>
      <w:pPr>
        <w:spacing w:after="0" w:line="7" w:lineRule="exact"/>
        <w:rPr>
          <w:rFonts w:ascii="Arial" w:cs="Arial" w:eastAsia="Arial" w:hAnsi="Arial"/>
          <w:sz w:val="20"/>
          <w:szCs w:val="20"/>
          <w:i w:val="1"/>
          <w:iCs w:val="1"/>
          <w:color w:val="auto"/>
        </w:rPr>
      </w:pPr>
    </w:p>
    <w:p>
      <w:pPr>
        <w:ind w:left="1260" w:hanging="366"/>
        <w:spacing w:after="0"/>
        <w:tabs>
          <w:tab w:leader="none" w:pos="1260" w:val="left"/>
        </w:tabs>
        <w:numPr>
          <w:ilvl w:val="0"/>
          <w:numId w:val="47"/>
        </w:numPr>
        <w:rPr>
          <w:rFonts w:ascii="Arial" w:cs="Arial" w:eastAsia="Arial" w:hAnsi="Arial"/>
          <w:sz w:val="20"/>
          <w:szCs w:val="20"/>
          <w:i w:val="1"/>
          <w:iCs w:val="1"/>
          <w:color w:val="auto"/>
        </w:rPr>
      </w:pPr>
      <w:r>
        <w:rPr>
          <w:rFonts w:ascii="Arial" w:cs="Arial" w:eastAsia="Arial" w:hAnsi="Arial"/>
          <w:sz w:val="20"/>
          <w:szCs w:val="20"/>
          <w:i w:val="1"/>
          <w:iCs w:val="1"/>
          <w:color w:val="auto"/>
        </w:rPr>
        <w:t>LCE is calculated using the Li: LCE factor = 5.322785 multiplied by the mass of Lithium.</w:t>
      </w:r>
    </w:p>
    <w:p>
      <w:pPr>
        <w:spacing w:after="0" w:line="137" w:lineRule="exact"/>
        <w:rPr>
          <w:rFonts w:ascii="Arial" w:cs="Arial" w:eastAsia="Arial" w:hAnsi="Arial"/>
          <w:sz w:val="20"/>
          <w:szCs w:val="20"/>
          <w:i w:val="1"/>
          <w:iCs w:val="1"/>
          <w:color w:val="auto"/>
        </w:rPr>
      </w:pPr>
    </w:p>
    <w:p>
      <w:pPr>
        <w:jc w:val="both"/>
        <w:ind w:left="1260" w:hanging="366"/>
        <w:spacing w:after="0" w:line="346" w:lineRule="auto"/>
        <w:tabs>
          <w:tab w:leader="none" w:pos="1260" w:val="left"/>
        </w:tabs>
        <w:numPr>
          <w:ilvl w:val="0"/>
          <w:numId w:val="47"/>
        </w:numPr>
        <w:rPr>
          <w:rFonts w:ascii="Arial" w:cs="Arial" w:eastAsia="Arial" w:hAnsi="Arial"/>
          <w:sz w:val="20"/>
          <w:szCs w:val="20"/>
          <w:i w:val="1"/>
          <w:iCs w:val="1"/>
          <w:color w:val="auto"/>
        </w:rPr>
      </w:pPr>
      <w:r>
        <w:rPr>
          <w:rFonts w:ascii="Arial" w:cs="Arial" w:eastAsia="Arial" w:hAnsi="Arial"/>
          <w:sz w:val="20"/>
          <w:szCs w:val="20"/>
          <w:i w:val="1"/>
          <w:iCs w:val="1"/>
          <w:color w:val="auto"/>
        </w:rPr>
        <w:t>A cut-off grade of 125 mg/l has been applied to the mineral resource estimates. An FoB price forecast of US$18,000 per metric ton of Li</w:t>
      </w:r>
      <w:r>
        <w:rPr>
          <w:rFonts w:ascii="Arial" w:cs="Arial" w:eastAsia="Arial" w:hAnsi="Arial"/>
          <w:sz w:val="26"/>
          <w:szCs w:val="26"/>
          <w:i w:val="1"/>
          <w:iCs w:val="1"/>
          <w:color w:val="auto"/>
          <w:vertAlign w:val="subscript"/>
        </w:rPr>
        <w:t>2</w:t>
      </w:r>
      <w:r>
        <w:rPr>
          <w:rFonts w:ascii="Arial" w:cs="Arial" w:eastAsia="Arial" w:hAnsi="Arial"/>
          <w:sz w:val="20"/>
          <w:szCs w:val="20"/>
          <w:i w:val="1"/>
          <w:iCs w:val="1"/>
          <w:color w:val="auto"/>
        </w:rPr>
        <w:t>CO</w:t>
      </w:r>
      <w:r>
        <w:rPr>
          <w:rFonts w:ascii="Arial" w:cs="Arial" w:eastAsia="Arial" w:hAnsi="Arial"/>
          <w:sz w:val="26"/>
          <w:szCs w:val="26"/>
          <w:i w:val="1"/>
          <w:iCs w:val="1"/>
          <w:color w:val="auto"/>
          <w:vertAlign w:val="subscript"/>
        </w:rPr>
        <w:t>3</w:t>
      </w:r>
      <w:r>
        <w:rPr>
          <w:rFonts w:ascii="Arial" w:cs="Arial" w:eastAsia="Arial" w:hAnsi="Arial"/>
          <w:sz w:val="20"/>
          <w:szCs w:val="20"/>
          <w:i w:val="1"/>
          <w:iCs w:val="1"/>
          <w:color w:val="auto"/>
        </w:rPr>
        <w:t xml:space="preserve"> and US$17,800 per metric ton of coarse particle LiOH</w:t>
      </w:r>
      <w:r>
        <w:rPr>
          <w:rFonts w:ascii="Arial" w:cs="Arial" w:eastAsia="Arial" w:hAnsi="Arial"/>
          <w:sz w:val="15"/>
          <w:szCs w:val="15"/>
          <w:i w:val="1"/>
          <w:iCs w:val="1"/>
          <w:color w:val="auto"/>
        </w:rPr>
        <w:t>×</w:t>
      </w:r>
      <w:r>
        <w:rPr>
          <w:rFonts w:ascii="Arial" w:cs="Arial" w:eastAsia="Arial" w:hAnsi="Arial"/>
          <w:sz w:val="20"/>
          <w:szCs w:val="20"/>
          <w:i w:val="1"/>
          <w:iCs w:val="1"/>
          <w:color w:val="auto"/>
        </w:rPr>
        <w:t>H</w:t>
      </w:r>
      <w:r>
        <w:rPr>
          <w:rFonts w:ascii="Arial" w:cs="Arial" w:eastAsia="Arial" w:hAnsi="Arial"/>
          <w:sz w:val="26"/>
          <w:szCs w:val="26"/>
          <w:i w:val="1"/>
          <w:iCs w:val="1"/>
          <w:color w:val="auto"/>
          <w:vertAlign w:val="subscript"/>
        </w:rPr>
        <w:t>2</w:t>
      </w:r>
      <w:r>
        <w:rPr>
          <w:rFonts w:ascii="Arial" w:cs="Arial" w:eastAsia="Arial" w:hAnsi="Arial"/>
          <w:sz w:val="20"/>
          <w:szCs w:val="20"/>
          <w:i w:val="1"/>
          <w:iCs w:val="1"/>
          <w:color w:val="auto"/>
        </w:rPr>
        <w:t>O for year beyond 2028 is used. A 75% overall lithium recovery efficiency factor has been applied to calculate the fi LCE production.</w:t>
      </w:r>
    </w:p>
    <w:p>
      <w:pPr>
        <w:spacing w:after="0" w:line="38" w:lineRule="exact"/>
        <w:rPr>
          <w:rFonts w:ascii="Arial" w:cs="Arial" w:eastAsia="Arial" w:hAnsi="Arial"/>
          <w:sz w:val="20"/>
          <w:szCs w:val="20"/>
          <w:i w:val="1"/>
          <w:iCs w:val="1"/>
          <w:color w:val="auto"/>
        </w:rPr>
      </w:pPr>
    </w:p>
    <w:p>
      <w:pPr>
        <w:ind w:left="1260" w:right="20" w:hanging="366"/>
        <w:spacing w:after="0" w:line="368" w:lineRule="auto"/>
        <w:tabs>
          <w:tab w:leader="none" w:pos="1260" w:val="left"/>
        </w:tabs>
        <w:numPr>
          <w:ilvl w:val="0"/>
          <w:numId w:val="47"/>
        </w:numPr>
        <w:rPr>
          <w:rFonts w:ascii="Arial" w:cs="Arial" w:eastAsia="Arial" w:hAnsi="Arial"/>
          <w:sz w:val="20"/>
          <w:szCs w:val="20"/>
          <w:i w:val="1"/>
          <w:iCs w:val="1"/>
          <w:color w:val="auto"/>
        </w:rPr>
      </w:pPr>
      <w:r>
        <w:rPr>
          <w:rFonts w:ascii="Arial" w:cs="Arial" w:eastAsia="Arial" w:hAnsi="Arial"/>
          <w:sz w:val="20"/>
          <w:szCs w:val="20"/>
          <w:i w:val="1"/>
          <w:iCs w:val="1"/>
          <w:color w:val="auto"/>
        </w:rPr>
        <w:t>The Mineral Resource Estimate is not a Mineral Reserves Estimate and has no demonstrated economic viability.</w:t>
      </w:r>
    </w:p>
    <w:p>
      <w:pPr>
        <w:spacing w:after="0" w:line="14" w:lineRule="exact"/>
        <w:rPr>
          <w:rFonts w:ascii="Arial" w:cs="Arial" w:eastAsia="Arial" w:hAnsi="Arial"/>
          <w:sz w:val="20"/>
          <w:szCs w:val="20"/>
          <w:i w:val="1"/>
          <w:iCs w:val="1"/>
          <w:color w:val="auto"/>
        </w:rPr>
      </w:pPr>
    </w:p>
    <w:p>
      <w:pPr>
        <w:ind w:left="1260" w:right="40" w:hanging="366"/>
        <w:spacing w:after="0" w:line="368" w:lineRule="auto"/>
        <w:tabs>
          <w:tab w:leader="none" w:pos="1260" w:val="left"/>
        </w:tabs>
        <w:numPr>
          <w:ilvl w:val="0"/>
          <w:numId w:val="47"/>
        </w:numPr>
        <w:rPr>
          <w:rFonts w:ascii="Arial" w:cs="Arial" w:eastAsia="Arial" w:hAnsi="Arial"/>
          <w:sz w:val="20"/>
          <w:szCs w:val="20"/>
          <w:i w:val="1"/>
          <w:iCs w:val="1"/>
          <w:color w:val="auto"/>
        </w:rPr>
      </w:pPr>
      <w:r>
        <w:rPr>
          <w:rFonts w:ascii="Arial" w:cs="Arial" w:eastAsia="Arial" w:hAnsi="Arial"/>
          <w:sz w:val="20"/>
          <w:szCs w:val="20"/>
          <w:i w:val="1"/>
          <w:iCs w:val="1"/>
          <w:color w:val="auto"/>
        </w:rPr>
        <w:t>Comparisons of values may not be equivalent due to rounding of numbers and the differences caused b of averaging methods.</w:t>
      </w:r>
    </w:p>
    <w:p>
      <w:pPr>
        <w:spacing w:after="0" w:line="7" w:lineRule="exact"/>
        <w:rPr>
          <w:rFonts w:ascii="Arial" w:cs="Arial" w:eastAsia="Arial" w:hAnsi="Arial"/>
          <w:sz w:val="20"/>
          <w:szCs w:val="20"/>
          <w:i w:val="1"/>
          <w:iCs w:val="1"/>
          <w:color w:val="auto"/>
        </w:rPr>
      </w:pPr>
    </w:p>
    <w:p>
      <w:pPr>
        <w:ind w:left="1260" w:hanging="366"/>
        <w:spacing w:after="0"/>
        <w:tabs>
          <w:tab w:leader="none" w:pos="1260" w:val="left"/>
        </w:tabs>
        <w:numPr>
          <w:ilvl w:val="0"/>
          <w:numId w:val="47"/>
        </w:numPr>
        <w:rPr>
          <w:rFonts w:ascii="Arial" w:cs="Arial" w:eastAsia="Arial" w:hAnsi="Arial"/>
          <w:sz w:val="20"/>
          <w:szCs w:val="20"/>
          <w:i w:val="1"/>
          <w:iCs w:val="1"/>
          <w:color w:val="auto"/>
        </w:rPr>
      </w:pPr>
      <w:r>
        <w:rPr>
          <w:rFonts w:ascii="Arial" w:cs="Arial" w:eastAsia="Arial" w:hAnsi="Arial"/>
          <w:sz w:val="20"/>
          <w:szCs w:val="20"/>
          <w:i w:val="1"/>
          <w:iCs w:val="1"/>
          <w:color w:val="auto"/>
        </w:rPr>
        <w:t>Project economics in this report are not based on Inferred Mineral Resource.</w:t>
      </w:r>
    </w:p>
    <w:p>
      <w:pPr>
        <w:spacing w:after="0" w:line="137" w:lineRule="exact"/>
        <w:rPr>
          <w:rFonts w:ascii="Arial" w:cs="Arial" w:eastAsia="Arial" w:hAnsi="Arial"/>
          <w:sz w:val="20"/>
          <w:szCs w:val="20"/>
          <w:i w:val="1"/>
          <w:iCs w:val="1"/>
          <w:color w:val="auto"/>
        </w:rPr>
      </w:pPr>
    </w:p>
    <w:p>
      <w:pPr>
        <w:ind w:left="1260" w:right="20" w:hanging="366"/>
        <w:spacing w:after="0" w:line="368" w:lineRule="auto"/>
        <w:tabs>
          <w:tab w:leader="none" w:pos="1260" w:val="left"/>
        </w:tabs>
        <w:numPr>
          <w:ilvl w:val="0"/>
          <w:numId w:val="47"/>
        </w:numPr>
        <w:rPr>
          <w:rFonts w:ascii="Arial" w:cs="Arial" w:eastAsia="Arial" w:hAnsi="Arial"/>
          <w:sz w:val="20"/>
          <w:szCs w:val="20"/>
          <w:i w:val="1"/>
          <w:iCs w:val="1"/>
          <w:color w:val="auto"/>
        </w:rPr>
      </w:pPr>
      <w:r>
        <w:rPr>
          <w:rFonts w:ascii="Arial" w:cs="Arial" w:eastAsia="Arial" w:hAnsi="Arial"/>
          <w:sz w:val="20"/>
          <w:szCs w:val="20"/>
          <w:i w:val="1"/>
          <w:iCs w:val="1"/>
          <w:color w:val="auto"/>
        </w:rPr>
        <w:t>The QPs are not aware of any known legal, political, environmental, or other risks that could materially a the potential development of the mineral resources.</w:t>
      </w:r>
    </w:p>
    <w:p>
      <w:pPr>
        <w:spacing w:after="0" w:line="14" w:lineRule="exact"/>
        <w:rPr>
          <w:rFonts w:ascii="Arial" w:cs="Arial" w:eastAsia="Arial" w:hAnsi="Arial"/>
          <w:sz w:val="20"/>
          <w:szCs w:val="20"/>
          <w:i w:val="1"/>
          <w:iCs w:val="1"/>
          <w:color w:val="auto"/>
        </w:rPr>
      </w:pPr>
    </w:p>
    <w:p>
      <w:pPr>
        <w:ind w:left="1260" w:right="20" w:hanging="366"/>
        <w:spacing w:after="0" w:line="373" w:lineRule="auto"/>
        <w:tabs>
          <w:tab w:leader="none" w:pos="1260" w:val="left"/>
        </w:tabs>
        <w:numPr>
          <w:ilvl w:val="0"/>
          <w:numId w:val="47"/>
        </w:numPr>
        <w:rPr>
          <w:rFonts w:ascii="Arial" w:cs="Arial" w:eastAsia="Arial" w:hAnsi="Arial"/>
          <w:sz w:val="20"/>
          <w:szCs w:val="20"/>
          <w:i w:val="1"/>
          <w:iCs w:val="1"/>
          <w:color w:val="auto"/>
        </w:rPr>
      </w:pPr>
      <w:r>
        <w:rPr>
          <w:rFonts w:ascii="Arial" w:cs="Arial" w:eastAsia="Arial" w:hAnsi="Arial"/>
          <w:sz w:val="20"/>
          <w:szCs w:val="20"/>
          <w:i w:val="1"/>
          <w:iCs w:val="1"/>
          <w:color w:val="auto"/>
        </w:rPr>
        <w:t>A Qualified Person and an employee of the Company, has approved the mineral reserves and mineral resources included in this Annual Report on Form 20-F as of December 31, 2025 and reviewed the reso and material assumptions in the PPG TRS and confirmed that the resources and material assumptions remain current as of December 31, 2025.</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2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20 / 26</w:t>
      </w:r>
    </w:p>
    <w:p>
      <w:pPr>
        <w:sectPr>
          <w:pgSz w:w="11900" w:h="16838" w:orient="portrait"/>
          <w:cols w:equalWidth="0" w:num="1">
            <w:col w:w="10460"/>
          </w:cols>
          <w:pgMar w:left="1440" w:top="1440" w:right="6" w:bottom="0" w:gutter="0" w:footer="0" w:header="0"/>
          <w:type w:val="continuous"/>
        </w:sectPr>
      </w:pPr>
    </w:p>
    <w:bookmarkStart w:id="130" w:name="page131"/>
    <w:bookmarkEnd w:id="130"/>
    <w:p>
      <w:pPr>
        <w:ind w:left="900" w:right="20"/>
        <w:spacing w:after="0" w:line="307" w:lineRule="auto"/>
        <w:rPr>
          <w:sz w:val="20"/>
          <w:szCs w:val="20"/>
          <w:color w:val="auto"/>
        </w:rPr>
      </w:pPr>
      <w:r>
        <w:rPr>
          <w:rFonts w:ascii="Arial" w:cs="Arial" w:eastAsia="Arial" w:hAnsi="Arial"/>
          <w:sz w:val="20"/>
          <w:szCs w:val="20"/>
          <w:color w:val="auto"/>
        </w:rPr>
        <w:t>For the Pozuelos-Pastos Grandes Regional Development Project, the integrated mineral resources are sho Table 3.</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Table 3: Mineral Resources for the PPG Project (Effective Date: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2746375</wp:posOffset>
            </wp:positionH>
            <wp:positionV relativeFrom="paragraph">
              <wp:posOffset>236220</wp:posOffset>
            </wp:positionV>
            <wp:extent cx="6350" cy="2006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2">
                      <a:extLst>
                        <a:ext uri="{28A0092B-C50C-407E-A947-70E740481C1C}"/>
                      </a:extLst>
                    </a:blip>
                    <a:srcRect/>
                    <a:stretch>
                      <a:fillRect/>
                    </a:stretch>
                  </pic:blipFill>
                  <pic:spPr bwMode="auto">
                    <a:xfrm>
                      <a:off x="0" y="0"/>
                      <a:ext cx="6350" cy="20066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FFFFFF"/>
        </w:rPr>
        <w:t>Resource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34925</wp:posOffset>
            </wp:positionV>
            <wp:extent cx="2185035" cy="1879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3">
                      <a:extLst>
                        <a:ext uri="{28A0092B-C50C-407E-A947-70E740481C1C}"/>
                      </a:extLst>
                    </a:blip>
                    <a:srcRect/>
                    <a:stretch>
                      <a:fillRect/>
                    </a:stretch>
                  </pic:blipFill>
                  <pic:spPr bwMode="auto">
                    <a:xfrm>
                      <a:off x="0" y="0"/>
                      <a:ext cx="2185035" cy="1879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both"/>
        <w:ind w:left="640"/>
        <w:spacing w:after="0"/>
        <w:tabs>
          <w:tab w:leader="none" w:pos="2340" w:val="left"/>
        </w:tabs>
        <w:rPr>
          <w:sz w:val="20"/>
          <w:szCs w:val="20"/>
          <w:color w:val="auto"/>
        </w:rPr>
      </w:pPr>
      <w:r>
        <w:rPr>
          <w:rFonts w:ascii="Arial" w:cs="Arial" w:eastAsia="Arial" w:hAnsi="Arial"/>
          <w:sz w:val="16"/>
          <w:szCs w:val="16"/>
          <w:b w:val="1"/>
          <w:bCs w:val="1"/>
          <w:color w:val="FFFFFF"/>
        </w:rPr>
        <w:t>Pozuelos</w:t>
      </w:r>
      <w:r>
        <w:rPr>
          <w:sz w:val="20"/>
          <w:szCs w:val="20"/>
          <w:color w:val="auto"/>
        </w:rPr>
        <w:tab/>
      </w:r>
      <w:r>
        <w:rPr>
          <w:sz w:val="1"/>
          <w:szCs w:val="1"/>
          <w:color w:val="auto"/>
        </w:rPr>
        <w:drawing>
          <wp:inline distT="0" distB="0" distL="0" distR="0">
            <wp:extent cx="6350" cy="20066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4">
                      <a:extLst>
                        <a:ext uri="{28A0092B-C50C-407E-A947-70E740481C1C}"/>
                      </a:extLst>
                    </a:blip>
                    <a:srcRect/>
                    <a:stretch>
                      <a:fillRect/>
                    </a:stretch>
                  </pic:blipFill>
                  <pic:spPr bwMode="auto">
                    <a:xfrm>
                      <a:off x="0" y="0"/>
                      <a:ext cx="6350" cy="200660"/>
                    </a:xfrm>
                    <a:prstGeom prst="rect">
                      <a:avLst/>
                    </a:prstGeom>
                    <a:noFill/>
                    <a:ln>
                      <a:noFill/>
                    </a:ln>
                  </pic:spPr>
                </pic:pic>
              </a:graphicData>
            </a:graphic>
          </wp:inline>
        </w:drawing>
      </w:r>
      <w:r>
        <w:rPr>
          <w:rFonts w:ascii="Arial" w:cs="Arial" w:eastAsia="Arial" w:hAnsi="Arial"/>
          <w:sz w:val="16"/>
          <w:szCs w:val="16"/>
          <w:b w:val="1"/>
          <w:bCs w:val="1"/>
          <w:color w:val="FFFFFF"/>
        </w:rPr>
        <w:t xml:space="preserve">Pastos Grandes (including SdlP)  </w:t>
      </w:r>
      <w:r>
        <w:rPr>
          <w:sz w:val="1"/>
          <w:szCs w:val="1"/>
          <w:color w:val="auto"/>
        </w:rPr>
        <w:drawing>
          <wp:inline distT="0" distB="0" distL="0" distR="0">
            <wp:extent cx="6350" cy="20066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5">
                      <a:extLst>
                        <a:ext uri="{28A0092B-C50C-407E-A947-70E740481C1C}"/>
                      </a:extLst>
                    </a:blip>
                    <a:srcRect/>
                    <a:stretch>
                      <a:fillRect/>
                    </a:stretch>
                  </pic:blipFill>
                  <pic:spPr bwMode="auto">
                    <a:xfrm>
                      <a:off x="0" y="0"/>
                      <a:ext cx="6350" cy="200660"/>
                    </a:xfrm>
                    <a:prstGeom prst="rect">
                      <a:avLst/>
                    </a:prstGeom>
                    <a:noFill/>
                    <a:ln>
                      <a:noFill/>
                    </a:ln>
                  </pic:spPr>
                </pic:pic>
              </a:graphicData>
            </a:graphic>
          </wp:inline>
        </w:drawing>
      </w:r>
      <w:r>
        <w:rPr>
          <w:rFonts w:ascii="Arial" w:cs="Arial" w:eastAsia="Arial" w:hAnsi="Arial"/>
          <w:sz w:val="16"/>
          <w:szCs w:val="16"/>
          <w:b w:val="1"/>
          <w:bCs w:val="1"/>
          <w:color w:val="FFFFFF"/>
        </w:rPr>
        <w:t xml:space="preserve">  Subtotal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-5715</wp:posOffset>
            </wp:positionV>
            <wp:extent cx="6078220" cy="2133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6">
                      <a:extLst>
                        <a:ext uri="{28A0092B-C50C-407E-A947-70E740481C1C}"/>
                      </a:extLst>
                    </a:blip>
                    <a:srcRect/>
                    <a:stretch>
                      <a:fillRect/>
                    </a:stretch>
                  </pic:blipFill>
                  <pic:spPr bwMode="auto">
                    <a:xfrm>
                      <a:off x="0" y="0"/>
                      <a:ext cx="6078220" cy="21336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-5715</wp:posOffset>
            </wp:positionV>
            <wp:extent cx="6078220" cy="2133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7">
                      <a:extLst>
                        <a:ext uri="{28A0092B-C50C-407E-A947-70E740481C1C}"/>
                      </a:extLst>
                    </a:blip>
                    <a:srcRect/>
                    <a:stretch>
                      <a:fillRect/>
                    </a:stretch>
                  </pic:blipFill>
                  <pic:spPr bwMode="auto">
                    <a:xfrm>
                      <a:off x="0" y="0"/>
                      <a:ext cx="6078220" cy="2133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FFFFFF"/>
        </w:rPr>
        <w:t xml:space="preserve">Li (mg/L)    </w:t>
      </w:r>
      <w:r>
        <w:rPr>
          <w:sz w:val="1"/>
          <w:szCs w:val="1"/>
          <w:color w:val="auto"/>
        </w:rPr>
        <w:drawing>
          <wp:inline distT="0" distB="0" distL="0" distR="0">
            <wp:extent cx="6350" cy="18097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8">
                      <a:extLst>
                        <a:ext uri="{28A0092B-C50C-407E-A947-70E740481C1C}"/>
                      </a:extLst>
                    </a:blip>
                    <a:srcRect/>
                    <a:stretch>
                      <a:fillRect/>
                    </a:stretch>
                  </pic:blipFill>
                  <pic:spPr bwMode="auto">
                    <a:xfrm>
                      <a:off x="0" y="0"/>
                      <a:ext cx="6350" cy="180975"/>
                    </a:xfrm>
                    <a:prstGeom prst="rect">
                      <a:avLst/>
                    </a:prstGeom>
                    <a:noFill/>
                    <a:ln>
                      <a:noFill/>
                    </a:ln>
                  </pic:spPr>
                </pic:pic>
              </a:graphicData>
            </a:graphic>
          </wp:inline>
        </w:drawing>
      </w:r>
      <w:r>
        <w:rPr>
          <w:rFonts w:ascii="Arial" w:cs="Arial" w:eastAsia="Arial" w:hAnsi="Arial"/>
          <w:sz w:val="16"/>
          <w:szCs w:val="16"/>
          <w:b w:val="1"/>
          <w:bCs w:val="1"/>
          <w:color w:val="FFFFFF"/>
        </w:rPr>
        <w:t xml:space="preserve">  LCE (tonnes)   </w:t>
      </w:r>
      <w:r>
        <w:rPr>
          <w:sz w:val="1"/>
          <w:szCs w:val="1"/>
          <w:color w:val="auto"/>
        </w:rPr>
        <w:drawing>
          <wp:inline distT="0" distB="0" distL="0" distR="0">
            <wp:extent cx="6350" cy="18097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9">
                      <a:extLst>
                        <a:ext uri="{28A0092B-C50C-407E-A947-70E740481C1C}"/>
                      </a:extLst>
                    </a:blip>
                    <a:srcRect/>
                    <a:stretch>
                      <a:fillRect/>
                    </a:stretch>
                  </pic:blipFill>
                  <pic:spPr bwMode="auto">
                    <a:xfrm>
                      <a:off x="0" y="0"/>
                      <a:ext cx="6350" cy="180975"/>
                    </a:xfrm>
                    <a:prstGeom prst="rect">
                      <a:avLst/>
                    </a:prstGeom>
                    <a:noFill/>
                    <a:ln>
                      <a:noFill/>
                    </a:ln>
                  </pic:spPr>
                </pic:pic>
              </a:graphicData>
            </a:graphic>
          </wp:inline>
        </w:drawing>
      </w:r>
      <w:r>
        <w:rPr>
          <w:rFonts w:ascii="Arial" w:cs="Arial" w:eastAsia="Arial" w:hAnsi="Arial"/>
          <w:sz w:val="16"/>
          <w:szCs w:val="16"/>
          <w:b w:val="1"/>
          <w:bCs w:val="1"/>
          <w:color w:val="FFFFFF"/>
        </w:rPr>
        <w:t xml:space="preserve">    Li (mg/L)    </w:t>
      </w:r>
      <w:r>
        <w:rPr>
          <w:sz w:val="1"/>
          <w:szCs w:val="1"/>
          <w:color w:val="auto"/>
        </w:rPr>
        <w:drawing>
          <wp:inline distT="0" distB="0" distL="0" distR="0">
            <wp:extent cx="6350" cy="18097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0">
                      <a:extLst>
                        <a:ext uri="{28A0092B-C50C-407E-A947-70E740481C1C}"/>
                      </a:extLst>
                    </a:blip>
                    <a:srcRect/>
                    <a:stretch>
                      <a:fillRect/>
                    </a:stretch>
                  </pic:blipFill>
                  <pic:spPr bwMode="auto">
                    <a:xfrm>
                      <a:off x="0" y="0"/>
                      <a:ext cx="6350" cy="180975"/>
                    </a:xfrm>
                    <a:prstGeom prst="rect">
                      <a:avLst/>
                    </a:prstGeom>
                    <a:noFill/>
                    <a:ln>
                      <a:noFill/>
                    </a:ln>
                  </pic:spPr>
                </pic:pic>
              </a:graphicData>
            </a:graphic>
          </wp:inline>
        </w:drawing>
      </w:r>
      <w:r>
        <w:rPr>
          <w:rFonts w:ascii="Arial" w:cs="Arial" w:eastAsia="Arial" w:hAnsi="Arial"/>
          <w:sz w:val="16"/>
          <w:szCs w:val="16"/>
          <w:b w:val="1"/>
          <w:bCs w:val="1"/>
          <w:color w:val="FFFFFF"/>
        </w:rPr>
        <w:t xml:space="preserve"> LCE (tonnes)   </w:t>
      </w:r>
      <w:r>
        <w:rPr>
          <w:sz w:val="1"/>
          <w:szCs w:val="1"/>
          <w:color w:val="auto"/>
        </w:rPr>
        <w:drawing>
          <wp:inline distT="0" distB="0" distL="0" distR="0">
            <wp:extent cx="6350" cy="18097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1">
                      <a:extLst>
                        <a:ext uri="{28A0092B-C50C-407E-A947-70E740481C1C}"/>
                      </a:extLst>
                    </a:blip>
                    <a:srcRect/>
                    <a:stretch>
                      <a:fillRect/>
                    </a:stretch>
                  </pic:blipFill>
                  <pic:spPr bwMode="auto">
                    <a:xfrm>
                      <a:off x="0" y="0"/>
                      <a:ext cx="6350" cy="180975"/>
                    </a:xfrm>
                    <a:prstGeom prst="rect">
                      <a:avLst/>
                    </a:prstGeom>
                    <a:noFill/>
                    <a:ln>
                      <a:noFill/>
                    </a:ln>
                  </pic:spPr>
                </pic:pic>
              </a:graphicData>
            </a:graphic>
          </wp:inline>
        </w:drawing>
      </w:r>
      <w:r>
        <w:rPr>
          <w:rFonts w:ascii="Arial" w:cs="Arial" w:eastAsia="Arial" w:hAnsi="Arial"/>
          <w:sz w:val="16"/>
          <w:szCs w:val="16"/>
          <w:b w:val="1"/>
          <w:bCs w:val="1"/>
          <w:color w:val="FFFFFF"/>
        </w:rPr>
        <w:t xml:space="preserve">    (tonnes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4445</wp:posOffset>
            </wp:positionV>
            <wp:extent cx="812800" cy="1879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2">
                      <a:extLst>
                        <a:ext uri="{28A0092B-C50C-407E-A947-70E740481C1C}"/>
                      </a:extLst>
                    </a:blip>
                    <a:srcRect/>
                    <a:stretch>
                      <a:fillRect/>
                    </a:stretch>
                  </pic:blipFill>
                  <pic:spPr bwMode="auto">
                    <a:xfrm>
                      <a:off x="0" y="0"/>
                      <a:ext cx="812800" cy="187960"/>
                    </a:xfrm>
                    <a:prstGeom prst="rect">
                      <a:avLst/>
                    </a:prstGeom>
                    <a:noFill/>
                  </pic:spPr>
                </pic:pic>
              </a:graphicData>
            </a:graphic>
          </wp:anchor>
        </w:drawing>
        <w:drawing>
          <wp:anchor simplePos="0" relativeHeight="251657728" behindDoc="1" locked="0" layoutInCell="0" allowOverlap="1">
            <wp:simplePos x="0" y="0"/>
            <wp:positionH relativeFrom="column">
              <wp:posOffset>1440815</wp:posOffset>
            </wp:positionH>
            <wp:positionV relativeFrom="paragraph">
              <wp:posOffset>4445</wp:posOffset>
            </wp:positionV>
            <wp:extent cx="876935" cy="1879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3">
                      <a:extLst>
                        <a:ext uri="{28A0092B-C50C-407E-A947-70E740481C1C}"/>
                      </a:extLst>
                    </a:blip>
                    <a:srcRect/>
                    <a:stretch>
                      <a:fillRect/>
                    </a:stretch>
                  </pic:blipFill>
                  <pic:spPr bwMode="auto">
                    <a:xfrm>
                      <a:off x="0" y="0"/>
                      <a:ext cx="876935" cy="187960"/>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4445</wp:posOffset>
            </wp:positionV>
            <wp:extent cx="64135" cy="1879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4">
                      <a:extLst>
                        <a:ext uri="{28A0092B-C50C-407E-A947-70E740481C1C}"/>
                      </a:extLst>
                    </a:blip>
                    <a:srcRect/>
                    <a:stretch>
                      <a:fillRect/>
                    </a:stretch>
                  </pic:blipFill>
                  <pic:spPr bwMode="auto">
                    <a:xfrm>
                      <a:off x="0" y="0"/>
                      <a:ext cx="64135" cy="187960"/>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3900" w:space="720"/>
            <w:col w:w="5840"/>
          </w:cols>
          <w:pgMar w:left="1440" w:top="1172" w:right="6" w:bottom="0" w:gutter="0" w:footer="0" w:header="0"/>
          <w:type w:val="continuous"/>
        </w:sectPr>
      </w:pPr>
    </w:p>
    <w:tbl>
      <w:tblPr>
        <w:tblLayout w:type="fixed"/>
        <w:tblInd w:w="1000" w:type="dxa"/>
        <w:tblCellMar>
          <w:top w:w="0" w:type="dxa"/>
          <w:left w:w="0" w:type="dxa"/>
          <w:bottom w:w="0" w:type="dxa"/>
          <w:right w:w="0" w:type="dxa"/>
        </w:tblCellMar>
      </w:tblPr>
      <w:tr>
        <w:trPr>
          <w:trHeight w:val="207"/>
        </w:trPr>
        <w:tc>
          <w:tcPr>
            <w:tcW w:w="2820" w:type="dxa"/>
            <w:vAlign w:val="bottom"/>
          </w:tcPr>
          <w:p>
            <w:pPr>
              <w:spacing w:after="0"/>
              <w:rPr>
                <w:sz w:val="20"/>
                <w:szCs w:val="20"/>
                <w:color w:val="auto"/>
              </w:rPr>
            </w:pPr>
            <w:r>
              <w:rPr>
                <w:rFonts w:ascii="Arial" w:cs="Arial" w:eastAsia="Arial" w:hAnsi="Arial"/>
                <w:sz w:val="18"/>
                <w:szCs w:val="18"/>
                <w:color w:val="auto"/>
              </w:rPr>
              <w:t>Measured Resource</w:t>
            </w:r>
          </w:p>
        </w:tc>
        <w:tc>
          <w:tcPr>
            <w:tcW w:w="1780" w:type="dxa"/>
            <w:vAlign w:val="bottom"/>
          </w:tcPr>
          <w:p>
            <w:pPr>
              <w:jc w:val="right"/>
              <w:ind w:right="390"/>
              <w:spacing w:after="0"/>
              <w:rPr>
                <w:sz w:val="20"/>
                <w:szCs w:val="20"/>
                <w:color w:val="auto"/>
              </w:rPr>
            </w:pPr>
            <w:r>
              <w:rPr>
                <w:rFonts w:ascii="Arial" w:cs="Arial" w:eastAsia="Arial" w:hAnsi="Arial"/>
                <w:sz w:val="18"/>
                <w:szCs w:val="18"/>
                <w:color w:val="auto"/>
              </w:rPr>
              <w:t>491</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5,836,244</w:t>
            </w: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451</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7,414,640</w:t>
            </w:r>
          </w:p>
        </w:tc>
        <w:tc>
          <w:tcPr>
            <w:tcW w:w="740" w:type="dxa"/>
            <w:vAlign w:val="bottom"/>
          </w:tcPr>
          <w:p>
            <w:pPr>
              <w:jc w:val="right"/>
              <w:spacing w:after="0"/>
              <w:rPr>
                <w:sz w:val="20"/>
                <w:szCs w:val="20"/>
                <w:color w:val="auto"/>
              </w:rPr>
            </w:pPr>
            <w:r>
              <w:rPr>
                <w:rFonts w:ascii="Arial" w:cs="Arial" w:eastAsia="Arial" w:hAnsi="Arial"/>
                <w:sz w:val="18"/>
                <w:szCs w:val="18"/>
                <w:color w:val="auto"/>
              </w:rPr>
              <w:t>13,250</w:t>
            </w:r>
          </w:p>
        </w:tc>
      </w:tr>
      <w:tr>
        <w:trPr>
          <w:trHeight w:val="296"/>
        </w:trPr>
        <w:tc>
          <w:tcPr>
            <w:tcW w:w="2820" w:type="dxa"/>
            <w:vAlign w:val="bottom"/>
          </w:tcPr>
          <w:p>
            <w:pPr>
              <w:spacing w:after="0"/>
              <w:rPr>
                <w:sz w:val="20"/>
                <w:szCs w:val="20"/>
                <w:color w:val="auto"/>
              </w:rPr>
            </w:pPr>
            <w:r>
              <w:rPr>
                <w:rFonts w:ascii="Arial" w:cs="Arial" w:eastAsia="Arial" w:hAnsi="Arial"/>
                <w:sz w:val="18"/>
                <w:szCs w:val="18"/>
                <w:color w:val="auto"/>
              </w:rPr>
              <w:t>Indicated Resource</w:t>
            </w:r>
          </w:p>
        </w:tc>
        <w:tc>
          <w:tcPr>
            <w:tcW w:w="1780" w:type="dxa"/>
            <w:vAlign w:val="bottom"/>
          </w:tcPr>
          <w:p>
            <w:pPr>
              <w:jc w:val="right"/>
              <w:ind w:right="390"/>
              <w:spacing w:after="0"/>
              <w:rPr>
                <w:sz w:val="20"/>
                <w:szCs w:val="20"/>
                <w:color w:val="auto"/>
              </w:rPr>
            </w:pPr>
            <w:r>
              <w:rPr>
                <w:rFonts w:ascii="Arial" w:cs="Arial" w:eastAsia="Arial" w:hAnsi="Arial"/>
                <w:sz w:val="18"/>
                <w:szCs w:val="18"/>
                <w:color w:val="auto"/>
              </w:rPr>
              <w:t>529</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1,180,383</w:t>
            </w: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166</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149,038</w:t>
            </w:r>
          </w:p>
        </w:tc>
        <w:tc>
          <w:tcPr>
            <w:tcW w:w="740" w:type="dxa"/>
            <w:vAlign w:val="bottom"/>
          </w:tcPr>
          <w:p>
            <w:pPr>
              <w:jc w:val="right"/>
              <w:spacing w:after="0"/>
              <w:rPr>
                <w:sz w:val="20"/>
                <w:szCs w:val="20"/>
                <w:color w:val="auto"/>
              </w:rPr>
            </w:pPr>
            <w:r>
              <w:rPr>
                <w:rFonts w:ascii="Arial" w:cs="Arial" w:eastAsia="Arial" w:hAnsi="Arial"/>
                <w:sz w:val="18"/>
                <w:szCs w:val="18"/>
                <w:color w:val="auto"/>
              </w:rPr>
              <w:t>1,329</w:t>
            </w:r>
          </w:p>
        </w:tc>
      </w:tr>
      <w:tr>
        <w:trPr>
          <w:trHeight w:val="296"/>
        </w:trPr>
        <w:tc>
          <w:tcPr>
            <w:tcW w:w="2820" w:type="dxa"/>
            <w:vAlign w:val="bottom"/>
          </w:tcPr>
          <w:p>
            <w:pPr>
              <w:spacing w:after="0"/>
              <w:rPr>
                <w:sz w:val="20"/>
                <w:szCs w:val="20"/>
                <w:color w:val="auto"/>
              </w:rPr>
            </w:pPr>
            <w:r>
              <w:rPr>
                <w:rFonts w:ascii="Arial" w:cs="Arial" w:eastAsia="Arial" w:hAnsi="Arial"/>
                <w:sz w:val="18"/>
                <w:szCs w:val="18"/>
                <w:b w:val="1"/>
                <w:bCs w:val="1"/>
                <w:color w:val="auto"/>
              </w:rPr>
              <w:t>Measured + Indicated</w:t>
            </w:r>
          </w:p>
        </w:tc>
        <w:tc>
          <w:tcPr>
            <w:tcW w:w="1780" w:type="dxa"/>
            <w:vAlign w:val="bottom"/>
          </w:tcPr>
          <w:p>
            <w:pPr>
              <w:jc w:val="right"/>
              <w:ind w:right="390"/>
              <w:spacing w:after="0"/>
              <w:rPr>
                <w:sz w:val="20"/>
                <w:szCs w:val="20"/>
                <w:color w:val="auto"/>
              </w:rPr>
            </w:pPr>
            <w:r>
              <w:rPr>
                <w:rFonts w:ascii="Arial" w:cs="Arial" w:eastAsia="Arial" w:hAnsi="Arial"/>
                <w:sz w:val="18"/>
                <w:szCs w:val="18"/>
                <w:b w:val="1"/>
                <w:bCs w:val="1"/>
                <w:color w:val="auto"/>
              </w:rPr>
              <w:t>510</w:t>
            </w: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7,016,627</w:t>
            </w: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439</w:t>
            </w: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7,563,678</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14,580</w:t>
            </w:r>
          </w:p>
        </w:tc>
      </w:tr>
      <w:tr>
        <w:trPr>
          <w:trHeight w:val="296"/>
        </w:trPr>
        <w:tc>
          <w:tcPr>
            <w:tcW w:w="2820" w:type="dxa"/>
            <w:vAlign w:val="bottom"/>
          </w:tcPr>
          <w:p>
            <w:pPr>
              <w:spacing w:after="0"/>
              <w:rPr>
                <w:sz w:val="20"/>
                <w:szCs w:val="20"/>
                <w:color w:val="auto"/>
              </w:rPr>
            </w:pPr>
            <w:r>
              <w:rPr>
                <w:rFonts w:ascii="Arial" w:cs="Arial" w:eastAsia="Arial" w:hAnsi="Arial"/>
                <w:sz w:val="18"/>
                <w:szCs w:val="18"/>
                <w:color w:val="auto"/>
              </w:rPr>
              <w:t>Inferred Resource</w:t>
            </w:r>
          </w:p>
        </w:tc>
        <w:tc>
          <w:tcPr>
            <w:tcW w:w="1780" w:type="dxa"/>
            <w:vAlign w:val="bottom"/>
          </w:tcPr>
          <w:p>
            <w:pPr>
              <w:jc w:val="right"/>
              <w:ind w:right="390"/>
              <w:spacing w:after="0"/>
              <w:rPr>
                <w:sz w:val="20"/>
                <w:szCs w:val="20"/>
                <w:color w:val="auto"/>
              </w:rPr>
            </w:pPr>
            <w:r>
              <w:rPr>
                <w:rFonts w:ascii="Arial" w:cs="Arial" w:eastAsia="Arial" w:hAnsi="Arial"/>
                <w:sz w:val="18"/>
                <w:szCs w:val="18"/>
                <w:color w:val="auto"/>
              </w:rPr>
              <w:t>581</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3,920,437</w:t>
            </w: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456</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2,794,462</w:t>
            </w:r>
          </w:p>
        </w:tc>
        <w:tc>
          <w:tcPr>
            <w:tcW w:w="740" w:type="dxa"/>
            <w:vAlign w:val="bottom"/>
          </w:tcPr>
          <w:p>
            <w:pPr>
              <w:jc w:val="right"/>
              <w:spacing w:after="0"/>
              <w:rPr>
                <w:sz w:val="20"/>
                <w:szCs w:val="20"/>
                <w:color w:val="auto"/>
              </w:rPr>
            </w:pPr>
            <w:r>
              <w:rPr>
                <w:rFonts w:ascii="Arial" w:cs="Arial" w:eastAsia="Arial" w:hAnsi="Arial"/>
                <w:sz w:val="18"/>
                <w:szCs w:val="18"/>
                <w:color w:val="auto"/>
              </w:rPr>
              <w:t>6,714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-540385</wp:posOffset>
            </wp:positionV>
            <wp:extent cx="6078220" cy="5702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5">
                      <a:extLst>
                        <a:ext uri="{28A0092B-C50C-407E-A947-70E740481C1C}"/>
                      </a:extLst>
                    </a:blip>
                    <a:srcRect/>
                    <a:stretch>
                      <a:fillRect/>
                    </a:stretch>
                  </pic:blipFill>
                  <pic:spPr bwMode="auto">
                    <a:xfrm>
                      <a:off x="0" y="0"/>
                      <a:ext cx="6078220" cy="57023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-540385</wp:posOffset>
            </wp:positionV>
            <wp:extent cx="6078220" cy="5702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6">
                      <a:extLst>
                        <a:ext uri="{28A0092B-C50C-407E-A947-70E740481C1C}"/>
                      </a:extLst>
                    </a:blip>
                    <a:srcRect/>
                    <a:stretch>
                      <a:fillRect/>
                    </a:stretch>
                  </pic:blipFill>
                  <pic:spPr bwMode="auto">
                    <a:xfrm>
                      <a:off x="0" y="0"/>
                      <a:ext cx="6078220" cy="570230"/>
                    </a:xfrm>
                    <a:prstGeom prst="rect">
                      <a:avLst/>
                    </a:prstGeom>
                    <a:noFill/>
                  </pic:spPr>
                </pic:pic>
              </a:graphicData>
            </a:graphic>
          </wp:anchor>
        </w:drawing>
      </w:r>
    </w:p>
    <w:p>
      <w:pPr>
        <w:spacing w:after="0" w:line="359"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Note:</w:t>
      </w:r>
    </w:p>
    <w:p>
      <w:pPr>
        <w:spacing w:after="0" w:line="116" w:lineRule="exact"/>
        <w:rPr>
          <w:sz w:val="20"/>
          <w:szCs w:val="20"/>
          <w:color w:val="auto"/>
        </w:rPr>
      </w:pPr>
    </w:p>
    <w:p>
      <w:pPr>
        <w:ind w:left="1260" w:hanging="366"/>
        <w:spacing w:after="0"/>
        <w:tabs>
          <w:tab w:leader="none" w:pos="1260" w:val="left"/>
        </w:tabs>
        <w:numPr>
          <w:ilvl w:val="0"/>
          <w:numId w:val="48"/>
        </w:numPr>
        <w:rPr>
          <w:rFonts w:ascii="Arial" w:cs="Arial" w:eastAsia="Arial" w:hAnsi="Arial"/>
          <w:sz w:val="20"/>
          <w:szCs w:val="20"/>
          <w:i w:val="1"/>
          <w:iCs w:val="1"/>
          <w:color w:val="auto"/>
        </w:rPr>
      </w:pPr>
      <w:r>
        <w:rPr>
          <w:rFonts w:ascii="Arial" w:cs="Arial" w:eastAsia="Arial" w:hAnsi="Arial"/>
          <w:sz w:val="20"/>
          <w:szCs w:val="20"/>
          <w:i w:val="1"/>
          <w:iCs w:val="1"/>
          <w:color w:val="auto"/>
        </w:rPr>
        <w:t>S-K 1300 definitions were followed for Mineral Resources.</w:t>
      </w:r>
    </w:p>
    <w:p>
      <w:pPr>
        <w:spacing w:after="0" w:line="130" w:lineRule="exact"/>
        <w:rPr>
          <w:rFonts w:ascii="Arial" w:cs="Arial" w:eastAsia="Arial" w:hAnsi="Arial"/>
          <w:sz w:val="20"/>
          <w:szCs w:val="20"/>
          <w:i w:val="1"/>
          <w:iCs w:val="1"/>
          <w:color w:val="auto"/>
        </w:rPr>
      </w:pPr>
    </w:p>
    <w:p>
      <w:pPr>
        <w:ind w:left="1260" w:hanging="366"/>
        <w:spacing w:after="0"/>
        <w:tabs>
          <w:tab w:leader="none" w:pos="1260" w:val="left"/>
        </w:tabs>
        <w:numPr>
          <w:ilvl w:val="0"/>
          <w:numId w:val="48"/>
        </w:numPr>
        <w:rPr>
          <w:rFonts w:ascii="Arial" w:cs="Arial" w:eastAsia="Arial" w:hAnsi="Arial"/>
          <w:sz w:val="20"/>
          <w:szCs w:val="20"/>
          <w:i w:val="1"/>
          <w:iCs w:val="1"/>
          <w:color w:val="auto"/>
        </w:rPr>
      </w:pPr>
      <w:r>
        <w:rPr>
          <w:rFonts w:ascii="Arial" w:cs="Arial" w:eastAsia="Arial" w:hAnsi="Arial"/>
          <w:sz w:val="20"/>
          <w:szCs w:val="20"/>
          <w:i w:val="1"/>
          <w:iCs w:val="1"/>
          <w:color w:val="auto"/>
        </w:rPr>
        <w:t>LCE is calculated using the Li: LCE factor = 5.322785 multiplied by the mass of Lithium.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1141095</wp:posOffset>
            </wp:positionV>
            <wp:extent cx="6764020"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21 / 26</w:t>
      </w:r>
    </w:p>
    <w:p>
      <w:pPr>
        <w:sectPr>
          <w:pgSz w:w="11900" w:h="16838" w:orient="portrait"/>
          <w:cols w:equalWidth="0" w:num="1">
            <w:col w:w="10460"/>
          </w:cols>
          <w:pgMar w:left="1440" w:top="1172" w:right="6" w:bottom="0" w:gutter="0" w:footer="0" w:header="0"/>
          <w:type w:val="continuous"/>
        </w:sectPr>
      </w:pPr>
    </w:p>
    <w:bookmarkStart w:id="131" w:name="page132"/>
    <w:bookmarkEnd w:id="1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1260" w:hanging="366"/>
        <w:spacing w:after="0" w:line="346" w:lineRule="auto"/>
        <w:tabs>
          <w:tab w:leader="none" w:pos="1260" w:val="left"/>
        </w:tabs>
        <w:numPr>
          <w:ilvl w:val="0"/>
          <w:numId w:val="49"/>
        </w:numPr>
        <w:rPr>
          <w:rFonts w:ascii="Arial" w:cs="Arial" w:eastAsia="Arial" w:hAnsi="Arial"/>
          <w:sz w:val="20"/>
          <w:szCs w:val="20"/>
          <w:i w:val="1"/>
          <w:iCs w:val="1"/>
          <w:color w:val="auto"/>
        </w:rPr>
      </w:pPr>
      <w:r>
        <w:rPr>
          <w:rFonts w:ascii="Arial" w:cs="Arial" w:eastAsia="Arial" w:hAnsi="Arial"/>
          <w:sz w:val="20"/>
          <w:szCs w:val="20"/>
          <w:i w:val="1"/>
          <w:iCs w:val="1"/>
          <w:color w:val="auto"/>
        </w:rPr>
        <w:t>A cut-off grade of 125 mg/l has been applied to the mineral resource estimates. An FoB price forecast of US$18,000 per metric ton of Li</w:t>
      </w:r>
      <w:r>
        <w:rPr>
          <w:rFonts w:ascii="Arial" w:cs="Arial" w:eastAsia="Arial" w:hAnsi="Arial"/>
          <w:sz w:val="26"/>
          <w:szCs w:val="26"/>
          <w:i w:val="1"/>
          <w:iCs w:val="1"/>
          <w:color w:val="auto"/>
          <w:vertAlign w:val="subscript"/>
        </w:rPr>
        <w:t>2</w:t>
      </w:r>
      <w:r>
        <w:rPr>
          <w:rFonts w:ascii="Arial" w:cs="Arial" w:eastAsia="Arial" w:hAnsi="Arial"/>
          <w:sz w:val="20"/>
          <w:szCs w:val="20"/>
          <w:i w:val="1"/>
          <w:iCs w:val="1"/>
          <w:color w:val="auto"/>
        </w:rPr>
        <w:t>CO</w:t>
      </w:r>
      <w:r>
        <w:rPr>
          <w:rFonts w:ascii="Arial" w:cs="Arial" w:eastAsia="Arial" w:hAnsi="Arial"/>
          <w:sz w:val="26"/>
          <w:szCs w:val="26"/>
          <w:i w:val="1"/>
          <w:iCs w:val="1"/>
          <w:color w:val="auto"/>
          <w:vertAlign w:val="subscript"/>
        </w:rPr>
        <w:t>3</w:t>
      </w:r>
      <w:r>
        <w:rPr>
          <w:rFonts w:ascii="Arial" w:cs="Arial" w:eastAsia="Arial" w:hAnsi="Arial"/>
          <w:sz w:val="20"/>
          <w:szCs w:val="20"/>
          <w:i w:val="1"/>
          <w:iCs w:val="1"/>
          <w:color w:val="auto"/>
        </w:rPr>
        <w:t xml:space="preserve"> and US$17,800 per metric ton of coarse particle LiOH H</w:t>
      </w:r>
      <w:r>
        <w:rPr>
          <w:rFonts w:ascii="Arial" w:cs="Arial" w:eastAsia="Arial" w:hAnsi="Arial"/>
          <w:sz w:val="26"/>
          <w:szCs w:val="26"/>
          <w:i w:val="1"/>
          <w:iCs w:val="1"/>
          <w:color w:val="auto"/>
          <w:vertAlign w:val="subscript"/>
        </w:rPr>
        <w:t>2</w:t>
      </w:r>
      <w:r>
        <w:rPr>
          <w:rFonts w:ascii="Arial" w:cs="Arial" w:eastAsia="Arial" w:hAnsi="Arial"/>
          <w:sz w:val="20"/>
          <w:szCs w:val="20"/>
          <w:i w:val="1"/>
          <w:iCs w:val="1"/>
          <w:color w:val="auto"/>
        </w:rPr>
        <w:t>O for years beyond 2028 is used. A 75% overall lithium recovery efficiency factor has been applied to calculate the fi LCE production.</w:t>
      </w:r>
    </w:p>
    <w:p>
      <w:pPr>
        <w:spacing w:after="0" w:line="38" w:lineRule="exact"/>
        <w:rPr>
          <w:rFonts w:ascii="Arial" w:cs="Arial" w:eastAsia="Arial" w:hAnsi="Arial"/>
          <w:sz w:val="20"/>
          <w:szCs w:val="20"/>
          <w:i w:val="1"/>
          <w:iCs w:val="1"/>
          <w:color w:val="auto"/>
        </w:rPr>
      </w:pPr>
    </w:p>
    <w:p>
      <w:pPr>
        <w:ind w:left="1260" w:right="20" w:hanging="366"/>
        <w:spacing w:after="0" w:line="368" w:lineRule="auto"/>
        <w:tabs>
          <w:tab w:leader="none" w:pos="1260" w:val="left"/>
        </w:tabs>
        <w:numPr>
          <w:ilvl w:val="0"/>
          <w:numId w:val="49"/>
        </w:numPr>
        <w:rPr>
          <w:rFonts w:ascii="Arial" w:cs="Arial" w:eastAsia="Arial" w:hAnsi="Arial"/>
          <w:sz w:val="20"/>
          <w:szCs w:val="20"/>
          <w:i w:val="1"/>
          <w:iCs w:val="1"/>
          <w:color w:val="auto"/>
        </w:rPr>
      </w:pPr>
      <w:r>
        <w:rPr>
          <w:rFonts w:ascii="Arial" w:cs="Arial" w:eastAsia="Arial" w:hAnsi="Arial"/>
          <w:sz w:val="20"/>
          <w:szCs w:val="20"/>
          <w:i w:val="1"/>
          <w:iCs w:val="1"/>
          <w:color w:val="auto"/>
        </w:rPr>
        <w:t>The Mineral Resource Estimate is not a Mineral Reserves Estimate and has no demonstrated economic viability.</w:t>
      </w:r>
    </w:p>
    <w:p>
      <w:pPr>
        <w:spacing w:after="0" w:line="14" w:lineRule="exact"/>
        <w:rPr>
          <w:rFonts w:ascii="Arial" w:cs="Arial" w:eastAsia="Arial" w:hAnsi="Arial"/>
          <w:sz w:val="20"/>
          <w:szCs w:val="20"/>
          <w:i w:val="1"/>
          <w:iCs w:val="1"/>
          <w:color w:val="auto"/>
        </w:rPr>
      </w:pPr>
    </w:p>
    <w:p>
      <w:pPr>
        <w:ind w:left="1260" w:right="40" w:hanging="366"/>
        <w:spacing w:after="0" w:line="368" w:lineRule="auto"/>
        <w:tabs>
          <w:tab w:leader="none" w:pos="1260" w:val="left"/>
        </w:tabs>
        <w:numPr>
          <w:ilvl w:val="0"/>
          <w:numId w:val="49"/>
        </w:numPr>
        <w:rPr>
          <w:rFonts w:ascii="Arial" w:cs="Arial" w:eastAsia="Arial" w:hAnsi="Arial"/>
          <w:sz w:val="20"/>
          <w:szCs w:val="20"/>
          <w:i w:val="1"/>
          <w:iCs w:val="1"/>
          <w:color w:val="auto"/>
        </w:rPr>
      </w:pPr>
      <w:r>
        <w:rPr>
          <w:rFonts w:ascii="Arial" w:cs="Arial" w:eastAsia="Arial" w:hAnsi="Arial"/>
          <w:sz w:val="20"/>
          <w:szCs w:val="20"/>
          <w:i w:val="1"/>
          <w:iCs w:val="1"/>
          <w:color w:val="auto"/>
        </w:rPr>
        <w:t>Comparisons of values may not be equivalent due to rounding of numbers and the differences caused b of averaging methods.</w:t>
      </w:r>
    </w:p>
    <w:p>
      <w:pPr>
        <w:spacing w:after="0" w:line="7" w:lineRule="exact"/>
        <w:rPr>
          <w:rFonts w:ascii="Arial" w:cs="Arial" w:eastAsia="Arial" w:hAnsi="Arial"/>
          <w:sz w:val="20"/>
          <w:szCs w:val="20"/>
          <w:i w:val="1"/>
          <w:iCs w:val="1"/>
          <w:color w:val="auto"/>
        </w:rPr>
      </w:pPr>
    </w:p>
    <w:p>
      <w:pPr>
        <w:ind w:left="1260" w:hanging="366"/>
        <w:spacing w:after="0"/>
        <w:tabs>
          <w:tab w:leader="none" w:pos="1260" w:val="left"/>
        </w:tabs>
        <w:numPr>
          <w:ilvl w:val="0"/>
          <w:numId w:val="49"/>
        </w:numPr>
        <w:rPr>
          <w:rFonts w:ascii="Arial" w:cs="Arial" w:eastAsia="Arial" w:hAnsi="Arial"/>
          <w:sz w:val="20"/>
          <w:szCs w:val="20"/>
          <w:i w:val="1"/>
          <w:iCs w:val="1"/>
          <w:color w:val="auto"/>
        </w:rPr>
      </w:pPr>
      <w:r>
        <w:rPr>
          <w:rFonts w:ascii="Arial" w:cs="Arial" w:eastAsia="Arial" w:hAnsi="Arial"/>
          <w:sz w:val="20"/>
          <w:szCs w:val="20"/>
          <w:i w:val="1"/>
          <w:iCs w:val="1"/>
          <w:color w:val="auto"/>
        </w:rPr>
        <w:t>Project economics in this report are not based on Inferred Mineral Resource.</w:t>
      </w:r>
    </w:p>
    <w:p>
      <w:pPr>
        <w:spacing w:after="0" w:line="137" w:lineRule="exact"/>
        <w:rPr>
          <w:rFonts w:ascii="Arial" w:cs="Arial" w:eastAsia="Arial" w:hAnsi="Arial"/>
          <w:sz w:val="20"/>
          <w:szCs w:val="20"/>
          <w:i w:val="1"/>
          <w:iCs w:val="1"/>
          <w:color w:val="auto"/>
        </w:rPr>
      </w:pPr>
    </w:p>
    <w:p>
      <w:pPr>
        <w:ind w:left="1260" w:right="20" w:hanging="366"/>
        <w:spacing w:after="0" w:line="368" w:lineRule="auto"/>
        <w:tabs>
          <w:tab w:leader="none" w:pos="1260" w:val="left"/>
        </w:tabs>
        <w:numPr>
          <w:ilvl w:val="0"/>
          <w:numId w:val="49"/>
        </w:numPr>
        <w:rPr>
          <w:rFonts w:ascii="Arial" w:cs="Arial" w:eastAsia="Arial" w:hAnsi="Arial"/>
          <w:sz w:val="20"/>
          <w:szCs w:val="20"/>
          <w:i w:val="1"/>
          <w:iCs w:val="1"/>
          <w:color w:val="auto"/>
        </w:rPr>
      </w:pPr>
      <w:r>
        <w:rPr>
          <w:rFonts w:ascii="Arial" w:cs="Arial" w:eastAsia="Arial" w:hAnsi="Arial"/>
          <w:sz w:val="20"/>
          <w:szCs w:val="20"/>
          <w:i w:val="1"/>
          <w:iCs w:val="1"/>
          <w:color w:val="auto"/>
        </w:rPr>
        <w:t>The QPs are not aware of any known legal, political, environmental, or other risks that could materially a the potential development of the mineral resources.</w:t>
      </w:r>
    </w:p>
    <w:p>
      <w:pPr>
        <w:spacing w:after="0" w:line="14" w:lineRule="exact"/>
        <w:rPr>
          <w:rFonts w:ascii="Arial" w:cs="Arial" w:eastAsia="Arial" w:hAnsi="Arial"/>
          <w:sz w:val="20"/>
          <w:szCs w:val="20"/>
          <w:i w:val="1"/>
          <w:iCs w:val="1"/>
          <w:color w:val="auto"/>
        </w:rPr>
      </w:pPr>
    </w:p>
    <w:p>
      <w:pPr>
        <w:ind w:left="1260" w:right="20" w:hanging="366"/>
        <w:spacing w:after="0" w:line="373" w:lineRule="auto"/>
        <w:tabs>
          <w:tab w:leader="none" w:pos="1260" w:val="left"/>
        </w:tabs>
        <w:numPr>
          <w:ilvl w:val="0"/>
          <w:numId w:val="49"/>
        </w:numPr>
        <w:rPr>
          <w:rFonts w:ascii="Arial" w:cs="Arial" w:eastAsia="Arial" w:hAnsi="Arial"/>
          <w:sz w:val="20"/>
          <w:szCs w:val="20"/>
          <w:i w:val="1"/>
          <w:iCs w:val="1"/>
          <w:color w:val="auto"/>
        </w:rPr>
      </w:pPr>
      <w:r>
        <w:rPr>
          <w:rFonts w:ascii="Arial" w:cs="Arial" w:eastAsia="Arial" w:hAnsi="Arial"/>
          <w:sz w:val="20"/>
          <w:szCs w:val="20"/>
          <w:i w:val="1"/>
          <w:iCs w:val="1"/>
          <w:color w:val="auto"/>
        </w:rPr>
        <w:t>A Qualified Person and an employee of the Company, has approved the mineral reserves and mineral resources included in this Annual Report on Form 20-F as of December 31, 2025 and reviewed the reso and material assumptions in the PPG TRS and confirmed that the resources and material assumptions remain current as of December 31, 2025.</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20"/>
          <w:szCs w:val="20"/>
          <w:color w:val="auto"/>
        </w:rPr>
        <w:t>A cut-off grade of 125 mg/l has been applied to the M+I+I resources estimates.</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cutoff grade is based on the various inputs and the formula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918845</wp:posOffset>
            </wp:positionV>
            <wp:extent cx="6078220" cy="3251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8">
                      <a:extLst>
                        <a:ext uri="{28A0092B-C50C-407E-A947-70E740481C1C}"/>
                      </a:extLst>
                    </a:blip>
                    <a:srcRect/>
                    <a:stretch>
                      <a:fillRect/>
                    </a:stretch>
                  </pic:blipFill>
                  <pic:spPr bwMode="auto">
                    <a:xfrm>
                      <a:off x="0" y="0"/>
                      <a:ext cx="6078220" cy="325120"/>
                    </a:xfrm>
                    <a:prstGeom prst="rect">
                      <a:avLst/>
                    </a:prstGeom>
                    <a:noFill/>
                  </pic:spPr>
                </pic:pic>
              </a:graphicData>
            </a:graphic>
          </wp:anchor>
        </w:drawing>
        <w:drawing>
          <wp:anchor simplePos="0" relativeHeight="251657728" behindDoc="1" locked="0" layoutInCell="0" allowOverlap="1">
            <wp:simplePos x="0" y="0"/>
            <wp:positionH relativeFrom="column">
              <wp:posOffset>838835</wp:posOffset>
            </wp:positionH>
            <wp:positionV relativeFrom="paragraph">
              <wp:posOffset>217170</wp:posOffset>
            </wp:positionV>
            <wp:extent cx="5806440" cy="4381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9">
                      <a:extLst>
                        <a:ext uri="{28A0092B-C50C-407E-A947-70E740481C1C}"/>
                      </a:extLst>
                    </a:blip>
                    <a:srcRect/>
                    <a:stretch>
                      <a:fillRect/>
                    </a:stretch>
                  </pic:blipFill>
                  <pic:spPr bwMode="auto">
                    <a:xfrm>
                      <a:off x="0" y="0"/>
                      <a:ext cx="5806440" cy="43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900" w:type="dxa"/>
        <w:tblCellMar>
          <w:top w:w="0" w:type="dxa"/>
          <w:left w:w="0" w:type="dxa"/>
          <w:bottom w:w="0" w:type="dxa"/>
          <w:right w:w="0" w:type="dxa"/>
        </w:tblCellMar>
      </w:tblPr>
      <w:tr>
        <w:trPr>
          <w:trHeight w:val="445"/>
        </w:trPr>
        <w:tc>
          <w:tcPr>
            <w:tcW w:w="3660" w:type="dxa"/>
            <w:vAlign w:val="bottom"/>
            <w:shd w:val="clear" w:color="auto" w:fill="153A57"/>
          </w:tcPr>
          <w:p>
            <w:pPr>
              <w:ind w:left="120"/>
              <w:spacing w:after="0"/>
              <w:rPr>
                <w:sz w:val="20"/>
                <w:szCs w:val="20"/>
                <w:color w:val="auto"/>
              </w:rPr>
            </w:pPr>
            <w:r>
              <w:rPr>
                <w:rFonts w:ascii="Arial" w:cs="Arial" w:eastAsia="Arial" w:hAnsi="Arial"/>
                <w:sz w:val="18"/>
                <w:szCs w:val="18"/>
                <w:b w:val="1"/>
                <w:bCs w:val="1"/>
                <w:color w:val="FFFFFF"/>
              </w:rPr>
              <w:t>Total Capital Expenditure</w:t>
            </w:r>
          </w:p>
        </w:tc>
        <w:tc>
          <w:tcPr>
            <w:tcW w:w="4960" w:type="dxa"/>
            <w:vAlign w:val="bottom"/>
          </w:tcPr>
          <w:p>
            <w:pPr>
              <w:jc w:val="center"/>
              <w:ind w:left="1350"/>
              <w:spacing w:after="0"/>
              <w:rPr>
                <w:sz w:val="20"/>
                <w:szCs w:val="20"/>
                <w:color w:val="auto"/>
              </w:rPr>
            </w:pPr>
            <w:r>
              <w:rPr>
                <w:rFonts w:ascii="Arial" w:cs="Arial" w:eastAsia="Arial" w:hAnsi="Arial"/>
                <w:sz w:val="18"/>
                <w:szCs w:val="18"/>
                <w:color w:val="auto"/>
                <w:w w:val="99"/>
              </w:rPr>
              <w:t>US$ 3,301 million</w:t>
            </w:r>
          </w:p>
        </w:tc>
        <w:tc>
          <w:tcPr>
            <w:tcW w:w="0" w:type="dxa"/>
            <w:vAlign w:val="bottom"/>
          </w:tcPr>
          <w:p>
            <w:pPr>
              <w:spacing w:after="0"/>
              <w:rPr>
                <w:sz w:val="1"/>
                <w:szCs w:val="1"/>
                <w:color w:val="auto"/>
              </w:rPr>
            </w:pPr>
          </w:p>
        </w:tc>
      </w:tr>
      <w:tr>
        <w:trPr>
          <w:trHeight w:val="502"/>
        </w:trPr>
        <w:tc>
          <w:tcPr>
            <w:tcW w:w="3660" w:type="dxa"/>
            <w:vAlign w:val="bottom"/>
            <w:shd w:val="clear" w:color="auto" w:fill="153A57"/>
          </w:tcPr>
          <w:p>
            <w:pPr>
              <w:ind w:left="120"/>
              <w:spacing w:after="0"/>
              <w:rPr>
                <w:sz w:val="20"/>
                <w:szCs w:val="20"/>
                <w:color w:val="auto"/>
              </w:rPr>
            </w:pPr>
            <w:r>
              <w:rPr>
                <w:rFonts w:ascii="Arial" w:cs="Arial" w:eastAsia="Arial" w:hAnsi="Arial"/>
                <w:sz w:val="18"/>
                <w:szCs w:val="18"/>
                <w:b w:val="1"/>
                <w:bCs w:val="1"/>
                <w:color w:val="FFFFFF"/>
              </w:rPr>
              <w:t>Total Operating Expenditure</w:t>
            </w:r>
          </w:p>
        </w:tc>
        <w:tc>
          <w:tcPr>
            <w:tcW w:w="4960" w:type="dxa"/>
            <w:vAlign w:val="bottom"/>
          </w:tcPr>
          <w:p>
            <w:pPr>
              <w:jc w:val="center"/>
              <w:ind w:left="1350"/>
              <w:spacing w:after="0"/>
              <w:rPr>
                <w:sz w:val="20"/>
                <w:szCs w:val="20"/>
                <w:color w:val="auto"/>
              </w:rPr>
            </w:pPr>
            <w:r>
              <w:rPr>
                <w:rFonts w:ascii="Arial" w:cs="Arial" w:eastAsia="Arial" w:hAnsi="Arial"/>
                <w:sz w:val="18"/>
                <w:szCs w:val="18"/>
                <w:color w:val="auto"/>
              </w:rPr>
              <w:t>US$ 16,332 million</w:t>
            </w:r>
          </w:p>
        </w:tc>
        <w:tc>
          <w:tcPr>
            <w:tcW w:w="0" w:type="dxa"/>
            <w:vAlign w:val="bottom"/>
          </w:tcPr>
          <w:p>
            <w:pPr>
              <w:spacing w:after="0"/>
              <w:rPr>
                <w:sz w:val="1"/>
                <w:szCs w:val="1"/>
                <w:color w:val="auto"/>
              </w:rPr>
            </w:pPr>
          </w:p>
        </w:tc>
      </w:tr>
      <w:tr>
        <w:trPr>
          <w:trHeight w:val="66"/>
        </w:trPr>
        <w:tc>
          <w:tcPr>
            <w:tcW w:w="3660" w:type="dxa"/>
            <w:vAlign w:val="bottom"/>
            <w:shd w:val="clear" w:color="auto" w:fill="153A57"/>
          </w:tcPr>
          <w:p>
            <w:pPr>
              <w:spacing w:after="0"/>
              <w:rPr>
                <w:sz w:val="5"/>
                <w:szCs w:val="5"/>
                <w:color w:val="auto"/>
              </w:rPr>
            </w:pPr>
          </w:p>
        </w:tc>
        <w:tc>
          <w:tcPr>
            <w:tcW w:w="4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5"/>
        </w:trPr>
        <w:tc>
          <w:tcPr>
            <w:tcW w:w="3660" w:type="dxa"/>
            <w:vAlign w:val="bottom"/>
            <w:shd w:val="clear" w:color="auto" w:fill="153A57"/>
          </w:tcPr>
          <w:p>
            <w:pPr>
              <w:ind w:left="120"/>
              <w:spacing w:after="0"/>
              <w:rPr>
                <w:sz w:val="20"/>
                <w:szCs w:val="20"/>
                <w:color w:val="auto"/>
              </w:rPr>
            </w:pPr>
            <w:r>
              <w:rPr>
                <w:rFonts w:ascii="Arial" w:cs="Arial" w:eastAsia="Arial" w:hAnsi="Arial"/>
                <w:sz w:val="18"/>
                <w:szCs w:val="18"/>
                <w:b w:val="1"/>
                <w:bCs w:val="1"/>
                <w:color w:val="FFFFFF"/>
              </w:rPr>
              <w:t>Cost of Capital</w:t>
            </w:r>
          </w:p>
        </w:tc>
        <w:tc>
          <w:tcPr>
            <w:tcW w:w="4960" w:type="dxa"/>
            <w:vAlign w:val="bottom"/>
          </w:tcPr>
          <w:p>
            <w:pPr>
              <w:jc w:val="center"/>
              <w:ind w:left="1330"/>
              <w:spacing w:after="0"/>
              <w:rPr>
                <w:sz w:val="20"/>
                <w:szCs w:val="20"/>
                <w:color w:val="auto"/>
              </w:rPr>
            </w:pPr>
            <w:r>
              <w:rPr>
                <w:rFonts w:ascii="Arial" w:cs="Arial" w:eastAsia="Arial" w:hAnsi="Arial"/>
                <w:sz w:val="18"/>
                <w:szCs w:val="18"/>
                <w:color w:val="auto"/>
                <w:w w:val="99"/>
              </w:rPr>
              <w:t>US$ 330 million (10 percent of Total Capital)</w:t>
            </w:r>
          </w:p>
        </w:tc>
        <w:tc>
          <w:tcPr>
            <w:tcW w:w="0" w:type="dxa"/>
            <w:vAlign w:val="bottom"/>
          </w:tcPr>
          <w:p>
            <w:pPr>
              <w:spacing w:after="0"/>
              <w:rPr>
                <w:sz w:val="1"/>
                <w:szCs w:val="1"/>
                <w:color w:val="auto"/>
              </w:rPr>
            </w:pPr>
          </w:p>
        </w:tc>
      </w:tr>
      <w:tr>
        <w:trPr>
          <w:trHeight w:val="66"/>
        </w:trPr>
        <w:tc>
          <w:tcPr>
            <w:tcW w:w="3660" w:type="dxa"/>
            <w:vAlign w:val="bottom"/>
            <w:shd w:val="clear" w:color="auto" w:fill="153A57"/>
          </w:tcPr>
          <w:p>
            <w:pPr>
              <w:spacing w:after="0"/>
              <w:rPr>
                <w:sz w:val="5"/>
                <w:szCs w:val="5"/>
                <w:color w:val="auto"/>
              </w:rPr>
            </w:pPr>
          </w:p>
        </w:tc>
        <w:tc>
          <w:tcPr>
            <w:tcW w:w="4960" w:type="dxa"/>
            <w:vAlign w:val="bottom"/>
            <w:vMerge w:val="restart"/>
          </w:tcPr>
          <w:p>
            <w:pPr>
              <w:jc w:val="center"/>
              <w:ind w:left="1350"/>
              <w:spacing w:after="0"/>
              <w:rPr>
                <w:sz w:val="20"/>
                <w:szCs w:val="20"/>
                <w:color w:val="auto"/>
              </w:rPr>
            </w:pPr>
            <w:r>
              <w:rPr>
                <w:rFonts w:ascii="Arial" w:cs="Arial" w:eastAsia="Arial" w:hAnsi="Arial"/>
                <w:sz w:val="18"/>
                <w:szCs w:val="18"/>
                <w:color w:val="auto"/>
                <w:w w:val="98"/>
              </w:rPr>
              <w:t>2,297 Mm</w:t>
            </w:r>
            <w:r>
              <w:rPr>
                <w:rFonts w:ascii="Arial" w:cs="Arial" w:eastAsia="Arial" w:hAnsi="Arial"/>
                <w:sz w:val="24"/>
                <w:szCs w:val="24"/>
                <w:color w:val="auto"/>
                <w:w w:val="98"/>
                <w:vertAlign w:val="superscript"/>
              </w:rPr>
              <w:t>3</w:t>
            </w:r>
          </w:p>
        </w:tc>
        <w:tc>
          <w:tcPr>
            <w:tcW w:w="0" w:type="dxa"/>
            <w:vAlign w:val="bottom"/>
          </w:tcPr>
          <w:p>
            <w:pPr>
              <w:spacing w:after="0"/>
              <w:rPr>
                <w:sz w:val="1"/>
                <w:szCs w:val="1"/>
                <w:color w:val="auto"/>
              </w:rPr>
            </w:pPr>
          </w:p>
        </w:tc>
      </w:tr>
      <w:tr>
        <w:trPr>
          <w:trHeight w:val="501"/>
        </w:trPr>
        <w:tc>
          <w:tcPr>
            <w:tcW w:w="3660" w:type="dxa"/>
            <w:vAlign w:val="bottom"/>
            <w:shd w:val="clear" w:color="auto" w:fill="153A57"/>
          </w:tcPr>
          <w:p>
            <w:pPr>
              <w:ind w:left="120"/>
              <w:spacing w:after="0"/>
              <w:rPr>
                <w:sz w:val="20"/>
                <w:szCs w:val="20"/>
                <w:color w:val="auto"/>
              </w:rPr>
            </w:pPr>
            <w:r>
              <w:rPr>
                <w:rFonts w:ascii="Arial" w:cs="Arial" w:eastAsia="Arial" w:hAnsi="Arial"/>
                <w:sz w:val="18"/>
                <w:szCs w:val="18"/>
                <w:b w:val="1"/>
                <w:bCs w:val="1"/>
                <w:color w:val="FFFFFF"/>
              </w:rPr>
              <w:t>Total Brine Extracted</w:t>
            </w:r>
          </w:p>
        </w:tc>
        <w:tc>
          <w:tcPr>
            <w:tcW w:w="4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3660" w:type="dxa"/>
            <w:vAlign w:val="bottom"/>
            <w:shd w:val="clear" w:color="auto" w:fill="153A57"/>
          </w:tcPr>
          <w:p>
            <w:pPr>
              <w:ind w:left="120"/>
              <w:spacing w:after="0"/>
              <w:rPr>
                <w:sz w:val="20"/>
                <w:szCs w:val="20"/>
                <w:color w:val="auto"/>
              </w:rPr>
            </w:pPr>
            <w:r>
              <w:rPr>
                <w:rFonts w:ascii="Arial" w:cs="Arial" w:eastAsia="Arial" w:hAnsi="Arial"/>
                <w:sz w:val="18"/>
                <w:szCs w:val="18"/>
                <w:b w:val="1"/>
                <w:bCs w:val="1"/>
                <w:color w:val="FFFFFF"/>
              </w:rPr>
              <w:t>Conversion from Li to Li</w:t>
            </w:r>
            <w:r>
              <w:rPr>
                <w:rFonts w:ascii="Arial" w:cs="Arial" w:eastAsia="Arial" w:hAnsi="Arial"/>
                <w:sz w:val="12"/>
                <w:szCs w:val="12"/>
                <w:b w:val="1"/>
                <w:bCs w:val="1"/>
                <w:color w:val="FFFFFF"/>
              </w:rPr>
              <w:t>2</w:t>
            </w:r>
            <w:r>
              <w:rPr>
                <w:rFonts w:ascii="Arial" w:cs="Arial" w:eastAsia="Arial" w:hAnsi="Arial"/>
                <w:sz w:val="18"/>
                <w:szCs w:val="18"/>
                <w:b w:val="1"/>
                <w:bCs w:val="1"/>
                <w:color w:val="FFFFFF"/>
              </w:rPr>
              <w:t>CO</w:t>
            </w:r>
            <w:r>
              <w:rPr>
                <w:rFonts w:ascii="Arial" w:cs="Arial" w:eastAsia="Arial" w:hAnsi="Arial"/>
                <w:sz w:val="12"/>
                <w:szCs w:val="12"/>
                <w:b w:val="1"/>
                <w:bCs w:val="1"/>
                <w:color w:val="FFFFFF"/>
              </w:rPr>
              <w:t>3</w:t>
            </w:r>
          </w:p>
        </w:tc>
        <w:tc>
          <w:tcPr>
            <w:tcW w:w="4960" w:type="dxa"/>
            <w:vAlign w:val="bottom"/>
          </w:tcPr>
          <w:p>
            <w:pPr>
              <w:jc w:val="center"/>
              <w:ind w:left="1350"/>
              <w:spacing w:after="0"/>
              <w:rPr>
                <w:sz w:val="20"/>
                <w:szCs w:val="20"/>
                <w:color w:val="auto"/>
              </w:rPr>
            </w:pPr>
            <w:r>
              <w:rPr>
                <w:rFonts w:ascii="Arial" w:cs="Arial" w:eastAsia="Arial" w:hAnsi="Arial"/>
                <w:sz w:val="18"/>
                <w:szCs w:val="18"/>
                <w:color w:val="auto"/>
                <w:w w:val="97"/>
              </w:rPr>
              <w:t>5.323</w:t>
            </w:r>
          </w:p>
        </w:tc>
        <w:tc>
          <w:tcPr>
            <w:tcW w:w="0" w:type="dxa"/>
            <w:vAlign w:val="bottom"/>
          </w:tcPr>
          <w:p>
            <w:pPr>
              <w:spacing w:after="0"/>
              <w:rPr>
                <w:sz w:val="1"/>
                <w:szCs w:val="1"/>
                <w:color w:val="auto"/>
              </w:rPr>
            </w:pPr>
          </w:p>
        </w:tc>
      </w:tr>
      <w:tr>
        <w:trPr>
          <w:trHeight w:val="60"/>
        </w:trPr>
        <w:tc>
          <w:tcPr>
            <w:tcW w:w="3660" w:type="dxa"/>
            <w:vAlign w:val="bottom"/>
            <w:shd w:val="clear" w:color="auto" w:fill="153A57"/>
          </w:tcPr>
          <w:p>
            <w:pPr>
              <w:spacing w:after="0"/>
              <w:rPr>
                <w:sz w:val="5"/>
                <w:szCs w:val="5"/>
                <w:color w:val="auto"/>
              </w:rPr>
            </w:pPr>
          </w:p>
        </w:tc>
        <w:tc>
          <w:tcPr>
            <w:tcW w:w="4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5"/>
        </w:trPr>
        <w:tc>
          <w:tcPr>
            <w:tcW w:w="3660" w:type="dxa"/>
            <w:vAlign w:val="bottom"/>
            <w:shd w:val="clear" w:color="auto" w:fill="153A57"/>
          </w:tcPr>
          <w:p>
            <w:pPr>
              <w:ind w:left="120"/>
              <w:spacing w:after="0"/>
              <w:rPr>
                <w:sz w:val="20"/>
                <w:szCs w:val="20"/>
                <w:color w:val="auto"/>
              </w:rPr>
            </w:pPr>
            <w:r>
              <w:rPr>
                <w:rFonts w:ascii="Arial" w:cs="Arial" w:eastAsia="Arial" w:hAnsi="Arial"/>
                <w:sz w:val="18"/>
                <w:szCs w:val="18"/>
                <w:b w:val="1"/>
                <w:bCs w:val="1"/>
                <w:color w:val="FFFFFF"/>
              </w:rPr>
              <w:t>Projected LCE Price</w:t>
            </w:r>
          </w:p>
        </w:tc>
        <w:tc>
          <w:tcPr>
            <w:tcW w:w="4960" w:type="dxa"/>
            <w:vAlign w:val="bottom"/>
          </w:tcPr>
          <w:p>
            <w:pPr>
              <w:jc w:val="center"/>
              <w:ind w:left="1350"/>
              <w:spacing w:after="0"/>
              <w:rPr>
                <w:sz w:val="20"/>
                <w:szCs w:val="20"/>
                <w:color w:val="auto"/>
              </w:rPr>
            </w:pPr>
            <w:r>
              <w:rPr>
                <w:rFonts w:ascii="Arial" w:cs="Arial" w:eastAsia="Arial" w:hAnsi="Arial"/>
                <w:sz w:val="18"/>
                <w:szCs w:val="18"/>
                <w:color w:val="auto"/>
              </w:rPr>
              <w:t>US$ 18,000 per metric ton of LCE</w:t>
            </w:r>
          </w:p>
        </w:tc>
        <w:tc>
          <w:tcPr>
            <w:tcW w:w="0" w:type="dxa"/>
            <w:vAlign w:val="bottom"/>
          </w:tcPr>
          <w:p>
            <w:pPr>
              <w:spacing w:after="0"/>
              <w:rPr>
                <w:sz w:val="1"/>
                <w:szCs w:val="1"/>
                <w:color w:val="auto"/>
              </w:rPr>
            </w:pPr>
          </w:p>
        </w:tc>
      </w:tr>
      <w:tr>
        <w:trPr>
          <w:trHeight w:val="66"/>
        </w:trPr>
        <w:tc>
          <w:tcPr>
            <w:tcW w:w="3660" w:type="dxa"/>
            <w:vAlign w:val="bottom"/>
            <w:shd w:val="clear" w:color="auto" w:fill="153A57"/>
          </w:tcPr>
          <w:p>
            <w:pPr>
              <w:spacing w:after="0"/>
              <w:rPr>
                <w:sz w:val="5"/>
                <w:szCs w:val="5"/>
                <w:color w:val="auto"/>
              </w:rPr>
            </w:pPr>
          </w:p>
        </w:tc>
        <w:tc>
          <w:tcPr>
            <w:tcW w:w="4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5"/>
        </w:trPr>
        <w:tc>
          <w:tcPr>
            <w:tcW w:w="3660" w:type="dxa"/>
            <w:vAlign w:val="bottom"/>
            <w:shd w:val="clear" w:color="auto" w:fill="153A57"/>
          </w:tcPr>
          <w:p>
            <w:pPr>
              <w:ind w:left="120"/>
              <w:spacing w:after="0"/>
              <w:rPr>
                <w:sz w:val="20"/>
                <w:szCs w:val="20"/>
                <w:color w:val="auto"/>
              </w:rPr>
            </w:pPr>
            <w:r>
              <w:rPr>
                <w:rFonts w:ascii="Arial" w:cs="Arial" w:eastAsia="Arial" w:hAnsi="Arial"/>
                <w:sz w:val="18"/>
                <w:szCs w:val="18"/>
                <w:b w:val="1"/>
                <w:bCs w:val="1"/>
                <w:color w:val="FFFFFF"/>
              </w:rPr>
              <w:t>Export Duties</w:t>
            </w:r>
          </w:p>
        </w:tc>
        <w:tc>
          <w:tcPr>
            <w:tcW w:w="4960" w:type="dxa"/>
            <w:vAlign w:val="bottom"/>
          </w:tcPr>
          <w:p>
            <w:pPr>
              <w:jc w:val="center"/>
              <w:ind w:left="133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502"/>
        </w:trPr>
        <w:tc>
          <w:tcPr>
            <w:tcW w:w="3660" w:type="dxa"/>
            <w:vAlign w:val="bottom"/>
            <w:shd w:val="clear" w:color="auto" w:fill="153A57"/>
          </w:tcPr>
          <w:p>
            <w:pPr>
              <w:ind w:left="120"/>
              <w:spacing w:after="0"/>
              <w:rPr>
                <w:sz w:val="20"/>
                <w:szCs w:val="20"/>
                <w:color w:val="auto"/>
              </w:rPr>
            </w:pPr>
            <w:r>
              <w:rPr>
                <w:rFonts w:ascii="Arial" w:cs="Arial" w:eastAsia="Arial" w:hAnsi="Arial"/>
                <w:sz w:val="18"/>
                <w:szCs w:val="18"/>
                <w:b w:val="1"/>
                <w:bCs w:val="1"/>
                <w:color w:val="FFFFFF"/>
              </w:rPr>
              <w:t>Royalties</w:t>
            </w:r>
          </w:p>
        </w:tc>
        <w:tc>
          <w:tcPr>
            <w:tcW w:w="4960" w:type="dxa"/>
            <w:vAlign w:val="bottom"/>
          </w:tcPr>
          <w:p>
            <w:pPr>
              <w:jc w:val="center"/>
              <w:ind w:left="1350"/>
              <w:spacing w:after="0"/>
              <w:rPr>
                <w:sz w:val="20"/>
                <w:szCs w:val="20"/>
                <w:color w:val="auto"/>
              </w:rPr>
            </w:pPr>
            <w:r>
              <w:rPr>
                <w:rFonts w:ascii="Arial" w:cs="Arial" w:eastAsia="Arial" w:hAnsi="Arial"/>
                <w:sz w:val="18"/>
                <w:szCs w:val="18"/>
                <w:color w:val="auto"/>
                <w:w w:val="97"/>
              </w:rPr>
              <w:t>3.0%</w:t>
            </w:r>
          </w:p>
        </w:tc>
        <w:tc>
          <w:tcPr>
            <w:tcW w:w="0" w:type="dxa"/>
            <w:vAlign w:val="bottom"/>
          </w:tcPr>
          <w:p>
            <w:pPr>
              <w:spacing w:after="0"/>
              <w:rPr>
                <w:sz w:val="1"/>
                <w:szCs w:val="1"/>
                <w:color w:val="auto"/>
              </w:rPr>
            </w:pPr>
          </w:p>
        </w:tc>
      </w:tr>
      <w:tr>
        <w:trPr>
          <w:trHeight w:val="66"/>
        </w:trPr>
        <w:tc>
          <w:tcPr>
            <w:tcW w:w="3660" w:type="dxa"/>
            <w:vAlign w:val="bottom"/>
            <w:shd w:val="clear" w:color="auto" w:fill="153A57"/>
          </w:tcPr>
          <w:p>
            <w:pPr>
              <w:spacing w:after="0"/>
              <w:rPr>
                <w:sz w:val="5"/>
                <w:szCs w:val="5"/>
                <w:color w:val="auto"/>
              </w:rPr>
            </w:pPr>
          </w:p>
        </w:tc>
        <w:tc>
          <w:tcPr>
            <w:tcW w:w="4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5"/>
        </w:trPr>
        <w:tc>
          <w:tcPr>
            <w:tcW w:w="3660" w:type="dxa"/>
            <w:vAlign w:val="bottom"/>
            <w:shd w:val="clear" w:color="auto" w:fill="153A57"/>
          </w:tcPr>
          <w:p>
            <w:pPr>
              <w:ind w:left="120"/>
              <w:spacing w:after="0"/>
              <w:rPr>
                <w:sz w:val="20"/>
                <w:szCs w:val="20"/>
                <w:color w:val="auto"/>
              </w:rPr>
            </w:pPr>
            <w:r>
              <w:rPr>
                <w:rFonts w:ascii="Arial" w:cs="Arial" w:eastAsia="Arial" w:hAnsi="Arial"/>
                <w:sz w:val="18"/>
                <w:szCs w:val="18"/>
                <w:b w:val="1"/>
                <w:bCs w:val="1"/>
                <w:color w:val="FFFFFF"/>
              </w:rPr>
              <w:t>Calculated Recovery</w:t>
            </w:r>
          </w:p>
        </w:tc>
        <w:tc>
          <w:tcPr>
            <w:tcW w:w="4960" w:type="dxa"/>
            <w:vAlign w:val="bottom"/>
          </w:tcPr>
          <w:p>
            <w:pPr>
              <w:jc w:val="center"/>
              <w:ind w:left="1350"/>
              <w:spacing w:after="0"/>
              <w:rPr>
                <w:sz w:val="20"/>
                <w:szCs w:val="20"/>
                <w:color w:val="auto"/>
              </w:rPr>
            </w:pPr>
            <w:r>
              <w:rPr>
                <w:rFonts w:ascii="Arial" w:cs="Arial" w:eastAsia="Arial" w:hAnsi="Arial"/>
                <w:sz w:val="18"/>
                <w:szCs w:val="18"/>
                <w:color w:val="auto"/>
                <w:w w:val="99"/>
              </w:rPr>
              <w:t>75%</w:t>
            </w:r>
          </w:p>
        </w:tc>
        <w:tc>
          <w:tcPr>
            <w:tcW w:w="0" w:type="dxa"/>
            <w:vAlign w:val="bottom"/>
          </w:tcPr>
          <w:p>
            <w:pPr>
              <w:spacing w:after="0"/>
              <w:rPr>
                <w:sz w:val="1"/>
                <w:szCs w:val="1"/>
                <w:color w:val="auto"/>
              </w:rPr>
            </w:pPr>
          </w:p>
        </w:tc>
      </w:tr>
      <w:tr>
        <w:trPr>
          <w:trHeight w:val="66"/>
        </w:trPr>
        <w:tc>
          <w:tcPr>
            <w:tcW w:w="3660" w:type="dxa"/>
            <w:vAlign w:val="bottom"/>
            <w:shd w:val="clear" w:color="auto" w:fill="153A57"/>
          </w:tcPr>
          <w:p>
            <w:pPr>
              <w:spacing w:after="0"/>
              <w:rPr>
                <w:sz w:val="5"/>
                <w:szCs w:val="5"/>
                <w:color w:val="auto"/>
              </w:rPr>
            </w:pPr>
          </w:p>
        </w:tc>
        <w:tc>
          <w:tcPr>
            <w:tcW w:w="49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-2553970</wp:posOffset>
            </wp:positionV>
            <wp:extent cx="6078220" cy="25546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0">
                      <a:extLst>
                        <a:ext uri="{28A0092B-C50C-407E-A947-70E740481C1C}"/>
                      </a:extLst>
                    </a:blip>
                    <a:srcRect/>
                    <a:stretch>
                      <a:fillRect/>
                    </a:stretch>
                  </pic:blipFill>
                  <pic:spPr bwMode="auto">
                    <a:xfrm>
                      <a:off x="0" y="0"/>
                      <a:ext cx="6078220" cy="255460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-2553970</wp:posOffset>
            </wp:positionV>
            <wp:extent cx="6078220" cy="25546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1">
                      <a:extLst>
                        <a:ext uri="{28A0092B-C50C-407E-A947-70E740481C1C}"/>
                      </a:extLst>
                    </a:blip>
                    <a:srcRect/>
                    <a:stretch>
                      <a:fillRect/>
                    </a:stretch>
                  </pic:blipFill>
                  <pic:spPr bwMode="auto">
                    <a:xfrm>
                      <a:off x="0" y="0"/>
                      <a:ext cx="6078220" cy="2554605"/>
                    </a:xfrm>
                    <a:prstGeom prst="rect">
                      <a:avLst/>
                    </a:prstGeom>
                    <a:noFill/>
                  </pic:spPr>
                </pic:pic>
              </a:graphicData>
            </a:graphic>
          </wp:anchor>
        </w:drawing>
      </w:r>
    </w:p>
    <w:p>
      <w:pPr>
        <w:spacing w:after="0" w:line="313" w:lineRule="exact"/>
        <w:rPr>
          <w:sz w:val="20"/>
          <w:szCs w:val="20"/>
          <w:color w:val="auto"/>
        </w:rPr>
      </w:pPr>
    </w:p>
    <w:p>
      <w:pPr>
        <w:ind w:left="900"/>
        <w:spacing w:after="0"/>
        <w:rPr>
          <w:sz w:val="20"/>
          <w:szCs w:val="20"/>
          <w:color w:val="auto"/>
        </w:rPr>
      </w:pPr>
      <w:r>
        <w:rPr>
          <w:rFonts w:ascii="Arial" w:cs="Arial" w:eastAsia="Arial" w:hAnsi="Arial"/>
          <w:sz w:val="20"/>
          <w:szCs w:val="20"/>
          <w:color w:val="auto"/>
        </w:rPr>
        <w:t>Resulting in a calculated cut-off grade of 125 mg/l.</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22 / 26</w:t>
      </w:r>
    </w:p>
    <w:p>
      <w:pPr>
        <w:sectPr>
          <w:pgSz w:w="11900" w:h="16838" w:orient="portrait"/>
          <w:cols w:equalWidth="0" w:num="1">
            <w:col w:w="10460"/>
          </w:cols>
          <w:pgMar w:left="1440" w:top="1440" w:right="6" w:bottom="0" w:gutter="0" w:footer="0" w:header="0"/>
          <w:type w:val="continuous"/>
        </w:sectPr>
      </w:pPr>
    </w:p>
    <w:bookmarkStart w:id="132" w:name="page133"/>
    <w:bookmarkEnd w:id="132"/>
    <w:p>
      <w:pPr>
        <w:jc w:val="both"/>
        <w:ind w:left="900"/>
        <w:spacing w:after="0" w:line="313" w:lineRule="auto"/>
        <w:rPr>
          <w:sz w:val="20"/>
          <w:szCs w:val="20"/>
          <w:color w:val="auto"/>
        </w:rPr>
      </w:pPr>
      <w:r>
        <w:rPr>
          <w:rFonts w:ascii="Arial" w:cs="Arial" w:eastAsia="Arial" w:hAnsi="Arial"/>
          <w:sz w:val="20"/>
          <w:szCs w:val="20"/>
          <w:color w:val="auto"/>
        </w:rPr>
        <w:t>Factors that may affect the Brine Resource estimate include: locations of aquifer boundaries; lateral continu key aquifer zones; presence of fresh and brackish water which have the potential to dilute the brine in the we area; the uniformity of aquifer parameters within specific aquifer units; commodity price assumptions; chang hydrogeological, metallurgical recovery, and extraction assumptions; density assignments; and input factors to assess reasonable prospects for eventual economic extraction. Currently, Mr. Wang James (the QP), doe know any environmental, legal, title, taxation, socio-economic, marketing, political, or other factors that w materially affect the current Resource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1090295</wp:posOffset>
            </wp:positionV>
            <wp:extent cx="6764020"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23 / 26</w:t>
      </w:r>
    </w:p>
    <w:p>
      <w:pPr>
        <w:sectPr>
          <w:pgSz w:w="11900" w:h="16838" w:orient="portrait"/>
          <w:cols w:equalWidth="0" w:num="1">
            <w:col w:w="10460"/>
          </w:cols>
          <w:pgMar w:left="1440" w:top="1172" w:right="6" w:bottom="0" w:gutter="0" w:footer="0" w:header="0"/>
          <w:type w:val="continuous"/>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Mineral Resource Estimate Comparison Between December 31, 2024 and 2025</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company has reported its Mineral Resources in accordance with NI 43-101 for the periods ending Dece 31, 2024, and in accordance with S-K 1300 guidelines for the period ending December 31, 2025. The comp attributable interest was 100% for the period ending on December 31, 2025.</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Mineral Resources</w:t>
      </w:r>
    </w:p>
    <w:p>
      <w:pPr>
        <w:spacing w:after="0" w:line="279" w:lineRule="exact"/>
        <w:rPr>
          <w:sz w:val="20"/>
          <w:szCs w:val="20"/>
          <w:color w:val="auto"/>
        </w:rPr>
      </w:pPr>
    </w:p>
    <w:p>
      <w:pPr>
        <w:jc w:val="both"/>
        <w:ind w:left="900"/>
        <w:spacing w:after="0" w:line="332" w:lineRule="auto"/>
        <w:rPr>
          <w:sz w:val="20"/>
          <w:szCs w:val="20"/>
          <w:color w:val="auto"/>
        </w:rPr>
      </w:pPr>
      <w:r>
        <w:rPr>
          <w:rFonts w:ascii="Arial" w:cs="Arial" w:eastAsia="Arial" w:hAnsi="Arial"/>
          <w:sz w:val="19"/>
          <w:szCs w:val="19"/>
          <w:color w:val="auto"/>
        </w:rPr>
        <w:t>Table MR1 sets forth the comparison of the Mineral Resources as set forth in the Company’s annual repo Form 20-F for the year ended December 31, 2024. The Mineral Resources reported for the period en December 31, 2024, were calculated for its 100 % attributable interest in the PG Co concessions and di include the Mineral Resources on the Lithea and PASAU properties. No lithium cut-off concentration was ap to the Mineral Resources reported for the period ending December 31, 2024. For the period ending Decemb 2024, there were no changes in the Mineral Resources from the period ending December 31, 2023. The Mi Resource for the period ending December 31, 2025, include Mineral Resources contained on the Lithea Poz and Pastos Grandes properties, the PGCo properties and the PASAU properties. A lithium cut-off concentrat 125 mg/L was applied to the Mineral Resources reported for the period ending December 31, 2025</w:t>
      </w:r>
    </w:p>
    <w:p>
      <w:pPr>
        <w:spacing w:after="0" w:line="197"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Additional exploration work completed in Pozuelos between 2023 and 2025 include 17 boreholes PZ-20 PZ-2023-12, PZ-2023-14, PZ-2023-19, PZ-2023-20, PZ-2023-24, PZ-2023-26, PZ-2024-01, PZ-2024 PZ-2024-07, PZ-2024-09, PZ-2024-11, PZ-2024-13, PZ-2024-21, PZ-2024-22, PZ-2024-25, and PZ-2024-28 total drilling metreage of 6,698 m. The results of this additional exploration work were incorporated into geological and resource models for Pozuelos and led to the updated 2025 Resource Estimate shown in T MR1.</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Additional exploration work incorporated into the 2025 Pastos Resource Estimate include:</w:t>
      </w:r>
    </w:p>
    <w:p>
      <w:pPr>
        <w:spacing w:after="0" w:line="243" w:lineRule="exact"/>
        <w:rPr>
          <w:sz w:val="20"/>
          <w:szCs w:val="20"/>
          <w:color w:val="auto"/>
        </w:rPr>
      </w:pPr>
    </w:p>
    <w:p>
      <w:pPr>
        <w:ind w:left="1620" w:right="20" w:hanging="366"/>
        <w:spacing w:after="0" w:line="368" w:lineRule="auto"/>
        <w:tabs>
          <w:tab w:leader="none" w:pos="16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Two exploration boreholes using Mud Rotary and Diamond Drilling methodology (PGMW23-23 PGMW23-24) completed by LAR during 2023 on the PG Co concessions</w:t>
      </w:r>
    </w:p>
    <w:p>
      <w:pPr>
        <w:spacing w:after="0" w:line="134" w:lineRule="exact"/>
        <w:rPr>
          <w:rFonts w:ascii="Arial" w:cs="Arial" w:eastAsia="Arial" w:hAnsi="Arial"/>
          <w:sz w:val="20"/>
          <w:szCs w:val="20"/>
          <w:color w:val="auto"/>
        </w:rPr>
      </w:pPr>
    </w:p>
    <w:p>
      <w:pPr>
        <w:ind w:left="1620" w:hanging="366"/>
        <w:spacing w:after="0" w:line="373" w:lineRule="auto"/>
        <w:tabs>
          <w:tab w:leader="none" w:pos="16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Drilling programs on the Sal de la Puna Project carried out by Centaur and AMSA between 2018 2022 that consisted of two diamond core holes (DD-01 and DD-02), five combination core /rotary (PP-01- 2018, PP-02-2018 and R-01 through R-03), two production wells (PP-03-2019 and PW-1) several piezometer installations.</w:t>
      </w:r>
    </w:p>
    <w:p>
      <w:pPr>
        <w:spacing w:after="0" w:line="130"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An exploration campaign carried out by Ganfeng on its Lithea properties in Pastos Grandes during and 2024 that consisted of five diamond core holes (PG- 2023-02, 03, 04, 05 and 13) and two produ wells (PG-2023-03PW and PG-2024-21PW) using the mud rotary methodology.</w:t>
      </w:r>
    </w:p>
    <w:p>
      <w:pPr>
        <w:spacing w:after="0" w:line="167"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results of this exploration work were incorporated into the 2025 geological model (Leapfrog) for Pa Grandes. The domain of the 2025 Pastos Grandes resource model was expanded to incorporate the Sal d Puna and Lithea mining properties. The 2025 Mineral Resource estimate for the combined Pastos Gra properties was carried out using SGeMS modeling software and is shown in Table MR1.</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24 / 26</w:t>
      </w:r>
    </w:p>
    <w:p>
      <w:pPr>
        <w:sectPr>
          <w:pgSz w:w="11900" w:h="16838" w:orient="portrait"/>
          <w:cols w:equalWidth="0" w:num="1">
            <w:col w:w="10460"/>
          </w:cols>
          <w:pgMar w:left="1440" w:top="1440" w:right="6" w:bottom="0" w:gutter="0" w:footer="0" w:header="0"/>
          <w:type w:val="continuous"/>
        </w:sectPr>
      </w:pPr>
    </w:p>
    <w:bookmarkStart w:id="134" w:name="page135"/>
    <w:bookmarkEnd w:id="134"/>
    <w:p>
      <w:pPr>
        <w:jc w:val="both"/>
        <w:ind w:left="900"/>
        <w:spacing w:after="0" w:line="311" w:lineRule="auto"/>
        <w:rPr>
          <w:sz w:val="20"/>
          <w:szCs w:val="20"/>
          <w:color w:val="auto"/>
        </w:rPr>
      </w:pPr>
      <w:r>
        <w:rPr>
          <w:rFonts w:ascii="Arial" w:cs="Arial" w:eastAsia="Arial" w:hAnsi="Arial"/>
          <w:sz w:val="20"/>
          <w:szCs w:val="20"/>
          <w:color w:val="auto"/>
        </w:rPr>
        <w:t>Table MR2 provides a comparison of the LAR attributable Mineral Resources for the periods ending Dece 31, 2025, and December 31, 2024. Measured and Indicated Resources increased by 20% and Infe Resources increased by 100% between the two reporting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25 / 26</w:t>
      </w:r>
    </w:p>
    <w:p>
      <w:pPr>
        <w:sectPr>
          <w:pgSz w:w="11900" w:h="16838" w:orient="portrait"/>
          <w:cols w:equalWidth="0" w:num="1">
            <w:col w:w="10460"/>
          </w:cols>
          <w:pgMar w:left="1440" w:top="1172" w:right="6" w:bottom="0" w:gutter="0" w:footer="0" w:header="0"/>
          <w:type w:val="continuous"/>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right="40"/>
        <w:spacing w:after="0" w:line="307" w:lineRule="auto"/>
        <w:rPr>
          <w:sz w:val="20"/>
          <w:szCs w:val="20"/>
          <w:color w:val="auto"/>
        </w:rPr>
      </w:pPr>
      <w:r>
        <w:rPr>
          <w:rFonts w:ascii="Arial" w:cs="Arial" w:eastAsia="Arial" w:hAnsi="Arial"/>
          <w:sz w:val="20"/>
          <w:szCs w:val="20"/>
          <w:b w:val="1"/>
          <w:bCs w:val="1"/>
          <w:color w:val="auto"/>
        </w:rPr>
        <w:t>Table MR 1: Comparison of the PPG Mineral Resources on Dec 31, 2025, and PG Mineral Resource o 31, 2024 (100% interest basis)</w:t>
      </w:r>
    </w:p>
    <w:p>
      <w:pPr>
        <w:spacing w:after="0" w:line="309" w:lineRule="exact"/>
        <w:rPr>
          <w:sz w:val="20"/>
          <w:szCs w:val="20"/>
          <w:color w:val="auto"/>
        </w:rPr>
      </w:pPr>
    </w:p>
    <w:tbl>
      <w:tblPr>
        <w:tblLayout w:type="fixed"/>
        <w:tblInd w:w="900" w:type="dxa"/>
        <w:tblCellMar>
          <w:top w:w="0" w:type="dxa"/>
          <w:left w:w="0" w:type="dxa"/>
          <w:bottom w:w="0" w:type="dxa"/>
          <w:right w:w="0" w:type="dxa"/>
        </w:tblCellMar>
      </w:tblPr>
      <w:tr>
        <w:trPr>
          <w:trHeight w:val="250"/>
        </w:trPr>
        <w:tc>
          <w:tcPr>
            <w:tcW w:w="3000" w:type="dxa"/>
            <w:vAlign w:val="bottom"/>
            <w:shd w:val="clear" w:color="auto" w:fill="153A57"/>
          </w:tcPr>
          <w:p>
            <w:pPr>
              <w:spacing w:after="0"/>
              <w:rPr>
                <w:sz w:val="21"/>
                <w:szCs w:val="21"/>
                <w:color w:val="auto"/>
              </w:rPr>
            </w:pPr>
          </w:p>
        </w:tc>
        <w:tc>
          <w:tcPr>
            <w:tcW w:w="4020" w:type="dxa"/>
            <w:vAlign w:val="bottom"/>
            <w:gridSpan w:val="2"/>
            <w:shd w:val="clear" w:color="auto" w:fill="153A57"/>
          </w:tcPr>
          <w:p>
            <w:pPr>
              <w:jc w:val="right"/>
              <w:ind w:right="790"/>
              <w:spacing w:after="0"/>
              <w:rPr>
                <w:sz w:val="20"/>
                <w:szCs w:val="20"/>
                <w:color w:val="auto"/>
              </w:rPr>
            </w:pPr>
            <w:r>
              <w:rPr>
                <w:rFonts w:ascii="Arial" w:cs="Arial" w:eastAsia="Arial" w:hAnsi="Arial"/>
                <w:sz w:val="18"/>
                <w:szCs w:val="18"/>
                <w:b w:val="1"/>
                <w:bCs w:val="1"/>
                <w:color w:val="FFFFFF"/>
              </w:rPr>
              <w:t>December 31, 2025(1)</w:t>
            </w:r>
          </w:p>
        </w:tc>
        <w:tc>
          <w:tcPr>
            <w:tcW w:w="2540" w:type="dxa"/>
            <w:vAlign w:val="bottom"/>
            <w:gridSpan w:val="2"/>
            <w:shd w:val="clear" w:color="auto" w:fill="153A57"/>
          </w:tcPr>
          <w:p>
            <w:pPr>
              <w:jc w:val="right"/>
              <w:ind w:right="70"/>
              <w:spacing w:after="0"/>
              <w:rPr>
                <w:sz w:val="20"/>
                <w:szCs w:val="20"/>
                <w:color w:val="auto"/>
              </w:rPr>
            </w:pPr>
            <w:r>
              <w:rPr>
                <w:rFonts w:ascii="Arial" w:cs="Arial" w:eastAsia="Arial" w:hAnsi="Arial"/>
                <w:sz w:val="18"/>
                <w:szCs w:val="18"/>
                <w:b w:val="1"/>
                <w:bCs w:val="1"/>
                <w:color w:val="FFFFFF"/>
              </w:rPr>
              <w:t>December 31, 2024(2)</w:t>
            </w:r>
          </w:p>
        </w:tc>
        <w:tc>
          <w:tcPr>
            <w:tcW w:w="0" w:type="dxa"/>
            <w:vAlign w:val="bottom"/>
          </w:tcPr>
          <w:p>
            <w:pPr>
              <w:spacing w:after="0"/>
              <w:rPr>
                <w:sz w:val="1"/>
                <w:szCs w:val="1"/>
                <w:color w:val="auto"/>
              </w:rPr>
            </w:pPr>
          </w:p>
        </w:tc>
      </w:tr>
      <w:tr>
        <w:trPr>
          <w:trHeight w:val="286"/>
        </w:trPr>
        <w:tc>
          <w:tcPr>
            <w:tcW w:w="3000" w:type="dxa"/>
            <w:vAlign w:val="bottom"/>
            <w:vMerge w:val="restart"/>
            <w:shd w:val="clear" w:color="auto" w:fill="153A57"/>
          </w:tcPr>
          <w:p>
            <w:pPr>
              <w:ind w:left="100"/>
              <w:spacing w:after="0"/>
              <w:rPr>
                <w:sz w:val="20"/>
                <w:szCs w:val="20"/>
                <w:color w:val="auto"/>
              </w:rPr>
            </w:pPr>
            <w:r>
              <w:rPr>
                <w:rFonts w:ascii="Arial" w:cs="Arial" w:eastAsia="Arial" w:hAnsi="Arial"/>
                <w:sz w:val="18"/>
                <w:szCs w:val="18"/>
                <w:b w:val="1"/>
                <w:bCs w:val="1"/>
                <w:color w:val="FFFFFF"/>
              </w:rPr>
              <w:t>Category</w:t>
            </w:r>
          </w:p>
        </w:tc>
        <w:tc>
          <w:tcPr>
            <w:tcW w:w="2400" w:type="dxa"/>
            <w:vAlign w:val="bottom"/>
            <w:shd w:val="clear" w:color="auto" w:fill="153A57"/>
          </w:tcPr>
          <w:p>
            <w:pPr>
              <w:jc w:val="right"/>
              <w:ind w:right="590"/>
              <w:spacing w:after="0"/>
              <w:rPr>
                <w:sz w:val="20"/>
                <w:szCs w:val="20"/>
                <w:color w:val="auto"/>
              </w:rPr>
            </w:pPr>
            <w:r>
              <w:rPr>
                <w:rFonts w:ascii="Arial" w:cs="Arial" w:eastAsia="Arial" w:hAnsi="Arial"/>
                <w:sz w:val="18"/>
                <w:szCs w:val="18"/>
                <w:b w:val="1"/>
                <w:bCs w:val="1"/>
                <w:color w:val="FFFFFF"/>
              </w:rPr>
              <w:t>Lithium</w:t>
            </w:r>
          </w:p>
        </w:tc>
        <w:tc>
          <w:tcPr>
            <w:tcW w:w="1620" w:type="dxa"/>
            <w:vAlign w:val="bottom"/>
            <w:shd w:val="clear" w:color="auto" w:fill="153A57"/>
          </w:tcPr>
          <w:p>
            <w:pPr>
              <w:jc w:val="right"/>
              <w:ind w:right="710"/>
              <w:spacing w:after="0"/>
              <w:rPr>
                <w:sz w:val="20"/>
                <w:szCs w:val="20"/>
                <w:color w:val="auto"/>
              </w:rPr>
            </w:pPr>
            <w:r>
              <w:rPr>
                <w:rFonts w:ascii="Arial" w:cs="Arial" w:eastAsia="Arial" w:hAnsi="Arial"/>
                <w:sz w:val="18"/>
                <w:szCs w:val="18"/>
                <w:b w:val="1"/>
                <w:bCs w:val="1"/>
                <w:color w:val="FFFFFF"/>
              </w:rPr>
              <w:t>LCE</w:t>
            </w:r>
          </w:p>
        </w:tc>
        <w:tc>
          <w:tcPr>
            <w:tcW w:w="1620" w:type="dxa"/>
            <w:vAlign w:val="bottom"/>
            <w:shd w:val="clear" w:color="auto" w:fill="153A57"/>
          </w:tcPr>
          <w:p>
            <w:pPr>
              <w:jc w:val="right"/>
              <w:ind w:right="570"/>
              <w:spacing w:after="0"/>
              <w:rPr>
                <w:sz w:val="20"/>
                <w:szCs w:val="20"/>
                <w:color w:val="auto"/>
              </w:rPr>
            </w:pPr>
            <w:r>
              <w:rPr>
                <w:rFonts w:ascii="Arial" w:cs="Arial" w:eastAsia="Arial" w:hAnsi="Arial"/>
                <w:sz w:val="18"/>
                <w:szCs w:val="18"/>
                <w:b w:val="1"/>
                <w:bCs w:val="1"/>
                <w:color w:val="FFFFFF"/>
              </w:rPr>
              <w:t>Lithium</w:t>
            </w:r>
          </w:p>
        </w:tc>
        <w:tc>
          <w:tcPr>
            <w:tcW w:w="920" w:type="dxa"/>
            <w:vAlign w:val="bottom"/>
            <w:shd w:val="clear" w:color="auto" w:fill="153A57"/>
          </w:tcPr>
          <w:p>
            <w:pPr>
              <w:jc w:val="right"/>
              <w:ind w:right="10"/>
              <w:spacing w:after="0"/>
              <w:rPr>
                <w:sz w:val="20"/>
                <w:szCs w:val="20"/>
                <w:color w:val="auto"/>
              </w:rPr>
            </w:pPr>
            <w:r>
              <w:rPr>
                <w:rFonts w:ascii="Arial" w:cs="Arial" w:eastAsia="Arial" w:hAnsi="Arial"/>
                <w:sz w:val="18"/>
                <w:szCs w:val="18"/>
                <w:b w:val="1"/>
                <w:bCs w:val="1"/>
                <w:color w:val="FFFFFF"/>
              </w:rPr>
              <w:t>LCE</w:t>
            </w:r>
          </w:p>
        </w:tc>
        <w:tc>
          <w:tcPr>
            <w:tcW w:w="0" w:type="dxa"/>
            <w:vAlign w:val="bottom"/>
          </w:tcPr>
          <w:p>
            <w:pPr>
              <w:spacing w:after="0"/>
              <w:rPr>
                <w:sz w:val="1"/>
                <w:szCs w:val="1"/>
                <w:color w:val="auto"/>
              </w:rPr>
            </w:pPr>
          </w:p>
        </w:tc>
      </w:tr>
      <w:tr>
        <w:trPr>
          <w:trHeight w:val="136"/>
        </w:trPr>
        <w:tc>
          <w:tcPr>
            <w:tcW w:w="3000" w:type="dxa"/>
            <w:vAlign w:val="bottom"/>
            <w:vMerge w:val="continue"/>
            <w:shd w:val="clear" w:color="auto" w:fill="153A57"/>
          </w:tcPr>
          <w:p>
            <w:pPr>
              <w:spacing w:after="0"/>
              <w:rPr>
                <w:sz w:val="11"/>
                <w:szCs w:val="11"/>
                <w:color w:val="auto"/>
              </w:rPr>
            </w:pPr>
          </w:p>
        </w:tc>
        <w:tc>
          <w:tcPr>
            <w:tcW w:w="2400" w:type="dxa"/>
            <w:vAlign w:val="bottom"/>
            <w:vMerge w:val="restart"/>
            <w:shd w:val="clear" w:color="auto" w:fill="153A57"/>
          </w:tcPr>
          <w:p>
            <w:pPr>
              <w:jc w:val="right"/>
              <w:ind w:right="590"/>
              <w:spacing w:after="0"/>
              <w:rPr>
                <w:sz w:val="20"/>
                <w:szCs w:val="20"/>
                <w:color w:val="auto"/>
              </w:rPr>
            </w:pPr>
            <w:r>
              <w:rPr>
                <w:rFonts w:ascii="Arial" w:cs="Arial" w:eastAsia="Arial" w:hAnsi="Arial"/>
                <w:sz w:val="18"/>
                <w:szCs w:val="18"/>
                <w:b w:val="1"/>
                <w:bCs w:val="1"/>
                <w:color w:val="FFFFFF"/>
              </w:rPr>
              <w:t>Tonnes</w:t>
            </w:r>
          </w:p>
        </w:tc>
        <w:tc>
          <w:tcPr>
            <w:tcW w:w="1620" w:type="dxa"/>
            <w:vAlign w:val="bottom"/>
            <w:vMerge w:val="restart"/>
            <w:shd w:val="clear" w:color="auto" w:fill="153A57"/>
          </w:tcPr>
          <w:p>
            <w:pPr>
              <w:jc w:val="right"/>
              <w:ind w:right="570"/>
              <w:spacing w:after="0"/>
              <w:rPr>
                <w:sz w:val="20"/>
                <w:szCs w:val="20"/>
                <w:color w:val="auto"/>
              </w:rPr>
            </w:pPr>
            <w:r>
              <w:rPr>
                <w:rFonts w:ascii="Arial" w:cs="Arial" w:eastAsia="Arial" w:hAnsi="Arial"/>
                <w:sz w:val="18"/>
                <w:szCs w:val="18"/>
                <w:b w:val="1"/>
                <w:bCs w:val="1"/>
                <w:color w:val="FFFFFF"/>
              </w:rPr>
              <w:t>Tonnes</w:t>
            </w:r>
          </w:p>
        </w:tc>
        <w:tc>
          <w:tcPr>
            <w:tcW w:w="1620" w:type="dxa"/>
            <w:vAlign w:val="bottom"/>
            <w:vMerge w:val="restart"/>
            <w:shd w:val="clear" w:color="auto" w:fill="153A57"/>
          </w:tcPr>
          <w:p>
            <w:pPr>
              <w:jc w:val="right"/>
              <w:ind w:right="570"/>
              <w:spacing w:after="0"/>
              <w:rPr>
                <w:sz w:val="20"/>
                <w:szCs w:val="20"/>
                <w:color w:val="auto"/>
              </w:rPr>
            </w:pPr>
            <w:r>
              <w:rPr>
                <w:rFonts w:ascii="Arial" w:cs="Arial" w:eastAsia="Arial" w:hAnsi="Arial"/>
                <w:sz w:val="18"/>
                <w:szCs w:val="18"/>
                <w:b w:val="1"/>
                <w:bCs w:val="1"/>
                <w:color w:val="FFFFFF"/>
              </w:rPr>
              <w:t>Tonnes</w:t>
            </w:r>
          </w:p>
        </w:tc>
        <w:tc>
          <w:tcPr>
            <w:tcW w:w="920" w:type="dxa"/>
            <w:vAlign w:val="bottom"/>
            <w:vMerge w:val="restart"/>
            <w:shd w:val="clear" w:color="auto" w:fill="153A57"/>
          </w:tcPr>
          <w:p>
            <w:pPr>
              <w:jc w:val="right"/>
              <w:spacing w:after="0"/>
              <w:rPr>
                <w:sz w:val="20"/>
                <w:szCs w:val="20"/>
                <w:color w:val="auto"/>
              </w:rPr>
            </w:pPr>
            <w:r>
              <w:rPr>
                <w:rFonts w:ascii="Arial" w:cs="Arial" w:eastAsia="Arial" w:hAnsi="Arial"/>
                <w:sz w:val="18"/>
                <w:szCs w:val="18"/>
                <w:b w:val="1"/>
                <w:bCs w:val="1"/>
                <w:color w:val="FFFFFF"/>
              </w:rPr>
              <w:t>Tonnes</w:t>
            </w:r>
          </w:p>
        </w:tc>
        <w:tc>
          <w:tcPr>
            <w:tcW w:w="0" w:type="dxa"/>
            <w:vAlign w:val="bottom"/>
          </w:tcPr>
          <w:p>
            <w:pPr>
              <w:spacing w:after="0"/>
              <w:rPr>
                <w:sz w:val="1"/>
                <w:szCs w:val="1"/>
                <w:color w:val="auto"/>
              </w:rPr>
            </w:pPr>
          </w:p>
        </w:tc>
      </w:tr>
      <w:tr>
        <w:trPr>
          <w:trHeight w:val="152"/>
        </w:trPr>
        <w:tc>
          <w:tcPr>
            <w:tcW w:w="3000" w:type="dxa"/>
            <w:vAlign w:val="bottom"/>
            <w:tcBorders>
              <w:bottom w:val="single" w:sz="8" w:color="153A57"/>
            </w:tcBorders>
            <w:shd w:val="clear" w:color="auto" w:fill="153A57"/>
          </w:tcPr>
          <w:p>
            <w:pPr>
              <w:spacing w:after="0"/>
              <w:rPr>
                <w:sz w:val="13"/>
                <w:szCs w:val="13"/>
                <w:color w:val="auto"/>
              </w:rPr>
            </w:pPr>
          </w:p>
        </w:tc>
        <w:tc>
          <w:tcPr>
            <w:tcW w:w="2400" w:type="dxa"/>
            <w:vAlign w:val="bottom"/>
            <w:tcBorders>
              <w:bottom w:val="single" w:sz="8" w:color="153A57"/>
            </w:tcBorders>
            <w:vMerge w:val="continue"/>
            <w:shd w:val="clear" w:color="auto" w:fill="153A57"/>
          </w:tcPr>
          <w:p>
            <w:pPr>
              <w:spacing w:after="0"/>
              <w:rPr>
                <w:sz w:val="13"/>
                <w:szCs w:val="13"/>
                <w:color w:val="auto"/>
              </w:rPr>
            </w:pPr>
          </w:p>
        </w:tc>
        <w:tc>
          <w:tcPr>
            <w:tcW w:w="1620" w:type="dxa"/>
            <w:vAlign w:val="bottom"/>
            <w:tcBorders>
              <w:bottom w:val="single" w:sz="8" w:color="153A57"/>
            </w:tcBorders>
            <w:vMerge w:val="continue"/>
            <w:shd w:val="clear" w:color="auto" w:fill="153A57"/>
          </w:tcPr>
          <w:p>
            <w:pPr>
              <w:spacing w:after="0"/>
              <w:rPr>
                <w:sz w:val="13"/>
                <w:szCs w:val="13"/>
                <w:color w:val="auto"/>
              </w:rPr>
            </w:pPr>
          </w:p>
        </w:tc>
        <w:tc>
          <w:tcPr>
            <w:tcW w:w="1620" w:type="dxa"/>
            <w:vAlign w:val="bottom"/>
            <w:tcBorders>
              <w:bottom w:val="single" w:sz="8" w:color="153A57"/>
            </w:tcBorders>
            <w:vMerge w:val="continue"/>
            <w:shd w:val="clear" w:color="auto" w:fill="153A57"/>
          </w:tcPr>
          <w:p>
            <w:pPr>
              <w:spacing w:after="0"/>
              <w:rPr>
                <w:sz w:val="13"/>
                <w:szCs w:val="13"/>
                <w:color w:val="auto"/>
              </w:rPr>
            </w:pPr>
          </w:p>
        </w:tc>
        <w:tc>
          <w:tcPr>
            <w:tcW w:w="920" w:type="dxa"/>
            <w:vAlign w:val="bottom"/>
            <w:tcBorders>
              <w:bottom w:val="single" w:sz="8" w:color="153A57"/>
            </w:tcBorders>
            <w:vMerge w:val="continue"/>
            <w:shd w:val="clear" w:color="auto" w:fill="153A57"/>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000" w:type="dxa"/>
            <w:vAlign w:val="bottom"/>
          </w:tcPr>
          <w:p>
            <w:pPr>
              <w:ind w:left="100"/>
              <w:spacing w:after="0"/>
              <w:rPr>
                <w:sz w:val="20"/>
                <w:szCs w:val="20"/>
                <w:color w:val="auto"/>
              </w:rPr>
            </w:pPr>
            <w:r>
              <w:rPr>
                <w:rFonts w:ascii="Arial" w:cs="Arial" w:eastAsia="Arial" w:hAnsi="Arial"/>
                <w:sz w:val="18"/>
                <w:szCs w:val="18"/>
                <w:color w:val="auto"/>
              </w:rPr>
              <w:t>Measured</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2,490,038</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13,250,884</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662,000</w:t>
            </w:r>
          </w:p>
        </w:tc>
        <w:tc>
          <w:tcPr>
            <w:tcW w:w="920" w:type="dxa"/>
            <w:vAlign w:val="bottom"/>
          </w:tcPr>
          <w:p>
            <w:pPr>
              <w:jc w:val="right"/>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96"/>
        </w:trPr>
        <w:tc>
          <w:tcPr>
            <w:tcW w:w="3000" w:type="dxa"/>
            <w:vAlign w:val="bottom"/>
          </w:tcPr>
          <w:p>
            <w:pPr>
              <w:ind w:left="100"/>
              <w:spacing w:after="0"/>
              <w:rPr>
                <w:sz w:val="20"/>
                <w:szCs w:val="20"/>
                <w:color w:val="auto"/>
              </w:rPr>
            </w:pPr>
            <w:r>
              <w:rPr>
                <w:rFonts w:ascii="Arial" w:cs="Arial" w:eastAsia="Arial" w:hAnsi="Arial"/>
                <w:sz w:val="18"/>
                <w:szCs w:val="18"/>
                <w:color w:val="auto"/>
              </w:rPr>
              <w:t>Indicated</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249,877</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1,329,421</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118,000</w:t>
            </w:r>
          </w:p>
        </w:tc>
        <w:tc>
          <w:tcPr>
            <w:tcW w:w="92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96"/>
        </w:trPr>
        <w:tc>
          <w:tcPr>
            <w:tcW w:w="3000" w:type="dxa"/>
            <w:vAlign w:val="bottom"/>
          </w:tcPr>
          <w:p>
            <w:pPr>
              <w:ind w:left="100"/>
              <w:spacing w:after="0"/>
              <w:rPr>
                <w:sz w:val="20"/>
                <w:szCs w:val="20"/>
                <w:color w:val="auto"/>
              </w:rPr>
            </w:pPr>
            <w:r>
              <w:rPr>
                <w:rFonts w:ascii="Arial" w:cs="Arial" w:eastAsia="Arial" w:hAnsi="Arial"/>
                <w:sz w:val="18"/>
                <w:szCs w:val="18"/>
                <w:b w:val="1"/>
                <w:bCs w:val="1"/>
                <w:color w:val="auto"/>
              </w:rPr>
              <w:t>Measured + Indicated</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2,739,915</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14,580,305</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780,000</w:t>
            </w:r>
          </w:p>
        </w:tc>
        <w:tc>
          <w:tcPr>
            <w:tcW w:w="920" w:type="dxa"/>
            <w:vAlign w:val="bottom"/>
          </w:tcPr>
          <w:p>
            <w:pPr>
              <w:jc w:val="right"/>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96"/>
        </w:trPr>
        <w:tc>
          <w:tcPr>
            <w:tcW w:w="3000" w:type="dxa"/>
            <w:vAlign w:val="bottom"/>
          </w:tcPr>
          <w:p>
            <w:pPr>
              <w:ind w:left="100"/>
              <w:spacing w:after="0"/>
              <w:rPr>
                <w:sz w:val="20"/>
                <w:szCs w:val="20"/>
                <w:color w:val="auto"/>
              </w:rPr>
            </w:pPr>
            <w:r>
              <w:rPr>
                <w:rFonts w:ascii="Arial" w:cs="Arial" w:eastAsia="Arial" w:hAnsi="Arial"/>
                <w:sz w:val="18"/>
                <w:szCs w:val="18"/>
                <w:color w:val="auto"/>
              </w:rPr>
              <w:t>Inferred</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1,261,924</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6,714,800</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208,000</w:t>
            </w:r>
          </w:p>
        </w:tc>
        <w:tc>
          <w:tcPr>
            <w:tcW w:w="920" w:type="dxa"/>
            <w:vAlign w:val="bottom"/>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-540385</wp:posOffset>
            </wp:positionV>
            <wp:extent cx="607822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4">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-352425</wp:posOffset>
            </wp:positionV>
            <wp:extent cx="607822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5">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-164465</wp:posOffset>
            </wp:positionV>
            <wp:extent cx="607822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6">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22860</wp:posOffset>
            </wp:positionV>
            <wp:extent cx="607822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7">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366" w:lineRule="exact"/>
        <w:rPr>
          <w:sz w:val="20"/>
          <w:szCs w:val="20"/>
          <w:color w:val="auto"/>
        </w:rPr>
      </w:pPr>
    </w:p>
    <w:p>
      <w:pPr>
        <w:ind w:left="900" w:right="100"/>
        <w:spacing w:after="0" w:line="307" w:lineRule="auto"/>
        <w:rPr>
          <w:sz w:val="20"/>
          <w:szCs w:val="20"/>
          <w:color w:val="auto"/>
        </w:rPr>
      </w:pPr>
      <w:r>
        <w:rPr>
          <w:rFonts w:ascii="Arial" w:cs="Arial" w:eastAsia="Arial" w:hAnsi="Arial"/>
          <w:sz w:val="20"/>
          <w:szCs w:val="20"/>
          <w:b w:val="1"/>
          <w:bCs w:val="1"/>
          <w:color w:val="auto"/>
        </w:rPr>
        <w:t>Table MR 2: Comparison of the PPG Mineral Resources on Dec 31, 2025, and PG Mineral Resources Dec 31, 2024 (LAR attributable interest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234315</wp:posOffset>
            </wp:positionV>
            <wp:extent cx="1678940" cy="1816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8">
                      <a:extLst>
                        <a:ext uri="{28A0092B-C50C-407E-A947-70E740481C1C}"/>
                      </a:extLst>
                    </a:blip>
                    <a:srcRect/>
                    <a:stretch>
                      <a:fillRect/>
                    </a:stretch>
                  </pic:blipFill>
                  <pic:spPr bwMode="auto">
                    <a:xfrm>
                      <a:off x="0" y="0"/>
                      <a:ext cx="1678940" cy="18161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26 / 26</w:t>
      </w:r>
    </w:p>
    <w:p>
      <w:pPr>
        <w:sectPr>
          <w:pgSz w:w="11900" w:h="16838" w:orient="portrait"/>
          <w:cols w:equalWidth="0" w:num="1">
            <w:col w:w="10460"/>
          </w:cols>
          <w:pgMar w:left="1440" w:top="1440" w:right="6" w:bottom="0" w:gutter="0" w:footer="0" w:header="0"/>
          <w:type w:val="continuous"/>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Measured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821,713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4,372,792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3,522,000</w:t>
      </w:r>
    </w:p>
    <w:p>
      <w:pPr>
        <w:sectPr>
          <w:pgSz w:w="11900" w:h="16838" w:orient="portrait"/>
          <w:cols w:equalWidth="0" w:num="1">
            <w:col w:w="9300"/>
          </w:cols>
          <w:pgMar w:left="13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 / 26</w:t>
      </w:r>
    </w:p>
    <w:p>
      <w:pPr>
        <w:sectPr>
          <w:pgSz w:w="11900" w:h="16838" w:orient="portrait"/>
          <w:cols w:equalWidth="0" w:num="1">
            <w:col w:w="9300"/>
          </w:cols>
          <w:pgMar w:left="1360" w:top="1440" w:right="1246" w:bottom="0" w:gutter="0" w:footer="0" w:header="0"/>
          <w:type w:val="continuous"/>
        </w:sectPr>
      </w:pPr>
    </w:p>
    <w:bookmarkStart w:id="137" w:name="page138"/>
    <w:bookmarkEnd w:id="137"/>
    <w:p>
      <w:pPr>
        <w:jc w:val="right"/>
        <w:spacing w:after="0"/>
        <w:rPr>
          <w:sz w:val="20"/>
          <w:szCs w:val="20"/>
          <w:color w:val="auto"/>
        </w:rPr>
      </w:pPr>
      <w:r>
        <w:rPr>
          <w:rFonts w:ascii="Arial" w:cs="Arial" w:eastAsia="Arial" w:hAnsi="Arial"/>
          <w:sz w:val="18"/>
          <w:szCs w:val="18"/>
          <w:color w:val="auto"/>
        </w:rPr>
        <w:t>24</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Indicated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82,459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438,709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118,000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628,000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Measured + Indicated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904,172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4,811,501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26</w:t>
      </w:r>
    </w:p>
    <w:p>
      <w:pPr>
        <w:sectPr>
          <w:pgSz w:w="11900" w:h="16838" w:orient="portrait"/>
          <w:cols w:equalWidth="0" w:num="1">
            <w:col w:w="9400"/>
          </w:cols>
          <w:pgMar w:left="1260" w:top="1433" w:right="1246" w:bottom="0" w:gutter="0" w:footer="0" w:header="0"/>
          <w:type w:val="continuous"/>
        </w:sectPr>
      </w:pPr>
    </w:p>
    <w:bookmarkStart w:id="138" w:name="page139"/>
    <w:bookmarkEnd w:id="138"/>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6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p>
    <w:p>
      <w:pPr>
        <w:spacing w:after="0" w:line="65" w:lineRule="exact"/>
        <w:rPr>
          <w:sz w:val="20"/>
          <w:szCs w:val="20"/>
          <w:color w:val="auto"/>
        </w:rPr>
      </w:pPr>
    </w:p>
    <w:p>
      <w:pPr>
        <w:ind w:left="106"/>
        <w:spacing w:after="0"/>
        <w:rPr>
          <w:sz w:val="20"/>
          <w:szCs w:val="20"/>
          <w:color w:val="auto"/>
        </w:rPr>
      </w:pPr>
      <w:r>
        <w:rPr>
          <w:rFonts w:ascii="Arial" w:cs="Arial" w:eastAsia="Arial" w:hAnsi="Arial"/>
          <w:sz w:val="18"/>
          <w:szCs w:val="18"/>
          <w:color w:val="auto"/>
        </w:rPr>
        <w:t>Inferred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416,435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2,215,884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208,000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1,107,000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100</w:t>
      </w:r>
    </w:p>
    <w:p>
      <w:pPr>
        <w:spacing w:after="0" w:line="6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6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p>
    <w:p>
      <w:pPr>
        <w:spacing w:after="0" w:line="369" w:lineRule="exact"/>
        <w:rPr>
          <w:sz w:val="20"/>
          <w:szCs w:val="20"/>
          <w:color w:val="auto"/>
        </w:rPr>
      </w:pPr>
    </w:p>
    <w:p>
      <w:pPr>
        <w:ind w:left="6"/>
        <w:spacing w:after="0"/>
        <w:rPr>
          <w:sz w:val="20"/>
          <w:szCs w:val="20"/>
          <w:color w:val="auto"/>
        </w:rPr>
      </w:pPr>
      <w:r>
        <w:rPr>
          <w:rFonts w:ascii="Arial" w:cs="Arial" w:eastAsia="Arial" w:hAnsi="Arial"/>
          <w:sz w:val="20"/>
          <w:szCs w:val="20"/>
          <w:color w:val="auto"/>
        </w:rPr>
        <w:t>Note:</w:t>
      </w:r>
    </w:p>
    <w:p>
      <w:pPr>
        <w:spacing w:after="0" w:line="116" w:lineRule="exact"/>
        <w:rPr>
          <w:sz w:val="20"/>
          <w:szCs w:val="20"/>
          <w:color w:val="auto"/>
        </w:rPr>
      </w:pPr>
    </w:p>
    <w:p>
      <w:pPr>
        <w:ind w:left="326" w:hanging="326"/>
        <w:spacing w:after="0"/>
        <w:tabs>
          <w:tab w:leader="none" w:pos="326" w:val="left"/>
        </w:tabs>
        <w:numPr>
          <w:ilvl w:val="0"/>
          <w:numId w:val="51"/>
        </w:numPr>
        <w:rPr>
          <w:rFonts w:ascii="Arial" w:cs="Arial" w:eastAsia="Arial" w:hAnsi="Arial"/>
          <w:sz w:val="20"/>
          <w:szCs w:val="20"/>
          <w:color w:val="auto"/>
        </w:rPr>
      </w:pPr>
      <w:r>
        <w:rPr>
          <w:rFonts w:ascii="Arial" w:cs="Arial" w:eastAsia="Arial" w:hAnsi="Arial"/>
          <w:sz w:val="20"/>
          <w:szCs w:val="20"/>
          <w:color w:val="auto"/>
        </w:rPr>
        <w:t>LAR attributable interest based on 33% ownership in the combined PPG Project on Dec 31, 2025</w:t>
      </w:r>
    </w:p>
    <w:p>
      <w:pPr>
        <w:spacing w:after="0" w:line="290" w:lineRule="exact"/>
        <w:rPr>
          <w:rFonts w:ascii="Arial" w:cs="Arial" w:eastAsia="Arial" w:hAnsi="Arial"/>
          <w:sz w:val="20"/>
          <w:szCs w:val="20"/>
          <w:color w:val="auto"/>
        </w:rPr>
      </w:pPr>
    </w:p>
    <w:p>
      <w:pPr>
        <w:ind w:left="326" w:hanging="326"/>
        <w:spacing w:after="0"/>
        <w:tabs>
          <w:tab w:leader="none" w:pos="326" w:val="left"/>
        </w:tabs>
        <w:numPr>
          <w:ilvl w:val="0"/>
          <w:numId w:val="51"/>
        </w:numPr>
        <w:rPr>
          <w:rFonts w:ascii="Arial" w:cs="Arial" w:eastAsia="Arial" w:hAnsi="Arial"/>
          <w:sz w:val="20"/>
          <w:szCs w:val="20"/>
          <w:color w:val="auto"/>
        </w:rPr>
      </w:pPr>
      <w:r>
        <w:rPr>
          <w:rFonts w:ascii="Arial" w:cs="Arial" w:eastAsia="Arial" w:hAnsi="Arial"/>
          <w:sz w:val="20"/>
          <w:szCs w:val="20"/>
          <w:color w:val="auto"/>
        </w:rPr>
        <w:t>LAR attributable interest based on 100% ownership in the PGCo concessions on Dec 2024.</w:t>
      </w:r>
    </w:p>
    <w:p>
      <w:pPr>
        <w:spacing w:after="0" w:line="246"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Hydrologic Dynamic Modelling</w:t>
      </w:r>
    </w:p>
    <w:p>
      <w:pPr>
        <w:spacing w:after="0" w:line="27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Pozuelos</w:t>
      </w:r>
    </w:p>
    <w:p>
      <w:pPr>
        <w:spacing w:after="0" w:line="279" w:lineRule="exact"/>
        <w:rPr>
          <w:sz w:val="20"/>
          <w:szCs w:val="20"/>
          <w:color w:val="auto"/>
        </w:rPr>
      </w:pPr>
    </w:p>
    <w:p>
      <w:pPr>
        <w:jc w:val="both"/>
        <w:ind w:left="6" w:right="60"/>
        <w:spacing w:after="0" w:line="313" w:lineRule="auto"/>
        <w:rPr>
          <w:sz w:val="20"/>
          <w:szCs w:val="20"/>
          <w:color w:val="auto"/>
        </w:rPr>
      </w:pPr>
      <w:r>
        <w:rPr>
          <w:rFonts w:ascii="Arial" w:cs="Arial" w:eastAsia="Arial" w:hAnsi="Arial"/>
          <w:sz w:val="20"/>
          <w:szCs w:val="20"/>
          <w:color w:val="auto"/>
        </w:rPr>
        <w:t>In September 2024, Atacama Water Consultants completed the simulation of brine abstraction (960 L/s) from Pozuelos to support an annual production of 50,000 tonnes per annum LCE over a 20-year project life, evaluation of water level declines during the operation and water levels recoveries after the operation ceases, and evaluation of the effects of depleted brine infiltration (148 l/s) on lithium concentrations and LCE production targets.</w:t>
      </w:r>
    </w:p>
    <w:p>
      <w:pPr>
        <w:spacing w:after="0" w:line="210" w:lineRule="exact"/>
        <w:rPr>
          <w:sz w:val="20"/>
          <w:szCs w:val="20"/>
          <w:color w:val="auto"/>
        </w:rPr>
      </w:pPr>
    </w:p>
    <w:p>
      <w:pPr>
        <w:jc w:val="both"/>
        <w:ind w:left="6" w:right="80"/>
        <w:spacing w:after="0" w:line="311" w:lineRule="auto"/>
        <w:rPr>
          <w:sz w:val="20"/>
          <w:szCs w:val="20"/>
          <w:color w:val="auto"/>
        </w:rPr>
      </w:pPr>
      <w:r>
        <w:rPr>
          <w:rFonts w:ascii="Arial" w:cs="Arial" w:eastAsia="Arial" w:hAnsi="Arial"/>
          <w:sz w:val="20"/>
          <w:szCs w:val="20"/>
          <w:color w:val="auto"/>
        </w:rPr>
        <w:t>The updated model was built on Ganfeng’s original FEFLOW model (spz_reserves_model_2024.fem), prepared in FEFLOW 8.0 and was a single-density flow-and-lithium-transport model designed to produce a preliminary simulation result with and without planned infiltration schemes.</w:t>
      </w:r>
    </w:p>
    <w:p>
      <w:pPr>
        <w:spacing w:after="0" w:line="212" w:lineRule="exact"/>
        <w:rPr>
          <w:sz w:val="20"/>
          <w:szCs w:val="20"/>
          <w:color w:val="auto"/>
        </w:rPr>
      </w:pPr>
    </w:p>
    <w:p>
      <w:pPr>
        <w:jc w:val="both"/>
        <w:ind w:left="6" w:right="80"/>
        <w:spacing w:after="0" w:line="311" w:lineRule="auto"/>
        <w:rPr>
          <w:sz w:val="20"/>
          <w:szCs w:val="20"/>
          <w:color w:val="auto"/>
        </w:rPr>
      </w:pPr>
      <w:r>
        <w:rPr>
          <w:rFonts w:ascii="Arial" w:cs="Arial" w:eastAsia="Arial" w:hAnsi="Arial"/>
          <w:sz w:val="20"/>
          <w:szCs w:val="20"/>
          <w:color w:val="auto"/>
        </w:rPr>
        <w:t>These preliminary models show that, with the conceptual values of hydraulic conductivity, specific yield, and lateral recharge, the proposed total brine pumping rate of 960 L/s for a period of 20 years appears to be feasible.</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3 / 26</w:t>
      </w:r>
    </w:p>
    <w:p>
      <w:pPr>
        <w:sectPr>
          <w:pgSz w:w="11900" w:h="16838" w:orient="portrait"/>
          <w:cols w:equalWidth="0" w:num="1">
            <w:col w:w="9406"/>
          </w:cols>
          <w:pgMar w:left="1254" w:top="1440" w:right="1246" w:bottom="0" w:gutter="0" w:footer="0" w:header="0"/>
          <w:type w:val="continuous"/>
        </w:sectPr>
      </w:pPr>
    </w:p>
    <w:bookmarkStart w:id="139" w:name="page140"/>
    <w:bookmarkEnd w:id="139"/>
    <w:p>
      <w:pPr>
        <w:jc w:val="both"/>
        <w:ind w:right="40"/>
        <w:spacing w:after="0" w:line="313" w:lineRule="auto"/>
        <w:rPr>
          <w:sz w:val="20"/>
          <w:szCs w:val="20"/>
          <w:color w:val="auto"/>
        </w:rPr>
      </w:pPr>
      <w:r>
        <w:rPr>
          <w:rFonts w:ascii="Arial" w:cs="Arial" w:eastAsia="Arial" w:hAnsi="Arial"/>
          <w:sz w:val="20"/>
          <w:szCs w:val="20"/>
          <w:color w:val="auto"/>
        </w:rPr>
        <w:t>The preliminary run suggests that the freshwater well locations may not be sufficient to meet the 24 L/s of freshwater required for the project. With 960 L/s of total brine extraction, the model predicts drawdowns of greater than 80 m in areas, with an average drawdown on the order of 26 m at the end of operations. The modelling shows that changing the pumping rates at individual wells or including infiltration of 148 L/s (modelled as reinjection) can reduce the drawdown in local areas within the Salar. The infiltration can also improve freshwater capture by reducing drawdown along the Salar margins. The modelling shows that applying infiltration to the Pozuelos does not significantly affect the simulated brine production.</w:t>
      </w:r>
    </w:p>
    <w:p>
      <w:pPr>
        <w:spacing w:after="0" w:line="214"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The recovery after operations model predicts approximately 57% recovery by 10 years after the end of operations and 90% recovery by 20 years after the end of operations. The simulated water table recovery after the end of operations is fastest in the south, followed by the north and Salar margins. The low-permeability halite in the centre of the Salar is predicted to recover more slowly that the other areas. However, if there is any direct precipitation onto the Salar, this area could recover more quickly than modelled.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1089025</wp:posOffset>
            </wp:positionV>
            <wp:extent cx="6764020"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380"/>
          </w:cols>
          <w:pgMar w:left="1260" w:top="1172"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 / 26</w:t>
      </w:r>
    </w:p>
    <w:p>
      <w:pPr>
        <w:sectPr>
          <w:pgSz w:w="11900" w:h="16838" w:orient="portrait"/>
          <w:cols w:equalWidth="0" w:num="1">
            <w:col w:w="9380"/>
          </w:cols>
          <w:pgMar w:left="1260" w:top="1172" w:right="1266" w:bottom="0" w:gutter="0" w:footer="0" w:header="0"/>
          <w:type w:val="continuous"/>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Pastos Grandes</w:t>
      </w:r>
    </w:p>
    <w:p>
      <w:pPr>
        <w:spacing w:after="0" w:line="279" w:lineRule="exact"/>
        <w:rPr>
          <w:sz w:val="20"/>
          <w:szCs w:val="20"/>
          <w:color w:val="auto"/>
        </w:rPr>
      </w:pPr>
    </w:p>
    <w:p>
      <w:pPr>
        <w:ind w:left="900" w:right="40"/>
        <w:spacing w:after="0" w:line="307" w:lineRule="auto"/>
        <w:rPr>
          <w:sz w:val="20"/>
          <w:szCs w:val="20"/>
          <w:color w:val="auto"/>
        </w:rPr>
      </w:pPr>
      <w:r>
        <w:rPr>
          <w:rFonts w:ascii="Arial" w:cs="Arial" w:eastAsia="Arial" w:hAnsi="Arial"/>
          <w:sz w:val="20"/>
          <w:szCs w:val="20"/>
          <w:color w:val="auto"/>
        </w:rPr>
        <w:t>A numerical groundwater flow and transport model has been developed in December 2024. The modelling was carried out by DHI in Lima, Peru under close supervision of Atacama Water and the QP.</w:t>
      </w:r>
    </w:p>
    <w:p>
      <w:pPr>
        <w:spacing w:after="0" w:line="2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numerical model, calibrated to steady state and transient flows and heads, was used to simulate extraction over a 20-year period. The simulation utilizes transient groundwater flow and lithium mass tran beginning with the initial steady state head distribution and the initial lithium concentration distribution from brine resource estimate. The analysis assumes an overall efficiency of 75% to estimate the LCE producti freshwater wellfield with a total flow rate of 150 L/s (10 wells) is included in the simulation.</w:t>
      </w:r>
    </w:p>
    <w:p>
      <w:pPr>
        <w:spacing w:after="0" w:line="210" w:lineRule="exact"/>
        <w:rPr>
          <w:sz w:val="20"/>
          <w:szCs w:val="20"/>
          <w:color w:val="auto"/>
        </w:rPr>
      </w:pPr>
    </w:p>
    <w:p>
      <w:pPr>
        <w:ind w:left="900" w:right="80"/>
        <w:spacing w:after="0" w:line="307" w:lineRule="auto"/>
        <w:rPr>
          <w:sz w:val="20"/>
          <w:szCs w:val="20"/>
          <w:color w:val="auto"/>
        </w:rPr>
      </w:pPr>
      <w:r>
        <w:rPr>
          <w:rFonts w:ascii="Arial" w:cs="Arial" w:eastAsia="Arial" w:hAnsi="Arial"/>
          <w:sz w:val="20"/>
          <w:szCs w:val="20"/>
          <w:color w:val="auto"/>
        </w:rPr>
        <w:t>The brine wellfield production rate is 977 L/s for a period of 20 years, distributed among 47 production wells constant rate varying between 7 L/s and 25 L/s.</w:t>
      </w:r>
    </w:p>
    <w:p>
      <w:pPr>
        <w:spacing w:after="0" w:line="215"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model simulations predict that 1,395 kt of LCE is contained in the brine pumped to the evaporation p over the 20-year period, resulting in a final LCE plant production of 1,045 kt considering a 75% overall lit recovery efficiency. The yearly average over the 20-year period is 52.3 kt/year. The average lith concentration is predicted to range between 435 mg/l and 415 mg/l.</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Mineral Reserve</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No reserve has yet been defined for the PPG Project. Two updated groundwater models have been develop Pozuelos and Pastos Grandes Salars with the results of drilling and testing to date and this will be use develop a maiden reserve for the PPG Project</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Overview of Mining and Production Operations</w:t>
      </w:r>
    </w:p>
    <w:p>
      <w:pPr>
        <w:spacing w:after="0" w:line="279" w:lineRule="exact"/>
        <w:rPr>
          <w:sz w:val="20"/>
          <w:szCs w:val="20"/>
          <w:color w:val="auto"/>
        </w:rPr>
      </w:pPr>
    </w:p>
    <w:p>
      <w:pPr>
        <w:ind w:left="900" w:right="40"/>
        <w:spacing w:after="0" w:line="307" w:lineRule="auto"/>
        <w:rPr>
          <w:sz w:val="20"/>
          <w:szCs w:val="20"/>
          <w:color w:val="auto"/>
        </w:rPr>
      </w:pPr>
      <w:r>
        <w:rPr>
          <w:rFonts w:ascii="Arial" w:cs="Arial" w:eastAsia="Arial" w:hAnsi="Arial"/>
          <w:sz w:val="20"/>
          <w:szCs w:val="20"/>
          <w:color w:val="auto"/>
        </w:rPr>
        <w:t>The project will have the capacity to produce 153,000 TPA LCE of Li2CO3 and LiOH H2O, and it is planned developed and constructed in 3 Phases, each with a capacity of approximately 51,000 TPA LCE:</w:t>
      </w:r>
    </w:p>
    <w:p>
      <w:pPr>
        <w:spacing w:after="0" w:line="215" w:lineRule="exact"/>
        <w:rPr>
          <w:sz w:val="20"/>
          <w:szCs w:val="20"/>
          <w:color w:val="auto"/>
        </w:rPr>
      </w:pPr>
    </w:p>
    <w:p>
      <w:pPr>
        <w:ind w:left="900" w:right="20"/>
        <w:spacing w:after="0" w:line="307" w:lineRule="auto"/>
        <w:rPr>
          <w:sz w:val="20"/>
          <w:szCs w:val="20"/>
          <w:color w:val="auto"/>
        </w:rPr>
      </w:pPr>
      <w:r>
        <w:rPr>
          <w:rFonts w:ascii="Arial" w:cs="Arial" w:eastAsia="Arial" w:hAnsi="Arial"/>
          <w:sz w:val="20"/>
          <w:szCs w:val="20"/>
          <w:color w:val="auto"/>
        </w:rPr>
        <w:t>The plan is to produce during each Phase 40,000 TPA of lithium carbonate and 12,500 TPA of lithium hydr monohydrate (LHM) from extracted brine of the Pozuelos and Pastos Grandes wellfields.</w:t>
      </w:r>
    </w:p>
    <w:p>
      <w:pPr>
        <w:spacing w:after="0" w:line="215"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The project begins with the extraction of lithium-enriched brine from the Salar de Pozuelos/Pastos Grandes ends with the production of Lithium Carbonate and Lithium Hydroxide.</w:t>
      </w:r>
    </w:p>
    <w:p>
      <w:pPr>
        <w:spacing w:after="0" w:line="215" w:lineRule="exact"/>
        <w:rPr>
          <w:sz w:val="20"/>
          <w:szCs w:val="20"/>
          <w:color w:val="auto"/>
        </w:rPr>
      </w:pPr>
    </w:p>
    <w:p>
      <w:pPr>
        <w:jc w:val="both"/>
        <w:ind w:left="900" w:right="40"/>
        <w:spacing w:after="0" w:line="307" w:lineRule="auto"/>
        <w:rPr>
          <w:sz w:val="20"/>
          <w:szCs w:val="20"/>
          <w:color w:val="auto"/>
        </w:rPr>
      </w:pPr>
      <w:r>
        <w:rPr>
          <w:rFonts w:ascii="Arial" w:cs="Arial" w:eastAsia="Arial" w:hAnsi="Arial"/>
          <w:sz w:val="20"/>
          <w:szCs w:val="20"/>
          <w:color w:val="auto"/>
        </w:rPr>
        <w:t>The process route simulated for the production of lithium carbonate and lithium hydroxide from Pozuelos P Grandes brines resembles the flowsheet presented in shown in the “Overall Process Block Diagram” below.</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main steps involved in the production of Li2CO3 and LiOH×H2O are:</w:t>
      </w:r>
    </w:p>
    <w:p>
      <w:pPr>
        <w:spacing w:after="0" w:line="255" w:lineRule="exact"/>
        <w:rPr>
          <w:sz w:val="20"/>
          <w:szCs w:val="20"/>
          <w:color w:val="auto"/>
        </w:rPr>
      </w:pPr>
    </w:p>
    <w:p>
      <w:pPr>
        <w:ind w:left="1620" w:hanging="366"/>
        <w:spacing w:after="0"/>
        <w:tabs>
          <w:tab w:leader="none" w:pos="16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Extraction of brine from wells.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Pre-concentration of brine in solar evaporation ponds (0.24% Li).</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Brine purification with reagents (solvent extraction DLE process).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Brine purification with resins.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 / 26</w:t>
      </w:r>
    </w:p>
    <w:p>
      <w:pPr>
        <w:sectPr>
          <w:pgSz w:w="11900" w:h="16838" w:orient="portrait"/>
          <w:cols w:equalWidth="0" w:num="1">
            <w:col w:w="10460"/>
          </w:cols>
          <w:pgMar w:left="1440" w:top="1440" w:right="6" w:bottom="0" w:gutter="0" w:footer="0" w:header="0"/>
          <w:type w:val="continuous"/>
        </w:sectPr>
      </w:pPr>
    </w:p>
    <w:bookmarkStart w:id="141" w:name="page142"/>
    <w:bookmarkEnd w:id="141"/>
    <w:p>
      <w:pPr>
        <w:ind w:left="1620" w:hanging="366"/>
        <w:spacing w:after="0"/>
        <w:tabs>
          <w:tab w:leader="none" w:pos="16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Lithium carbonate plant battery grade and industrial technical grade.</w:t>
      </w:r>
    </w:p>
    <w:p>
      <w:pPr>
        <w:spacing w:after="0" w:line="254" w:lineRule="exact"/>
        <w:rPr>
          <w:rFonts w:ascii="Arial" w:cs="Arial" w:eastAsia="Arial" w:hAnsi="Arial"/>
          <w:sz w:val="19"/>
          <w:szCs w:val="19"/>
          <w:color w:val="auto"/>
        </w:rPr>
      </w:pPr>
    </w:p>
    <w:p>
      <w:pPr>
        <w:ind w:left="1620" w:hanging="366"/>
        <w:spacing w:after="0"/>
        <w:tabs>
          <w:tab w:leader="none" w:pos="16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Lithium hydroxide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1141095</wp:posOffset>
            </wp:positionV>
            <wp:extent cx="6764020"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026"/>
          </w:cols>
          <w:pgMar w:left="1440" w:top="133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 / 26</w:t>
      </w:r>
    </w:p>
    <w:p>
      <w:pPr>
        <w:sectPr>
          <w:pgSz w:w="11900" w:h="16838" w:orient="portrait"/>
          <w:cols w:equalWidth="0" w:num="1">
            <w:col w:w="9026"/>
          </w:cols>
          <w:pgMar w:left="1440" w:top="1335" w:right="1440" w:bottom="0" w:gutter="0" w:footer="0" w:header="0"/>
          <w:type w:val="continuous"/>
        </w:sectPr>
      </w:pPr>
    </w:p>
    <w:bookmarkStart w:id="142" w:name="page143"/>
    <w:bookmarkEnd w:id="1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Overall Process Block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217170</wp:posOffset>
            </wp:positionV>
            <wp:extent cx="5849620" cy="1924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1">
                      <a:extLst>
                        <a:ext uri="{28A0092B-C50C-407E-A947-70E740481C1C}"/>
                      </a:extLst>
                    </a:blip>
                    <a:srcRect/>
                    <a:stretch>
                      <a:fillRect/>
                    </a:stretch>
                  </pic:blipFill>
                  <pic:spPr bwMode="auto">
                    <a:xfrm>
                      <a:off x="0" y="0"/>
                      <a:ext cx="5849620" cy="1924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Table 10: Design Criteria for Brine Extraction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299720</wp:posOffset>
            </wp:positionV>
            <wp:extent cx="5901690" cy="652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2">
                      <a:extLst>
                        <a:ext uri="{28A0092B-C50C-407E-A947-70E740481C1C}"/>
                      </a:extLst>
                    </a:blip>
                    <a:srcRect/>
                    <a:stretch>
                      <a:fillRect/>
                    </a:stretch>
                  </pic:blipFill>
                  <pic:spPr bwMode="auto">
                    <a:xfrm>
                      <a:off x="0" y="0"/>
                      <a:ext cx="5901690" cy="6521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1000" w:type="dxa"/>
        <w:tblCellMar>
          <w:top w:w="0" w:type="dxa"/>
          <w:left w:w="0" w:type="dxa"/>
          <w:bottom w:w="0" w:type="dxa"/>
          <w:right w:w="0" w:type="dxa"/>
        </w:tblCellMar>
      </w:tblPr>
      <w:tr>
        <w:trPr>
          <w:trHeight w:val="395"/>
        </w:trPr>
        <w:tc>
          <w:tcPr>
            <w:tcW w:w="4420" w:type="dxa"/>
            <w:vAlign w:val="bottom"/>
            <w:shd w:val="clear" w:color="auto" w:fill="153A57"/>
          </w:tcPr>
          <w:p>
            <w:pPr>
              <w:ind w:left="120"/>
              <w:spacing w:after="0"/>
              <w:rPr>
                <w:sz w:val="20"/>
                <w:szCs w:val="20"/>
                <w:color w:val="auto"/>
              </w:rPr>
            </w:pPr>
            <w:r>
              <w:rPr>
                <w:rFonts w:ascii="Arial" w:cs="Arial" w:eastAsia="Arial" w:hAnsi="Arial"/>
                <w:sz w:val="20"/>
                <w:szCs w:val="20"/>
                <w:b w:val="1"/>
                <w:bCs w:val="1"/>
                <w:color w:val="FFFFFF"/>
              </w:rPr>
              <w:t>Design Criteria</w:t>
            </w:r>
          </w:p>
        </w:tc>
        <w:tc>
          <w:tcPr>
            <w:tcW w:w="2920" w:type="dxa"/>
            <w:vAlign w:val="bottom"/>
            <w:shd w:val="clear" w:color="auto" w:fill="153A57"/>
          </w:tcPr>
          <w:p>
            <w:pPr>
              <w:jc w:val="center"/>
              <w:ind w:left="580"/>
              <w:spacing w:after="0"/>
              <w:rPr>
                <w:sz w:val="20"/>
                <w:szCs w:val="20"/>
                <w:color w:val="auto"/>
              </w:rPr>
            </w:pPr>
            <w:r>
              <w:rPr>
                <w:rFonts w:ascii="Arial" w:cs="Arial" w:eastAsia="Arial" w:hAnsi="Arial"/>
                <w:sz w:val="20"/>
                <w:szCs w:val="20"/>
                <w:b w:val="1"/>
                <w:bCs w:val="1"/>
                <w:color w:val="FFFFFF"/>
              </w:rPr>
              <w:t>Unit</w:t>
            </w:r>
          </w:p>
        </w:tc>
        <w:tc>
          <w:tcPr>
            <w:tcW w:w="1940" w:type="dxa"/>
            <w:vAlign w:val="bottom"/>
            <w:shd w:val="clear" w:color="auto" w:fill="153A57"/>
          </w:tcPr>
          <w:p>
            <w:pPr>
              <w:ind w:left="580"/>
              <w:spacing w:after="0"/>
              <w:rPr>
                <w:sz w:val="20"/>
                <w:szCs w:val="20"/>
                <w:color w:val="auto"/>
              </w:rPr>
            </w:pPr>
            <w:r>
              <w:rPr>
                <w:rFonts w:ascii="Arial" w:cs="Arial" w:eastAsia="Arial" w:hAnsi="Arial"/>
                <w:sz w:val="20"/>
                <w:szCs w:val="20"/>
                <w:b w:val="1"/>
                <w:bCs w:val="1"/>
                <w:color w:val="FFFFFF"/>
              </w:rPr>
              <w:t>Quantity</w:t>
            </w:r>
          </w:p>
        </w:tc>
      </w:tr>
      <w:tr>
        <w:trPr>
          <w:trHeight w:val="174"/>
        </w:trPr>
        <w:tc>
          <w:tcPr>
            <w:tcW w:w="4420" w:type="dxa"/>
            <w:vAlign w:val="bottom"/>
            <w:shd w:val="clear" w:color="auto" w:fill="153A57"/>
          </w:tcPr>
          <w:p>
            <w:pPr>
              <w:spacing w:after="0"/>
              <w:rPr>
                <w:sz w:val="15"/>
                <w:szCs w:val="15"/>
                <w:color w:val="auto"/>
              </w:rPr>
            </w:pPr>
          </w:p>
        </w:tc>
        <w:tc>
          <w:tcPr>
            <w:tcW w:w="2920" w:type="dxa"/>
            <w:vAlign w:val="bottom"/>
            <w:shd w:val="clear" w:color="auto" w:fill="153A57"/>
          </w:tcPr>
          <w:p>
            <w:pPr>
              <w:spacing w:after="0"/>
              <w:rPr>
                <w:sz w:val="15"/>
                <w:szCs w:val="15"/>
                <w:color w:val="auto"/>
              </w:rPr>
            </w:pPr>
          </w:p>
        </w:tc>
        <w:tc>
          <w:tcPr>
            <w:tcW w:w="1940" w:type="dxa"/>
            <w:vAlign w:val="bottom"/>
            <w:shd w:val="clear" w:color="auto" w:fill="153A57"/>
          </w:tcPr>
          <w:p>
            <w:pPr>
              <w:spacing w:after="0"/>
              <w:rPr>
                <w:sz w:val="15"/>
                <w:szCs w:val="15"/>
                <w:color w:val="auto"/>
              </w:rPr>
            </w:pPr>
          </w:p>
        </w:tc>
      </w:tr>
      <w:tr>
        <w:trPr>
          <w:trHeight w:val="325"/>
        </w:trPr>
        <w:tc>
          <w:tcPr>
            <w:tcW w:w="4420" w:type="dxa"/>
            <w:vAlign w:val="bottom"/>
          </w:tcPr>
          <w:p>
            <w:pPr>
              <w:ind w:left="120"/>
              <w:spacing w:after="0"/>
              <w:rPr>
                <w:sz w:val="20"/>
                <w:szCs w:val="20"/>
                <w:color w:val="auto"/>
              </w:rPr>
            </w:pPr>
            <w:r>
              <w:rPr>
                <w:rFonts w:ascii="Arial" w:cs="Arial" w:eastAsia="Arial" w:hAnsi="Arial"/>
                <w:sz w:val="20"/>
                <w:szCs w:val="20"/>
                <w:color w:val="auto"/>
              </w:rPr>
              <w:t>Battery Grade Lithium Carbonate</w:t>
            </w:r>
          </w:p>
        </w:tc>
        <w:tc>
          <w:tcPr>
            <w:tcW w:w="2920" w:type="dxa"/>
            <w:vAlign w:val="bottom"/>
          </w:tcPr>
          <w:p>
            <w:pPr>
              <w:jc w:val="center"/>
              <w:ind w:left="580"/>
              <w:spacing w:after="0"/>
              <w:rPr>
                <w:sz w:val="20"/>
                <w:szCs w:val="20"/>
                <w:color w:val="auto"/>
              </w:rPr>
            </w:pPr>
            <w:r>
              <w:rPr>
                <w:rFonts w:ascii="Arial" w:cs="Arial" w:eastAsia="Arial" w:hAnsi="Arial"/>
                <w:sz w:val="20"/>
                <w:szCs w:val="20"/>
                <w:color w:val="auto"/>
                <w:w w:val="89"/>
              </w:rPr>
              <w:t>%</w:t>
            </w:r>
          </w:p>
        </w:tc>
        <w:tc>
          <w:tcPr>
            <w:tcW w:w="1940" w:type="dxa"/>
            <w:vAlign w:val="bottom"/>
          </w:tcPr>
          <w:p>
            <w:pPr>
              <w:jc w:val="center"/>
              <w:spacing w:after="0"/>
              <w:rPr>
                <w:sz w:val="20"/>
                <w:szCs w:val="20"/>
                <w:color w:val="auto"/>
              </w:rPr>
            </w:pPr>
            <w:r>
              <w:rPr>
                <w:rFonts w:ascii="Arial" w:cs="Arial" w:eastAsia="Arial" w:hAnsi="Arial"/>
                <w:sz w:val="20"/>
                <w:szCs w:val="20"/>
                <w:color w:val="auto"/>
              </w:rPr>
              <w:t>99.5</w:t>
            </w:r>
          </w:p>
        </w:tc>
      </w:tr>
      <w:tr>
        <w:trPr>
          <w:trHeight w:val="438"/>
        </w:trPr>
        <w:tc>
          <w:tcPr>
            <w:tcW w:w="4420" w:type="dxa"/>
            <w:vAlign w:val="bottom"/>
          </w:tcPr>
          <w:p>
            <w:pPr>
              <w:ind w:left="120"/>
              <w:spacing w:after="0"/>
              <w:rPr>
                <w:sz w:val="20"/>
                <w:szCs w:val="20"/>
                <w:color w:val="auto"/>
              </w:rPr>
            </w:pPr>
            <w:r>
              <w:rPr>
                <w:rFonts w:ascii="Arial" w:cs="Arial" w:eastAsia="Arial" w:hAnsi="Arial"/>
                <w:sz w:val="20"/>
                <w:szCs w:val="20"/>
                <w:color w:val="auto"/>
              </w:rPr>
              <w:t>Technical Grade Lithium Carbonate</w:t>
            </w:r>
          </w:p>
        </w:tc>
        <w:tc>
          <w:tcPr>
            <w:tcW w:w="2920" w:type="dxa"/>
            <w:vAlign w:val="bottom"/>
          </w:tcPr>
          <w:p>
            <w:pPr>
              <w:jc w:val="center"/>
              <w:ind w:left="580"/>
              <w:spacing w:after="0"/>
              <w:rPr>
                <w:sz w:val="20"/>
                <w:szCs w:val="20"/>
                <w:color w:val="auto"/>
              </w:rPr>
            </w:pPr>
            <w:r>
              <w:rPr>
                <w:rFonts w:ascii="Arial" w:cs="Arial" w:eastAsia="Arial" w:hAnsi="Arial"/>
                <w:sz w:val="20"/>
                <w:szCs w:val="20"/>
                <w:color w:val="auto"/>
                <w:w w:val="89"/>
              </w:rPr>
              <w:t>%</w:t>
            </w:r>
          </w:p>
        </w:tc>
        <w:tc>
          <w:tcPr>
            <w:tcW w:w="1940" w:type="dxa"/>
            <w:vAlign w:val="bottom"/>
          </w:tcPr>
          <w:p>
            <w:pPr>
              <w:jc w:val="center"/>
              <w:spacing w:after="0"/>
              <w:rPr>
                <w:sz w:val="20"/>
                <w:szCs w:val="20"/>
                <w:color w:val="auto"/>
              </w:rPr>
            </w:pPr>
            <w:r>
              <w:rPr>
                <w:rFonts w:ascii="Arial" w:cs="Arial" w:eastAsia="Arial" w:hAnsi="Arial"/>
                <w:sz w:val="20"/>
                <w:szCs w:val="20"/>
                <w:color w:val="auto"/>
              </w:rPr>
              <w:t>99.0</w:t>
            </w:r>
          </w:p>
        </w:tc>
      </w:tr>
      <w:tr>
        <w:trPr>
          <w:trHeight w:val="438"/>
        </w:trPr>
        <w:tc>
          <w:tcPr>
            <w:tcW w:w="4420" w:type="dxa"/>
            <w:vAlign w:val="bottom"/>
          </w:tcPr>
          <w:p>
            <w:pPr>
              <w:ind w:left="120"/>
              <w:spacing w:after="0"/>
              <w:rPr>
                <w:sz w:val="20"/>
                <w:szCs w:val="20"/>
                <w:color w:val="auto"/>
              </w:rPr>
            </w:pPr>
            <w:r>
              <w:rPr>
                <w:rFonts w:ascii="Arial" w:cs="Arial" w:eastAsia="Arial" w:hAnsi="Arial"/>
                <w:sz w:val="20"/>
                <w:szCs w:val="20"/>
                <w:color w:val="auto"/>
              </w:rPr>
              <w:t>Lithium Hydroxide Monohydrate</w:t>
            </w:r>
          </w:p>
        </w:tc>
        <w:tc>
          <w:tcPr>
            <w:tcW w:w="2920" w:type="dxa"/>
            <w:vAlign w:val="bottom"/>
          </w:tcPr>
          <w:p>
            <w:pPr>
              <w:jc w:val="center"/>
              <w:ind w:left="580"/>
              <w:spacing w:after="0"/>
              <w:rPr>
                <w:sz w:val="20"/>
                <w:szCs w:val="20"/>
                <w:color w:val="auto"/>
              </w:rPr>
            </w:pPr>
            <w:r>
              <w:rPr>
                <w:rFonts w:ascii="Arial" w:cs="Arial" w:eastAsia="Arial" w:hAnsi="Arial"/>
                <w:sz w:val="20"/>
                <w:szCs w:val="20"/>
                <w:color w:val="auto"/>
                <w:w w:val="89"/>
              </w:rPr>
              <w:t>%</w:t>
            </w:r>
          </w:p>
        </w:tc>
        <w:tc>
          <w:tcPr>
            <w:tcW w:w="1940" w:type="dxa"/>
            <w:vAlign w:val="bottom"/>
          </w:tcPr>
          <w:p>
            <w:pPr>
              <w:jc w:val="center"/>
              <w:spacing w:after="0"/>
              <w:rPr>
                <w:sz w:val="20"/>
                <w:szCs w:val="20"/>
                <w:color w:val="auto"/>
              </w:rPr>
            </w:pPr>
            <w:r>
              <w:rPr>
                <w:rFonts w:ascii="Arial" w:cs="Arial" w:eastAsia="Arial" w:hAnsi="Arial"/>
                <w:sz w:val="20"/>
                <w:szCs w:val="20"/>
                <w:color w:val="auto"/>
              </w:rPr>
              <w:t>99.8</w:t>
            </w:r>
          </w:p>
        </w:tc>
      </w:tr>
      <w:tr>
        <w:trPr>
          <w:trHeight w:val="438"/>
        </w:trPr>
        <w:tc>
          <w:tcPr>
            <w:tcW w:w="4420" w:type="dxa"/>
            <w:vAlign w:val="bottom"/>
          </w:tcPr>
          <w:p>
            <w:pPr>
              <w:ind w:left="120"/>
              <w:spacing w:after="0"/>
              <w:rPr>
                <w:sz w:val="20"/>
                <w:szCs w:val="20"/>
                <w:color w:val="auto"/>
              </w:rPr>
            </w:pPr>
            <w:r>
              <w:rPr>
                <w:rFonts w:ascii="Arial" w:cs="Arial" w:eastAsia="Arial" w:hAnsi="Arial"/>
                <w:sz w:val="20"/>
                <w:szCs w:val="20"/>
                <w:color w:val="auto"/>
              </w:rPr>
              <w:t>Production from Each Phase (3)</w:t>
            </w:r>
          </w:p>
        </w:tc>
        <w:tc>
          <w:tcPr>
            <w:tcW w:w="2920" w:type="dxa"/>
            <w:vAlign w:val="bottom"/>
          </w:tcPr>
          <w:p>
            <w:pPr>
              <w:jc w:val="center"/>
              <w:ind w:left="580"/>
              <w:spacing w:after="0"/>
              <w:rPr>
                <w:sz w:val="20"/>
                <w:szCs w:val="20"/>
                <w:color w:val="auto"/>
              </w:rPr>
            </w:pPr>
            <w:r>
              <w:rPr>
                <w:rFonts w:ascii="Arial" w:cs="Arial" w:eastAsia="Arial" w:hAnsi="Arial"/>
                <w:sz w:val="20"/>
                <w:szCs w:val="20"/>
                <w:color w:val="auto"/>
              </w:rPr>
              <w:t>TPA</w:t>
            </w:r>
          </w:p>
        </w:tc>
        <w:tc>
          <w:tcPr>
            <w:tcW w:w="1940" w:type="dxa"/>
            <w:vAlign w:val="bottom"/>
          </w:tcPr>
          <w:p>
            <w:pPr>
              <w:jc w:val="center"/>
              <w:spacing w:after="0"/>
              <w:rPr>
                <w:sz w:val="20"/>
                <w:szCs w:val="20"/>
                <w:color w:val="auto"/>
              </w:rPr>
            </w:pPr>
            <w:r>
              <w:rPr>
                <w:rFonts w:ascii="Arial" w:cs="Arial" w:eastAsia="Arial" w:hAnsi="Arial"/>
                <w:sz w:val="20"/>
                <w:szCs w:val="20"/>
                <w:color w:val="auto"/>
                <w:w w:val="98"/>
              </w:rPr>
              <w:t>51,000</w:t>
            </w:r>
          </w:p>
        </w:tc>
      </w:tr>
      <w:tr>
        <w:trPr>
          <w:trHeight w:val="438"/>
        </w:trPr>
        <w:tc>
          <w:tcPr>
            <w:tcW w:w="4420" w:type="dxa"/>
            <w:vAlign w:val="bottom"/>
          </w:tcPr>
          <w:p>
            <w:pPr>
              <w:ind w:left="120"/>
              <w:spacing w:after="0"/>
              <w:rPr>
                <w:sz w:val="20"/>
                <w:szCs w:val="20"/>
                <w:color w:val="auto"/>
              </w:rPr>
            </w:pPr>
            <w:r>
              <w:rPr>
                <w:rFonts w:ascii="Arial" w:cs="Arial" w:eastAsia="Arial" w:hAnsi="Arial"/>
                <w:sz w:val="20"/>
                <w:szCs w:val="20"/>
                <w:color w:val="auto"/>
              </w:rPr>
              <w:t>Operating Time (Ponds)</w:t>
            </w:r>
          </w:p>
        </w:tc>
        <w:tc>
          <w:tcPr>
            <w:tcW w:w="2920" w:type="dxa"/>
            <w:vAlign w:val="bottom"/>
          </w:tcPr>
          <w:p>
            <w:pPr>
              <w:jc w:val="center"/>
              <w:ind w:left="600"/>
              <w:spacing w:after="0"/>
              <w:rPr>
                <w:sz w:val="20"/>
                <w:szCs w:val="20"/>
                <w:color w:val="auto"/>
              </w:rPr>
            </w:pPr>
            <w:r>
              <w:rPr>
                <w:rFonts w:ascii="Arial" w:cs="Arial" w:eastAsia="Arial" w:hAnsi="Arial"/>
                <w:sz w:val="20"/>
                <w:szCs w:val="20"/>
                <w:color w:val="auto"/>
                <w:w w:val="99"/>
              </w:rPr>
              <w:t>Days/year</w:t>
            </w:r>
          </w:p>
        </w:tc>
        <w:tc>
          <w:tcPr>
            <w:tcW w:w="1940" w:type="dxa"/>
            <w:vAlign w:val="bottom"/>
          </w:tcPr>
          <w:p>
            <w:pPr>
              <w:jc w:val="center"/>
              <w:spacing w:after="0"/>
              <w:rPr>
                <w:sz w:val="20"/>
                <w:szCs w:val="20"/>
                <w:color w:val="auto"/>
              </w:rPr>
            </w:pPr>
            <w:r>
              <w:rPr>
                <w:rFonts w:ascii="Arial" w:cs="Arial" w:eastAsia="Arial" w:hAnsi="Arial"/>
                <w:sz w:val="20"/>
                <w:szCs w:val="20"/>
                <w:color w:val="auto"/>
              </w:rPr>
              <w:t>365</w:t>
            </w:r>
          </w:p>
        </w:tc>
      </w:tr>
      <w:tr>
        <w:trPr>
          <w:trHeight w:val="438"/>
        </w:trPr>
        <w:tc>
          <w:tcPr>
            <w:tcW w:w="4420" w:type="dxa"/>
            <w:vAlign w:val="bottom"/>
          </w:tcPr>
          <w:p>
            <w:pPr>
              <w:ind w:left="120"/>
              <w:spacing w:after="0"/>
              <w:rPr>
                <w:sz w:val="20"/>
                <w:szCs w:val="20"/>
                <w:color w:val="auto"/>
              </w:rPr>
            </w:pPr>
            <w:r>
              <w:rPr>
                <w:rFonts w:ascii="Arial" w:cs="Arial" w:eastAsia="Arial" w:hAnsi="Arial"/>
                <w:sz w:val="20"/>
                <w:szCs w:val="20"/>
                <w:color w:val="auto"/>
              </w:rPr>
              <w:t>Operating Time (Plants)</w:t>
            </w:r>
          </w:p>
        </w:tc>
        <w:tc>
          <w:tcPr>
            <w:tcW w:w="2920" w:type="dxa"/>
            <w:vAlign w:val="bottom"/>
          </w:tcPr>
          <w:p>
            <w:pPr>
              <w:jc w:val="center"/>
              <w:ind w:left="600"/>
              <w:spacing w:after="0"/>
              <w:rPr>
                <w:sz w:val="20"/>
                <w:szCs w:val="20"/>
                <w:color w:val="auto"/>
              </w:rPr>
            </w:pPr>
            <w:r>
              <w:rPr>
                <w:rFonts w:ascii="Arial" w:cs="Arial" w:eastAsia="Arial" w:hAnsi="Arial"/>
                <w:sz w:val="20"/>
                <w:szCs w:val="20"/>
                <w:color w:val="auto"/>
                <w:w w:val="99"/>
              </w:rPr>
              <w:t>Days/year</w:t>
            </w:r>
          </w:p>
        </w:tc>
        <w:tc>
          <w:tcPr>
            <w:tcW w:w="1940" w:type="dxa"/>
            <w:vAlign w:val="bottom"/>
          </w:tcPr>
          <w:p>
            <w:pPr>
              <w:jc w:val="center"/>
              <w:spacing w:after="0"/>
              <w:rPr>
                <w:sz w:val="20"/>
                <w:szCs w:val="20"/>
                <w:color w:val="auto"/>
              </w:rPr>
            </w:pPr>
            <w:r>
              <w:rPr>
                <w:rFonts w:ascii="Arial" w:cs="Arial" w:eastAsia="Arial" w:hAnsi="Arial"/>
                <w:sz w:val="20"/>
                <w:szCs w:val="20"/>
                <w:color w:val="auto"/>
              </w:rPr>
              <w:t>300</w:t>
            </w:r>
          </w:p>
        </w:tc>
      </w:tr>
      <w:tr>
        <w:trPr>
          <w:trHeight w:val="438"/>
        </w:trPr>
        <w:tc>
          <w:tcPr>
            <w:tcW w:w="4420" w:type="dxa"/>
            <w:vAlign w:val="bottom"/>
          </w:tcPr>
          <w:p>
            <w:pPr>
              <w:ind w:left="120"/>
              <w:spacing w:after="0"/>
              <w:rPr>
                <w:sz w:val="20"/>
                <w:szCs w:val="20"/>
                <w:color w:val="auto"/>
              </w:rPr>
            </w:pPr>
            <w:r>
              <w:rPr>
                <w:rFonts w:ascii="Arial" w:cs="Arial" w:eastAsia="Arial" w:hAnsi="Arial"/>
                <w:sz w:val="20"/>
                <w:szCs w:val="20"/>
                <w:color w:val="auto"/>
              </w:rPr>
              <w:t>Wells Phase 1</w:t>
            </w:r>
          </w:p>
        </w:tc>
        <w:tc>
          <w:tcPr>
            <w:tcW w:w="2920" w:type="dxa"/>
            <w:vAlign w:val="bottom"/>
          </w:tcPr>
          <w:p>
            <w:pPr>
              <w:jc w:val="center"/>
              <w:ind w:left="580"/>
              <w:spacing w:after="0"/>
              <w:rPr>
                <w:sz w:val="20"/>
                <w:szCs w:val="20"/>
                <w:color w:val="auto"/>
              </w:rPr>
            </w:pPr>
            <w:r>
              <w:rPr>
                <w:rFonts w:ascii="Arial" w:cs="Arial" w:eastAsia="Arial" w:hAnsi="Arial"/>
                <w:sz w:val="20"/>
                <w:szCs w:val="20"/>
                <w:color w:val="auto"/>
              </w:rPr>
              <w:t>N total wells</w:t>
            </w:r>
          </w:p>
        </w:tc>
        <w:tc>
          <w:tcPr>
            <w:tcW w:w="1940" w:type="dxa"/>
            <w:vAlign w:val="bottom"/>
          </w:tcPr>
          <w:p>
            <w:pPr>
              <w:jc w:val="center"/>
              <w:spacing w:after="0"/>
              <w:rPr>
                <w:sz w:val="20"/>
                <w:szCs w:val="20"/>
                <w:color w:val="auto"/>
              </w:rPr>
            </w:pPr>
            <w:r>
              <w:rPr>
                <w:rFonts w:ascii="Arial" w:cs="Arial" w:eastAsia="Arial" w:hAnsi="Arial"/>
                <w:sz w:val="20"/>
                <w:szCs w:val="20"/>
                <w:color w:val="auto"/>
                <w:w w:val="98"/>
              </w:rPr>
              <w:t>34</w:t>
            </w:r>
          </w:p>
        </w:tc>
      </w:tr>
      <w:tr>
        <w:trPr>
          <w:trHeight w:val="438"/>
        </w:trPr>
        <w:tc>
          <w:tcPr>
            <w:tcW w:w="4420" w:type="dxa"/>
            <w:vAlign w:val="bottom"/>
          </w:tcPr>
          <w:p>
            <w:pPr>
              <w:ind w:left="120"/>
              <w:spacing w:after="0"/>
              <w:rPr>
                <w:sz w:val="20"/>
                <w:szCs w:val="20"/>
                <w:color w:val="auto"/>
              </w:rPr>
            </w:pPr>
            <w:r>
              <w:rPr>
                <w:rFonts w:ascii="Arial" w:cs="Arial" w:eastAsia="Arial" w:hAnsi="Arial"/>
                <w:sz w:val="20"/>
                <w:szCs w:val="20"/>
                <w:color w:val="auto"/>
              </w:rPr>
              <w:t>Wells Phase 2</w:t>
            </w:r>
          </w:p>
        </w:tc>
        <w:tc>
          <w:tcPr>
            <w:tcW w:w="2920" w:type="dxa"/>
            <w:vAlign w:val="bottom"/>
          </w:tcPr>
          <w:p>
            <w:pPr>
              <w:jc w:val="center"/>
              <w:ind w:left="580"/>
              <w:spacing w:after="0"/>
              <w:rPr>
                <w:sz w:val="20"/>
                <w:szCs w:val="20"/>
                <w:color w:val="auto"/>
              </w:rPr>
            </w:pPr>
            <w:r>
              <w:rPr>
                <w:rFonts w:ascii="Arial" w:cs="Arial" w:eastAsia="Arial" w:hAnsi="Arial"/>
                <w:sz w:val="20"/>
                <w:szCs w:val="20"/>
                <w:color w:val="auto"/>
                <w:w w:val="99"/>
              </w:rPr>
              <w:t>N total Wells</w:t>
            </w:r>
          </w:p>
        </w:tc>
        <w:tc>
          <w:tcPr>
            <w:tcW w:w="1940" w:type="dxa"/>
            <w:vAlign w:val="bottom"/>
          </w:tcPr>
          <w:p>
            <w:pPr>
              <w:jc w:val="center"/>
              <w:spacing w:after="0"/>
              <w:rPr>
                <w:sz w:val="20"/>
                <w:szCs w:val="20"/>
                <w:color w:val="auto"/>
              </w:rPr>
            </w:pPr>
            <w:r>
              <w:rPr>
                <w:rFonts w:ascii="Arial" w:cs="Arial" w:eastAsia="Arial" w:hAnsi="Arial"/>
                <w:sz w:val="20"/>
                <w:szCs w:val="20"/>
                <w:color w:val="auto"/>
                <w:w w:val="98"/>
              </w:rPr>
              <w:t>61</w:t>
            </w:r>
          </w:p>
        </w:tc>
      </w:tr>
      <w:tr>
        <w:trPr>
          <w:trHeight w:val="438"/>
        </w:trPr>
        <w:tc>
          <w:tcPr>
            <w:tcW w:w="4420" w:type="dxa"/>
            <w:vAlign w:val="bottom"/>
          </w:tcPr>
          <w:p>
            <w:pPr>
              <w:ind w:left="120"/>
              <w:spacing w:after="0"/>
              <w:rPr>
                <w:sz w:val="20"/>
                <w:szCs w:val="20"/>
                <w:color w:val="auto"/>
              </w:rPr>
            </w:pPr>
            <w:r>
              <w:rPr>
                <w:rFonts w:ascii="Arial" w:cs="Arial" w:eastAsia="Arial" w:hAnsi="Arial"/>
                <w:sz w:val="20"/>
                <w:szCs w:val="20"/>
                <w:color w:val="auto"/>
              </w:rPr>
              <w:t>Wells Phase 3</w:t>
            </w:r>
          </w:p>
        </w:tc>
        <w:tc>
          <w:tcPr>
            <w:tcW w:w="2920" w:type="dxa"/>
            <w:vAlign w:val="bottom"/>
          </w:tcPr>
          <w:p>
            <w:pPr>
              <w:jc w:val="center"/>
              <w:ind w:left="580"/>
              <w:spacing w:after="0"/>
              <w:rPr>
                <w:sz w:val="20"/>
                <w:szCs w:val="20"/>
                <w:color w:val="auto"/>
              </w:rPr>
            </w:pPr>
            <w:r>
              <w:rPr>
                <w:rFonts w:ascii="Arial" w:cs="Arial" w:eastAsia="Arial" w:hAnsi="Arial"/>
                <w:sz w:val="20"/>
                <w:szCs w:val="20"/>
                <w:color w:val="auto"/>
                <w:w w:val="99"/>
              </w:rPr>
              <w:t>N total Wells</w:t>
            </w:r>
          </w:p>
        </w:tc>
        <w:tc>
          <w:tcPr>
            <w:tcW w:w="1940" w:type="dxa"/>
            <w:vAlign w:val="bottom"/>
          </w:tcPr>
          <w:p>
            <w:pPr>
              <w:jc w:val="center"/>
              <w:spacing w:after="0"/>
              <w:rPr>
                <w:sz w:val="20"/>
                <w:szCs w:val="20"/>
                <w:color w:val="auto"/>
              </w:rPr>
            </w:pPr>
            <w:r>
              <w:rPr>
                <w:rFonts w:ascii="Arial" w:cs="Arial" w:eastAsia="Arial" w:hAnsi="Arial"/>
                <w:sz w:val="20"/>
                <w:szCs w:val="20"/>
                <w:color w:val="auto"/>
                <w:w w:val="98"/>
              </w:rPr>
              <w:t>62</w:t>
            </w:r>
          </w:p>
        </w:tc>
      </w:tr>
      <w:tr>
        <w:trPr>
          <w:trHeight w:val="438"/>
        </w:trPr>
        <w:tc>
          <w:tcPr>
            <w:tcW w:w="4420" w:type="dxa"/>
            <w:vAlign w:val="bottom"/>
          </w:tcPr>
          <w:p>
            <w:pPr>
              <w:ind w:left="120"/>
              <w:spacing w:after="0"/>
              <w:rPr>
                <w:sz w:val="20"/>
                <w:szCs w:val="20"/>
                <w:color w:val="auto"/>
              </w:rPr>
            </w:pPr>
            <w:r>
              <w:rPr>
                <w:rFonts w:ascii="Arial" w:cs="Arial" w:eastAsia="Arial" w:hAnsi="Arial"/>
                <w:sz w:val="20"/>
                <w:szCs w:val="20"/>
                <w:color w:val="auto"/>
              </w:rPr>
              <w:t>Lithium Concentration in brine</w:t>
            </w:r>
          </w:p>
        </w:tc>
        <w:tc>
          <w:tcPr>
            <w:tcW w:w="2920" w:type="dxa"/>
            <w:vAlign w:val="bottom"/>
          </w:tcPr>
          <w:p>
            <w:pPr>
              <w:jc w:val="center"/>
              <w:ind w:left="580"/>
              <w:spacing w:after="0"/>
              <w:rPr>
                <w:sz w:val="20"/>
                <w:szCs w:val="20"/>
                <w:color w:val="auto"/>
              </w:rPr>
            </w:pPr>
            <w:r>
              <w:rPr>
                <w:rFonts w:ascii="Arial" w:cs="Arial" w:eastAsia="Arial" w:hAnsi="Arial"/>
                <w:sz w:val="20"/>
                <w:szCs w:val="20"/>
                <w:color w:val="auto"/>
              </w:rPr>
              <w:t>% Each Phase</w:t>
            </w:r>
          </w:p>
        </w:tc>
        <w:tc>
          <w:tcPr>
            <w:tcW w:w="1940" w:type="dxa"/>
            <w:vAlign w:val="bottom"/>
          </w:tcPr>
          <w:p>
            <w:pPr>
              <w:jc w:val="center"/>
              <w:spacing w:after="0"/>
              <w:rPr>
                <w:sz w:val="20"/>
                <w:szCs w:val="20"/>
                <w:color w:val="auto"/>
              </w:rPr>
            </w:pPr>
            <w:r>
              <w:rPr>
                <w:rFonts w:ascii="Arial" w:cs="Arial" w:eastAsia="Arial" w:hAnsi="Arial"/>
                <w:sz w:val="20"/>
                <w:szCs w:val="20"/>
                <w:color w:val="auto"/>
              </w:rPr>
              <w:t>0.045/0.035</w:t>
            </w:r>
          </w:p>
        </w:tc>
      </w:tr>
      <w:tr>
        <w:trPr>
          <w:trHeight w:val="438"/>
        </w:trPr>
        <w:tc>
          <w:tcPr>
            <w:tcW w:w="4420" w:type="dxa"/>
            <w:vAlign w:val="bottom"/>
          </w:tcPr>
          <w:p>
            <w:pPr>
              <w:ind w:left="120"/>
              <w:spacing w:after="0"/>
              <w:rPr>
                <w:sz w:val="20"/>
                <w:szCs w:val="20"/>
                <w:color w:val="auto"/>
              </w:rPr>
            </w:pPr>
            <w:r>
              <w:rPr>
                <w:rFonts w:ascii="Arial" w:cs="Arial" w:eastAsia="Arial" w:hAnsi="Arial"/>
                <w:sz w:val="20"/>
                <w:szCs w:val="20"/>
                <w:color w:val="auto"/>
              </w:rPr>
              <w:t>Evaporation Rate</w:t>
            </w:r>
          </w:p>
        </w:tc>
        <w:tc>
          <w:tcPr>
            <w:tcW w:w="2920" w:type="dxa"/>
            <w:vAlign w:val="bottom"/>
          </w:tcPr>
          <w:p>
            <w:pPr>
              <w:jc w:val="center"/>
              <w:ind w:left="600"/>
              <w:spacing w:after="0"/>
              <w:rPr>
                <w:sz w:val="20"/>
                <w:szCs w:val="20"/>
                <w:color w:val="auto"/>
              </w:rPr>
            </w:pPr>
            <w:r>
              <w:rPr>
                <w:rFonts w:ascii="Arial" w:cs="Arial" w:eastAsia="Arial" w:hAnsi="Arial"/>
                <w:sz w:val="20"/>
                <w:szCs w:val="20"/>
                <w:color w:val="auto"/>
                <w:w w:val="99"/>
              </w:rPr>
              <w:t>mm/d</w:t>
            </w:r>
          </w:p>
        </w:tc>
        <w:tc>
          <w:tcPr>
            <w:tcW w:w="1940" w:type="dxa"/>
            <w:vAlign w:val="bottom"/>
          </w:tcPr>
          <w:p>
            <w:pPr>
              <w:jc w:val="center"/>
              <w:spacing w:after="0"/>
              <w:rPr>
                <w:sz w:val="20"/>
                <w:szCs w:val="20"/>
                <w:color w:val="auto"/>
              </w:rPr>
            </w:pPr>
            <w:r>
              <w:rPr>
                <w:rFonts w:ascii="Arial" w:cs="Arial" w:eastAsia="Arial" w:hAnsi="Arial"/>
                <w:sz w:val="20"/>
                <w:szCs w:val="20"/>
                <w:color w:val="auto"/>
              </w:rPr>
              <w:t>7</w:t>
            </w:r>
          </w:p>
        </w:tc>
      </w:tr>
      <w:tr>
        <w:trPr>
          <w:trHeight w:val="438"/>
        </w:trPr>
        <w:tc>
          <w:tcPr>
            <w:tcW w:w="4420" w:type="dxa"/>
            <w:vAlign w:val="bottom"/>
          </w:tcPr>
          <w:p>
            <w:pPr>
              <w:ind w:left="120"/>
              <w:spacing w:after="0"/>
              <w:rPr>
                <w:sz w:val="20"/>
                <w:szCs w:val="20"/>
                <w:color w:val="auto"/>
              </w:rPr>
            </w:pPr>
            <w:r>
              <w:rPr>
                <w:rFonts w:ascii="Arial" w:cs="Arial" w:eastAsia="Arial" w:hAnsi="Arial"/>
                <w:sz w:val="20"/>
                <w:szCs w:val="20"/>
                <w:color w:val="auto"/>
              </w:rPr>
              <w:t>Overall Recovery (Design)</w:t>
            </w:r>
          </w:p>
        </w:tc>
        <w:tc>
          <w:tcPr>
            <w:tcW w:w="2920" w:type="dxa"/>
            <w:vAlign w:val="bottom"/>
          </w:tcPr>
          <w:p>
            <w:pPr>
              <w:jc w:val="center"/>
              <w:ind w:left="580"/>
              <w:spacing w:after="0"/>
              <w:rPr>
                <w:sz w:val="20"/>
                <w:szCs w:val="20"/>
                <w:color w:val="auto"/>
              </w:rPr>
            </w:pPr>
            <w:r>
              <w:rPr>
                <w:rFonts w:ascii="Arial" w:cs="Arial" w:eastAsia="Arial" w:hAnsi="Arial"/>
                <w:sz w:val="20"/>
                <w:szCs w:val="20"/>
                <w:color w:val="auto"/>
                <w:w w:val="89"/>
              </w:rPr>
              <w:t>%</w:t>
            </w:r>
          </w:p>
        </w:tc>
        <w:tc>
          <w:tcPr>
            <w:tcW w:w="1940" w:type="dxa"/>
            <w:vAlign w:val="bottom"/>
          </w:tcPr>
          <w:p>
            <w:pPr>
              <w:jc w:val="center"/>
              <w:spacing w:after="0"/>
              <w:rPr>
                <w:sz w:val="20"/>
                <w:szCs w:val="20"/>
                <w:color w:val="auto"/>
              </w:rPr>
            </w:pPr>
            <w:r>
              <w:rPr>
                <w:rFonts w:ascii="Arial" w:cs="Arial" w:eastAsia="Arial" w:hAnsi="Arial"/>
                <w:sz w:val="20"/>
                <w:szCs w:val="20"/>
                <w:color w:val="auto"/>
                <w:w w:val="98"/>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-3266440</wp:posOffset>
            </wp:positionV>
            <wp:extent cx="5888990" cy="3339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3">
                      <a:extLst>
                        <a:ext uri="{28A0092B-C50C-407E-A947-70E740481C1C}"/>
                      </a:extLst>
                    </a:blip>
                    <a:srcRect/>
                    <a:stretch>
                      <a:fillRect/>
                    </a:stretch>
                  </pic:blipFill>
                  <pic:spPr bwMode="auto">
                    <a:xfrm>
                      <a:off x="0" y="0"/>
                      <a:ext cx="5888990" cy="3339465"/>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-3266440</wp:posOffset>
            </wp:positionV>
            <wp:extent cx="5888990" cy="3339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4">
                      <a:extLst>
                        <a:ext uri="{28A0092B-C50C-407E-A947-70E740481C1C}"/>
                      </a:extLst>
                    </a:blip>
                    <a:srcRect/>
                    <a:stretch>
                      <a:fillRect/>
                    </a:stretch>
                  </pic:blipFill>
                  <pic:spPr bwMode="auto">
                    <a:xfrm>
                      <a:off x="0" y="0"/>
                      <a:ext cx="5888990" cy="333946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Mineral Extraction</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brine extraction wellfields will be located within the respective Salars and will be accessible by interconn roads. The production process starts when brine is pumped from the aquifers beneath the Salars, using elec pumps, placed in bores (wells) that are completed in the Salars. The extracted brine is pumped from each w a main distribution pipeline and then to the evaporation ponds.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 / 26</w:t>
      </w:r>
    </w:p>
    <w:p>
      <w:pPr>
        <w:sectPr>
          <w:pgSz w:w="11900" w:h="16838" w:orient="portrait"/>
          <w:cols w:equalWidth="0" w:num="1">
            <w:col w:w="10460"/>
          </w:cols>
          <w:pgMar w:left="1440" w:top="1440" w:right="6" w:bottom="0" w:gutter="0" w:footer="0" w:header="0"/>
          <w:type w:val="continuous"/>
        </w:sectPr>
      </w:pPr>
    </w:p>
    <w:bookmarkStart w:id="143" w:name="page144"/>
    <w:bookmarkEnd w:id="143"/>
    <w:p>
      <w:pPr>
        <w:jc w:val="both"/>
        <w:ind w:left="900"/>
        <w:spacing w:after="0" w:line="313" w:lineRule="auto"/>
        <w:rPr>
          <w:sz w:val="20"/>
          <w:szCs w:val="20"/>
          <w:color w:val="auto"/>
        </w:rPr>
      </w:pPr>
      <w:r>
        <w:rPr>
          <w:rFonts w:ascii="Arial" w:cs="Arial" w:eastAsia="Arial" w:hAnsi="Arial"/>
          <w:sz w:val="20"/>
          <w:szCs w:val="20"/>
          <w:color w:val="auto"/>
        </w:rPr>
        <w:t>Phase 1 wellfield comprising 34 production wells, while Phases 2 and 3 will include 60 and 61 wells respec including spares and redundant wells. The brine production wells will be completed with 12 in-diameter stai steel production casing and be equipped with 380V submersible pumping equipment. The well depth will from 420 m to 640 m for the different phases of the project. The power to the wellfield and individual wells w delivered via a medium voltage power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1087755</wp:posOffset>
            </wp:positionV>
            <wp:extent cx="6764020"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 / 26</w:t>
      </w:r>
    </w:p>
    <w:p>
      <w:pPr>
        <w:sectPr>
          <w:pgSz w:w="11900" w:h="16838" w:orient="portrait"/>
          <w:cols w:equalWidth="0" w:num="1">
            <w:col w:w="10460"/>
          </w:cols>
          <w:pgMar w:left="1440" w:top="1172" w:right="6" w:bottom="0" w:gutter="0" w:footer="0" w:header="0"/>
          <w:type w:val="continuous"/>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brine production wellfield will be operated during the three Phases to support a production of approxim 51,000 TPA of LCE for each phase. Based on the operational experience of similar installations, wells availa of 80-90% can be achieved.</w:t>
      </w:r>
    </w:p>
    <w:p>
      <w:pPr>
        <w:spacing w:after="0" w:line="212" w:lineRule="exact"/>
        <w:rPr>
          <w:sz w:val="20"/>
          <w:szCs w:val="20"/>
          <w:color w:val="auto"/>
        </w:rPr>
      </w:pPr>
    </w:p>
    <w:p>
      <w:pPr>
        <w:ind w:left="900" w:right="40"/>
        <w:spacing w:after="0" w:line="307" w:lineRule="auto"/>
        <w:rPr>
          <w:sz w:val="20"/>
          <w:szCs w:val="20"/>
          <w:color w:val="auto"/>
        </w:rPr>
      </w:pPr>
      <w:r>
        <w:rPr>
          <w:rFonts w:ascii="Arial" w:cs="Arial" w:eastAsia="Arial" w:hAnsi="Arial"/>
          <w:sz w:val="20"/>
          <w:szCs w:val="20"/>
          <w:color w:val="auto"/>
        </w:rPr>
        <w:t>The project will have the capacity to produce 153,000 TPA LCE of Li2CO3 and LiOH H2O, and it is planned developed and constructed in 3 Phases, each with a capacity of approximately 51,000 TPA LCE:</w:t>
      </w:r>
    </w:p>
    <w:p>
      <w:pPr>
        <w:spacing w:after="0" w:line="124" w:lineRule="exact"/>
        <w:rPr>
          <w:sz w:val="20"/>
          <w:szCs w:val="20"/>
          <w:color w:val="auto"/>
        </w:rPr>
      </w:pPr>
    </w:p>
    <w:p>
      <w:pPr>
        <w:ind w:left="1620" w:hanging="366"/>
        <w:spacing w:after="0"/>
        <w:tabs>
          <w:tab w:leader="none" w:pos="1620" w:val="left"/>
        </w:tabs>
        <w:numPr>
          <w:ilvl w:val="0"/>
          <w:numId w:val="54"/>
        </w:numPr>
        <w:rPr>
          <w:rFonts w:ascii="Arial" w:cs="Arial" w:eastAsia="Arial" w:hAnsi="Arial"/>
          <w:sz w:val="20"/>
          <w:szCs w:val="20"/>
          <w:color w:val="auto"/>
        </w:rPr>
      </w:pPr>
      <w:r>
        <w:rPr>
          <w:rFonts w:ascii="Arial" w:cs="Arial" w:eastAsia="Arial" w:hAnsi="Arial"/>
          <w:sz w:val="20"/>
          <w:szCs w:val="20"/>
          <w:b w:val="1"/>
          <w:bCs w:val="1"/>
          <w:color w:val="auto"/>
        </w:rPr>
        <w:t xml:space="preserve">Phase 1: </w:t>
      </w:r>
      <w:r>
        <w:rPr>
          <w:rFonts w:ascii="Arial" w:cs="Arial" w:eastAsia="Arial" w:hAnsi="Arial"/>
          <w:sz w:val="20"/>
          <w:szCs w:val="20"/>
          <w:color w:val="auto"/>
        </w:rPr>
        <w:t>40,000 TPA Li</w:t>
      </w:r>
      <w:r>
        <w:rPr>
          <w:rFonts w:ascii="Arial" w:cs="Arial" w:eastAsia="Arial" w:hAnsi="Arial"/>
          <w:sz w:val="26"/>
          <w:szCs w:val="26"/>
          <w:color w:val="auto"/>
          <w:vertAlign w:val="subscript"/>
        </w:rPr>
        <w:t>2</w:t>
      </w:r>
      <w:r>
        <w:rPr>
          <w:rFonts w:ascii="Arial" w:cs="Arial" w:eastAsia="Arial" w:hAnsi="Arial"/>
          <w:sz w:val="20"/>
          <w:szCs w:val="20"/>
          <w:color w:val="auto"/>
        </w:rPr>
        <w:t>CO</w:t>
      </w:r>
      <w:r>
        <w:rPr>
          <w:rFonts w:ascii="Arial" w:cs="Arial" w:eastAsia="Arial" w:hAnsi="Arial"/>
          <w:sz w:val="26"/>
          <w:szCs w:val="26"/>
          <w:color w:val="auto"/>
          <w:vertAlign w:val="subscript"/>
        </w:rPr>
        <w:t>3</w:t>
      </w:r>
      <w:r>
        <w:rPr>
          <w:rFonts w:ascii="Arial" w:cs="Arial" w:eastAsia="Arial" w:hAnsi="Arial"/>
          <w:sz w:val="20"/>
          <w:szCs w:val="20"/>
          <w:b w:val="1"/>
          <w:bCs w:val="1"/>
          <w:color w:val="auto"/>
        </w:rPr>
        <w:t xml:space="preserve"> </w:t>
      </w:r>
      <w:r>
        <w:rPr>
          <w:rFonts w:ascii="Arial" w:cs="Arial" w:eastAsia="Arial" w:hAnsi="Arial"/>
          <w:sz w:val="20"/>
          <w:szCs w:val="20"/>
          <w:color w:val="auto"/>
        </w:rPr>
        <w:t>+ 12,500 TPA LiOH×H</w:t>
      </w:r>
      <w:r>
        <w:rPr>
          <w:rFonts w:ascii="Arial" w:cs="Arial" w:eastAsia="Arial" w:hAnsi="Arial"/>
          <w:sz w:val="26"/>
          <w:szCs w:val="26"/>
          <w:color w:val="auto"/>
          <w:vertAlign w:val="subscript"/>
        </w:rPr>
        <w:t>2</w:t>
      </w:r>
      <w:r>
        <w:rPr>
          <w:rFonts w:ascii="Arial" w:cs="Arial" w:eastAsia="Arial" w:hAnsi="Arial"/>
          <w:sz w:val="20"/>
          <w:szCs w:val="20"/>
          <w:color w:val="auto"/>
        </w:rPr>
        <w:t>O</w:t>
      </w:r>
    </w:p>
    <w:p>
      <w:pPr>
        <w:spacing w:after="0" w:line="253" w:lineRule="exact"/>
        <w:rPr>
          <w:rFonts w:ascii="Arial" w:cs="Arial" w:eastAsia="Arial" w:hAnsi="Arial"/>
          <w:sz w:val="20"/>
          <w:szCs w:val="20"/>
          <w:color w:val="auto"/>
        </w:rPr>
      </w:pPr>
    </w:p>
    <w:p>
      <w:pPr>
        <w:ind w:left="2340" w:hanging="366"/>
        <w:spacing w:after="0"/>
        <w:tabs>
          <w:tab w:leader="none" w:pos="2340" w:val="left"/>
        </w:tabs>
        <w:numPr>
          <w:ilvl w:val="1"/>
          <w:numId w:val="54"/>
        </w:numPr>
        <w:rPr>
          <w:rFonts w:ascii="Arial" w:cs="Arial" w:eastAsia="Arial" w:hAnsi="Arial"/>
          <w:sz w:val="20"/>
          <w:szCs w:val="20"/>
          <w:color w:val="auto"/>
        </w:rPr>
      </w:pPr>
      <w:r>
        <w:rPr>
          <w:rFonts w:ascii="Arial" w:cs="Arial" w:eastAsia="Arial" w:hAnsi="Arial"/>
          <w:sz w:val="20"/>
          <w:szCs w:val="20"/>
          <w:color w:val="auto"/>
        </w:rPr>
        <w:t>Brine from Pozuelos</w:t>
      </w:r>
    </w:p>
    <w:p>
      <w:pPr>
        <w:spacing w:after="0" w:line="250" w:lineRule="exact"/>
        <w:rPr>
          <w:rFonts w:ascii="Arial" w:cs="Arial" w:eastAsia="Arial" w:hAnsi="Arial"/>
          <w:sz w:val="20"/>
          <w:szCs w:val="20"/>
          <w:color w:val="auto"/>
        </w:rPr>
      </w:pPr>
    </w:p>
    <w:p>
      <w:pPr>
        <w:ind w:left="2340" w:hanging="366"/>
        <w:spacing w:after="0"/>
        <w:tabs>
          <w:tab w:leader="none" w:pos="2340" w:val="left"/>
        </w:tabs>
        <w:numPr>
          <w:ilvl w:val="1"/>
          <w:numId w:val="54"/>
        </w:numPr>
        <w:rPr>
          <w:rFonts w:ascii="Arial" w:cs="Arial" w:eastAsia="Arial" w:hAnsi="Arial"/>
          <w:sz w:val="20"/>
          <w:szCs w:val="20"/>
          <w:color w:val="auto"/>
        </w:rPr>
      </w:pPr>
      <w:r>
        <w:rPr>
          <w:rFonts w:ascii="Arial" w:cs="Arial" w:eastAsia="Arial" w:hAnsi="Arial"/>
          <w:sz w:val="20"/>
          <w:szCs w:val="20"/>
          <w:color w:val="auto"/>
        </w:rPr>
        <w:t>34 wells planned in Pozuelos</w:t>
      </w:r>
    </w:p>
    <w:p>
      <w:pPr>
        <w:spacing w:after="0" w:line="250" w:lineRule="exact"/>
        <w:rPr>
          <w:rFonts w:ascii="Arial" w:cs="Arial" w:eastAsia="Arial" w:hAnsi="Arial"/>
          <w:sz w:val="20"/>
          <w:szCs w:val="20"/>
          <w:color w:val="auto"/>
        </w:rPr>
      </w:pPr>
    </w:p>
    <w:p>
      <w:pPr>
        <w:ind w:left="2340" w:hanging="366"/>
        <w:spacing w:after="0"/>
        <w:tabs>
          <w:tab w:leader="none" w:pos="2340" w:val="left"/>
        </w:tabs>
        <w:numPr>
          <w:ilvl w:val="1"/>
          <w:numId w:val="54"/>
        </w:numPr>
        <w:rPr>
          <w:rFonts w:ascii="Arial" w:cs="Arial" w:eastAsia="Arial" w:hAnsi="Arial"/>
          <w:sz w:val="20"/>
          <w:szCs w:val="20"/>
          <w:color w:val="auto"/>
        </w:rPr>
      </w:pPr>
      <w:r>
        <w:rPr>
          <w:rFonts w:ascii="Arial" w:cs="Arial" w:eastAsia="Arial" w:hAnsi="Arial"/>
          <w:sz w:val="20"/>
          <w:szCs w:val="20"/>
          <w:color w:val="auto"/>
        </w:rPr>
        <w:t>Starting production: Q1 2029</w:t>
      </w:r>
    </w:p>
    <w:p>
      <w:pPr>
        <w:spacing w:after="0" w:line="201" w:lineRule="exact"/>
        <w:rPr>
          <w:rFonts w:ascii="Arial" w:cs="Arial" w:eastAsia="Arial" w:hAnsi="Arial"/>
          <w:sz w:val="20"/>
          <w:szCs w:val="20"/>
          <w:color w:val="auto"/>
        </w:rPr>
      </w:pPr>
    </w:p>
    <w:p>
      <w:pPr>
        <w:ind w:left="1620" w:hanging="366"/>
        <w:spacing w:after="0"/>
        <w:tabs>
          <w:tab w:leader="none" w:pos="1620" w:val="left"/>
        </w:tabs>
        <w:numPr>
          <w:ilvl w:val="0"/>
          <w:numId w:val="54"/>
        </w:numPr>
        <w:rPr>
          <w:rFonts w:ascii="Arial" w:cs="Arial" w:eastAsia="Arial" w:hAnsi="Arial"/>
          <w:sz w:val="20"/>
          <w:szCs w:val="20"/>
          <w:color w:val="auto"/>
        </w:rPr>
      </w:pPr>
      <w:r>
        <w:rPr>
          <w:rFonts w:ascii="Arial" w:cs="Arial" w:eastAsia="Arial" w:hAnsi="Arial"/>
          <w:sz w:val="20"/>
          <w:szCs w:val="20"/>
          <w:b w:val="1"/>
          <w:bCs w:val="1"/>
          <w:color w:val="auto"/>
        </w:rPr>
        <w:t xml:space="preserve">Phase 2: </w:t>
      </w:r>
      <w:r>
        <w:rPr>
          <w:rFonts w:ascii="Arial" w:cs="Arial" w:eastAsia="Arial" w:hAnsi="Arial"/>
          <w:sz w:val="20"/>
          <w:szCs w:val="20"/>
          <w:color w:val="auto"/>
        </w:rPr>
        <w:t>Additional 40,000 TPA Li</w:t>
      </w:r>
      <w:r>
        <w:rPr>
          <w:rFonts w:ascii="Arial" w:cs="Arial" w:eastAsia="Arial" w:hAnsi="Arial"/>
          <w:sz w:val="26"/>
          <w:szCs w:val="26"/>
          <w:color w:val="auto"/>
          <w:vertAlign w:val="subscript"/>
        </w:rPr>
        <w:t>2</w:t>
      </w:r>
      <w:r>
        <w:rPr>
          <w:rFonts w:ascii="Arial" w:cs="Arial" w:eastAsia="Arial" w:hAnsi="Arial"/>
          <w:sz w:val="20"/>
          <w:szCs w:val="20"/>
          <w:color w:val="auto"/>
        </w:rPr>
        <w:t>CO</w:t>
      </w:r>
      <w:r>
        <w:rPr>
          <w:rFonts w:ascii="Arial" w:cs="Arial" w:eastAsia="Arial" w:hAnsi="Arial"/>
          <w:sz w:val="26"/>
          <w:szCs w:val="26"/>
          <w:color w:val="auto"/>
          <w:vertAlign w:val="subscript"/>
        </w:rPr>
        <w:t>3</w:t>
      </w:r>
      <w:r>
        <w:rPr>
          <w:rFonts w:ascii="Arial" w:cs="Arial" w:eastAsia="Arial" w:hAnsi="Arial"/>
          <w:sz w:val="20"/>
          <w:szCs w:val="20"/>
          <w:b w:val="1"/>
          <w:bCs w:val="1"/>
          <w:color w:val="auto"/>
        </w:rPr>
        <w:t xml:space="preserve"> </w:t>
      </w:r>
      <w:r>
        <w:rPr>
          <w:rFonts w:ascii="Arial" w:cs="Arial" w:eastAsia="Arial" w:hAnsi="Arial"/>
          <w:sz w:val="20"/>
          <w:szCs w:val="20"/>
          <w:color w:val="auto"/>
        </w:rPr>
        <w:t>+ 12,500 TPA LiOH×H</w:t>
      </w:r>
      <w:r>
        <w:rPr>
          <w:rFonts w:ascii="Arial" w:cs="Arial" w:eastAsia="Arial" w:hAnsi="Arial"/>
          <w:sz w:val="26"/>
          <w:szCs w:val="26"/>
          <w:color w:val="auto"/>
          <w:vertAlign w:val="subscript"/>
        </w:rPr>
        <w:t>2</w:t>
      </w:r>
      <w:r>
        <w:rPr>
          <w:rFonts w:ascii="Arial" w:cs="Arial" w:eastAsia="Arial" w:hAnsi="Arial"/>
          <w:sz w:val="20"/>
          <w:szCs w:val="20"/>
          <w:color w:val="auto"/>
        </w:rPr>
        <w:t>O</w:t>
      </w:r>
    </w:p>
    <w:p>
      <w:pPr>
        <w:spacing w:after="0" w:line="253" w:lineRule="exact"/>
        <w:rPr>
          <w:rFonts w:ascii="Arial" w:cs="Arial" w:eastAsia="Arial" w:hAnsi="Arial"/>
          <w:sz w:val="20"/>
          <w:szCs w:val="20"/>
          <w:color w:val="auto"/>
        </w:rPr>
      </w:pPr>
    </w:p>
    <w:p>
      <w:pPr>
        <w:ind w:left="2340" w:hanging="366"/>
        <w:spacing w:after="0"/>
        <w:tabs>
          <w:tab w:leader="none" w:pos="2340" w:val="left"/>
        </w:tabs>
        <w:numPr>
          <w:ilvl w:val="1"/>
          <w:numId w:val="54"/>
        </w:numPr>
        <w:rPr>
          <w:rFonts w:ascii="Arial" w:cs="Arial" w:eastAsia="Arial" w:hAnsi="Arial"/>
          <w:sz w:val="20"/>
          <w:szCs w:val="20"/>
          <w:color w:val="auto"/>
        </w:rPr>
      </w:pPr>
      <w:r>
        <w:rPr>
          <w:rFonts w:ascii="Arial" w:cs="Arial" w:eastAsia="Arial" w:hAnsi="Arial"/>
          <w:sz w:val="20"/>
          <w:szCs w:val="20"/>
          <w:color w:val="auto"/>
        </w:rPr>
        <w:t>Brine from Pastos Grandes</w:t>
      </w:r>
    </w:p>
    <w:p>
      <w:pPr>
        <w:spacing w:after="0" w:line="250" w:lineRule="exact"/>
        <w:rPr>
          <w:rFonts w:ascii="Arial" w:cs="Arial" w:eastAsia="Arial" w:hAnsi="Arial"/>
          <w:sz w:val="20"/>
          <w:szCs w:val="20"/>
          <w:color w:val="auto"/>
        </w:rPr>
      </w:pPr>
    </w:p>
    <w:p>
      <w:pPr>
        <w:ind w:left="2340" w:hanging="366"/>
        <w:spacing w:after="0"/>
        <w:tabs>
          <w:tab w:leader="none" w:pos="2340" w:val="left"/>
        </w:tabs>
        <w:numPr>
          <w:ilvl w:val="1"/>
          <w:numId w:val="54"/>
        </w:numPr>
        <w:rPr>
          <w:rFonts w:ascii="Arial" w:cs="Arial" w:eastAsia="Arial" w:hAnsi="Arial"/>
          <w:sz w:val="20"/>
          <w:szCs w:val="20"/>
          <w:color w:val="auto"/>
        </w:rPr>
      </w:pPr>
      <w:r>
        <w:rPr>
          <w:rFonts w:ascii="Arial" w:cs="Arial" w:eastAsia="Arial" w:hAnsi="Arial"/>
          <w:sz w:val="20"/>
          <w:szCs w:val="20"/>
          <w:color w:val="auto"/>
        </w:rPr>
        <w:t>60 wells in Pastos Grandes planned</w:t>
      </w:r>
    </w:p>
    <w:p>
      <w:pPr>
        <w:spacing w:after="0" w:line="250" w:lineRule="exact"/>
        <w:rPr>
          <w:rFonts w:ascii="Arial" w:cs="Arial" w:eastAsia="Arial" w:hAnsi="Arial"/>
          <w:sz w:val="20"/>
          <w:szCs w:val="20"/>
          <w:color w:val="auto"/>
        </w:rPr>
      </w:pPr>
    </w:p>
    <w:p>
      <w:pPr>
        <w:ind w:left="2340" w:hanging="366"/>
        <w:spacing w:after="0"/>
        <w:tabs>
          <w:tab w:leader="none" w:pos="2340" w:val="left"/>
        </w:tabs>
        <w:numPr>
          <w:ilvl w:val="1"/>
          <w:numId w:val="54"/>
        </w:numPr>
        <w:rPr>
          <w:rFonts w:ascii="Arial" w:cs="Arial" w:eastAsia="Arial" w:hAnsi="Arial"/>
          <w:sz w:val="20"/>
          <w:szCs w:val="20"/>
          <w:color w:val="auto"/>
        </w:rPr>
      </w:pPr>
      <w:r>
        <w:rPr>
          <w:rFonts w:ascii="Arial" w:cs="Arial" w:eastAsia="Arial" w:hAnsi="Arial"/>
          <w:sz w:val="20"/>
          <w:szCs w:val="20"/>
          <w:color w:val="auto"/>
        </w:rPr>
        <w:t>Starting production: Q4 2031</w:t>
      </w:r>
    </w:p>
    <w:p>
      <w:pPr>
        <w:spacing w:after="0" w:line="201" w:lineRule="exact"/>
        <w:rPr>
          <w:rFonts w:ascii="Arial" w:cs="Arial" w:eastAsia="Arial" w:hAnsi="Arial"/>
          <w:sz w:val="20"/>
          <w:szCs w:val="20"/>
          <w:color w:val="auto"/>
        </w:rPr>
      </w:pPr>
    </w:p>
    <w:p>
      <w:pPr>
        <w:ind w:left="1620" w:hanging="366"/>
        <w:spacing w:after="0"/>
        <w:tabs>
          <w:tab w:leader="none" w:pos="1620" w:val="left"/>
        </w:tabs>
        <w:numPr>
          <w:ilvl w:val="0"/>
          <w:numId w:val="54"/>
        </w:numPr>
        <w:rPr>
          <w:rFonts w:ascii="Arial" w:cs="Arial" w:eastAsia="Arial" w:hAnsi="Arial"/>
          <w:sz w:val="20"/>
          <w:szCs w:val="20"/>
          <w:color w:val="auto"/>
        </w:rPr>
      </w:pPr>
      <w:r>
        <w:rPr>
          <w:rFonts w:ascii="Arial" w:cs="Arial" w:eastAsia="Arial" w:hAnsi="Arial"/>
          <w:sz w:val="20"/>
          <w:szCs w:val="20"/>
          <w:b w:val="1"/>
          <w:bCs w:val="1"/>
          <w:color w:val="auto"/>
        </w:rPr>
        <w:t xml:space="preserve">Phase 3: </w:t>
      </w:r>
      <w:r>
        <w:rPr>
          <w:rFonts w:ascii="Arial" w:cs="Arial" w:eastAsia="Arial" w:hAnsi="Arial"/>
          <w:sz w:val="20"/>
          <w:szCs w:val="20"/>
          <w:color w:val="auto"/>
        </w:rPr>
        <w:t>Additional 40,000 TPA Li</w:t>
      </w:r>
      <w:r>
        <w:rPr>
          <w:rFonts w:ascii="Arial" w:cs="Arial" w:eastAsia="Arial" w:hAnsi="Arial"/>
          <w:sz w:val="26"/>
          <w:szCs w:val="26"/>
          <w:color w:val="auto"/>
          <w:vertAlign w:val="subscript"/>
        </w:rPr>
        <w:t>2</w:t>
      </w:r>
      <w:r>
        <w:rPr>
          <w:rFonts w:ascii="Arial" w:cs="Arial" w:eastAsia="Arial" w:hAnsi="Arial"/>
          <w:sz w:val="20"/>
          <w:szCs w:val="20"/>
          <w:color w:val="auto"/>
        </w:rPr>
        <w:t>CO</w:t>
      </w:r>
      <w:r>
        <w:rPr>
          <w:rFonts w:ascii="Arial" w:cs="Arial" w:eastAsia="Arial" w:hAnsi="Arial"/>
          <w:sz w:val="26"/>
          <w:szCs w:val="26"/>
          <w:color w:val="auto"/>
          <w:vertAlign w:val="subscript"/>
        </w:rPr>
        <w:t>3</w:t>
      </w:r>
      <w:r>
        <w:rPr>
          <w:rFonts w:ascii="Arial" w:cs="Arial" w:eastAsia="Arial" w:hAnsi="Arial"/>
          <w:sz w:val="20"/>
          <w:szCs w:val="20"/>
          <w:b w:val="1"/>
          <w:bCs w:val="1"/>
          <w:color w:val="auto"/>
        </w:rPr>
        <w:t xml:space="preserve"> </w:t>
      </w:r>
      <w:r>
        <w:rPr>
          <w:rFonts w:ascii="Arial" w:cs="Arial" w:eastAsia="Arial" w:hAnsi="Arial"/>
          <w:sz w:val="20"/>
          <w:szCs w:val="20"/>
          <w:color w:val="auto"/>
        </w:rPr>
        <w:t>+ 12,500 TPA LiOH×H</w:t>
      </w:r>
      <w:r>
        <w:rPr>
          <w:rFonts w:ascii="Arial" w:cs="Arial" w:eastAsia="Arial" w:hAnsi="Arial"/>
          <w:sz w:val="26"/>
          <w:szCs w:val="26"/>
          <w:color w:val="auto"/>
          <w:vertAlign w:val="subscript"/>
        </w:rPr>
        <w:t>2</w:t>
      </w:r>
      <w:r>
        <w:rPr>
          <w:rFonts w:ascii="Arial" w:cs="Arial" w:eastAsia="Arial" w:hAnsi="Arial"/>
          <w:sz w:val="20"/>
          <w:szCs w:val="20"/>
          <w:color w:val="auto"/>
        </w:rPr>
        <w:t>O</w:t>
      </w:r>
    </w:p>
    <w:p>
      <w:pPr>
        <w:spacing w:after="0" w:line="253" w:lineRule="exact"/>
        <w:rPr>
          <w:rFonts w:ascii="Arial" w:cs="Arial" w:eastAsia="Arial" w:hAnsi="Arial"/>
          <w:sz w:val="20"/>
          <w:szCs w:val="20"/>
          <w:color w:val="auto"/>
        </w:rPr>
      </w:pPr>
    </w:p>
    <w:p>
      <w:pPr>
        <w:ind w:left="2340" w:hanging="366"/>
        <w:spacing w:after="0"/>
        <w:tabs>
          <w:tab w:leader="none" w:pos="2340" w:val="left"/>
        </w:tabs>
        <w:numPr>
          <w:ilvl w:val="1"/>
          <w:numId w:val="54"/>
        </w:numPr>
        <w:rPr>
          <w:rFonts w:ascii="Arial" w:cs="Arial" w:eastAsia="Arial" w:hAnsi="Arial"/>
          <w:sz w:val="20"/>
          <w:szCs w:val="20"/>
          <w:color w:val="auto"/>
        </w:rPr>
      </w:pPr>
      <w:r>
        <w:rPr>
          <w:rFonts w:ascii="Arial" w:cs="Arial" w:eastAsia="Arial" w:hAnsi="Arial"/>
          <w:sz w:val="20"/>
          <w:szCs w:val="20"/>
          <w:color w:val="auto"/>
        </w:rPr>
        <w:t>Brine from Pastos Grandes + Sal de la Puna + Pozuelos</w:t>
      </w:r>
    </w:p>
    <w:p>
      <w:pPr>
        <w:spacing w:after="0" w:line="250" w:lineRule="exact"/>
        <w:rPr>
          <w:rFonts w:ascii="Arial" w:cs="Arial" w:eastAsia="Arial" w:hAnsi="Arial"/>
          <w:sz w:val="20"/>
          <w:szCs w:val="20"/>
          <w:color w:val="auto"/>
        </w:rPr>
      </w:pPr>
    </w:p>
    <w:p>
      <w:pPr>
        <w:ind w:left="2340" w:hanging="366"/>
        <w:spacing w:after="0"/>
        <w:tabs>
          <w:tab w:leader="none" w:pos="2340" w:val="left"/>
        </w:tabs>
        <w:numPr>
          <w:ilvl w:val="1"/>
          <w:numId w:val="54"/>
        </w:numPr>
        <w:rPr>
          <w:rFonts w:ascii="Arial" w:cs="Arial" w:eastAsia="Arial" w:hAnsi="Arial"/>
          <w:sz w:val="20"/>
          <w:szCs w:val="20"/>
          <w:color w:val="auto"/>
        </w:rPr>
      </w:pPr>
      <w:r>
        <w:rPr>
          <w:rFonts w:ascii="Arial" w:cs="Arial" w:eastAsia="Arial" w:hAnsi="Arial"/>
          <w:sz w:val="20"/>
          <w:szCs w:val="20"/>
          <w:color w:val="auto"/>
        </w:rPr>
        <w:t>61 wells in Pastos Grandes + Sal de la Puna planned</w:t>
      </w:r>
    </w:p>
    <w:p>
      <w:pPr>
        <w:spacing w:after="0" w:line="250" w:lineRule="exact"/>
        <w:rPr>
          <w:rFonts w:ascii="Arial" w:cs="Arial" w:eastAsia="Arial" w:hAnsi="Arial"/>
          <w:sz w:val="20"/>
          <w:szCs w:val="20"/>
          <w:color w:val="auto"/>
        </w:rPr>
      </w:pPr>
    </w:p>
    <w:p>
      <w:pPr>
        <w:ind w:left="2340" w:hanging="366"/>
        <w:spacing w:after="0"/>
        <w:tabs>
          <w:tab w:leader="none" w:pos="2340" w:val="left"/>
        </w:tabs>
        <w:numPr>
          <w:ilvl w:val="1"/>
          <w:numId w:val="54"/>
        </w:numPr>
        <w:rPr>
          <w:rFonts w:ascii="Arial" w:cs="Arial" w:eastAsia="Arial" w:hAnsi="Arial"/>
          <w:sz w:val="20"/>
          <w:szCs w:val="20"/>
          <w:color w:val="auto"/>
        </w:rPr>
      </w:pPr>
      <w:r>
        <w:rPr>
          <w:rFonts w:ascii="Arial" w:cs="Arial" w:eastAsia="Arial" w:hAnsi="Arial"/>
          <w:sz w:val="20"/>
          <w:szCs w:val="20"/>
          <w:color w:val="auto"/>
        </w:rPr>
        <w:t>Starting production: Q4 2035</w:t>
      </w:r>
    </w:p>
    <w:p>
      <w:pPr>
        <w:spacing w:after="0" w:line="246"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Processing and Recovery Operation</w:t>
      </w:r>
    </w:p>
    <w:p>
      <w:pPr>
        <w:spacing w:after="0" w:line="239" w:lineRule="exact"/>
        <w:rPr>
          <w:sz w:val="20"/>
          <w:szCs w:val="20"/>
          <w:color w:val="auto"/>
        </w:rPr>
      </w:pPr>
    </w:p>
    <w:p>
      <w:pPr>
        <w:ind w:left="900" w:right="20"/>
        <w:spacing w:after="0" w:line="307" w:lineRule="auto"/>
        <w:rPr>
          <w:sz w:val="20"/>
          <w:szCs w:val="20"/>
          <w:color w:val="auto"/>
        </w:rPr>
      </w:pPr>
      <w:r>
        <w:rPr>
          <w:rFonts w:ascii="Arial" w:cs="Arial" w:eastAsia="Arial" w:hAnsi="Arial"/>
          <w:sz w:val="20"/>
          <w:szCs w:val="20"/>
          <w:color w:val="auto"/>
        </w:rPr>
        <w:t>The plan is to produce during each Phase 40,000 TPA of lithium carbonate and 12,500 TPA of lithium hydr monohydrate (LHM) from extracted brine of the Pozuelos and Pastos Grandes wellfields.</w:t>
      </w:r>
    </w:p>
    <w:p>
      <w:pPr>
        <w:spacing w:after="0" w:line="175"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project begins with the extraction of lithium-enriched brine from the Salar de Pozuelos/Pastos Grandes ends with the production of Lithium Carbonate and Lithium Hydroxide.</w:t>
      </w:r>
    </w:p>
    <w:p>
      <w:pPr>
        <w:spacing w:after="0" w:line="17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brine extracted from the wells is transported by surface pipes to solar evaporation ponds located in the a mentioned salars where it reaches an approximate lithium concentration of 0.24%; then it is sent to a proce plant where the direct extraction of lithium by solvent extraction is carried out. The liquid rich in lithium, conti through a purification process with reagents and resins to eliminate the impurities of boron, calcium, carbo and total organic carbon. Subsequently, the purified brine goes through a last stage of calcium removal resins and then divides into two streams, one that goes directly to the production of lithium carbonate ba grade and industrial technical grade and the other that goes to an additional stage of boron removal, then electrodialysis process and to a lithium hydroxide production plant.</w:t>
      </w:r>
    </w:p>
    <w:p>
      <w:pPr>
        <w:spacing w:after="0" w:line="175" w:lineRule="exact"/>
        <w:rPr>
          <w:sz w:val="20"/>
          <w:szCs w:val="20"/>
          <w:color w:val="auto"/>
        </w:rPr>
      </w:pPr>
    </w:p>
    <w:p>
      <w:pPr>
        <w:ind w:left="900" w:right="40"/>
        <w:spacing w:after="0" w:line="307" w:lineRule="auto"/>
        <w:rPr>
          <w:sz w:val="20"/>
          <w:szCs w:val="20"/>
          <w:color w:val="auto"/>
        </w:rPr>
      </w:pPr>
      <w:r>
        <w:rPr>
          <w:rFonts w:ascii="Arial" w:cs="Arial" w:eastAsia="Arial" w:hAnsi="Arial"/>
          <w:sz w:val="20"/>
          <w:szCs w:val="20"/>
          <w:color w:val="auto"/>
        </w:rPr>
        <w:t>The solid residues from the purification stages, mainly Hydrated Calcium Pyroborate (Ca2B2O5·H2O) Calcium Carbonate (CaCO3), are separated from the brine by filtration and sent to final disposal.</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4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9 / 26</w:t>
      </w:r>
    </w:p>
    <w:p>
      <w:pPr>
        <w:sectPr>
          <w:pgSz w:w="11900" w:h="16838" w:orient="portrait"/>
          <w:cols w:equalWidth="0" w:num="1">
            <w:col w:w="10460"/>
          </w:cols>
          <w:pgMar w:left="1440" w:top="1440" w:right="6" w:bottom="0" w:gutter="0" w:footer="0" w:header="0"/>
          <w:type w:val="continuous"/>
        </w:sectPr>
      </w:pPr>
    </w:p>
    <w:bookmarkStart w:id="145" w:name="page146"/>
    <w:bookmarkEnd w:id="145"/>
    <w:p>
      <w:pPr>
        <w:ind w:left="900"/>
        <w:spacing w:after="0" w:line="307" w:lineRule="auto"/>
        <w:rPr>
          <w:sz w:val="20"/>
          <w:szCs w:val="20"/>
          <w:color w:val="auto"/>
        </w:rPr>
      </w:pPr>
      <w:r>
        <w:rPr>
          <w:rFonts w:ascii="Arial" w:cs="Arial" w:eastAsia="Arial" w:hAnsi="Arial"/>
          <w:sz w:val="20"/>
          <w:szCs w:val="20"/>
          <w:color w:val="auto"/>
        </w:rPr>
        <w:t>The other liquids effluents obtained from the elimination of impurities are recirculated in the process or se final disposal.</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main steps involved in the production of Li2CO3 and LiOH×H2O are:</w:t>
      </w:r>
    </w:p>
    <w:p>
      <w:pPr>
        <w:spacing w:after="0" w:line="255" w:lineRule="exact"/>
        <w:rPr>
          <w:sz w:val="20"/>
          <w:szCs w:val="20"/>
          <w:color w:val="auto"/>
        </w:rPr>
      </w:pPr>
    </w:p>
    <w:p>
      <w:pPr>
        <w:ind w:left="1620" w:hanging="366"/>
        <w:spacing w:after="0"/>
        <w:tabs>
          <w:tab w:leader="none" w:pos="16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Extraction of brine from wells.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Pre-concentration of brine in solar evaporation ponds (0.24% Li).</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Brine purification with reagents (solvent extraction DLE process).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Brine purification with resins.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Lithium carbonate plant battery grade and industrial technical grade.</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Lithium hydroxide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1141095</wp:posOffset>
            </wp:positionV>
            <wp:extent cx="6764020"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20"/>
          </w:cols>
          <w:pgMar w:left="1440" w:top="1172" w:right="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10 / 26</w:t>
      </w:r>
    </w:p>
    <w:p>
      <w:pPr>
        <w:sectPr>
          <w:pgSz w:w="11900" w:h="16838" w:orient="portrait"/>
          <w:cols w:equalWidth="0" w:num="1">
            <w:col w:w="10420"/>
          </w:cols>
          <w:pgMar w:left="1440" w:top="1172" w:right="46" w:bottom="0" w:gutter="0" w:footer="0" w:header="0"/>
          <w:type w:val="continuous"/>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Solar Evaporation Ponds</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pre-concentration pond systems are divided into four (4) independent strings each with 8 ponds. Onc brine reaches the target lithium concentration, it is pumped to a Buffer-pond for storage, from where it w transferred to the processing plant designed to process 11,635 tons per day of brine at 0.246% Li over 300 per year operating time, during each of the 3 Phases of production.</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Table 5: Design Criteria for the Pre-concentration Ponds for All Stages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222885</wp:posOffset>
            </wp:positionV>
            <wp:extent cx="6090920" cy="3949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7">
                      <a:extLst>
                        <a:ext uri="{28A0092B-C50C-407E-A947-70E740481C1C}"/>
                      </a:extLst>
                    </a:blip>
                    <a:srcRect/>
                    <a:stretch>
                      <a:fillRect/>
                    </a:stretch>
                  </pic:blipFill>
                  <pic:spPr bwMode="auto">
                    <a:xfrm>
                      <a:off x="0" y="0"/>
                      <a:ext cx="6090920" cy="394970"/>
                    </a:xfrm>
                    <a:prstGeom prst="rect">
                      <a:avLst/>
                    </a:prstGeom>
                    <a:noFill/>
                  </pic:spPr>
                </pic:pic>
              </a:graphicData>
            </a:graphic>
          </wp:anchor>
        </w:drawing>
      </w:r>
    </w:p>
    <w:p>
      <w:pPr>
        <w:spacing w:after="0" w:line="351" w:lineRule="exact"/>
        <w:rPr>
          <w:sz w:val="20"/>
          <w:szCs w:val="20"/>
          <w:color w:val="auto"/>
        </w:rPr>
      </w:pPr>
    </w:p>
    <w:tbl>
      <w:tblPr>
        <w:tblLayout w:type="fixed"/>
        <w:tblInd w:w="900" w:type="dxa"/>
        <w:tblCellMar>
          <w:top w:w="0" w:type="dxa"/>
          <w:left w:w="0" w:type="dxa"/>
          <w:bottom w:w="0" w:type="dxa"/>
          <w:right w:w="0" w:type="dxa"/>
        </w:tblCellMar>
      </w:tblPr>
      <w:tr>
        <w:trPr>
          <w:trHeight w:val="286"/>
        </w:trPr>
        <w:tc>
          <w:tcPr>
            <w:tcW w:w="2820" w:type="dxa"/>
            <w:vAlign w:val="bottom"/>
            <w:tcBorders>
              <w:bottom w:val="single" w:sz="8" w:color="153A57"/>
            </w:tcBorders>
            <w:shd w:val="clear" w:color="auto" w:fill="153A57"/>
          </w:tcPr>
          <w:p>
            <w:pPr>
              <w:ind w:left="100"/>
              <w:spacing w:after="0"/>
              <w:rPr>
                <w:sz w:val="20"/>
                <w:szCs w:val="20"/>
                <w:color w:val="auto"/>
              </w:rPr>
            </w:pPr>
            <w:r>
              <w:rPr>
                <w:rFonts w:ascii="Arial" w:cs="Arial" w:eastAsia="Arial" w:hAnsi="Arial"/>
                <w:sz w:val="18"/>
                <w:szCs w:val="18"/>
                <w:b w:val="1"/>
                <w:bCs w:val="1"/>
                <w:color w:val="FFFFFF"/>
              </w:rPr>
              <w:t>Parameter</w:t>
            </w:r>
          </w:p>
        </w:tc>
        <w:tc>
          <w:tcPr>
            <w:tcW w:w="1700" w:type="dxa"/>
            <w:vAlign w:val="bottom"/>
            <w:tcBorders>
              <w:bottom w:val="single" w:sz="8" w:color="153A57"/>
            </w:tcBorders>
            <w:shd w:val="clear" w:color="auto" w:fill="153A57"/>
          </w:tcPr>
          <w:p>
            <w:pPr>
              <w:ind w:left="860"/>
              <w:spacing w:after="0"/>
              <w:rPr>
                <w:sz w:val="20"/>
                <w:szCs w:val="20"/>
                <w:color w:val="auto"/>
              </w:rPr>
            </w:pPr>
            <w:r>
              <w:rPr>
                <w:rFonts w:ascii="Arial" w:cs="Arial" w:eastAsia="Arial" w:hAnsi="Arial"/>
                <w:sz w:val="18"/>
                <w:szCs w:val="18"/>
                <w:b w:val="1"/>
                <w:bCs w:val="1"/>
                <w:color w:val="FFFFFF"/>
              </w:rPr>
              <w:t>Unit</w:t>
            </w:r>
          </w:p>
        </w:tc>
        <w:tc>
          <w:tcPr>
            <w:tcW w:w="1920" w:type="dxa"/>
            <w:vAlign w:val="bottom"/>
            <w:tcBorders>
              <w:bottom w:val="single" w:sz="8" w:color="153A57"/>
            </w:tcBorders>
            <w:shd w:val="clear" w:color="auto" w:fill="153A57"/>
          </w:tcPr>
          <w:p>
            <w:pPr>
              <w:jc w:val="right"/>
              <w:ind w:right="470"/>
              <w:spacing w:after="0"/>
              <w:rPr>
                <w:sz w:val="20"/>
                <w:szCs w:val="20"/>
                <w:color w:val="auto"/>
              </w:rPr>
            </w:pPr>
            <w:r>
              <w:rPr>
                <w:rFonts w:ascii="Arial" w:cs="Arial" w:eastAsia="Arial" w:hAnsi="Arial"/>
                <w:sz w:val="18"/>
                <w:szCs w:val="18"/>
                <w:b w:val="1"/>
                <w:bCs w:val="1"/>
                <w:color w:val="FFFFFF"/>
              </w:rPr>
              <w:t>Phase 1</w:t>
            </w:r>
          </w:p>
        </w:tc>
        <w:tc>
          <w:tcPr>
            <w:tcW w:w="1800" w:type="dxa"/>
            <w:vAlign w:val="bottom"/>
            <w:tcBorders>
              <w:bottom w:val="single" w:sz="8" w:color="153A57"/>
            </w:tcBorders>
            <w:shd w:val="clear" w:color="auto" w:fill="153A57"/>
          </w:tcPr>
          <w:p>
            <w:pPr>
              <w:jc w:val="right"/>
              <w:ind w:right="490"/>
              <w:spacing w:after="0"/>
              <w:rPr>
                <w:sz w:val="20"/>
                <w:szCs w:val="20"/>
                <w:color w:val="auto"/>
              </w:rPr>
            </w:pPr>
            <w:r>
              <w:rPr>
                <w:rFonts w:ascii="Arial" w:cs="Arial" w:eastAsia="Arial" w:hAnsi="Arial"/>
                <w:sz w:val="18"/>
                <w:szCs w:val="18"/>
                <w:b w:val="1"/>
                <w:bCs w:val="1"/>
                <w:color w:val="FFFFFF"/>
              </w:rPr>
              <w:t>Phase 2</w:t>
            </w:r>
          </w:p>
        </w:tc>
        <w:tc>
          <w:tcPr>
            <w:tcW w:w="1320" w:type="dxa"/>
            <w:vAlign w:val="bottom"/>
            <w:tcBorders>
              <w:bottom w:val="single" w:sz="8" w:color="153A57"/>
            </w:tcBorders>
            <w:shd w:val="clear" w:color="auto" w:fill="153A57"/>
          </w:tcPr>
          <w:p>
            <w:pPr>
              <w:jc w:val="right"/>
              <w:spacing w:after="0"/>
              <w:rPr>
                <w:sz w:val="20"/>
                <w:szCs w:val="20"/>
                <w:color w:val="auto"/>
              </w:rPr>
            </w:pPr>
            <w:r>
              <w:rPr>
                <w:rFonts w:ascii="Arial" w:cs="Arial" w:eastAsia="Arial" w:hAnsi="Arial"/>
                <w:sz w:val="18"/>
                <w:szCs w:val="18"/>
                <w:b w:val="1"/>
                <w:bCs w:val="1"/>
                <w:color w:val="FFFFFF"/>
              </w:rPr>
              <w:t>Phase 3</w:t>
            </w:r>
          </w:p>
        </w:tc>
      </w:tr>
      <w:tr>
        <w:trPr>
          <w:trHeight w:val="250"/>
        </w:trPr>
        <w:tc>
          <w:tcPr>
            <w:tcW w:w="2820" w:type="dxa"/>
            <w:vAlign w:val="bottom"/>
          </w:tcPr>
          <w:p>
            <w:pPr>
              <w:ind w:left="100"/>
              <w:spacing w:after="0"/>
              <w:rPr>
                <w:sz w:val="20"/>
                <w:szCs w:val="20"/>
                <w:color w:val="auto"/>
              </w:rPr>
            </w:pPr>
            <w:r>
              <w:rPr>
                <w:rFonts w:ascii="Arial" w:cs="Arial" w:eastAsia="Arial" w:hAnsi="Arial"/>
                <w:sz w:val="18"/>
                <w:szCs w:val="18"/>
                <w:color w:val="auto"/>
              </w:rPr>
              <w:t>Evaporation rate</w:t>
            </w:r>
          </w:p>
        </w:tc>
        <w:tc>
          <w:tcPr>
            <w:tcW w:w="1700" w:type="dxa"/>
            <w:vAlign w:val="bottom"/>
          </w:tcPr>
          <w:p>
            <w:pPr>
              <w:ind w:left="860"/>
              <w:spacing w:after="0"/>
              <w:rPr>
                <w:sz w:val="20"/>
                <w:szCs w:val="20"/>
                <w:color w:val="auto"/>
              </w:rPr>
            </w:pPr>
            <w:r>
              <w:rPr>
                <w:rFonts w:ascii="Arial" w:cs="Arial" w:eastAsia="Arial" w:hAnsi="Arial"/>
                <w:sz w:val="18"/>
                <w:szCs w:val="18"/>
                <w:color w:val="auto"/>
              </w:rPr>
              <w:t>mm/day</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 (referred to water)</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7 (referred to water)</w:t>
            </w:r>
          </w:p>
        </w:tc>
        <w:tc>
          <w:tcPr>
            <w:tcW w:w="1320" w:type="dxa"/>
            <w:vAlign w:val="bottom"/>
          </w:tcPr>
          <w:p>
            <w:pPr>
              <w:jc w:val="right"/>
              <w:spacing w:after="0"/>
              <w:rPr>
                <w:sz w:val="20"/>
                <w:szCs w:val="20"/>
                <w:color w:val="auto"/>
              </w:rPr>
            </w:pPr>
            <w:r>
              <w:rPr>
                <w:rFonts w:ascii="Arial" w:cs="Arial" w:eastAsia="Arial" w:hAnsi="Arial"/>
                <w:sz w:val="18"/>
                <w:szCs w:val="18"/>
                <w:color w:val="auto"/>
              </w:rPr>
              <w:t>7 (referred to w</w:t>
            </w:r>
          </w:p>
        </w:tc>
      </w:tr>
      <w:tr>
        <w:trPr>
          <w:trHeight w:val="361"/>
        </w:trPr>
        <w:tc>
          <w:tcPr>
            <w:tcW w:w="2820" w:type="dxa"/>
            <w:vAlign w:val="bottom"/>
          </w:tcPr>
          <w:p>
            <w:pPr>
              <w:ind w:left="100"/>
              <w:spacing w:after="0"/>
              <w:rPr>
                <w:sz w:val="20"/>
                <w:szCs w:val="20"/>
                <w:color w:val="auto"/>
              </w:rPr>
            </w:pPr>
            <w:r>
              <w:rPr>
                <w:rFonts w:ascii="Arial" w:cs="Arial" w:eastAsia="Arial" w:hAnsi="Arial"/>
                <w:sz w:val="18"/>
                <w:szCs w:val="18"/>
                <w:color w:val="auto"/>
              </w:rPr>
              <w:t>Seepage</w:t>
            </w:r>
          </w:p>
        </w:tc>
        <w:tc>
          <w:tcPr>
            <w:tcW w:w="1700" w:type="dxa"/>
            <w:vAlign w:val="bottom"/>
          </w:tcPr>
          <w:p>
            <w:pPr>
              <w:ind w:left="860"/>
              <w:spacing w:after="0"/>
              <w:rPr>
                <w:sz w:val="20"/>
                <w:szCs w:val="20"/>
                <w:color w:val="auto"/>
              </w:rPr>
            </w:pPr>
            <w:r>
              <w:rPr>
                <w:rFonts w:ascii="Arial" w:cs="Arial" w:eastAsia="Arial" w:hAnsi="Arial"/>
                <w:sz w:val="18"/>
                <w:szCs w:val="18"/>
                <w:color w:val="auto"/>
              </w:rPr>
              <w:t>mm/m</w:t>
            </w:r>
            <w:r>
              <w:rPr>
                <w:rFonts w:ascii="Arial" w:cs="Arial" w:eastAsia="Arial" w:hAnsi="Arial"/>
                <w:sz w:val="24"/>
                <w:szCs w:val="24"/>
                <w:color w:val="auto"/>
                <w:vertAlign w:val="superscript"/>
              </w:rPr>
              <w:t>2</w:t>
            </w:r>
          </w:p>
        </w:tc>
        <w:tc>
          <w:tcPr>
            <w:tcW w:w="1920" w:type="dxa"/>
            <w:vAlign w:val="bottom"/>
          </w:tcPr>
          <w:p>
            <w:pPr>
              <w:jc w:val="right"/>
              <w:ind w:right="630"/>
              <w:spacing w:after="0"/>
              <w:rPr>
                <w:sz w:val="20"/>
                <w:szCs w:val="20"/>
                <w:color w:val="auto"/>
              </w:rPr>
            </w:pPr>
            <w:r>
              <w:rPr>
                <w:rFonts w:ascii="Arial" w:cs="Arial" w:eastAsia="Arial" w:hAnsi="Arial"/>
                <w:sz w:val="18"/>
                <w:szCs w:val="18"/>
                <w:color w:val="auto"/>
              </w:rPr>
              <w:t>0.05</w:t>
            </w:r>
          </w:p>
        </w:tc>
        <w:tc>
          <w:tcPr>
            <w:tcW w:w="1800" w:type="dxa"/>
            <w:vAlign w:val="bottom"/>
          </w:tcPr>
          <w:p>
            <w:pPr>
              <w:jc w:val="right"/>
              <w:ind w:right="650"/>
              <w:spacing w:after="0"/>
              <w:rPr>
                <w:sz w:val="20"/>
                <w:szCs w:val="20"/>
                <w:color w:val="auto"/>
              </w:rPr>
            </w:pPr>
            <w:r>
              <w:rPr>
                <w:rFonts w:ascii="Arial" w:cs="Arial" w:eastAsia="Arial" w:hAnsi="Arial"/>
                <w:sz w:val="18"/>
                <w:szCs w:val="18"/>
                <w:color w:val="auto"/>
              </w:rPr>
              <w:t>0.05</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0.05</w:t>
            </w:r>
          </w:p>
        </w:tc>
      </w:tr>
      <w:tr>
        <w:trPr>
          <w:trHeight w:val="231"/>
        </w:trPr>
        <w:tc>
          <w:tcPr>
            <w:tcW w:w="2820" w:type="dxa"/>
            <w:vAlign w:val="bottom"/>
          </w:tcPr>
          <w:p>
            <w:pPr>
              <w:ind w:left="100"/>
              <w:spacing w:after="0"/>
              <w:rPr>
                <w:sz w:val="20"/>
                <w:szCs w:val="20"/>
                <w:color w:val="auto"/>
              </w:rPr>
            </w:pPr>
            <w:r>
              <w:rPr>
                <w:rFonts w:ascii="Arial" w:cs="Arial" w:eastAsia="Arial" w:hAnsi="Arial"/>
                <w:sz w:val="18"/>
                <w:szCs w:val="18"/>
                <w:color w:val="auto"/>
              </w:rPr>
              <w:t>Entrainment</w:t>
            </w:r>
          </w:p>
        </w:tc>
        <w:tc>
          <w:tcPr>
            <w:tcW w:w="1700" w:type="dxa"/>
            <w:vAlign w:val="bottom"/>
          </w:tcPr>
          <w:p>
            <w:pPr>
              <w:ind w:left="860"/>
              <w:spacing w:after="0"/>
              <w:rPr>
                <w:sz w:val="20"/>
                <w:szCs w:val="20"/>
                <w:color w:val="auto"/>
              </w:rPr>
            </w:pPr>
            <w:r>
              <w:rPr>
                <w:rFonts w:ascii="Arial" w:cs="Arial" w:eastAsia="Arial" w:hAnsi="Arial"/>
                <w:sz w:val="18"/>
                <w:szCs w:val="18"/>
                <w:color w:val="auto"/>
              </w:rPr>
              <w:t>%w/w</w:t>
            </w:r>
          </w:p>
        </w:tc>
        <w:tc>
          <w:tcPr>
            <w:tcW w:w="1920" w:type="dxa"/>
            <w:vAlign w:val="bottom"/>
          </w:tcPr>
          <w:p>
            <w:pPr>
              <w:jc w:val="right"/>
              <w:ind w:right="470"/>
              <w:spacing w:after="0"/>
              <w:rPr>
                <w:sz w:val="20"/>
                <w:szCs w:val="20"/>
                <w:color w:val="auto"/>
              </w:rPr>
            </w:pPr>
            <w:r>
              <w:rPr>
                <w:rFonts w:ascii="Arial" w:cs="Arial" w:eastAsia="Arial" w:hAnsi="Arial"/>
                <w:sz w:val="18"/>
                <w:szCs w:val="18"/>
                <w:color w:val="auto"/>
              </w:rPr>
              <w:t>10%</w:t>
            </w:r>
          </w:p>
        </w:tc>
        <w:tc>
          <w:tcPr>
            <w:tcW w:w="1800" w:type="dxa"/>
            <w:vAlign w:val="bottom"/>
          </w:tcPr>
          <w:p>
            <w:pPr>
              <w:jc w:val="right"/>
              <w:ind w:right="470"/>
              <w:spacing w:after="0"/>
              <w:rPr>
                <w:sz w:val="20"/>
                <w:szCs w:val="20"/>
                <w:color w:val="auto"/>
              </w:rPr>
            </w:pPr>
            <w:r>
              <w:rPr>
                <w:rFonts w:ascii="Arial" w:cs="Arial" w:eastAsia="Arial" w:hAnsi="Arial"/>
                <w:sz w:val="18"/>
                <w:szCs w:val="18"/>
                <w:color w:val="auto"/>
              </w:rPr>
              <w:t>10%</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96"/>
        </w:trPr>
        <w:tc>
          <w:tcPr>
            <w:tcW w:w="2820" w:type="dxa"/>
            <w:vAlign w:val="bottom"/>
          </w:tcPr>
          <w:p>
            <w:pPr>
              <w:ind w:left="100"/>
              <w:spacing w:after="0"/>
              <w:rPr>
                <w:sz w:val="20"/>
                <w:szCs w:val="20"/>
                <w:color w:val="auto"/>
              </w:rPr>
            </w:pPr>
            <w:r>
              <w:rPr>
                <w:rFonts w:ascii="Arial" w:cs="Arial" w:eastAsia="Arial" w:hAnsi="Arial"/>
                <w:sz w:val="18"/>
                <w:szCs w:val="18"/>
                <w:color w:val="auto"/>
              </w:rPr>
              <w:t>Feed Li Concentration</w:t>
            </w:r>
          </w:p>
        </w:tc>
        <w:tc>
          <w:tcPr>
            <w:tcW w:w="1700" w:type="dxa"/>
            <w:vAlign w:val="bottom"/>
          </w:tcPr>
          <w:p>
            <w:pPr>
              <w:ind w:left="860"/>
              <w:spacing w:after="0"/>
              <w:rPr>
                <w:sz w:val="20"/>
                <w:szCs w:val="20"/>
                <w:color w:val="auto"/>
              </w:rPr>
            </w:pPr>
            <w:r>
              <w:rPr>
                <w:rFonts w:ascii="Arial" w:cs="Arial" w:eastAsia="Arial" w:hAnsi="Arial"/>
                <w:sz w:val="18"/>
                <w:szCs w:val="18"/>
                <w:color w:val="auto"/>
              </w:rPr>
              <w:t>%w/w</w:t>
            </w:r>
          </w:p>
        </w:tc>
        <w:tc>
          <w:tcPr>
            <w:tcW w:w="1920" w:type="dxa"/>
            <w:vAlign w:val="bottom"/>
          </w:tcPr>
          <w:p>
            <w:pPr>
              <w:jc w:val="right"/>
              <w:ind w:right="630"/>
              <w:spacing w:after="0"/>
              <w:rPr>
                <w:sz w:val="20"/>
                <w:szCs w:val="20"/>
                <w:color w:val="auto"/>
              </w:rPr>
            </w:pPr>
            <w:r>
              <w:rPr>
                <w:rFonts w:ascii="Arial" w:cs="Arial" w:eastAsia="Arial" w:hAnsi="Arial"/>
                <w:sz w:val="18"/>
                <w:szCs w:val="18"/>
                <w:color w:val="auto"/>
              </w:rPr>
              <w:t>0.0462</w:t>
            </w:r>
          </w:p>
        </w:tc>
        <w:tc>
          <w:tcPr>
            <w:tcW w:w="1800" w:type="dxa"/>
            <w:vAlign w:val="bottom"/>
          </w:tcPr>
          <w:p>
            <w:pPr>
              <w:jc w:val="right"/>
              <w:ind w:right="650"/>
              <w:spacing w:after="0"/>
              <w:rPr>
                <w:sz w:val="20"/>
                <w:szCs w:val="20"/>
                <w:color w:val="auto"/>
              </w:rPr>
            </w:pPr>
            <w:r>
              <w:rPr>
                <w:rFonts w:ascii="Arial" w:cs="Arial" w:eastAsia="Arial" w:hAnsi="Arial"/>
                <w:sz w:val="18"/>
                <w:szCs w:val="18"/>
                <w:color w:val="auto"/>
              </w:rPr>
              <w:t>0.0355</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0.0355</w:t>
            </w:r>
          </w:p>
        </w:tc>
      </w:tr>
      <w:tr>
        <w:trPr>
          <w:trHeight w:val="296"/>
        </w:trPr>
        <w:tc>
          <w:tcPr>
            <w:tcW w:w="2820" w:type="dxa"/>
            <w:vAlign w:val="bottom"/>
          </w:tcPr>
          <w:p>
            <w:pPr>
              <w:ind w:left="100"/>
              <w:spacing w:after="0"/>
              <w:rPr>
                <w:sz w:val="20"/>
                <w:szCs w:val="20"/>
                <w:color w:val="auto"/>
              </w:rPr>
            </w:pPr>
            <w:r>
              <w:rPr>
                <w:rFonts w:ascii="Arial" w:cs="Arial" w:eastAsia="Arial" w:hAnsi="Arial"/>
                <w:sz w:val="18"/>
                <w:szCs w:val="18"/>
                <w:color w:val="auto"/>
              </w:rPr>
              <w:t>Flow Rate</w:t>
            </w:r>
          </w:p>
        </w:tc>
        <w:tc>
          <w:tcPr>
            <w:tcW w:w="1700" w:type="dxa"/>
            <w:vAlign w:val="bottom"/>
          </w:tcPr>
          <w:p>
            <w:pPr>
              <w:ind w:left="860"/>
              <w:spacing w:after="0"/>
              <w:rPr>
                <w:sz w:val="20"/>
                <w:szCs w:val="20"/>
                <w:color w:val="auto"/>
              </w:rPr>
            </w:pPr>
            <w:r>
              <w:rPr>
                <w:rFonts w:ascii="Arial" w:cs="Arial" w:eastAsia="Arial" w:hAnsi="Arial"/>
                <w:sz w:val="18"/>
                <w:szCs w:val="18"/>
                <w:color w:val="auto"/>
              </w:rPr>
              <w:t>TPD</w:t>
            </w:r>
          </w:p>
        </w:tc>
        <w:tc>
          <w:tcPr>
            <w:tcW w:w="1920" w:type="dxa"/>
            <w:vAlign w:val="bottom"/>
          </w:tcPr>
          <w:p>
            <w:pPr>
              <w:jc w:val="right"/>
              <w:ind w:right="630"/>
              <w:spacing w:after="0"/>
              <w:rPr>
                <w:sz w:val="20"/>
                <w:szCs w:val="20"/>
                <w:color w:val="auto"/>
              </w:rPr>
            </w:pPr>
            <w:r>
              <w:rPr>
                <w:rFonts w:ascii="Arial" w:cs="Arial" w:eastAsia="Arial" w:hAnsi="Arial"/>
                <w:sz w:val="18"/>
                <w:szCs w:val="18"/>
                <w:color w:val="auto"/>
              </w:rPr>
              <w:t>67,070</w:t>
            </w:r>
          </w:p>
        </w:tc>
        <w:tc>
          <w:tcPr>
            <w:tcW w:w="1800" w:type="dxa"/>
            <w:vAlign w:val="bottom"/>
          </w:tcPr>
          <w:p>
            <w:pPr>
              <w:jc w:val="right"/>
              <w:ind w:right="650"/>
              <w:spacing w:after="0"/>
              <w:rPr>
                <w:sz w:val="20"/>
                <w:szCs w:val="20"/>
                <w:color w:val="auto"/>
              </w:rPr>
            </w:pPr>
            <w:r>
              <w:rPr>
                <w:rFonts w:ascii="Arial" w:cs="Arial" w:eastAsia="Arial" w:hAnsi="Arial"/>
                <w:sz w:val="18"/>
                <w:szCs w:val="18"/>
                <w:color w:val="auto"/>
              </w:rPr>
              <w:t>87,347</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87,347</w:t>
            </w:r>
          </w:p>
        </w:tc>
      </w:tr>
      <w:tr>
        <w:trPr>
          <w:trHeight w:val="296"/>
        </w:trPr>
        <w:tc>
          <w:tcPr>
            <w:tcW w:w="2820" w:type="dxa"/>
            <w:vAlign w:val="bottom"/>
          </w:tcPr>
          <w:p>
            <w:pPr>
              <w:ind w:left="100"/>
              <w:spacing w:after="0"/>
              <w:rPr>
                <w:sz w:val="20"/>
                <w:szCs w:val="20"/>
                <w:color w:val="auto"/>
              </w:rPr>
            </w:pPr>
            <w:r>
              <w:rPr>
                <w:rFonts w:ascii="Arial" w:cs="Arial" w:eastAsia="Arial" w:hAnsi="Arial"/>
                <w:sz w:val="18"/>
                <w:szCs w:val="18"/>
                <w:color w:val="auto"/>
              </w:rPr>
              <w:t>Concentrated brine (Li)</w:t>
            </w:r>
          </w:p>
        </w:tc>
        <w:tc>
          <w:tcPr>
            <w:tcW w:w="1700" w:type="dxa"/>
            <w:vAlign w:val="bottom"/>
          </w:tcPr>
          <w:p>
            <w:pPr>
              <w:ind w:left="860"/>
              <w:spacing w:after="0"/>
              <w:rPr>
                <w:sz w:val="20"/>
                <w:szCs w:val="20"/>
                <w:color w:val="auto"/>
              </w:rPr>
            </w:pPr>
            <w:r>
              <w:rPr>
                <w:rFonts w:ascii="Arial" w:cs="Arial" w:eastAsia="Arial" w:hAnsi="Arial"/>
                <w:sz w:val="18"/>
                <w:szCs w:val="18"/>
                <w:color w:val="auto"/>
              </w:rPr>
              <w:t>%w/w</w:t>
            </w:r>
          </w:p>
        </w:tc>
        <w:tc>
          <w:tcPr>
            <w:tcW w:w="1920" w:type="dxa"/>
            <w:vAlign w:val="bottom"/>
          </w:tcPr>
          <w:p>
            <w:pPr>
              <w:jc w:val="right"/>
              <w:ind w:right="630"/>
              <w:spacing w:after="0"/>
              <w:rPr>
                <w:sz w:val="20"/>
                <w:szCs w:val="20"/>
                <w:color w:val="auto"/>
              </w:rPr>
            </w:pPr>
            <w:r>
              <w:rPr>
                <w:rFonts w:ascii="Arial" w:cs="Arial" w:eastAsia="Arial" w:hAnsi="Arial"/>
                <w:sz w:val="18"/>
                <w:szCs w:val="18"/>
                <w:color w:val="auto"/>
              </w:rPr>
              <w:t>0.246</w:t>
            </w:r>
          </w:p>
        </w:tc>
        <w:tc>
          <w:tcPr>
            <w:tcW w:w="1800" w:type="dxa"/>
            <w:vAlign w:val="bottom"/>
          </w:tcPr>
          <w:p>
            <w:pPr>
              <w:jc w:val="right"/>
              <w:ind w:right="650"/>
              <w:spacing w:after="0"/>
              <w:rPr>
                <w:sz w:val="20"/>
                <w:szCs w:val="20"/>
                <w:color w:val="auto"/>
              </w:rPr>
            </w:pPr>
            <w:r>
              <w:rPr>
                <w:rFonts w:ascii="Arial" w:cs="Arial" w:eastAsia="Arial" w:hAnsi="Arial"/>
                <w:sz w:val="18"/>
                <w:szCs w:val="18"/>
                <w:color w:val="auto"/>
              </w:rPr>
              <w:t>0.246</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0.246</w:t>
            </w:r>
          </w:p>
        </w:tc>
      </w:tr>
      <w:tr>
        <w:trPr>
          <w:trHeight w:val="296"/>
        </w:trPr>
        <w:tc>
          <w:tcPr>
            <w:tcW w:w="2820" w:type="dxa"/>
            <w:vAlign w:val="bottom"/>
          </w:tcPr>
          <w:p>
            <w:pPr>
              <w:ind w:left="100"/>
              <w:spacing w:after="0"/>
              <w:rPr>
                <w:sz w:val="20"/>
                <w:szCs w:val="20"/>
                <w:color w:val="auto"/>
              </w:rPr>
            </w:pPr>
            <w:r>
              <w:rPr>
                <w:rFonts w:ascii="Arial" w:cs="Arial" w:eastAsia="Arial" w:hAnsi="Arial"/>
                <w:sz w:val="18"/>
                <w:szCs w:val="18"/>
                <w:color w:val="auto"/>
              </w:rPr>
              <w:t>Flow Rate</w:t>
            </w:r>
          </w:p>
        </w:tc>
        <w:tc>
          <w:tcPr>
            <w:tcW w:w="1700" w:type="dxa"/>
            <w:vAlign w:val="bottom"/>
          </w:tcPr>
          <w:p>
            <w:pPr>
              <w:ind w:left="860"/>
              <w:spacing w:after="0"/>
              <w:rPr>
                <w:sz w:val="20"/>
                <w:szCs w:val="20"/>
                <w:color w:val="auto"/>
              </w:rPr>
            </w:pPr>
            <w:r>
              <w:rPr>
                <w:rFonts w:ascii="Arial" w:cs="Arial" w:eastAsia="Arial" w:hAnsi="Arial"/>
                <w:sz w:val="18"/>
                <w:szCs w:val="18"/>
                <w:color w:val="auto"/>
              </w:rPr>
              <w:t>TPD</w:t>
            </w:r>
          </w:p>
        </w:tc>
        <w:tc>
          <w:tcPr>
            <w:tcW w:w="1920" w:type="dxa"/>
            <w:vAlign w:val="bottom"/>
          </w:tcPr>
          <w:p>
            <w:pPr>
              <w:jc w:val="right"/>
              <w:ind w:right="630"/>
              <w:spacing w:after="0"/>
              <w:rPr>
                <w:sz w:val="20"/>
                <w:szCs w:val="20"/>
                <w:color w:val="auto"/>
              </w:rPr>
            </w:pPr>
            <w:r>
              <w:rPr>
                <w:rFonts w:ascii="Arial" w:cs="Arial" w:eastAsia="Arial" w:hAnsi="Arial"/>
                <w:sz w:val="18"/>
                <w:szCs w:val="18"/>
                <w:color w:val="auto"/>
              </w:rPr>
              <w:t>11,635</w:t>
            </w:r>
          </w:p>
        </w:tc>
        <w:tc>
          <w:tcPr>
            <w:tcW w:w="1800" w:type="dxa"/>
            <w:vAlign w:val="bottom"/>
          </w:tcPr>
          <w:p>
            <w:pPr>
              <w:jc w:val="right"/>
              <w:ind w:right="650"/>
              <w:spacing w:after="0"/>
              <w:rPr>
                <w:sz w:val="20"/>
                <w:szCs w:val="20"/>
                <w:color w:val="auto"/>
              </w:rPr>
            </w:pPr>
            <w:r>
              <w:rPr>
                <w:rFonts w:ascii="Arial" w:cs="Arial" w:eastAsia="Arial" w:hAnsi="Arial"/>
                <w:sz w:val="18"/>
                <w:szCs w:val="18"/>
                <w:color w:val="auto"/>
              </w:rPr>
              <w:t>11,635</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11,635</w:t>
            </w:r>
          </w:p>
        </w:tc>
      </w:tr>
      <w:tr>
        <w:trPr>
          <w:trHeight w:val="296"/>
        </w:trPr>
        <w:tc>
          <w:tcPr>
            <w:tcW w:w="2820" w:type="dxa"/>
            <w:vAlign w:val="bottom"/>
          </w:tcPr>
          <w:p>
            <w:pPr>
              <w:ind w:left="100"/>
              <w:spacing w:after="0"/>
              <w:rPr>
                <w:sz w:val="20"/>
                <w:szCs w:val="20"/>
                <w:color w:val="auto"/>
              </w:rPr>
            </w:pPr>
            <w:r>
              <w:rPr>
                <w:rFonts w:ascii="Arial" w:cs="Arial" w:eastAsia="Arial" w:hAnsi="Arial"/>
                <w:sz w:val="18"/>
                <w:szCs w:val="18"/>
                <w:color w:val="auto"/>
              </w:rPr>
              <w:t>Dilution Water</w:t>
            </w:r>
          </w:p>
        </w:tc>
        <w:tc>
          <w:tcPr>
            <w:tcW w:w="1700" w:type="dxa"/>
            <w:vAlign w:val="bottom"/>
          </w:tcPr>
          <w:p>
            <w:pPr>
              <w:ind w:left="86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470"/>
              <w:spacing w:after="0"/>
              <w:rPr>
                <w:sz w:val="20"/>
                <w:szCs w:val="20"/>
                <w:color w:val="auto"/>
              </w:rPr>
            </w:pPr>
            <w:r>
              <w:rPr>
                <w:rFonts w:ascii="Arial" w:cs="Arial" w:eastAsia="Arial" w:hAnsi="Arial"/>
                <w:sz w:val="18"/>
                <w:szCs w:val="18"/>
                <w:color w:val="auto"/>
              </w:rPr>
              <w:t>1%</w:t>
            </w:r>
          </w:p>
        </w:tc>
        <w:tc>
          <w:tcPr>
            <w:tcW w:w="1800" w:type="dxa"/>
            <w:vAlign w:val="bottom"/>
          </w:tcPr>
          <w:p>
            <w:pPr>
              <w:jc w:val="right"/>
              <w:ind w:right="470"/>
              <w:spacing w:after="0"/>
              <w:rPr>
                <w:sz w:val="20"/>
                <w:szCs w:val="20"/>
                <w:color w:val="auto"/>
              </w:rPr>
            </w:pPr>
            <w:r>
              <w:rPr>
                <w:rFonts w:ascii="Arial" w:cs="Arial" w:eastAsia="Arial" w:hAnsi="Arial"/>
                <w:sz w:val="18"/>
                <w:szCs w:val="18"/>
                <w:color w:val="auto"/>
              </w:rPr>
              <w:t>1%</w:t>
            </w: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6"/>
        </w:trPr>
        <w:tc>
          <w:tcPr>
            <w:tcW w:w="2820" w:type="dxa"/>
            <w:vAlign w:val="bottom"/>
          </w:tcPr>
          <w:p>
            <w:pPr>
              <w:ind w:left="100"/>
              <w:spacing w:after="0"/>
              <w:rPr>
                <w:sz w:val="20"/>
                <w:szCs w:val="20"/>
                <w:color w:val="auto"/>
              </w:rPr>
            </w:pPr>
            <w:r>
              <w:rPr>
                <w:rFonts w:ascii="Arial" w:cs="Arial" w:eastAsia="Arial" w:hAnsi="Arial"/>
                <w:sz w:val="18"/>
                <w:szCs w:val="18"/>
                <w:color w:val="auto"/>
              </w:rPr>
              <w:t>Wells</w:t>
            </w:r>
          </w:p>
        </w:tc>
        <w:tc>
          <w:tcPr>
            <w:tcW w:w="1700" w:type="dxa"/>
            <w:vAlign w:val="bottom"/>
          </w:tcPr>
          <w:p>
            <w:pPr>
              <w:ind w:left="860"/>
              <w:spacing w:after="0"/>
              <w:rPr>
                <w:sz w:val="20"/>
                <w:szCs w:val="20"/>
                <w:color w:val="auto"/>
              </w:rPr>
            </w:pPr>
            <w:r>
              <w:rPr>
                <w:rFonts w:ascii="Arial" w:cs="Arial" w:eastAsia="Arial" w:hAnsi="Arial"/>
                <w:sz w:val="18"/>
                <w:szCs w:val="18"/>
                <w:color w:val="auto"/>
              </w:rPr>
              <w:t>N</w:t>
            </w:r>
          </w:p>
        </w:tc>
        <w:tc>
          <w:tcPr>
            <w:tcW w:w="1920" w:type="dxa"/>
            <w:vAlign w:val="bottom"/>
          </w:tcPr>
          <w:p>
            <w:pPr>
              <w:jc w:val="right"/>
              <w:ind w:right="630"/>
              <w:spacing w:after="0"/>
              <w:rPr>
                <w:sz w:val="20"/>
                <w:szCs w:val="20"/>
                <w:color w:val="auto"/>
              </w:rPr>
            </w:pPr>
            <w:r>
              <w:rPr>
                <w:rFonts w:ascii="Arial" w:cs="Arial" w:eastAsia="Arial" w:hAnsi="Arial"/>
                <w:sz w:val="18"/>
                <w:szCs w:val="18"/>
                <w:color w:val="auto"/>
              </w:rPr>
              <w:t>34</w:t>
            </w:r>
          </w:p>
        </w:tc>
        <w:tc>
          <w:tcPr>
            <w:tcW w:w="1800" w:type="dxa"/>
            <w:vAlign w:val="bottom"/>
          </w:tcPr>
          <w:p>
            <w:pPr>
              <w:jc w:val="right"/>
              <w:ind w:right="650"/>
              <w:spacing w:after="0"/>
              <w:rPr>
                <w:sz w:val="20"/>
                <w:szCs w:val="20"/>
                <w:color w:val="auto"/>
              </w:rPr>
            </w:pPr>
            <w:r>
              <w:rPr>
                <w:rFonts w:ascii="Arial" w:cs="Arial" w:eastAsia="Arial" w:hAnsi="Arial"/>
                <w:sz w:val="18"/>
                <w:szCs w:val="18"/>
                <w:color w:val="auto"/>
              </w:rPr>
              <w:t>60</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-1668145</wp:posOffset>
            </wp:positionV>
            <wp:extent cx="6078220" cy="16986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8">
                      <a:extLst>
                        <a:ext uri="{28A0092B-C50C-407E-A947-70E740481C1C}"/>
                      </a:extLst>
                    </a:blip>
                    <a:srcRect/>
                    <a:stretch>
                      <a:fillRect/>
                    </a:stretch>
                  </pic:blipFill>
                  <pic:spPr bwMode="auto">
                    <a:xfrm>
                      <a:off x="0" y="0"/>
                      <a:ext cx="6078220" cy="169862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-1668145</wp:posOffset>
            </wp:positionV>
            <wp:extent cx="6078220" cy="16986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9">
                      <a:extLst>
                        <a:ext uri="{28A0092B-C50C-407E-A947-70E740481C1C}"/>
                      </a:extLst>
                    </a:blip>
                    <a:srcRect/>
                    <a:stretch>
                      <a:fillRect/>
                    </a:stretch>
                  </pic:blipFill>
                  <pic:spPr bwMode="auto">
                    <a:xfrm>
                      <a:off x="0" y="0"/>
                      <a:ext cx="6078220" cy="1698625"/>
                    </a:xfrm>
                    <a:prstGeom prst="rect">
                      <a:avLst/>
                    </a:prstGeom>
                    <a:noFill/>
                  </pic:spPr>
                </pic:pic>
              </a:graphicData>
            </a:graphic>
          </wp:anchor>
        </w:drawing>
      </w:r>
    </w:p>
    <w:p>
      <w:pPr>
        <w:spacing w:after="0" w:line="365"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crystallized salts, mainly sodium chloride, are collected (harvested) every 1 to 2 years to maintain appropriate volume capacity of the ponds. For this purpose, typical earthmoving machinery will be used, su bulldozers, front-end loaders, and dump trucks.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All waste salts will be discharged to a Tailing Management Area (TMA) located on the salars.</w:t>
      </w:r>
    </w:p>
    <w:p>
      <w:pPr>
        <w:spacing w:after="0" w:line="23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Brine Processing</w:t>
      </w:r>
    </w:p>
    <w:p>
      <w:pPr>
        <w:spacing w:after="0" w:line="23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lithium in concentrated brine is extracted by a solvent, and transferred into a rich LiCl solution w concentration of 19 g/L.</w:t>
      </w:r>
    </w:p>
    <w:p>
      <w:pPr>
        <w:spacing w:after="0" w:line="175" w:lineRule="exact"/>
        <w:rPr>
          <w:sz w:val="20"/>
          <w:szCs w:val="20"/>
          <w:color w:val="auto"/>
        </w:rPr>
      </w:pPr>
    </w:p>
    <w:p>
      <w:pPr>
        <w:ind w:left="900" w:right="40"/>
        <w:spacing w:after="0" w:line="307" w:lineRule="auto"/>
        <w:rPr>
          <w:sz w:val="20"/>
          <w:szCs w:val="20"/>
          <w:color w:val="auto"/>
        </w:rPr>
      </w:pPr>
      <w:r>
        <w:rPr>
          <w:rFonts w:ascii="Arial" w:cs="Arial" w:eastAsia="Arial" w:hAnsi="Arial"/>
          <w:sz w:val="20"/>
          <w:szCs w:val="20"/>
          <w:color w:val="auto"/>
        </w:rPr>
        <w:t>The process consists of a three-step solvent extraction cycle: extraction, washing and stripping. There will production lines with a capacity of 10,000 TPA each, thus completing a production of ~51,000 TPA.</w:t>
      </w:r>
    </w:p>
    <w:p>
      <w:pPr>
        <w:spacing w:after="0" w:line="17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lithium rich solution from solvent extraction undergoes primary and secondary purification steps design remove excess boron and for calcium and carbonate removal. The purified and adjusted stream is split and to the lithium carbonate plant and the membrane electrodialysis plant to produce the lithium hydroxide feeds Lithium hydroxide monohydrate is obtained after further evaporation and crystallization while lithium carbon produced with the conventional process by addition of soda ash.</w:t>
      </w:r>
    </w:p>
    <w:p>
      <w:pPr>
        <w:spacing w:after="0" w:line="163"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Site Infrastructure and Support Systems</w:t>
      </w:r>
    </w:p>
    <w:p>
      <w:pPr>
        <w:spacing w:after="0" w:line="23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Infrastructure proposed for the Project includes:</w:t>
      </w:r>
    </w:p>
    <w:p>
      <w:pPr>
        <w:spacing w:after="0" w:line="236" w:lineRule="exact"/>
        <w:rPr>
          <w:sz w:val="20"/>
          <w:szCs w:val="20"/>
          <w:color w:val="auto"/>
        </w:rPr>
      </w:pPr>
    </w:p>
    <w:p>
      <w:pPr>
        <w:ind w:left="1620" w:hanging="366"/>
        <w:spacing w:after="0"/>
        <w:tabs>
          <w:tab w:leader="none" w:pos="16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Site access roads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11 / 26</w:t>
      </w:r>
    </w:p>
    <w:p>
      <w:pPr>
        <w:sectPr>
          <w:pgSz w:w="11900" w:h="16838" w:orient="portrait"/>
          <w:cols w:equalWidth="0" w:num="1">
            <w:col w:w="10460"/>
          </w:cols>
          <w:pgMar w:left="1440" w:top="1440" w:right="6" w:bottom="0" w:gutter="0" w:footer="0" w:header="0"/>
          <w:type w:val="continuous"/>
        </w:sectPr>
      </w:pPr>
    </w:p>
    <w:bookmarkStart w:id="147" w:name="page148"/>
    <w:bookmarkEnd w:id="147"/>
    <w:p>
      <w:pPr>
        <w:ind w:left="1620" w:right="40" w:hanging="366"/>
        <w:spacing w:after="0" w:line="368" w:lineRule="auto"/>
        <w:tabs>
          <w:tab w:leader="none" w:pos="16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Accommodation: modular, camp style accommodation is proposed in close proximity to the proce plant to include construction and operations personnel for Stages 1 through 3.</w:t>
      </w:r>
    </w:p>
    <w:p>
      <w:pPr>
        <w:spacing w:after="0" w:line="134" w:lineRule="exact"/>
        <w:rPr>
          <w:rFonts w:ascii="Arial" w:cs="Arial" w:eastAsia="Arial" w:hAnsi="Arial"/>
          <w:sz w:val="20"/>
          <w:szCs w:val="20"/>
          <w:color w:val="auto"/>
        </w:rPr>
      </w:pPr>
    </w:p>
    <w:p>
      <w:pPr>
        <w:ind w:left="1620" w:hanging="366"/>
        <w:spacing w:after="0" w:line="373" w:lineRule="auto"/>
        <w:tabs>
          <w:tab w:leader="none" w:pos="16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Power Supply: The Project will have as its main source of electrical energy, a new high voltage line a kV connected to the Argentine interconnection system (SADI) from the ET La Puna located approx. from the property. The electric company will provide a LAT connection thru a transformer station and there will enter the project with medium voltage lines.</w:t>
      </w:r>
    </w:p>
    <w:p>
      <w:pPr>
        <w:spacing w:after="0" w:line="130" w:lineRule="exact"/>
        <w:rPr>
          <w:rFonts w:ascii="Arial" w:cs="Arial" w:eastAsia="Arial" w:hAnsi="Arial"/>
          <w:sz w:val="20"/>
          <w:szCs w:val="20"/>
          <w:color w:val="auto"/>
        </w:rPr>
      </w:pPr>
    </w:p>
    <w:p>
      <w:pPr>
        <w:ind w:left="1620" w:hanging="366"/>
        <w:spacing w:after="0" w:line="374" w:lineRule="auto"/>
        <w:tabs>
          <w:tab w:leader="none" w:pos="16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Power Distribution &amp; Electrical: From the transformer station, two 33kV lines will be installed for int power distribution, these lines will go the first to the medium voltage distribution centre (CD-MV) i process plant 15 km from the EETT and the second will travel 12 km to reach the production wells lo in Salar de Pastos Grandes. From the CD-MV, a 33 kV line will be installed channelled by trays t transformation centres of the production plant where the CCM and low voltage distribution systems installed for the different terminal circuits; from the same CD-MV the laying of a 33 kV medium vo overhead line will be carried out. approximately 15 km to energize the production wells and evapor ponds located in Pastos Grandes.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1062355</wp:posOffset>
            </wp:positionV>
            <wp:extent cx="6764020"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33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12 / 26</w:t>
      </w:r>
    </w:p>
    <w:p>
      <w:pPr>
        <w:sectPr>
          <w:pgSz w:w="11900" w:h="16838" w:orient="portrait"/>
          <w:cols w:equalWidth="0" w:num="1">
            <w:col w:w="10460"/>
          </w:cols>
          <w:pgMar w:left="1440" w:top="1335" w:right="6" w:bottom="0" w:gutter="0" w:footer="0" w:header="0"/>
          <w:type w:val="continuous"/>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620" w:hanging="366"/>
        <w:spacing w:after="0" w:line="372" w:lineRule="auto"/>
        <w:tabs>
          <w:tab w:leader="none" w:pos="16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As an emergency system, critical equipment will be connected to diesel generators. It is intended where equipment of similar requirements is to be procured, for the site and camp, that makes and m be standardized where possible.</w:t>
      </w:r>
    </w:p>
    <w:p>
      <w:pPr>
        <w:spacing w:after="0" w:line="130" w:lineRule="exact"/>
        <w:rPr>
          <w:rFonts w:ascii="Arial" w:cs="Arial" w:eastAsia="Arial" w:hAnsi="Arial"/>
          <w:sz w:val="20"/>
          <w:szCs w:val="20"/>
          <w:color w:val="auto"/>
        </w:rPr>
      </w:pPr>
    </w:p>
    <w:p>
      <w:pPr>
        <w:ind w:left="1620" w:right="40" w:hanging="366"/>
        <w:spacing w:after="0" w:line="368" w:lineRule="auto"/>
        <w:tabs>
          <w:tab w:leader="none" w:pos="16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Natural Gas: Heat and steam for the process will be initially supplied by bracket around Liquefied N Gas (LNG) trucked to site, stored, re-gasified and distributed to the respective users.</w:t>
      </w:r>
    </w:p>
    <w:p>
      <w:pPr>
        <w:spacing w:after="0" w:line="134" w:lineRule="exact"/>
        <w:rPr>
          <w:rFonts w:ascii="Arial" w:cs="Arial" w:eastAsia="Arial" w:hAnsi="Arial"/>
          <w:sz w:val="20"/>
          <w:szCs w:val="20"/>
          <w:color w:val="auto"/>
        </w:rPr>
      </w:pPr>
    </w:p>
    <w:p>
      <w:pPr>
        <w:jc w:val="both"/>
        <w:ind w:left="1620" w:hanging="366"/>
        <w:spacing w:after="0" w:line="373" w:lineRule="auto"/>
        <w:tabs>
          <w:tab w:leader="none" w:pos="16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Water Supply: The water supply system for the project will consist of wells distributed in the sala Pozuelos and Pastos Grandes. All the wells will be connected to aqueducts to transport water t points of consumption. To meet the requirements for water for ponds and process plants, services camp, the pipelines will be distributed taking into account the distances to optimize the routing of pip</w:t>
      </w:r>
    </w:p>
    <w:p>
      <w:pPr>
        <w:spacing w:after="0" w:line="130" w:lineRule="exact"/>
        <w:rPr>
          <w:rFonts w:ascii="Arial" w:cs="Arial" w:eastAsia="Arial" w:hAnsi="Arial"/>
          <w:sz w:val="20"/>
          <w:szCs w:val="20"/>
          <w:color w:val="auto"/>
        </w:rPr>
      </w:pPr>
    </w:p>
    <w:p>
      <w:pPr>
        <w:ind w:left="1620" w:hanging="366"/>
        <w:spacing w:after="0"/>
        <w:tabs>
          <w:tab w:leader="none" w:pos="16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Buildings: truck shops, plant offices, process plant workshop, warehouse, laboratory and gatehouse.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227965</wp:posOffset>
            </wp:positionV>
            <wp:extent cx="5849620" cy="45720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1">
                      <a:extLst>
                        <a:ext uri="{28A0092B-C50C-407E-A947-70E740481C1C}"/>
                      </a:extLst>
                    </a:blip>
                    <a:srcRect/>
                    <a:stretch>
                      <a:fillRect/>
                    </a:stretch>
                  </pic:blipFill>
                  <pic:spPr bwMode="auto">
                    <a:xfrm>
                      <a:off x="0" y="0"/>
                      <a:ext cx="5849620" cy="457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Figure 157: Process Plants Layout for Three Phases (Source: WSP Golder, 2024)</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Mining and Environmental Permits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13 / 26</w:t>
      </w:r>
    </w:p>
    <w:p>
      <w:pPr>
        <w:sectPr>
          <w:pgSz w:w="11900" w:h="16838" w:orient="portrait"/>
          <w:cols w:equalWidth="0" w:num="1">
            <w:col w:w="10460"/>
          </w:cols>
          <w:pgMar w:left="1440" w:top="1440" w:right="6" w:bottom="0" w:gutter="0" w:footer="0" w:header="0"/>
          <w:type w:val="continuous"/>
        </w:sectPr>
      </w:pPr>
    </w:p>
    <w:bookmarkStart w:id="149" w:name="page150"/>
    <w:bookmarkEnd w:id="149"/>
    <w:p>
      <w:pPr>
        <w:jc w:val="both"/>
        <w:ind w:left="900"/>
        <w:spacing w:after="0" w:line="313" w:lineRule="auto"/>
        <w:rPr>
          <w:sz w:val="20"/>
          <w:szCs w:val="20"/>
          <w:color w:val="auto"/>
        </w:rPr>
      </w:pPr>
      <w:r>
        <w:rPr>
          <w:rFonts w:ascii="Arial" w:cs="Arial" w:eastAsia="Arial" w:hAnsi="Arial"/>
          <w:sz w:val="20"/>
          <w:szCs w:val="20"/>
          <w:color w:val="auto"/>
        </w:rPr>
        <w:t>There are no known environmental liabilities. Previous owners have prepared baseline studies for Pozuelos Pastos Grandes and the preparation of the Production Environmental Study update at PPG is in progress ( In addition, the Company has already submitted an Environmental Study for the pipeline corridor which allow transport of brine from Pastos Grandes to Pozuelos. The EIR/EIS for Phase 1 (Pozuelos) was approved b Province of Salta in November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1087755</wp:posOffset>
            </wp:positionV>
            <wp:extent cx="6764020"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14 / 26</w:t>
      </w:r>
    </w:p>
    <w:p>
      <w:pPr>
        <w:sectPr>
          <w:pgSz w:w="11900" w:h="16838" w:orient="portrait"/>
          <w:cols w:equalWidth="0" w:num="1">
            <w:col w:w="10460"/>
          </w:cols>
          <w:pgMar w:left="1440" w:top="1172" w:right="6" w:bottom="0" w:gutter="0" w:footer="0" w:header="0"/>
          <w:type w:val="continuous"/>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Ganfeng and LAR are committed to preserving the natural environment of the Puna region. All explor activities are under the auspices of an approved Environmental Impact Statement (EIR) by the Provi Argentine regulator. These are referred to locally as Declaration De Impacto Ambiental (DIA) and are issue exploration activities. Resolution 440 for activities at Pastos Grandes was approved in December 2017 Resolution 034 was passed in February 2018 for advanced exploration activities at Pozuelos.</w:t>
      </w:r>
    </w:p>
    <w:p>
      <w:pPr>
        <w:spacing w:after="0" w:line="210"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Ganfeng and LAR have continued to commit to the highest environmental and social standards and maint constant and active dialogue with all stakeholders in the provinces, including the local communities, Nati Provincial and respective Municipal Administrations, and their representatives in the various govern departments. The PPG Project is within the direct influence of the community of Santa Rosa de los Pa Grandes, located in close vicinity to Salar Pastos Grandes. The community of Pocitos, located approximate km north of Pozuelos, is also considered to be within the project as an indirect area of influence.</w:t>
      </w:r>
    </w:p>
    <w:p>
      <w:pPr>
        <w:spacing w:after="0" w:line="2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In general, Pozuelos and Pastos Grandes are relatively unencumbered by communities and, the Pozuelos in particular, hosts no people in its vicinity. Nevertheless, Ganfeng and LAR are committed to ensuring a po impact on local host communities through a range of initiatives.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Operating Costs</w:t>
      </w:r>
    </w:p>
    <w:p>
      <w:pPr>
        <w:spacing w:after="0" w:line="279" w:lineRule="exact"/>
        <w:rPr>
          <w:sz w:val="20"/>
          <w:szCs w:val="20"/>
          <w:color w:val="auto"/>
        </w:rPr>
      </w:pPr>
    </w:p>
    <w:p>
      <w:pPr>
        <w:jc w:val="both"/>
        <w:ind w:left="900" w:right="20"/>
        <w:spacing w:after="0" w:line="311" w:lineRule="auto"/>
        <w:rPr>
          <w:sz w:val="20"/>
          <w:szCs w:val="20"/>
          <w:color w:val="auto"/>
        </w:rPr>
      </w:pPr>
      <w:r>
        <w:rPr>
          <w:rFonts w:ascii="Arial" w:cs="Arial" w:eastAsia="Arial" w:hAnsi="Arial"/>
          <w:sz w:val="20"/>
          <w:szCs w:val="20"/>
          <w:color w:val="auto"/>
        </w:rPr>
        <w:t>The operating cost estimate has an accuracy of ±15%. The estimate includes all site-related operating associated with the production of high purity lithium carbonate and lithium hydroxide but expressed as a LCE.</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operating expenditures (OpEx) have been calculated based on the following breakdown:</w:t>
      </w:r>
    </w:p>
    <w:p>
      <w:pPr>
        <w:spacing w:after="0" w:line="236" w:lineRule="exact"/>
        <w:rPr>
          <w:sz w:val="20"/>
          <w:szCs w:val="20"/>
          <w:color w:val="auto"/>
        </w:rPr>
      </w:pPr>
    </w:p>
    <w:p>
      <w:pPr>
        <w:ind w:left="1620" w:hanging="366"/>
        <w:spacing w:after="0"/>
        <w:tabs>
          <w:tab w:leader="none" w:pos="16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Manpower</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Electric power</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Reagents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Consumables &amp; miscellaneous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Camp operation &amp; personnel transport</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Product transportation</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G&amp;As</w:t>
      </w:r>
    </w:p>
    <w:p>
      <w:pPr>
        <w:spacing w:after="0" w:line="286" w:lineRule="exact"/>
        <w:rPr>
          <w:sz w:val="20"/>
          <w:szCs w:val="20"/>
          <w:color w:val="auto"/>
        </w:rPr>
      </w:pPr>
    </w:p>
    <w:p>
      <w:pPr>
        <w:ind w:left="900"/>
        <w:spacing w:after="0"/>
        <w:rPr>
          <w:sz w:val="20"/>
          <w:szCs w:val="20"/>
          <w:color w:val="auto"/>
        </w:rPr>
      </w:pPr>
      <w:r>
        <w:rPr>
          <w:rFonts w:ascii="Arial" w:cs="Arial" w:eastAsia="Arial" w:hAnsi="Arial"/>
          <w:sz w:val="20"/>
          <w:szCs w:val="20"/>
          <w:color w:val="auto"/>
        </w:rPr>
        <w:t>Annual operating cost summaries for the three stages of production are shown in Table 8.</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Table 8: Operating Cost Summary for the 3 Phases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236220</wp:posOffset>
            </wp:positionV>
            <wp:extent cx="6078220" cy="1943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3">
                      <a:extLst>
                        <a:ext uri="{28A0092B-C50C-407E-A947-70E740481C1C}"/>
                      </a:extLst>
                    </a:blip>
                    <a:srcRect/>
                    <a:stretch>
                      <a:fillRect/>
                    </a:stretch>
                  </pic:blipFill>
                  <pic:spPr bwMode="auto">
                    <a:xfrm>
                      <a:off x="0" y="0"/>
                      <a:ext cx="6078220" cy="194310"/>
                    </a:xfrm>
                    <a:prstGeom prst="rect">
                      <a:avLst/>
                    </a:prstGeom>
                    <a:noFill/>
                  </pic:spPr>
                </pic:pic>
              </a:graphicData>
            </a:graphic>
          </wp:anchor>
        </w:drawing>
      </w:r>
    </w:p>
    <w:p>
      <w:pPr>
        <w:spacing w:after="0" w:line="352" w:lineRule="exact"/>
        <w:rPr>
          <w:sz w:val="20"/>
          <w:szCs w:val="20"/>
          <w:color w:val="auto"/>
        </w:rPr>
      </w:pPr>
    </w:p>
    <w:tbl>
      <w:tblPr>
        <w:tblLayout w:type="fixed"/>
        <w:tblInd w:w="900" w:type="dxa"/>
        <w:tblCellMar>
          <w:top w:w="0" w:type="dxa"/>
          <w:left w:w="0" w:type="dxa"/>
          <w:bottom w:w="0" w:type="dxa"/>
          <w:right w:w="0" w:type="dxa"/>
        </w:tblCellMar>
      </w:tblPr>
      <w:tr>
        <w:trPr>
          <w:trHeight w:val="286"/>
        </w:trPr>
        <w:tc>
          <w:tcPr>
            <w:tcW w:w="2880" w:type="dxa"/>
            <w:vAlign w:val="bottom"/>
            <w:tcBorders>
              <w:bottom w:val="single" w:sz="8" w:color="153A57"/>
            </w:tcBorders>
            <w:shd w:val="clear" w:color="auto" w:fill="153A57"/>
          </w:tcPr>
          <w:p>
            <w:pPr>
              <w:ind w:left="100"/>
              <w:spacing w:after="0"/>
              <w:rPr>
                <w:sz w:val="20"/>
                <w:szCs w:val="20"/>
                <w:color w:val="auto"/>
              </w:rPr>
            </w:pPr>
            <w:r>
              <w:rPr>
                <w:rFonts w:ascii="Arial" w:cs="Arial" w:eastAsia="Arial" w:hAnsi="Arial"/>
                <w:sz w:val="18"/>
                <w:szCs w:val="18"/>
                <w:b w:val="1"/>
                <w:bCs w:val="1"/>
                <w:color w:val="FFFFFF"/>
              </w:rPr>
              <w:t>Operating Cost Phase 1</w:t>
            </w:r>
          </w:p>
        </w:tc>
        <w:tc>
          <w:tcPr>
            <w:tcW w:w="1360" w:type="dxa"/>
            <w:vAlign w:val="bottom"/>
            <w:tcBorders>
              <w:bottom w:val="single" w:sz="8" w:color="153A57"/>
            </w:tcBorders>
            <w:shd w:val="clear" w:color="auto" w:fill="153A57"/>
          </w:tcPr>
          <w:p>
            <w:pPr>
              <w:spacing w:after="0"/>
              <w:rPr>
                <w:sz w:val="24"/>
                <w:szCs w:val="24"/>
                <w:color w:val="auto"/>
              </w:rPr>
            </w:pPr>
          </w:p>
        </w:tc>
        <w:tc>
          <w:tcPr>
            <w:tcW w:w="1060" w:type="dxa"/>
            <w:vAlign w:val="bottom"/>
            <w:tcBorders>
              <w:bottom w:val="single" w:sz="8" w:color="153A57"/>
            </w:tcBorders>
            <w:shd w:val="clear" w:color="auto" w:fill="153A57"/>
          </w:tcPr>
          <w:p>
            <w:pPr>
              <w:spacing w:after="0"/>
              <w:rPr>
                <w:sz w:val="24"/>
                <w:szCs w:val="24"/>
                <w:color w:val="auto"/>
              </w:rPr>
            </w:pPr>
          </w:p>
        </w:tc>
        <w:tc>
          <w:tcPr>
            <w:tcW w:w="2400" w:type="dxa"/>
            <w:vAlign w:val="bottom"/>
            <w:tcBorders>
              <w:bottom w:val="single" w:sz="8" w:color="153A57"/>
            </w:tcBorders>
            <w:gridSpan w:val="2"/>
            <w:shd w:val="clear" w:color="auto" w:fill="153A57"/>
          </w:tcPr>
          <w:p>
            <w:pPr>
              <w:jc w:val="right"/>
              <w:ind w:right="150"/>
              <w:spacing w:after="0"/>
              <w:rPr>
                <w:sz w:val="20"/>
                <w:szCs w:val="20"/>
                <w:color w:val="auto"/>
              </w:rPr>
            </w:pPr>
            <w:r>
              <w:rPr>
                <w:rFonts w:ascii="Arial" w:cs="Arial" w:eastAsia="Arial" w:hAnsi="Arial"/>
                <w:sz w:val="18"/>
                <w:szCs w:val="18"/>
                <w:b w:val="1"/>
                <w:bCs w:val="1"/>
                <w:color w:val="FFFFFF"/>
              </w:rPr>
              <w:t>Operating Cost Phase 2</w:t>
            </w:r>
          </w:p>
        </w:tc>
        <w:tc>
          <w:tcPr>
            <w:tcW w:w="1860" w:type="dxa"/>
            <w:vAlign w:val="bottom"/>
            <w:tcBorders>
              <w:bottom w:val="single" w:sz="8" w:color="153A57"/>
            </w:tcBorders>
            <w:gridSpan w:val="2"/>
            <w:shd w:val="clear" w:color="auto" w:fill="153A57"/>
          </w:tcPr>
          <w:p>
            <w:pPr>
              <w:jc w:val="right"/>
              <w:spacing w:after="0"/>
              <w:rPr>
                <w:sz w:val="20"/>
                <w:szCs w:val="20"/>
                <w:color w:val="auto"/>
              </w:rPr>
            </w:pPr>
            <w:r>
              <w:rPr>
                <w:rFonts w:ascii="Arial" w:cs="Arial" w:eastAsia="Arial" w:hAnsi="Arial"/>
                <w:sz w:val="18"/>
                <w:szCs w:val="18"/>
                <w:b w:val="1"/>
                <w:bCs w:val="1"/>
                <w:color w:val="FFFFFF"/>
              </w:rPr>
              <w:t>Operating Cost Phas</w:t>
            </w:r>
          </w:p>
        </w:tc>
      </w:tr>
      <w:tr>
        <w:trPr>
          <w:trHeight w:val="250"/>
        </w:trPr>
        <w:tc>
          <w:tcPr>
            <w:tcW w:w="2880" w:type="dxa"/>
            <w:vAlign w:val="bottom"/>
          </w:tcPr>
          <w:p>
            <w:pPr>
              <w:ind w:left="160"/>
              <w:spacing w:after="0"/>
              <w:rPr>
                <w:sz w:val="20"/>
                <w:szCs w:val="20"/>
                <w:color w:val="auto"/>
              </w:rPr>
            </w:pPr>
            <w:r>
              <w:rPr>
                <w:rFonts w:ascii="Arial" w:cs="Arial" w:eastAsia="Arial" w:hAnsi="Arial"/>
                <w:sz w:val="18"/>
                <w:szCs w:val="18"/>
                <w:color w:val="auto"/>
              </w:rPr>
              <w:t>Production Tpa Lce</w:t>
            </w:r>
          </w:p>
        </w:tc>
        <w:tc>
          <w:tcPr>
            <w:tcW w:w="1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51,006</w:t>
            </w:r>
          </w:p>
        </w:tc>
        <w:tc>
          <w:tcPr>
            <w:tcW w:w="1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102,012</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96"/>
        </w:trPr>
        <w:tc>
          <w:tcPr>
            <w:tcW w:w="28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0"/>
              <w:spacing w:after="0"/>
              <w:rPr>
                <w:sz w:val="20"/>
                <w:szCs w:val="20"/>
                <w:color w:val="auto"/>
              </w:rPr>
            </w:pPr>
            <w:r>
              <w:rPr>
                <w:rFonts w:ascii="Arial" w:cs="Arial" w:eastAsia="Arial" w:hAnsi="Arial"/>
                <w:sz w:val="18"/>
                <w:szCs w:val="18"/>
                <w:color w:val="auto"/>
                <w:w w:val="97"/>
              </w:rPr>
              <w:t>/Year</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10"/>
              <w:spacing w:after="0"/>
              <w:rPr>
                <w:sz w:val="20"/>
                <w:szCs w:val="20"/>
                <w:color w:val="auto"/>
              </w:rPr>
            </w:pPr>
            <w:r>
              <w:rPr>
                <w:rFonts w:ascii="Arial" w:cs="Arial" w:eastAsia="Arial" w:hAnsi="Arial"/>
                <w:sz w:val="18"/>
                <w:szCs w:val="18"/>
                <w:color w:val="auto"/>
                <w:w w:val="92"/>
              </w:rPr>
              <w:t>/Year</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0"/>
              <w:spacing w:after="0"/>
              <w:rPr>
                <w:sz w:val="20"/>
                <w:szCs w:val="20"/>
                <w:color w:val="auto"/>
              </w:rPr>
            </w:pPr>
            <w:r>
              <w:rPr>
                <w:rFonts w:ascii="Arial" w:cs="Arial" w:eastAsia="Arial" w:hAnsi="Arial"/>
                <w:sz w:val="18"/>
                <w:szCs w:val="18"/>
                <w:color w:val="auto"/>
                <w:w w:val="92"/>
              </w:rPr>
              <w:t>/Year</w:t>
            </w:r>
          </w:p>
        </w:tc>
      </w:tr>
      <w:tr>
        <w:trPr>
          <w:trHeight w:val="296"/>
        </w:trPr>
        <w:tc>
          <w:tcPr>
            <w:tcW w:w="2880" w:type="dxa"/>
            <w:vAlign w:val="bottom"/>
          </w:tcPr>
          <w:p>
            <w:pPr>
              <w:ind w:left="100"/>
              <w:spacing w:after="0"/>
              <w:rPr>
                <w:sz w:val="20"/>
                <w:szCs w:val="20"/>
                <w:color w:val="auto"/>
              </w:rPr>
            </w:pPr>
            <w:r>
              <w:rPr>
                <w:rFonts w:ascii="Arial" w:cs="Arial" w:eastAsia="Arial" w:hAnsi="Arial"/>
                <w:sz w:val="18"/>
                <w:szCs w:val="18"/>
                <w:color w:val="auto"/>
              </w:rPr>
              <w:t>Labor +Camp</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32,337,683</w:t>
            </w:r>
          </w:p>
        </w:tc>
        <w:tc>
          <w:tcPr>
            <w:tcW w:w="1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45,106,523</w:t>
            </w:r>
          </w:p>
        </w:tc>
        <w:tc>
          <w:tcPr>
            <w:tcW w:w="11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58,305</w:t>
            </w:r>
          </w:p>
        </w:tc>
      </w:tr>
      <w:tr>
        <w:trPr>
          <w:trHeight w:val="296"/>
        </w:trPr>
        <w:tc>
          <w:tcPr>
            <w:tcW w:w="2880" w:type="dxa"/>
            <w:vAlign w:val="bottom"/>
          </w:tcPr>
          <w:p>
            <w:pPr>
              <w:ind w:left="100"/>
              <w:spacing w:after="0"/>
              <w:rPr>
                <w:sz w:val="20"/>
                <w:szCs w:val="20"/>
                <w:color w:val="auto"/>
              </w:rPr>
            </w:pPr>
            <w:r>
              <w:rPr>
                <w:rFonts w:ascii="Arial" w:cs="Arial" w:eastAsia="Arial" w:hAnsi="Arial"/>
                <w:sz w:val="18"/>
                <w:szCs w:val="18"/>
                <w:color w:val="auto"/>
              </w:rPr>
              <w:t>Reagents</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73,623,821</w:t>
            </w:r>
          </w:p>
        </w:tc>
        <w:tc>
          <w:tcPr>
            <w:tcW w:w="11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147,247,642</w:t>
            </w:r>
          </w:p>
        </w:tc>
        <w:tc>
          <w:tcPr>
            <w:tcW w:w="11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220,872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-728345</wp:posOffset>
            </wp:positionV>
            <wp:extent cx="6078220" cy="7581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4">
                      <a:extLst>
                        <a:ext uri="{28A0092B-C50C-407E-A947-70E740481C1C}"/>
                      </a:extLst>
                    </a:blip>
                    <a:srcRect/>
                    <a:stretch>
                      <a:fillRect/>
                    </a:stretch>
                  </pic:blipFill>
                  <pic:spPr bwMode="auto">
                    <a:xfrm>
                      <a:off x="0" y="0"/>
                      <a:ext cx="6078220" cy="7581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-728345</wp:posOffset>
            </wp:positionV>
            <wp:extent cx="6078220" cy="7581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5">
                      <a:extLst>
                        <a:ext uri="{28A0092B-C50C-407E-A947-70E740481C1C}"/>
                      </a:extLst>
                    </a:blip>
                    <a:srcRect/>
                    <a:stretch>
                      <a:fillRect/>
                    </a:stretch>
                  </pic:blipFill>
                  <pic:spPr bwMode="auto">
                    <a:xfrm>
                      <a:off x="0" y="0"/>
                      <a:ext cx="6078220" cy="75819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6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15 / 26</w:t>
      </w:r>
    </w:p>
    <w:p>
      <w:pPr>
        <w:sectPr>
          <w:pgSz w:w="11900" w:h="16838" w:orient="portrait"/>
          <w:cols w:equalWidth="0" w:num="1">
            <w:col w:w="10460"/>
          </w:cols>
          <w:pgMar w:left="1440" w:top="1440" w:right="6" w:bottom="0" w:gutter="0" w:footer="0" w:header="0"/>
          <w:type w:val="continuous"/>
        </w:sectPr>
      </w:pPr>
    </w:p>
    <w:bookmarkStart w:id="151" w:name="page152"/>
    <w:bookmarkEnd w:id="151"/>
    <w:tbl>
      <w:tblPr>
        <w:tblLayout w:type="fixed"/>
        <w:tblInd w:w="0" w:type="dxa"/>
        <w:tblCellMar>
          <w:top w:w="0" w:type="dxa"/>
          <w:left w:w="0" w:type="dxa"/>
          <w:bottom w:w="0" w:type="dxa"/>
          <w:right w:w="0" w:type="dxa"/>
        </w:tblCellMar>
      </w:tblPr>
      <w:tr>
        <w:trPr>
          <w:trHeight w:val="207"/>
        </w:trPr>
        <w:tc>
          <w:tcPr>
            <w:tcW w:w="3860" w:type="dxa"/>
            <w:vAlign w:val="bottom"/>
          </w:tcPr>
          <w:p>
            <w:pPr>
              <w:ind w:left="1180"/>
              <w:spacing w:after="0"/>
              <w:rPr>
                <w:sz w:val="20"/>
                <w:szCs w:val="20"/>
                <w:color w:val="auto"/>
              </w:rPr>
            </w:pPr>
            <w:r>
              <w:rPr>
                <w:rFonts w:ascii="Arial" w:cs="Arial" w:eastAsia="Arial" w:hAnsi="Arial"/>
                <w:sz w:val="18"/>
                <w:szCs w:val="18"/>
                <w:color w:val="auto"/>
              </w:rPr>
              <w:t>Power &amp; Energy</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72,225,910</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50"/>
              <w:spacing w:after="0"/>
              <w:rPr>
                <w:sz w:val="20"/>
                <w:szCs w:val="20"/>
                <w:color w:val="auto"/>
              </w:rPr>
            </w:pPr>
            <w:r>
              <w:rPr>
                <w:rFonts w:ascii="Arial" w:cs="Arial" w:eastAsia="Arial" w:hAnsi="Arial"/>
                <w:sz w:val="18"/>
                <w:szCs w:val="18"/>
                <w:color w:val="auto"/>
              </w:rPr>
              <w:t>149,408,298</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226,590</w:t>
            </w:r>
          </w:p>
        </w:tc>
      </w:tr>
      <w:tr>
        <w:trPr>
          <w:trHeight w:val="296"/>
        </w:trPr>
        <w:tc>
          <w:tcPr>
            <w:tcW w:w="3860" w:type="dxa"/>
            <w:vAlign w:val="bottom"/>
          </w:tcPr>
          <w:p>
            <w:pPr>
              <w:ind w:left="1180"/>
              <w:spacing w:after="0"/>
              <w:rPr>
                <w:sz w:val="20"/>
                <w:szCs w:val="20"/>
                <w:color w:val="auto"/>
              </w:rPr>
            </w:pPr>
            <w:r>
              <w:rPr>
                <w:rFonts w:ascii="Arial" w:cs="Arial" w:eastAsia="Arial" w:hAnsi="Arial"/>
                <w:sz w:val="18"/>
                <w:szCs w:val="18"/>
                <w:color w:val="auto"/>
              </w:rPr>
              <w:t>G&amp;A</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7,859,050</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50"/>
              <w:spacing w:after="0"/>
              <w:rPr>
                <w:sz w:val="20"/>
                <w:szCs w:val="20"/>
                <w:color w:val="auto"/>
              </w:rPr>
            </w:pPr>
            <w:r>
              <w:rPr>
                <w:rFonts w:ascii="Arial" w:cs="Arial" w:eastAsia="Arial" w:hAnsi="Arial"/>
                <w:sz w:val="18"/>
                <w:szCs w:val="18"/>
                <w:color w:val="auto"/>
              </w:rPr>
              <w:t>11,453,100</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15,047</w:t>
            </w:r>
          </w:p>
        </w:tc>
      </w:tr>
      <w:tr>
        <w:trPr>
          <w:trHeight w:val="296"/>
        </w:trPr>
        <w:tc>
          <w:tcPr>
            <w:tcW w:w="3860" w:type="dxa"/>
            <w:vAlign w:val="bottom"/>
          </w:tcPr>
          <w:p>
            <w:pPr>
              <w:ind w:left="1180"/>
              <w:spacing w:after="0"/>
              <w:rPr>
                <w:sz w:val="20"/>
                <w:szCs w:val="20"/>
                <w:color w:val="auto"/>
              </w:rPr>
            </w:pPr>
            <w:r>
              <w:rPr>
                <w:rFonts w:ascii="Arial" w:cs="Arial" w:eastAsia="Arial" w:hAnsi="Arial"/>
                <w:sz w:val="18"/>
                <w:szCs w:val="18"/>
                <w:color w:val="auto"/>
              </w:rPr>
              <w:t>Membrane</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2,017,000</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50"/>
              <w:spacing w:after="0"/>
              <w:rPr>
                <w:sz w:val="20"/>
                <w:szCs w:val="20"/>
                <w:color w:val="auto"/>
              </w:rPr>
            </w:pPr>
            <w:r>
              <w:rPr>
                <w:rFonts w:ascii="Arial" w:cs="Arial" w:eastAsia="Arial" w:hAnsi="Arial"/>
                <w:sz w:val="18"/>
                <w:szCs w:val="18"/>
                <w:color w:val="auto"/>
              </w:rPr>
              <w:t>4,034,000</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6,051</w:t>
            </w:r>
          </w:p>
        </w:tc>
      </w:tr>
      <w:tr>
        <w:trPr>
          <w:trHeight w:val="296"/>
        </w:trPr>
        <w:tc>
          <w:tcPr>
            <w:tcW w:w="3860" w:type="dxa"/>
            <w:vAlign w:val="bottom"/>
          </w:tcPr>
          <w:p>
            <w:pPr>
              <w:ind w:left="1180"/>
              <w:spacing w:after="0"/>
              <w:rPr>
                <w:sz w:val="20"/>
                <w:szCs w:val="20"/>
                <w:color w:val="auto"/>
              </w:rPr>
            </w:pPr>
            <w:r>
              <w:rPr>
                <w:rFonts w:ascii="Arial" w:cs="Arial" w:eastAsia="Arial" w:hAnsi="Arial"/>
                <w:sz w:val="18"/>
                <w:szCs w:val="18"/>
                <w:color w:val="auto"/>
              </w:rPr>
              <w:t>Salts Disposal</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15,538,911</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50"/>
              <w:spacing w:after="0"/>
              <w:rPr>
                <w:sz w:val="20"/>
                <w:szCs w:val="20"/>
                <w:color w:val="auto"/>
              </w:rPr>
            </w:pPr>
            <w:r>
              <w:rPr>
                <w:rFonts w:ascii="Arial" w:cs="Arial" w:eastAsia="Arial" w:hAnsi="Arial"/>
                <w:sz w:val="18"/>
                <w:szCs w:val="18"/>
                <w:color w:val="auto"/>
              </w:rPr>
              <w:t>30,057,790</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44,576</w:t>
            </w:r>
          </w:p>
        </w:tc>
      </w:tr>
      <w:tr>
        <w:trPr>
          <w:trHeight w:val="296"/>
        </w:trPr>
        <w:tc>
          <w:tcPr>
            <w:tcW w:w="3860" w:type="dxa"/>
            <w:vAlign w:val="bottom"/>
          </w:tcPr>
          <w:p>
            <w:pPr>
              <w:ind w:left="1180"/>
              <w:spacing w:after="0"/>
              <w:rPr>
                <w:sz w:val="20"/>
                <w:szCs w:val="20"/>
                <w:color w:val="auto"/>
              </w:rPr>
            </w:pPr>
            <w:r>
              <w:rPr>
                <w:rFonts w:ascii="Arial" w:cs="Arial" w:eastAsia="Arial" w:hAnsi="Arial"/>
                <w:sz w:val="18"/>
                <w:szCs w:val="18"/>
                <w:color w:val="auto"/>
              </w:rPr>
              <w:t>Consumables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9,705,600</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50"/>
              <w:spacing w:after="0"/>
              <w:rPr>
                <w:sz w:val="20"/>
                <w:szCs w:val="20"/>
                <w:color w:val="auto"/>
              </w:rPr>
            </w:pPr>
            <w:r>
              <w:rPr>
                <w:rFonts w:ascii="Arial" w:cs="Arial" w:eastAsia="Arial" w:hAnsi="Arial"/>
                <w:sz w:val="18"/>
                <w:szCs w:val="18"/>
                <w:color w:val="auto"/>
              </w:rPr>
              <w:t>17,470,080</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24,264</w:t>
            </w:r>
          </w:p>
        </w:tc>
      </w:tr>
      <w:tr>
        <w:trPr>
          <w:trHeight w:val="296"/>
        </w:trPr>
        <w:tc>
          <w:tcPr>
            <w:tcW w:w="3860" w:type="dxa"/>
            <w:vAlign w:val="bottom"/>
          </w:tcPr>
          <w:p>
            <w:pPr>
              <w:ind w:left="1180"/>
              <w:spacing w:after="0"/>
              <w:rPr>
                <w:sz w:val="20"/>
                <w:szCs w:val="20"/>
                <w:color w:val="auto"/>
              </w:rPr>
            </w:pPr>
            <w:r>
              <w:rPr>
                <w:rFonts w:ascii="Arial" w:cs="Arial" w:eastAsia="Arial" w:hAnsi="Arial"/>
                <w:sz w:val="18"/>
                <w:szCs w:val="18"/>
                <w:color w:val="auto"/>
              </w:rPr>
              <w:t>Product Transportation</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10,500,000</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50"/>
              <w:spacing w:after="0"/>
              <w:rPr>
                <w:sz w:val="20"/>
                <w:szCs w:val="20"/>
                <w:color w:val="auto"/>
              </w:rPr>
            </w:pPr>
            <w:r>
              <w:rPr>
                <w:rFonts w:ascii="Arial" w:cs="Arial" w:eastAsia="Arial" w:hAnsi="Arial"/>
                <w:sz w:val="18"/>
                <w:szCs w:val="18"/>
                <w:color w:val="auto"/>
              </w:rPr>
              <w:t>21,000,000</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31,500</w:t>
            </w:r>
          </w:p>
        </w:tc>
      </w:tr>
      <w:tr>
        <w:trPr>
          <w:trHeight w:val="296"/>
        </w:trPr>
        <w:tc>
          <w:tcPr>
            <w:tcW w:w="3860" w:type="dxa"/>
            <w:vAlign w:val="bottom"/>
          </w:tcPr>
          <w:p>
            <w:pPr>
              <w:ind w:left="1180"/>
              <w:spacing w:after="0"/>
              <w:rPr>
                <w:sz w:val="20"/>
                <w:szCs w:val="20"/>
                <w:color w:val="auto"/>
              </w:rPr>
            </w:pPr>
            <w:r>
              <w:rPr>
                <w:rFonts w:ascii="Arial" w:cs="Arial" w:eastAsia="Arial" w:hAnsi="Arial"/>
                <w:sz w:val="18"/>
                <w:szCs w:val="18"/>
                <w:color w:val="auto"/>
              </w:rPr>
              <w:t>Maintenance</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21,888,841</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50"/>
              <w:spacing w:after="0"/>
              <w:rPr>
                <w:sz w:val="20"/>
                <w:szCs w:val="20"/>
                <w:color w:val="auto"/>
              </w:rPr>
            </w:pPr>
            <w:r>
              <w:rPr>
                <w:rFonts w:ascii="Arial" w:cs="Arial" w:eastAsia="Arial" w:hAnsi="Arial"/>
                <w:sz w:val="18"/>
                <w:szCs w:val="18"/>
                <w:color w:val="auto"/>
              </w:rPr>
              <w:t>43,777,681</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65,666</w:t>
            </w:r>
          </w:p>
        </w:tc>
      </w:tr>
      <w:tr>
        <w:trPr>
          <w:trHeight w:val="296"/>
        </w:trPr>
        <w:tc>
          <w:tcPr>
            <w:tcW w:w="3860" w:type="dxa"/>
            <w:vAlign w:val="bottom"/>
          </w:tcPr>
          <w:p>
            <w:pPr>
              <w:ind w:left="1180"/>
              <w:spacing w:after="0"/>
              <w:rPr>
                <w:sz w:val="20"/>
                <w:szCs w:val="20"/>
                <w:color w:val="auto"/>
              </w:rPr>
            </w:pPr>
            <w:r>
              <w:rPr>
                <w:rFonts w:ascii="Arial" w:cs="Arial" w:eastAsia="Arial" w:hAnsi="Arial"/>
                <w:sz w:val="18"/>
                <w:szCs w:val="18"/>
                <w:color w:val="auto"/>
              </w:rPr>
              <w:t>Services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13,886,999</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50"/>
              <w:spacing w:after="0"/>
              <w:rPr>
                <w:sz w:val="20"/>
                <w:szCs w:val="20"/>
                <w:color w:val="auto"/>
              </w:rPr>
            </w:pPr>
            <w:r>
              <w:rPr>
                <w:rFonts w:ascii="Arial" w:cs="Arial" w:eastAsia="Arial" w:hAnsi="Arial"/>
                <w:sz w:val="18"/>
                <w:szCs w:val="18"/>
                <w:color w:val="auto"/>
              </w:rPr>
              <w:t>20,584,469</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39,750</w:t>
            </w:r>
          </w:p>
        </w:tc>
      </w:tr>
      <w:tr>
        <w:trPr>
          <w:trHeight w:val="296"/>
        </w:trPr>
        <w:tc>
          <w:tcPr>
            <w:tcW w:w="3860" w:type="dxa"/>
            <w:vAlign w:val="bottom"/>
          </w:tcPr>
          <w:p>
            <w:pPr>
              <w:ind w:left="1180"/>
              <w:spacing w:after="0"/>
              <w:rPr>
                <w:sz w:val="20"/>
                <w:szCs w:val="20"/>
                <w:color w:val="auto"/>
              </w:rPr>
            </w:pPr>
            <w:r>
              <w:rPr>
                <w:rFonts w:ascii="Arial" w:cs="Arial" w:eastAsia="Arial" w:hAnsi="Arial"/>
                <w:sz w:val="18"/>
                <w:szCs w:val="18"/>
                <w:color w:val="auto"/>
              </w:rPr>
              <w:t>Contingency</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12,979,663</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50"/>
              <w:spacing w:after="0"/>
              <w:rPr>
                <w:sz w:val="20"/>
                <w:szCs w:val="20"/>
                <w:color w:val="auto"/>
              </w:rPr>
            </w:pPr>
            <w:r>
              <w:rPr>
                <w:rFonts w:ascii="Arial" w:cs="Arial" w:eastAsia="Arial" w:hAnsi="Arial"/>
                <w:sz w:val="18"/>
                <w:szCs w:val="18"/>
                <w:color w:val="auto"/>
              </w:rPr>
              <w:t>24,507,924</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36,632</w:t>
            </w:r>
          </w:p>
        </w:tc>
      </w:tr>
      <w:tr>
        <w:trPr>
          <w:trHeight w:val="296"/>
        </w:trPr>
        <w:tc>
          <w:tcPr>
            <w:tcW w:w="3860" w:type="dxa"/>
            <w:vAlign w:val="bottom"/>
          </w:tcPr>
          <w:p>
            <w:pPr>
              <w:ind w:left="1180"/>
              <w:spacing w:after="0"/>
              <w:rPr>
                <w:sz w:val="20"/>
                <w:szCs w:val="20"/>
                <w:color w:val="auto"/>
              </w:rPr>
            </w:pPr>
            <w:r>
              <w:rPr>
                <w:rFonts w:ascii="Arial" w:cs="Arial" w:eastAsia="Arial" w:hAnsi="Arial"/>
                <w:sz w:val="18"/>
                <w:szCs w:val="18"/>
                <w:b w:val="1"/>
                <w:bCs w:val="1"/>
                <w:color w:val="auto"/>
              </w:rPr>
              <w:t>Total Annual Costs</w:t>
            </w: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272,563,478</w:t>
            </w:r>
          </w:p>
        </w:tc>
        <w:tc>
          <w:tcPr>
            <w:tcW w:w="7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150"/>
              <w:spacing w:after="0"/>
              <w:rPr>
                <w:sz w:val="20"/>
                <w:szCs w:val="20"/>
                <w:color w:val="auto"/>
              </w:rPr>
            </w:pPr>
            <w:r>
              <w:rPr>
                <w:rFonts w:ascii="Arial" w:cs="Arial" w:eastAsia="Arial" w:hAnsi="Arial"/>
                <w:sz w:val="18"/>
                <w:szCs w:val="18"/>
                <w:b w:val="1"/>
                <w:bCs w:val="1"/>
                <w:color w:val="auto"/>
              </w:rPr>
              <w:t>514,647,507</w:t>
            </w:r>
          </w:p>
        </w:tc>
        <w:tc>
          <w:tcPr>
            <w:tcW w:w="7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769,257</w:t>
            </w:r>
          </w:p>
        </w:tc>
      </w:tr>
      <w:tr>
        <w:trPr>
          <w:trHeight w:val="296"/>
        </w:trPr>
        <w:tc>
          <w:tcPr>
            <w:tcW w:w="3860" w:type="dxa"/>
            <w:vAlign w:val="bottom"/>
          </w:tcPr>
          <w:p>
            <w:pPr>
              <w:ind w:left="1180"/>
              <w:spacing w:after="0"/>
              <w:rPr>
                <w:sz w:val="20"/>
                <w:szCs w:val="20"/>
                <w:color w:val="auto"/>
              </w:rPr>
            </w:pPr>
            <w:r>
              <w:rPr>
                <w:rFonts w:ascii="Arial" w:cs="Arial" w:eastAsia="Arial" w:hAnsi="Arial"/>
                <w:sz w:val="18"/>
                <w:szCs w:val="18"/>
                <w:b w:val="1"/>
                <w:bCs w:val="1"/>
                <w:color w:val="auto"/>
              </w:rPr>
              <w:t>Cost/T Lce</w:t>
            </w: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5,344</w:t>
            </w:r>
          </w:p>
        </w:tc>
        <w:tc>
          <w:tcPr>
            <w:tcW w:w="7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150"/>
              <w:spacing w:after="0"/>
              <w:rPr>
                <w:sz w:val="20"/>
                <w:szCs w:val="20"/>
                <w:color w:val="auto"/>
              </w:rPr>
            </w:pPr>
            <w:r>
              <w:rPr>
                <w:rFonts w:ascii="Arial" w:cs="Arial" w:eastAsia="Arial" w:hAnsi="Arial"/>
                <w:sz w:val="18"/>
                <w:szCs w:val="18"/>
                <w:b w:val="1"/>
                <w:bCs w:val="1"/>
                <w:color w:val="auto"/>
              </w:rPr>
              <w:t>5,045</w:t>
            </w:r>
          </w:p>
        </w:tc>
        <w:tc>
          <w:tcPr>
            <w:tcW w:w="7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098"/>
        </w:trPr>
        <w:tc>
          <w:tcPr>
            <w:tcW w:w="386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148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164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1482090</wp:posOffset>
            </wp:positionH>
            <wp:positionV relativeFrom="page">
              <wp:posOffset>720090</wp:posOffset>
            </wp:positionV>
            <wp:extent cx="2059940" cy="1879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6">
                      <a:extLst>
                        <a:ext uri="{28A0092B-C50C-407E-A947-70E740481C1C}"/>
                      </a:extLst>
                    </a:blip>
                    <a:srcRect/>
                    <a:stretch>
                      <a:fillRect/>
                    </a:stretch>
                  </pic:blipFill>
                  <pic:spPr bwMode="auto">
                    <a:xfrm>
                      <a:off x="0" y="0"/>
                      <a:ext cx="2059940" cy="187960"/>
                    </a:xfrm>
                    <a:prstGeom prst="rect">
                      <a:avLst/>
                    </a:prstGeom>
                    <a:noFill/>
                  </pic:spPr>
                </pic:pic>
              </a:graphicData>
            </a:graphic>
          </wp:anchor>
        </w:drawing>
        <w:drawing>
          <wp:anchor simplePos="0" relativeHeight="251657728" behindDoc="1" locked="0" layoutInCell="0" allowOverlap="1">
            <wp:simplePos x="0" y="0"/>
            <wp:positionH relativeFrom="page">
              <wp:posOffset>4791710</wp:posOffset>
            </wp:positionH>
            <wp:positionV relativeFrom="page">
              <wp:posOffset>720090</wp:posOffset>
            </wp:positionV>
            <wp:extent cx="64135" cy="1879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7">
                      <a:extLst>
                        <a:ext uri="{28A0092B-C50C-407E-A947-70E740481C1C}"/>
                      </a:extLst>
                    </a:blip>
                    <a:srcRect/>
                    <a:stretch>
                      <a:fillRect/>
                    </a:stretch>
                  </pic:blipFill>
                  <pic:spPr bwMode="auto">
                    <a:xfrm>
                      <a:off x="0" y="0"/>
                      <a:ext cx="64135" cy="187960"/>
                    </a:xfrm>
                    <a:prstGeom prst="rect">
                      <a:avLst/>
                    </a:prstGeom>
                    <a:noFill/>
                  </pic:spPr>
                </pic:pic>
              </a:graphicData>
            </a:graphic>
          </wp:anchor>
        </w:drawing>
        <w:drawing>
          <wp:anchor simplePos="0" relativeHeight="251657728" behindDoc="1" locked="0" layoutInCell="0" allowOverlap="1">
            <wp:simplePos x="0" y="0"/>
            <wp:positionH relativeFrom="page">
              <wp:posOffset>6305550</wp:posOffset>
            </wp:positionH>
            <wp:positionV relativeFrom="page">
              <wp:posOffset>720090</wp:posOffset>
            </wp:positionV>
            <wp:extent cx="64135" cy="1879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8">
                      <a:extLst>
                        <a:ext uri="{28A0092B-C50C-407E-A947-70E740481C1C}"/>
                      </a:extLst>
                    </a:blip>
                    <a:srcRect/>
                    <a:stretch>
                      <a:fillRect/>
                    </a:stretch>
                  </pic:blipFill>
                  <pic:spPr bwMode="auto">
                    <a:xfrm>
                      <a:off x="0" y="0"/>
                      <a:ext cx="64135" cy="1879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9">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-3201670</wp:posOffset>
            </wp:positionV>
            <wp:extent cx="6078220" cy="18865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0">
                      <a:extLst>
                        <a:ext uri="{28A0092B-C50C-407E-A947-70E740481C1C}"/>
                      </a:extLst>
                    </a:blip>
                    <a:srcRect/>
                    <a:stretch>
                      <a:fillRect/>
                    </a:stretch>
                  </pic:blipFill>
                  <pic:spPr bwMode="auto">
                    <a:xfrm>
                      <a:off x="0" y="0"/>
                      <a:ext cx="6078220" cy="188658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-3201670</wp:posOffset>
            </wp:positionV>
            <wp:extent cx="6078220" cy="18865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1">
                      <a:extLst>
                        <a:ext uri="{28A0092B-C50C-407E-A947-70E740481C1C}"/>
                      </a:extLst>
                    </a:blip>
                    <a:srcRect/>
                    <a:stretch>
                      <a:fillRect/>
                    </a:stretch>
                  </pic:blipFill>
                  <pic:spPr bwMode="auto">
                    <a:xfrm>
                      <a:off x="0" y="0"/>
                      <a:ext cx="6078220"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16 / 26</w:t>
      </w:r>
    </w:p>
    <w:p>
      <w:pPr>
        <w:sectPr>
          <w:pgSz w:w="11900" w:h="16838" w:orient="portrait"/>
          <w:cols w:equalWidth="0" w:num="1">
            <w:col w:w="10640"/>
          </w:cols>
          <w:pgMar w:left="1260" w:top="1176" w:right="6" w:bottom="0" w:gutter="0" w:footer="0" w:header="0"/>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Dollar inflation has a significant impact on the plant's OpEx, particularly on the local cost components. This does not account for the effects of inflation. Certain inputs and services required for operations are sourced the local market, and their prices were presented in U.S. dollars in our OpEx estimate to mitigate the impa currency exchange rate fluctuations.</w:t>
      </w:r>
    </w:p>
    <w:p>
      <w:pPr>
        <w:spacing w:after="0" w:line="212" w:lineRule="exact"/>
        <w:rPr>
          <w:sz w:val="20"/>
          <w:szCs w:val="20"/>
          <w:color w:val="auto"/>
        </w:rPr>
      </w:pPr>
    </w:p>
    <w:p>
      <w:pPr>
        <w:ind w:left="900" w:right="100"/>
        <w:spacing w:after="0" w:line="307" w:lineRule="auto"/>
        <w:rPr>
          <w:sz w:val="20"/>
          <w:szCs w:val="20"/>
          <w:color w:val="auto"/>
        </w:rPr>
      </w:pPr>
      <w:r>
        <w:rPr>
          <w:rFonts w:ascii="Arial" w:cs="Arial" w:eastAsia="Arial" w:hAnsi="Arial"/>
          <w:sz w:val="20"/>
          <w:szCs w:val="20"/>
          <w:color w:val="auto"/>
        </w:rPr>
        <w:t>A total production cost of $5,027 per ton LCE is estimated after Phase 3 is in full production. VAT has included in the cost of reagents and consumables.</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Capital Costs</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Capital and Operating Cost estimates were developed for the three phases of production with an ave capacity of 51,000 TPA LCE divided into 40,000 TPA of lithium carbonate and 12,500 TPA of lithium hydr monohydrate. It covers three sites (Pozuelos, Pastos Grandes, and SdlP) where a pre-concentrated bri produced and processed at a central plant. A simple breakdown structure was developed to facilitate allocation of the different elements.</w:t>
      </w:r>
    </w:p>
    <w:p>
      <w:pPr>
        <w:spacing w:after="0" w:line="210"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Civil, structural, piping and mechanical costs were partially derived from available engineering, and the rema costs are factored. Electrical and instrumentation costs were quantified and priced according to the oper philosophy.</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Capital Operating Cost estimates are in conformance with the standards required by the CIM unless specif qualified in this report.</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These estimates incorporate direct and indirect costs for the implementation of the entire Project, including:</w:t>
      </w:r>
    </w:p>
    <w:p>
      <w:pPr>
        <w:spacing w:after="0" w:line="236" w:lineRule="exact"/>
        <w:rPr>
          <w:sz w:val="20"/>
          <w:szCs w:val="20"/>
          <w:color w:val="auto"/>
        </w:rPr>
      </w:pPr>
    </w:p>
    <w:p>
      <w:pPr>
        <w:ind w:left="1620" w:hanging="366"/>
        <w:spacing w:after="0"/>
        <w:tabs>
          <w:tab w:leader="none" w:pos="16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Brine production wellfield and pipeline delivery system</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Evaporation ponds and liners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Platforms, earthworks and earth movements and concrete</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Lithium Process Plants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General services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Infrastructure; and</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Indirect and Owner’s Costs.</w:t>
      </w:r>
    </w:p>
    <w:p>
      <w:pPr>
        <w:spacing w:after="0" w:line="293"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No provision has been included to offset future cost escalation since estimated expenses, as well as expe revenue, are expressed in constant dollars. This value excludes interest expense that might be capitalized d the same period. This value includes the following estimates:</w:t>
      </w:r>
    </w:p>
    <w:p>
      <w:pPr>
        <w:spacing w:after="0" w:line="168" w:lineRule="exact"/>
        <w:rPr>
          <w:sz w:val="20"/>
          <w:szCs w:val="20"/>
          <w:color w:val="auto"/>
        </w:rPr>
      </w:pPr>
    </w:p>
    <w:p>
      <w:pPr>
        <w:ind w:left="1620" w:hanging="366"/>
        <w:spacing w:after="0"/>
        <w:tabs>
          <w:tab w:leader="none" w:pos="16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Direct Project Costs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Indirect Project Costs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Project Contingencies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Owners Costs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17 / 26</w:t>
      </w:r>
    </w:p>
    <w:p>
      <w:pPr>
        <w:sectPr>
          <w:pgSz w:w="11900" w:h="16838" w:orient="portrait"/>
          <w:cols w:equalWidth="0" w:num="1">
            <w:col w:w="10460"/>
          </w:cols>
          <w:pgMar w:left="1440" w:top="1440" w:right="6" w:bottom="0" w:gutter="0" w:footer="0" w:header="0"/>
          <w:type w:val="continuous"/>
        </w:sectPr>
      </w:pPr>
    </w:p>
    <w:bookmarkStart w:id="153" w:name="page154"/>
    <w:bookmarkEnd w:id="153"/>
    <w:p>
      <w:pPr>
        <w:ind w:left="1620" w:hanging="366"/>
        <w:spacing w:after="0"/>
        <w:tabs>
          <w:tab w:leader="none" w:pos="16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Freight and Duties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Taxes for some of the areas.</w:t>
      </w:r>
    </w:p>
    <w:p>
      <w:pPr>
        <w:spacing w:after="0" w:line="293"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CapEx summary for the three phases of production is presented in Table 7. Total CapEx for PPG Pr including equipment, materials, indirect costs, contingencies, owners’ cost, and VAT has been estimated t $3,301,209,207.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328"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18 / 26</w:t>
      </w:r>
    </w:p>
    <w:p>
      <w:pPr>
        <w:sectPr>
          <w:pgSz w:w="11900" w:h="16838" w:orient="portrait"/>
          <w:cols w:equalWidth="0" w:num="1">
            <w:col w:w="10460"/>
          </w:cols>
          <w:pgMar w:left="1440" w:top="1328" w:right="6" w:bottom="0" w:gutter="0" w:footer="0" w:header="0"/>
          <w:type w:val="continuous"/>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Table 7: Capital Cost Summary for the 3 Phases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235585</wp:posOffset>
            </wp:positionV>
            <wp:extent cx="6078220" cy="1943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3">
                      <a:extLst>
                        <a:ext uri="{28A0092B-C50C-407E-A947-70E740481C1C}"/>
                      </a:extLst>
                    </a:blip>
                    <a:srcRect/>
                    <a:stretch>
                      <a:fillRect/>
                    </a:stretch>
                  </pic:blipFill>
                  <pic:spPr bwMode="auto">
                    <a:xfrm>
                      <a:off x="0" y="0"/>
                      <a:ext cx="6078220" cy="194310"/>
                    </a:xfrm>
                    <a:prstGeom prst="rect">
                      <a:avLst/>
                    </a:prstGeom>
                    <a:noFill/>
                  </pic:spPr>
                </pic:pic>
              </a:graphicData>
            </a:graphic>
          </wp:anchor>
        </w:drawing>
      </w:r>
    </w:p>
    <w:p>
      <w:pPr>
        <w:spacing w:after="0" w:line="351" w:lineRule="exact"/>
        <w:rPr>
          <w:sz w:val="20"/>
          <w:szCs w:val="20"/>
          <w:color w:val="auto"/>
        </w:rPr>
      </w:pPr>
    </w:p>
    <w:tbl>
      <w:tblPr>
        <w:tblLayout w:type="fixed"/>
        <w:tblInd w:w="900" w:type="dxa"/>
        <w:tblCellMar>
          <w:top w:w="0" w:type="dxa"/>
          <w:left w:w="0" w:type="dxa"/>
          <w:bottom w:w="0" w:type="dxa"/>
          <w:right w:w="0" w:type="dxa"/>
        </w:tblCellMar>
      </w:tblPr>
      <w:tr>
        <w:trPr>
          <w:trHeight w:val="286"/>
        </w:trPr>
        <w:tc>
          <w:tcPr>
            <w:tcW w:w="3320" w:type="dxa"/>
            <w:vAlign w:val="bottom"/>
            <w:tcBorders>
              <w:bottom w:val="single" w:sz="8" w:color="153A57"/>
            </w:tcBorders>
            <w:shd w:val="clear" w:color="auto" w:fill="153A57"/>
          </w:tcPr>
          <w:p>
            <w:pPr>
              <w:ind w:left="1600"/>
              <w:spacing w:after="0"/>
              <w:rPr>
                <w:sz w:val="20"/>
                <w:szCs w:val="20"/>
                <w:color w:val="auto"/>
              </w:rPr>
            </w:pPr>
            <w:r>
              <w:rPr>
                <w:rFonts w:ascii="Arial" w:cs="Arial" w:eastAsia="Arial" w:hAnsi="Arial"/>
                <w:sz w:val="18"/>
                <w:szCs w:val="18"/>
                <w:b w:val="1"/>
                <w:bCs w:val="1"/>
                <w:color w:val="FFFFFF"/>
              </w:rPr>
              <w:t>Capex For Phase 1</w:t>
            </w:r>
          </w:p>
        </w:tc>
        <w:tc>
          <w:tcPr>
            <w:tcW w:w="260" w:type="dxa"/>
            <w:vAlign w:val="bottom"/>
            <w:tcBorders>
              <w:bottom w:val="single" w:sz="8" w:color="153A57"/>
            </w:tcBorders>
            <w:shd w:val="clear" w:color="auto" w:fill="153A57"/>
          </w:tcPr>
          <w:p>
            <w:pPr>
              <w:spacing w:after="0"/>
              <w:rPr>
                <w:sz w:val="24"/>
                <w:szCs w:val="24"/>
                <w:color w:val="auto"/>
              </w:rPr>
            </w:pPr>
          </w:p>
        </w:tc>
        <w:tc>
          <w:tcPr>
            <w:tcW w:w="1400" w:type="dxa"/>
            <w:vAlign w:val="bottom"/>
            <w:tcBorders>
              <w:bottom w:val="single" w:sz="8" w:color="153A57"/>
            </w:tcBorders>
            <w:shd w:val="clear" w:color="auto" w:fill="153A57"/>
          </w:tcPr>
          <w:p>
            <w:pPr>
              <w:spacing w:after="0"/>
              <w:rPr>
                <w:sz w:val="24"/>
                <w:szCs w:val="24"/>
                <w:color w:val="auto"/>
              </w:rPr>
            </w:pPr>
          </w:p>
        </w:tc>
        <w:tc>
          <w:tcPr>
            <w:tcW w:w="280" w:type="dxa"/>
            <w:vAlign w:val="bottom"/>
            <w:tcBorders>
              <w:bottom w:val="single" w:sz="8" w:color="153A57"/>
            </w:tcBorders>
            <w:shd w:val="clear" w:color="auto" w:fill="153A57"/>
          </w:tcPr>
          <w:p>
            <w:pPr>
              <w:spacing w:after="0"/>
              <w:rPr>
                <w:sz w:val="24"/>
                <w:szCs w:val="24"/>
                <w:color w:val="auto"/>
              </w:rPr>
            </w:pPr>
          </w:p>
        </w:tc>
        <w:tc>
          <w:tcPr>
            <w:tcW w:w="1420" w:type="dxa"/>
            <w:vAlign w:val="bottom"/>
            <w:tcBorders>
              <w:bottom w:val="single" w:sz="8" w:color="153A57"/>
            </w:tcBorders>
            <w:shd w:val="clear" w:color="auto" w:fill="153A57"/>
          </w:tcPr>
          <w:p>
            <w:pPr>
              <w:jc w:val="right"/>
              <w:ind w:right="630"/>
              <w:spacing w:after="0"/>
              <w:rPr>
                <w:sz w:val="20"/>
                <w:szCs w:val="20"/>
                <w:color w:val="auto"/>
              </w:rPr>
            </w:pPr>
            <w:r>
              <w:rPr>
                <w:rFonts w:ascii="Arial" w:cs="Arial" w:eastAsia="Arial" w:hAnsi="Arial"/>
                <w:sz w:val="18"/>
                <w:szCs w:val="18"/>
                <w:b w:val="1"/>
                <w:bCs w:val="1"/>
                <w:color w:val="FFFFFF"/>
                <w:w w:val="99"/>
              </w:rPr>
              <w:t>Phase 2</w:t>
            </w:r>
          </w:p>
        </w:tc>
        <w:tc>
          <w:tcPr>
            <w:tcW w:w="300" w:type="dxa"/>
            <w:vAlign w:val="bottom"/>
            <w:tcBorders>
              <w:bottom w:val="single" w:sz="8" w:color="153A57"/>
            </w:tcBorders>
            <w:shd w:val="clear" w:color="auto" w:fill="153A57"/>
          </w:tcPr>
          <w:p>
            <w:pPr>
              <w:spacing w:after="0"/>
              <w:rPr>
                <w:sz w:val="24"/>
                <w:szCs w:val="24"/>
                <w:color w:val="auto"/>
              </w:rPr>
            </w:pPr>
          </w:p>
        </w:tc>
        <w:tc>
          <w:tcPr>
            <w:tcW w:w="1420" w:type="dxa"/>
            <w:vAlign w:val="bottom"/>
            <w:tcBorders>
              <w:bottom w:val="single" w:sz="8" w:color="153A57"/>
            </w:tcBorders>
            <w:shd w:val="clear" w:color="auto" w:fill="153A57"/>
          </w:tcPr>
          <w:p>
            <w:pPr>
              <w:jc w:val="right"/>
              <w:ind w:right="630"/>
              <w:spacing w:after="0"/>
              <w:rPr>
                <w:sz w:val="20"/>
                <w:szCs w:val="20"/>
                <w:color w:val="auto"/>
              </w:rPr>
            </w:pPr>
            <w:r>
              <w:rPr>
                <w:rFonts w:ascii="Arial" w:cs="Arial" w:eastAsia="Arial" w:hAnsi="Arial"/>
                <w:sz w:val="18"/>
                <w:szCs w:val="18"/>
                <w:b w:val="1"/>
                <w:bCs w:val="1"/>
                <w:color w:val="FFFFFF"/>
                <w:w w:val="99"/>
              </w:rPr>
              <w:t>Phase 3</w:t>
            </w:r>
          </w:p>
        </w:tc>
        <w:tc>
          <w:tcPr>
            <w:tcW w:w="280" w:type="dxa"/>
            <w:vAlign w:val="bottom"/>
            <w:tcBorders>
              <w:bottom w:val="single" w:sz="8" w:color="153A57"/>
            </w:tcBorders>
            <w:shd w:val="clear" w:color="auto" w:fill="153A57"/>
          </w:tcPr>
          <w:p>
            <w:pPr>
              <w:spacing w:after="0"/>
              <w:rPr>
                <w:sz w:val="24"/>
                <w:szCs w:val="24"/>
                <w:color w:val="auto"/>
              </w:rPr>
            </w:pPr>
          </w:p>
        </w:tc>
        <w:tc>
          <w:tcPr>
            <w:tcW w:w="880" w:type="dxa"/>
            <w:vAlign w:val="bottom"/>
            <w:tcBorders>
              <w:bottom w:val="single" w:sz="8" w:color="153A57"/>
            </w:tcBorders>
            <w:shd w:val="clear" w:color="auto" w:fill="153A57"/>
          </w:tcPr>
          <w:p>
            <w:pPr>
              <w:jc w:val="right"/>
              <w:ind w:right="270"/>
              <w:spacing w:after="0"/>
              <w:rPr>
                <w:sz w:val="20"/>
                <w:szCs w:val="20"/>
                <w:color w:val="auto"/>
              </w:rPr>
            </w:pPr>
            <w:r>
              <w:rPr>
                <w:rFonts w:ascii="Arial" w:cs="Arial" w:eastAsia="Arial" w:hAnsi="Arial"/>
                <w:sz w:val="18"/>
                <w:szCs w:val="18"/>
                <w:b w:val="1"/>
                <w:bCs w:val="1"/>
                <w:color w:val="FFFFFF"/>
                <w:w w:val="94"/>
              </w:rPr>
              <w:t>Totals</w:t>
            </w:r>
          </w:p>
        </w:tc>
      </w:tr>
      <w:tr>
        <w:trPr>
          <w:trHeight w:val="250"/>
        </w:trPr>
        <w:tc>
          <w:tcPr>
            <w:tcW w:w="3320" w:type="dxa"/>
            <w:vAlign w:val="bottom"/>
          </w:tcPr>
          <w:p>
            <w:pPr>
              <w:ind w:left="100"/>
              <w:spacing w:after="0"/>
              <w:rPr>
                <w:sz w:val="20"/>
                <w:szCs w:val="20"/>
                <w:color w:val="auto"/>
              </w:rPr>
            </w:pPr>
            <w:r>
              <w:rPr>
                <w:rFonts w:ascii="Arial" w:cs="Arial" w:eastAsia="Arial" w:hAnsi="Arial"/>
                <w:sz w:val="18"/>
                <w:szCs w:val="18"/>
                <w:b w:val="1"/>
                <w:bCs w:val="1"/>
                <w:color w:val="auto"/>
              </w:rPr>
              <w:t>Cost Area - Total Installed Cost</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96"/>
        </w:trPr>
        <w:tc>
          <w:tcPr>
            <w:tcW w:w="3320" w:type="dxa"/>
            <w:vAlign w:val="bottom"/>
          </w:tcPr>
          <w:p>
            <w:pPr>
              <w:ind w:left="100"/>
              <w:spacing w:after="0"/>
              <w:rPr>
                <w:sz w:val="20"/>
                <w:szCs w:val="20"/>
                <w:color w:val="auto"/>
              </w:rPr>
            </w:pPr>
            <w:r>
              <w:rPr>
                <w:rFonts w:ascii="Arial" w:cs="Arial" w:eastAsia="Arial" w:hAnsi="Arial"/>
                <w:sz w:val="18"/>
                <w:szCs w:val="18"/>
                <w:b w:val="1"/>
                <w:bCs w:val="1"/>
                <w:color w:val="auto"/>
              </w:rPr>
              <w:t>Wellfield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103,431,233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188,999,721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208,999,993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501,430</w:t>
            </w:r>
          </w:p>
        </w:tc>
      </w:tr>
      <w:tr>
        <w:trPr>
          <w:trHeight w:val="296"/>
        </w:trPr>
        <w:tc>
          <w:tcPr>
            <w:tcW w:w="3320" w:type="dxa"/>
            <w:vAlign w:val="bottom"/>
          </w:tcPr>
          <w:p>
            <w:pPr>
              <w:ind w:left="100"/>
              <w:spacing w:after="0"/>
              <w:rPr>
                <w:sz w:val="20"/>
                <w:szCs w:val="20"/>
                <w:color w:val="auto"/>
              </w:rPr>
            </w:pPr>
            <w:r>
              <w:rPr>
                <w:rFonts w:ascii="Arial" w:cs="Arial" w:eastAsia="Arial" w:hAnsi="Arial"/>
                <w:sz w:val="18"/>
                <w:szCs w:val="18"/>
                <w:b w:val="1"/>
                <w:bCs w:val="1"/>
                <w:color w:val="auto"/>
              </w:rPr>
              <w:t>Evaporation Ponds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233,942,960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294,869,162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288,074,056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816,886</w:t>
            </w:r>
          </w:p>
        </w:tc>
      </w:tr>
      <w:tr>
        <w:trPr>
          <w:trHeight w:val="296"/>
        </w:trPr>
        <w:tc>
          <w:tcPr>
            <w:tcW w:w="3320" w:type="dxa"/>
            <w:vAlign w:val="bottom"/>
          </w:tcPr>
          <w:p>
            <w:pPr>
              <w:ind w:left="100"/>
              <w:spacing w:after="0"/>
              <w:rPr>
                <w:sz w:val="20"/>
                <w:szCs w:val="20"/>
                <w:color w:val="auto"/>
              </w:rPr>
            </w:pPr>
            <w:r>
              <w:rPr>
                <w:rFonts w:ascii="Arial" w:cs="Arial" w:eastAsia="Arial" w:hAnsi="Arial"/>
                <w:sz w:val="18"/>
                <w:szCs w:val="18"/>
                <w:b w:val="1"/>
                <w:bCs w:val="1"/>
                <w:color w:val="auto"/>
              </w:rPr>
              <w:t>Tma Areas (Initial)</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22,365,351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21,084,083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21,084,083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64,533</w:t>
            </w:r>
          </w:p>
        </w:tc>
      </w:tr>
      <w:tr>
        <w:trPr>
          <w:trHeight w:val="296"/>
        </w:trPr>
        <w:tc>
          <w:tcPr>
            <w:tcW w:w="3320" w:type="dxa"/>
            <w:vAlign w:val="bottom"/>
          </w:tcPr>
          <w:p>
            <w:pPr>
              <w:ind w:left="100"/>
              <w:spacing w:after="0"/>
              <w:rPr>
                <w:sz w:val="20"/>
                <w:szCs w:val="20"/>
                <w:color w:val="auto"/>
              </w:rPr>
            </w:pPr>
            <w:r>
              <w:rPr>
                <w:rFonts w:ascii="Arial" w:cs="Arial" w:eastAsia="Arial" w:hAnsi="Arial"/>
                <w:sz w:val="18"/>
                <w:szCs w:val="18"/>
                <w:b w:val="1"/>
                <w:bCs w:val="1"/>
                <w:color w:val="auto"/>
              </w:rPr>
              <w:t>Solvent Extraction</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214,871,407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214,871,407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214,871,407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644,614</w:t>
            </w:r>
          </w:p>
        </w:tc>
      </w:tr>
      <w:tr>
        <w:trPr>
          <w:trHeight w:val="296"/>
        </w:trPr>
        <w:tc>
          <w:tcPr>
            <w:tcW w:w="3320" w:type="dxa"/>
            <w:vAlign w:val="bottom"/>
          </w:tcPr>
          <w:p>
            <w:pPr>
              <w:ind w:left="100"/>
              <w:spacing w:after="0"/>
              <w:rPr>
                <w:sz w:val="20"/>
                <w:szCs w:val="20"/>
                <w:color w:val="auto"/>
              </w:rPr>
            </w:pPr>
            <w:r>
              <w:rPr>
                <w:rFonts w:ascii="Arial" w:cs="Arial" w:eastAsia="Arial" w:hAnsi="Arial"/>
                <w:sz w:val="18"/>
                <w:szCs w:val="18"/>
                <w:b w:val="1"/>
                <w:bCs w:val="1"/>
                <w:color w:val="auto"/>
              </w:rPr>
              <w:t>Purification Plants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50,726,301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50,726,301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50,726,301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152,178</w:t>
            </w:r>
          </w:p>
        </w:tc>
      </w:tr>
      <w:tr>
        <w:trPr>
          <w:trHeight w:val="296"/>
        </w:trPr>
        <w:tc>
          <w:tcPr>
            <w:tcW w:w="3320" w:type="dxa"/>
            <w:vAlign w:val="bottom"/>
          </w:tcPr>
          <w:p>
            <w:pPr>
              <w:ind w:left="100"/>
              <w:spacing w:after="0"/>
              <w:rPr>
                <w:sz w:val="20"/>
                <w:szCs w:val="20"/>
                <w:color w:val="auto"/>
              </w:rPr>
            </w:pPr>
            <w:r>
              <w:rPr>
                <w:rFonts w:ascii="Arial" w:cs="Arial" w:eastAsia="Arial" w:hAnsi="Arial"/>
                <w:sz w:val="18"/>
                <w:szCs w:val="18"/>
                <w:b w:val="1"/>
                <w:bCs w:val="1"/>
                <w:color w:val="auto"/>
              </w:rPr>
              <w:t>Electrodialysis &amp; Lhm Plants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85,706,660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85,706,660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85,706,660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257,119</w:t>
            </w:r>
          </w:p>
        </w:tc>
      </w:tr>
      <w:tr>
        <w:trPr>
          <w:trHeight w:val="296"/>
        </w:trPr>
        <w:tc>
          <w:tcPr>
            <w:tcW w:w="3320" w:type="dxa"/>
            <w:vAlign w:val="bottom"/>
          </w:tcPr>
          <w:p>
            <w:pPr>
              <w:ind w:left="100"/>
              <w:spacing w:after="0"/>
              <w:rPr>
                <w:sz w:val="20"/>
                <w:szCs w:val="20"/>
                <w:color w:val="auto"/>
              </w:rPr>
            </w:pPr>
            <w:r>
              <w:rPr>
                <w:rFonts w:ascii="Arial" w:cs="Arial" w:eastAsia="Arial" w:hAnsi="Arial"/>
                <w:sz w:val="18"/>
                <w:szCs w:val="18"/>
                <w:b w:val="1"/>
                <w:bCs w:val="1"/>
                <w:color w:val="auto"/>
              </w:rPr>
              <w:t>Utilities Plants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16,135,210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16,135,210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16,135,210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48,405</w:t>
            </w:r>
          </w:p>
        </w:tc>
      </w:tr>
      <w:tr>
        <w:trPr>
          <w:trHeight w:val="296"/>
        </w:trPr>
        <w:tc>
          <w:tcPr>
            <w:tcW w:w="3320" w:type="dxa"/>
            <w:vAlign w:val="bottom"/>
          </w:tcPr>
          <w:p>
            <w:pPr>
              <w:ind w:left="100"/>
              <w:spacing w:after="0"/>
              <w:rPr>
                <w:sz w:val="20"/>
                <w:szCs w:val="20"/>
                <w:color w:val="auto"/>
              </w:rPr>
            </w:pPr>
            <w:r>
              <w:rPr>
                <w:rFonts w:ascii="Arial" w:cs="Arial" w:eastAsia="Arial" w:hAnsi="Arial"/>
                <w:sz w:val="18"/>
                <w:szCs w:val="18"/>
                <w:b w:val="1"/>
                <w:bCs w:val="1"/>
                <w:color w:val="auto"/>
              </w:rPr>
              <w:t>LCE Plant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91,668,862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91,668,862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91,668,862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275,006</w:t>
            </w:r>
          </w:p>
        </w:tc>
      </w:tr>
      <w:tr>
        <w:trPr>
          <w:trHeight w:val="296"/>
        </w:trPr>
        <w:tc>
          <w:tcPr>
            <w:tcW w:w="3320" w:type="dxa"/>
            <w:vAlign w:val="bottom"/>
          </w:tcPr>
          <w:p>
            <w:pPr>
              <w:ind w:left="100"/>
              <w:spacing w:after="0"/>
              <w:rPr>
                <w:sz w:val="20"/>
                <w:szCs w:val="20"/>
                <w:color w:val="auto"/>
              </w:rPr>
            </w:pPr>
            <w:r>
              <w:rPr>
                <w:rFonts w:ascii="Arial" w:cs="Arial" w:eastAsia="Arial" w:hAnsi="Arial"/>
                <w:sz w:val="18"/>
                <w:szCs w:val="18"/>
                <w:b w:val="1"/>
                <w:bCs w:val="1"/>
                <w:color w:val="auto"/>
              </w:rPr>
              <w:t>Energy</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56,380,653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23,267,387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33,548,551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113,196</w:t>
            </w:r>
          </w:p>
        </w:tc>
      </w:tr>
      <w:tr>
        <w:trPr>
          <w:trHeight w:val="296"/>
        </w:trPr>
        <w:tc>
          <w:tcPr>
            <w:tcW w:w="3320" w:type="dxa"/>
            <w:vAlign w:val="bottom"/>
          </w:tcPr>
          <w:p>
            <w:pPr>
              <w:ind w:left="100"/>
              <w:spacing w:after="0"/>
              <w:rPr>
                <w:sz w:val="20"/>
                <w:szCs w:val="20"/>
                <w:color w:val="auto"/>
              </w:rPr>
            </w:pPr>
            <w:r>
              <w:rPr>
                <w:rFonts w:ascii="Arial" w:cs="Arial" w:eastAsia="Arial" w:hAnsi="Arial"/>
                <w:sz w:val="18"/>
                <w:szCs w:val="18"/>
                <w:b w:val="1"/>
                <w:bCs w:val="1"/>
                <w:color w:val="auto"/>
              </w:rPr>
              <w:t>Infrastructure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169,942,333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67,967,715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13,960,185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251,870</w:t>
            </w:r>
          </w:p>
        </w:tc>
      </w:tr>
      <w:tr>
        <w:trPr>
          <w:trHeight w:val="296"/>
        </w:trPr>
        <w:tc>
          <w:tcPr>
            <w:tcW w:w="3320" w:type="dxa"/>
            <w:vAlign w:val="bottom"/>
          </w:tcPr>
          <w:p>
            <w:pPr>
              <w:ind w:left="100"/>
              <w:spacing w:after="0"/>
              <w:rPr>
                <w:sz w:val="20"/>
                <w:szCs w:val="20"/>
                <w:color w:val="auto"/>
              </w:rPr>
            </w:pPr>
            <w:r>
              <w:rPr>
                <w:rFonts w:ascii="Arial" w:cs="Arial" w:eastAsia="Arial" w:hAnsi="Arial"/>
                <w:sz w:val="18"/>
                <w:szCs w:val="18"/>
                <w:b w:val="1"/>
                <w:bCs w:val="1"/>
                <w:color w:val="auto"/>
              </w:rPr>
              <w:t>Vat Add On</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47,140,956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22,520,849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15,050,802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84,712</w:t>
            </w:r>
          </w:p>
        </w:tc>
      </w:tr>
      <w:tr>
        <w:trPr>
          <w:trHeight w:val="296"/>
        </w:trPr>
        <w:tc>
          <w:tcPr>
            <w:tcW w:w="3320" w:type="dxa"/>
            <w:vAlign w:val="bottom"/>
          </w:tcPr>
          <w:p>
            <w:pPr>
              <w:ind w:left="100"/>
              <w:spacing w:after="0"/>
              <w:rPr>
                <w:sz w:val="20"/>
                <w:szCs w:val="20"/>
                <w:color w:val="auto"/>
              </w:rPr>
            </w:pPr>
            <w:r>
              <w:rPr>
                <w:rFonts w:ascii="Arial" w:cs="Arial" w:eastAsia="Arial" w:hAnsi="Arial"/>
                <w:sz w:val="18"/>
                <w:szCs w:val="18"/>
                <w:b w:val="1"/>
                <w:bCs w:val="1"/>
                <w:color w:val="auto"/>
              </w:rPr>
              <w:t>Owners Costs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31,981,793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30,313,580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28,958,444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91,253</w:t>
            </w:r>
          </w:p>
        </w:tc>
      </w:tr>
      <w:tr>
        <w:trPr>
          <w:trHeight w:val="296"/>
        </w:trPr>
        <w:tc>
          <w:tcPr>
            <w:tcW w:w="3320" w:type="dxa"/>
            <w:vAlign w:val="bottom"/>
          </w:tcPr>
          <w:p>
            <w:pPr>
              <w:ind w:left="100"/>
              <w:spacing w:after="0"/>
              <w:rPr>
                <w:sz w:val="20"/>
                <w:szCs w:val="20"/>
                <w:color w:val="auto"/>
              </w:rPr>
            </w:pPr>
            <w:r>
              <w:rPr>
                <w:rFonts w:ascii="Arial" w:cs="Arial" w:eastAsia="Arial" w:hAnsi="Arial"/>
                <w:sz w:val="18"/>
                <w:szCs w:val="18"/>
                <w:b w:val="1"/>
                <w:bCs w:val="1"/>
                <w:color w:val="auto"/>
              </w:rPr>
              <w:t>Total Capital Expenditures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b w:val="1"/>
                <w:bCs w:val="1"/>
                <w:color w:val="auto"/>
              </w:rPr>
              <w:t>1,124,293,717</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1,108,130,936</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1,068,784,553</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3,301,209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-2608580</wp:posOffset>
            </wp:positionV>
            <wp:extent cx="6078220" cy="26384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4">
                      <a:extLst>
                        <a:ext uri="{28A0092B-C50C-407E-A947-70E740481C1C}"/>
                      </a:extLst>
                    </a:blip>
                    <a:srcRect/>
                    <a:stretch>
                      <a:fillRect/>
                    </a:stretch>
                  </pic:blipFill>
                  <pic:spPr bwMode="auto">
                    <a:xfrm>
                      <a:off x="0" y="0"/>
                      <a:ext cx="6078220" cy="263842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-2608580</wp:posOffset>
            </wp:positionV>
            <wp:extent cx="6078220" cy="26384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5">
                      <a:extLst>
                        <a:ext uri="{28A0092B-C50C-407E-A947-70E740481C1C}"/>
                      </a:extLst>
                    </a:blip>
                    <a:srcRect/>
                    <a:stretch>
                      <a:fillRect/>
                    </a:stretch>
                  </pic:blipFill>
                  <pic:spPr bwMode="auto">
                    <a:xfrm>
                      <a:off x="0" y="0"/>
                      <a:ext cx="6078220" cy="2638425"/>
                    </a:xfrm>
                    <a:prstGeom prst="rect">
                      <a:avLst/>
                    </a:prstGeom>
                    <a:noFill/>
                  </pic:spPr>
                </pic:pic>
              </a:graphicData>
            </a:graphic>
          </wp:anchor>
        </w:drawing>
      </w:r>
    </w:p>
    <w:p>
      <w:pPr>
        <w:spacing w:after="0" w:line="365"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Sustaining capital expenditures (S-CapEx) are investments for replacement of large equipment not covere maintenance costs required to keep all equipment for the operation in good shape (e.g. replacement of a pipeline section on the brine field). The estimate is based on an estimation of the average aggressiveness o environment and the expected lifetime of main equipment.</w:t>
      </w:r>
    </w:p>
    <w:p>
      <w:pPr>
        <w:spacing w:after="0" w:line="2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Sustaining CapEx is estimated as a percentage of the direct CapEx. At the process plants and on-site supp facilities, the S- CapEx is taken as 1.5%. For the brine field the S- CapEx is taken as 2.5%. For evapor ponds, the S- CapEx is taken at 1.0%.</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five (5) year TMA expansion costs are estimated based on the annual tonnage of waste to be deposit the TMA facilities. The initial CapEx covers the TMA for the first five (5) years of operation. Following the firs</w:t>
      </w:r>
    </w:p>
    <w:p>
      <w:pPr>
        <w:spacing w:after="0" w:line="15" w:lineRule="exact"/>
        <w:rPr>
          <w:sz w:val="20"/>
          <w:szCs w:val="20"/>
          <w:color w:val="auto"/>
        </w:rPr>
      </w:pPr>
    </w:p>
    <w:p>
      <w:pPr>
        <w:ind w:left="900" w:hanging="6"/>
        <w:spacing w:after="0" w:line="307" w:lineRule="auto"/>
        <w:tabs>
          <w:tab w:leader="none" w:pos="1200" w:val="left"/>
        </w:tabs>
        <w:numPr>
          <w:ilvl w:val="0"/>
          <w:numId w:val="63"/>
        </w:numPr>
        <w:rPr>
          <w:rFonts w:ascii="Arial" w:cs="Arial" w:eastAsia="Arial" w:hAnsi="Arial"/>
          <w:sz w:val="20"/>
          <w:szCs w:val="20"/>
          <w:color w:val="auto"/>
        </w:rPr>
      </w:pPr>
      <w:r>
        <w:rPr>
          <w:rFonts w:ascii="Arial" w:cs="Arial" w:eastAsia="Arial" w:hAnsi="Arial"/>
          <w:sz w:val="20"/>
          <w:szCs w:val="20"/>
          <w:color w:val="auto"/>
        </w:rPr>
        <w:t>years, an expansion of TMA will be required at each subsequent five (5) years. The sustained capital cos allocated to these years of operation.</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Table 128: Sustaining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222885</wp:posOffset>
            </wp:positionV>
            <wp:extent cx="6090920" cy="528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6">
                      <a:extLst>
                        <a:ext uri="{28A0092B-C50C-407E-A947-70E740481C1C}"/>
                      </a:extLst>
                    </a:blip>
                    <a:srcRect/>
                    <a:stretch>
                      <a:fillRect/>
                    </a:stretch>
                  </pic:blipFill>
                  <pic:spPr bwMode="auto">
                    <a:xfrm>
                      <a:off x="0" y="0"/>
                      <a:ext cx="6090920" cy="528955"/>
                    </a:xfrm>
                    <a:prstGeom prst="rect">
                      <a:avLst/>
                    </a:prstGeom>
                    <a:noFill/>
                  </pic:spPr>
                </pic:pic>
              </a:graphicData>
            </a:graphic>
          </wp:anchor>
        </w:drawing>
      </w:r>
    </w:p>
    <w:p>
      <w:pPr>
        <w:spacing w:after="0" w:line="351" w:lineRule="exact"/>
        <w:rPr>
          <w:sz w:val="20"/>
          <w:szCs w:val="20"/>
          <w:color w:val="auto"/>
        </w:rPr>
      </w:pPr>
    </w:p>
    <w:tbl>
      <w:tblPr>
        <w:tblLayout w:type="fixed"/>
        <w:tblInd w:w="900" w:type="dxa"/>
        <w:tblCellMar>
          <w:top w:w="0" w:type="dxa"/>
          <w:left w:w="0" w:type="dxa"/>
          <w:bottom w:w="0" w:type="dxa"/>
          <w:right w:w="0" w:type="dxa"/>
        </w:tblCellMar>
      </w:tblPr>
      <w:tr>
        <w:trPr>
          <w:trHeight w:val="260"/>
        </w:trPr>
        <w:tc>
          <w:tcPr>
            <w:tcW w:w="2060" w:type="dxa"/>
            <w:vAlign w:val="bottom"/>
            <w:shd w:val="clear" w:color="auto" w:fill="153A57"/>
          </w:tcPr>
          <w:p>
            <w:pPr>
              <w:spacing w:after="0"/>
              <w:rPr>
                <w:sz w:val="22"/>
                <w:szCs w:val="22"/>
                <w:color w:val="auto"/>
              </w:rPr>
            </w:pPr>
          </w:p>
        </w:tc>
        <w:tc>
          <w:tcPr>
            <w:tcW w:w="1060" w:type="dxa"/>
            <w:vAlign w:val="bottom"/>
            <w:shd w:val="clear" w:color="auto" w:fill="153A57"/>
          </w:tcPr>
          <w:p>
            <w:pPr>
              <w:spacing w:after="0"/>
              <w:rPr>
                <w:sz w:val="22"/>
                <w:szCs w:val="22"/>
                <w:color w:val="auto"/>
              </w:rPr>
            </w:pPr>
          </w:p>
        </w:tc>
        <w:tc>
          <w:tcPr>
            <w:tcW w:w="1120" w:type="dxa"/>
            <w:vAlign w:val="bottom"/>
            <w:shd w:val="clear" w:color="auto" w:fill="153A57"/>
          </w:tcPr>
          <w:p>
            <w:pPr>
              <w:jc w:val="center"/>
              <w:ind w:right="146"/>
              <w:spacing w:after="0"/>
              <w:rPr>
                <w:sz w:val="20"/>
                <w:szCs w:val="20"/>
                <w:color w:val="auto"/>
              </w:rPr>
            </w:pPr>
            <w:r>
              <w:rPr>
                <w:rFonts w:ascii="Arial" w:cs="Arial" w:eastAsia="Arial" w:hAnsi="Arial"/>
                <w:sz w:val="18"/>
                <w:szCs w:val="18"/>
                <w:b w:val="1"/>
                <w:bCs w:val="1"/>
                <w:color w:val="FFFFFF"/>
                <w:w w:val="97"/>
              </w:rPr>
              <w:t>Direct</w:t>
            </w:r>
          </w:p>
        </w:tc>
        <w:tc>
          <w:tcPr>
            <w:tcW w:w="1160" w:type="dxa"/>
            <w:vAlign w:val="bottom"/>
            <w:shd w:val="clear" w:color="auto" w:fill="153A57"/>
          </w:tcPr>
          <w:p>
            <w:pPr>
              <w:spacing w:after="0"/>
              <w:rPr>
                <w:sz w:val="22"/>
                <w:szCs w:val="22"/>
                <w:color w:val="auto"/>
              </w:rPr>
            </w:pPr>
          </w:p>
        </w:tc>
        <w:tc>
          <w:tcPr>
            <w:tcW w:w="1180" w:type="dxa"/>
            <w:vAlign w:val="bottom"/>
            <w:shd w:val="clear" w:color="auto" w:fill="153A57"/>
          </w:tcPr>
          <w:p>
            <w:pPr>
              <w:jc w:val="center"/>
              <w:ind w:right="106"/>
              <w:spacing w:after="0"/>
              <w:rPr>
                <w:sz w:val="20"/>
                <w:szCs w:val="20"/>
                <w:color w:val="auto"/>
              </w:rPr>
            </w:pPr>
            <w:r>
              <w:rPr>
                <w:rFonts w:ascii="Arial" w:cs="Arial" w:eastAsia="Arial" w:hAnsi="Arial"/>
                <w:sz w:val="18"/>
                <w:szCs w:val="18"/>
                <w:b w:val="1"/>
                <w:bCs w:val="1"/>
                <w:color w:val="FFFFFF"/>
              </w:rPr>
              <w:t>Direct</w:t>
            </w:r>
          </w:p>
        </w:tc>
        <w:tc>
          <w:tcPr>
            <w:tcW w:w="1140" w:type="dxa"/>
            <w:vAlign w:val="bottom"/>
            <w:shd w:val="clear" w:color="auto" w:fill="153A57"/>
          </w:tcPr>
          <w:p>
            <w:pPr>
              <w:spacing w:after="0"/>
              <w:rPr>
                <w:sz w:val="22"/>
                <w:szCs w:val="22"/>
                <w:color w:val="auto"/>
              </w:rPr>
            </w:pPr>
          </w:p>
        </w:tc>
        <w:tc>
          <w:tcPr>
            <w:tcW w:w="1200" w:type="dxa"/>
            <w:vAlign w:val="bottom"/>
            <w:shd w:val="clear" w:color="auto" w:fill="153A57"/>
          </w:tcPr>
          <w:p>
            <w:pPr>
              <w:jc w:val="center"/>
              <w:ind w:right="106"/>
              <w:spacing w:after="0"/>
              <w:rPr>
                <w:sz w:val="20"/>
                <w:szCs w:val="20"/>
                <w:color w:val="auto"/>
              </w:rPr>
            </w:pPr>
            <w:r>
              <w:rPr>
                <w:rFonts w:ascii="Arial" w:cs="Arial" w:eastAsia="Arial" w:hAnsi="Arial"/>
                <w:sz w:val="18"/>
                <w:szCs w:val="18"/>
                <w:b w:val="1"/>
                <w:bCs w:val="1"/>
                <w:color w:val="FFFFFF"/>
                <w:w w:val="97"/>
              </w:rPr>
              <w:t>Direct</w:t>
            </w:r>
          </w:p>
        </w:tc>
        <w:tc>
          <w:tcPr>
            <w:tcW w:w="640" w:type="dxa"/>
            <w:vAlign w:val="bottom"/>
            <w:shd w:val="clear" w:color="auto" w:fill="153A57"/>
          </w:tcPr>
          <w:p>
            <w:pPr>
              <w:spacing w:after="0"/>
              <w:rPr>
                <w:sz w:val="22"/>
                <w:szCs w:val="22"/>
                <w:color w:val="auto"/>
              </w:rPr>
            </w:pPr>
          </w:p>
        </w:tc>
      </w:tr>
      <w:tr>
        <w:trPr>
          <w:trHeight w:val="298"/>
        </w:trPr>
        <w:tc>
          <w:tcPr>
            <w:tcW w:w="2060" w:type="dxa"/>
            <w:vAlign w:val="bottom"/>
            <w:tcBorders>
              <w:bottom w:val="single" w:sz="8" w:color="153A57"/>
            </w:tcBorders>
            <w:shd w:val="clear" w:color="auto" w:fill="153A57"/>
          </w:tcPr>
          <w:p>
            <w:pPr>
              <w:ind w:left="100"/>
              <w:spacing w:after="0"/>
              <w:rPr>
                <w:sz w:val="20"/>
                <w:szCs w:val="20"/>
                <w:color w:val="auto"/>
              </w:rPr>
            </w:pPr>
            <w:r>
              <w:rPr>
                <w:rFonts w:ascii="Arial" w:cs="Arial" w:eastAsia="Arial" w:hAnsi="Arial"/>
                <w:sz w:val="18"/>
                <w:szCs w:val="18"/>
                <w:b w:val="1"/>
                <w:bCs w:val="1"/>
                <w:color w:val="FFFFFF"/>
              </w:rPr>
              <w:t>Sustaining CapEx</w:t>
            </w:r>
          </w:p>
        </w:tc>
        <w:tc>
          <w:tcPr>
            <w:tcW w:w="1060" w:type="dxa"/>
            <w:vAlign w:val="bottom"/>
            <w:tcBorders>
              <w:bottom w:val="single" w:sz="8" w:color="153A57"/>
            </w:tcBorders>
            <w:shd w:val="clear" w:color="auto" w:fill="153A57"/>
          </w:tcPr>
          <w:p>
            <w:pPr>
              <w:jc w:val="right"/>
              <w:ind w:right="427"/>
              <w:spacing w:after="0"/>
              <w:rPr>
                <w:sz w:val="20"/>
                <w:szCs w:val="20"/>
                <w:color w:val="auto"/>
              </w:rPr>
            </w:pPr>
            <w:r>
              <w:rPr>
                <w:rFonts w:ascii="Arial" w:cs="Arial" w:eastAsia="Arial" w:hAnsi="Arial"/>
                <w:sz w:val="18"/>
                <w:szCs w:val="18"/>
                <w:b w:val="1"/>
                <w:bCs w:val="1"/>
                <w:color w:val="FFFFFF"/>
              </w:rPr>
              <w:t>%</w:t>
            </w:r>
          </w:p>
        </w:tc>
        <w:tc>
          <w:tcPr>
            <w:tcW w:w="1120" w:type="dxa"/>
            <w:vAlign w:val="bottom"/>
            <w:tcBorders>
              <w:bottom w:val="single" w:sz="8" w:color="153A57"/>
            </w:tcBorders>
            <w:shd w:val="clear" w:color="auto" w:fill="153A57"/>
          </w:tcPr>
          <w:p>
            <w:pPr>
              <w:jc w:val="center"/>
              <w:ind w:right="146"/>
              <w:spacing w:after="0"/>
              <w:rPr>
                <w:sz w:val="20"/>
                <w:szCs w:val="20"/>
                <w:color w:val="auto"/>
              </w:rPr>
            </w:pPr>
            <w:r>
              <w:rPr>
                <w:rFonts w:ascii="Arial" w:cs="Arial" w:eastAsia="Arial" w:hAnsi="Arial"/>
                <w:sz w:val="18"/>
                <w:szCs w:val="18"/>
                <w:b w:val="1"/>
                <w:bCs w:val="1"/>
                <w:color w:val="FFFFFF"/>
                <w:w w:val="98"/>
              </w:rPr>
              <w:t>CapEx $</w:t>
            </w:r>
          </w:p>
        </w:tc>
        <w:tc>
          <w:tcPr>
            <w:tcW w:w="1160" w:type="dxa"/>
            <w:vAlign w:val="bottom"/>
            <w:tcBorders>
              <w:bottom w:val="single" w:sz="8" w:color="153A57"/>
            </w:tcBorders>
            <w:shd w:val="clear" w:color="auto" w:fill="153A57"/>
          </w:tcPr>
          <w:p>
            <w:pPr>
              <w:jc w:val="right"/>
              <w:ind w:right="248"/>
              <w:spacing w:after="0"/>
              <w:rPr>
                <w:sz w:val="20"/>
                <w:szCs w:val="20"/>
                <w:color w:val="auto"/>
              </w:rPr>
            </w:pPr>
            <w:r>
              <w:rPr>
                <w:rFonts w:ascii="Arial" w:cs="Arial" w:eastAsia="Arial" w:hAnsi="Arial"/>
                <w:sz w:val="18"/>
                <w:szCs w:val="18"/>
                <w:b w:val="1"/>
                <w:bCs w:val="1"/>
                <w:color w:val="FFFFFF"/>
              </w:rPr>
              <w:t>Phase 1</w:t>
            </w:r>
          </w:p>
        </w:tc>
        <w:tc>
          <w:tcPr>
            <w:tcW w:w="1180" w:type="dxa"/>
            <w:vAlign w:val="bottom"/>
            <w:tcBorders>
              <w:bottom w:val="single" w:sz="8" w:color="153A57"/>
            </w:tcBorders>
            <w:shd w:val="clear" w:color="auto" w:fill="153A57"/>
          </w:tcPr>
          <w:p>
            <w:pPr>
              <w:jc w:val="center"/>
              <w:ind w:right="106"/>
              <w:spacing w:after="0"/>
              <w:rPr>
                <w:sz w:val="20"/>
                <w:szCs w:val="20"/>
                <w:color w:val="auto"/>
              </w:rPr>
            </w:pPr>
            <w:r>
              <w:rPr>
                <w:rFonts w:ascii="Arial" w:cs="Arial" w:eastAsia="Arial" w:hAnsi="Arial"/>
                <w:sz w:val="18"/>
                <w:szCs w:val="18"/>
                <w:b w:val="1"/>
                <w:bCs w:val="1"/>
                <w:color w:val="FFFFFF"/>
              </w:rPr>
              <w:t>CapEx $</w:t>
            </w:r>
          </w:p>
        </w:tc>
        <w:tc>
          <w:tcPr>
            <w:tcW w:w="1140" w:type="dxa"/>
            <w:vAlign w:val="bottom"/>
            <w:tcBorders>
              <w:bottom w:val="single" w:sz="8" w:color="153A57"/>
            </w:tcBorders>
            <w:shd w:val="clear" w:color="auto" w:fill="153A57"/>
          </w:tcPr>
          <w:p>
            <w:pPr>
              <w:jc w:val="right"/>
              <w:ind w:right="248"/>
              <w:spacing w:after="0"/>
              <w:rPr>
                <w:sz w:val="20"/>
                <w:szCs w:val="20"/>
                <w:color w:val="auto"/>
              </w:rPr>
            </w:pPr>
            <w:r>
              <w:rPr>
                <w:rFonts w:ascii="Arial" w:cs="Arial" w:eastAsia="Arial" w:hAnsi="Arial"/>
                <w:sz w:val="18"/>
                <w:szCs w:val="18"/>
                <w:b w:val="1"/>
                <w:bCs w:val="1"/>
                <w:color w:val="FFFFFF"/>
              </w:rPr>
              <w:t>Phase 2</w:t>
            </w:r>
          </w:p>
        </w:tc>
        <w:tc>
          <w:tcPr>
            <w:tcW w:w="1200" w:type="dxa"/>
            <w:vAlign w:val="bottom"/>
            <w:tcBorders>
              <w:bottom w:val="single" w:sz="8" w:color="153A57"/>
            </w:tcBorders>
            <w:shd w:val="clear" w:color="auto" w:fill="153A57"/>
          </w:tcPr>
          <w:p>
            <w:pPr>
              <w:jc w:val="center"/>
              <w:ind w:right="106"/>
              <w:spacing w:after="0"/>
              <w:rPr>
                <w:sz w:val="20"/>
                <w:szCs w:val="20"/>
                <w:color w:val="auto"/>
              </w:rPr>
            </w:pPr>
            <w:r>
              <w:rPr>
                <w:rFonts w:ascii="Arial" w:cs="Arial" w:eastAsia="Arial" w:hAnsi="Arial"/>
                <w:sz w:val="18"/>
                <w:szCs w:val="18"/>
                <w:b w:val="1"/>
                <w:bCs w:val="1"/>
                <w:color w:val="FFFFFF"/>
                <w:w w:val="98"/>
              </w:rPr>
              <w:t>CapEx $</w:t>
            </w:r>
          </w:p>
        </w:tc>
        <w:tc>
          <w:tcPr>
            <w:tcW w:w="640" w:type="dxa"/>
            <w:vAlign w:val="bottom"/>
            <w:tcBorders>
              <w:bottom w:val="single" w:sz="8" w:color="153A57"/>
            </w:tcBorders>
            <w:shd w:val="clear" w:color="auto" w:fill="153A57"/>
          </w:tcPr>
          <w:p>
            <w:pPr>
              <w:jc w:val="right"/>
              <w:spacing w:after="0"/>
              <w:rPr>
                <w:sz w:val="20"/>
                <w:szCs w:val="20"/>
                <w:color w:val="auto"/>
              </w:rPr>
            </w:pPr>
            <w:r>
              <w:rPr>
                <w:rFonts w:ascii="Arial" w:cs="Arial" w:eastAsia="Arial" w:hAnsi="Arial"/>
                <w:sz w:val="18"/>
                <w:szCs w:val="18"/>
                <w:b w:val="1"/>
                <w:bCs w:val="1"/>
                <w:color w:val="FFFFFF"/>
              </w:rPr>
              <w:t>Phase</w:t>
            </w:r>
          </w:p>
        </w:tc>
      </w:tr>
      <w:tr>
        <w:trPr>
          <w:trHeight w:val="196"/>
        </w:trPr>
        <w:tc>
          <w:tcPr>
            <w:tcW w:w="2060" w:type="dxa"/>
            <w:vAlign w:val="bottom"/>
          </w:tcPr>
          <w:p>
            <w:pPr>
              <w:ind w:left="100"/>
              <w:spacing w:after="0"/>
              <w:rPr>
                <w:sz w:val="20"/>
                <w:szCs w:val="20"/>
                <w:color w:val="auto"/>
              </w:rPr>
            </w:pPr>
            <w:r>
              <w:rPr>
                <w:rFonts w:ascii="Arial" w:cs="Arial" w:eastAsia="Arial" w:hAnsi="Arial"/>
                <w:sz w:val="14"/>
                <w:szCs w:val="14"/>
                <w:color w:val="auto"/>
              </w:rPr>
              <w:t>Brine Field</w:t>
            </w:r>
          </w:p>
        </w:tc>
        <w:tc>
          <w:tcPr>
            <w:tcW w:w="1060" w:type="dxa"/>
            <w:vAlign w:val="bottom"/>
          </w:tcPr>
          <w:p>
            <w:pPr>
              <w:jc w:val="right"/>
              <w:ind w:right="27"/>
              <w:spacing w:after="0"/>
              <w:rPr>
                <w:sz w:val="20"/>
                <w:szCs w:val="20"/>
                <w:color w:val="auto"/>
              </w:rPr>
            </w:pPr>
            <w:r>
              <w:rPr>
                <w:rFonts w:ascii="Arial" w:cs="Arial" w:eastAsia="Arial" w:hAnsi="Arial"/>
                <w:sz w:val="14"/>
                <w:szCs w:val="14"/>
                <w:color w:val="auto"/>
              </w:rPr>
              <w:t>2.50%</w:t>
            </w:r>
          </w:p>
        </w:tc>
        <w:tc>
          <w:tcPr>
            <w:tcW w:w="1120" w:type="dxa"/>
            <w:vAlign w:val="bottom"/>
          </w:tcPr>
          <w:p>
            <w:pPr>
              <w:jc w:val="right"/>
              <w:ind w:right="66"/>
              <w:spacing w:after="0"/>
              <w:rPr>
                <w:sz w:val="20"/>
                <w:szCs w:val="20"/>
                <w:color w:val="auto"/>
              </w:rPr>
            </w:pPr>
            <w:r>
              <w:rPr>
                <w:rFonts w:ascii="Arial" w:cs="Arial" w:eastAsia="Arial" w:hAnsi="Arial"/>
                <w:sz w:val="14"/>
                <w:szCs w:val="14"/>
                <w:color w:val="auto"/>
              </w:rPr>
              <w:t>77,135,680</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1,928,392</w:t>
            </w:r>
          </w:p>
        </w:tc>
        <w:tc>
          <w:tcPr>
            <w:tcW w:w="1180" w:type="dxa"/>
            <w:vAlign w:val="bottom"/>
          </w:tcPr>
          <w:p>
            <w:pPr>
              <w:jc w:val="right"/>
              <w:ind w:right="86"/>
              <w:spacing w:after="0"/>
              <w:rPr>
                <w:sz w:val="20"/>
                <w:szCs w:val="20"/>
                <w:color w:val="auto"/>
              </w:rPr>
            </w:pPr>
            <w:r>
              <w:rPr>
                <w:rFonts w:ascii="Arial" w:cs="Arial" w:eastAsia="Arial" w:hAnsi="Arial"/>
                <w:sz w:val="14"/>
                <w:szCs w:val="14"/>
                <w:color w:val="auto"/>
              </w:rPr>
              <w:t>140,949,900</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3,523,748</w:t>
            </w:r>
          </w:p>
        </w:tc>
        <w:tc>
          <w:tcPr>
            <w:tcW w:w="1200" w:type="dxa"/>
            <w:vAlign w:val="bottom"/>
          </w:tcPr>
          <w:p>
            <w:pPr>
              <w:jc w:val="right"/>
              <w:ind w:right="86"/>
              <w:spacing w:after="0"/>
              <w:rPr>
                <w:sz w:val="20"/>
                <w:szCs w:val="20"/>
                <w:color w:val="auto"/>
              </w:rPr>
            </w:pPr>
            <w:r>
              <w:rPr>
                <w:rFonts w:ascii="Arial" w:cs="Arial" w:eastAsia="Arial" w:hAnsi="Arial"/>
                <w:sz w:val="14"/>
                <w:szCs w:val="14"/>
                <w:color w:val="auto"/>
              </w:rPr>
              <w:t>155,865,459</w:t>
            </w:r>
          </w:p>
        </w:tc>
        <w:tc>
          <w:tcPr>
            <w:tcW w:w="6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36"/>
        </w:trPr>
        <w:tc>
          <w:tcPr>
            <w:tcW w:w="2060" w:type="dxa"/>
            <w:vAlign w:val="bottom"/>
          </w:tcPr>
          <w:p>
            <w:pPr>
              <w:ind w:left="100"/>
              <w:spacing w:after="0"/>
              <w:rPr>
                <w:sz w:val="20"/>
                <w:szCs w:val="20"/>
                <w:color w:val="auto"/>
              </w:rPr>
            </w:pPr>
            <w:r>
              <w:rPr>
                <w:rFonts w:ascii="Arial" w:cs="Arial" w:eastAsia="Arial" w:hAnsi="Arial"/>
                <w:sz w:val="14"/>
                <w:szCs w:val="14"/>
                <w:color w:val="auto"/>
              </w:rPr>
              <w:t>Evaporation Ponds</w:t>
            </w:r>
          </w:p>
        </w:tc>
        <w:tc>
          <w:tcPr>
            <w:tcW w:w="1060" w:type="dxa"/>
            <w:vAlign w:val="bottom"/>
          </w:tcPr>
          <w:p>
            <w:pPr>
              <w:jc w:val="right"/>
              <w:ind w:right="27"/>
              <w:spacing w:after="0"/>
              <w:rPr>
                <w:sz w:val="20"/>
                <w:szCs w:val="20"/>
                <w:color w:val="auto"/>
              </w:rPr>
            </w:pPr>
            <w:r>
              <w:rPr>
                <w:rFonts w:ascii="Arial" w:cs="Arial" w:eastAsia="Arial" w:hAnsi="Arial"/>
                <w:sz w:val="14"/>
                <w:szCs w:val="14"/>
                <w:color w:val="auto"/>
              </w:rPr>
              <w:t>1.00%</w:t>
            </w:r>
          </w:p>
        </w:tc>
        <w:tc>
          <w:tcPr>
            <w:tcW w:w="1120" w:type="dxa"/>
            <w:vAlign w:val="bottom"/>
          </w:tcPr>
          <w:p>
            <w:pPr>
              <w:jc w:val="right"/>
              <w:ind w:right="66"/>
              <w:spacing w:after="0"/>
              <w:rPr>
                <w:sz w:val="20"/>
                <w:szCs w:val="20"/>
                <w:color w:val="auto"/>
              </w:rPr>
            </w:pPr>
            <w:r>
              <w:rPr>
                <w:rFonts w:ascii="Arial" w:cs="Arial" w:eastAsia="Arial" w:hAnsi="Arial"/>
                <w:sz w:val="14"/>
                <w:szCs w:val="14"/>
                <w:color w:val="auto"/>
              </w:rPr>
              <w:t>174,467,119</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1,744,671</w:t>
            </w:r>
          </w:p>
        </w:tc>
        <w:tc>
          <w:tcPr>
            <w:tcW w:w="1180" w:type="dxa"/>
            <w:vAlign w:val="bottom"/>
          </w:tcPr>
          <w:p>
            <w:pPr>
              <w:jc w:val="right"/>
              <w:ind w:right="86"/>
              <w:spacing w:after="0"/>
              <w:rPr>
                <w:sz w:val="20"/>
                <w:szCs w:val="20"/>
                <w:color w:val="auto"/>
              </w:rPr>
            </w:pPr>
            <w:r>
              <w:rPr>
                <w:rFonts w:ascii="Arial" w:cs="Arial" w:eastAsia="Arial" w:hAnsi="Arial"/>
                <w:sz w:val="14"/>
                <w:szCs w:val="14"/>
                <w:color w:val="auto"/>
              </w:rPr>
              <w:t>219,903,917</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2,199,039</w:t>
            </w:r>
          </w:p>
        </w:tc>
        <w:tc>
          <w:tcPr>
            <w:tcW w:w="1200" w:type="dxa"/>
            <w:vAlign w:val="bottom"/>
          </w:tcPr>
          <w:p>
            <w:pPr>
              <w:jc w:val="right"/>
              <w:ind w:right="86"/>
              <w:spacing w:after="0"/>
              <w:rPr>
                <w:sz w:val="20"/>
                <w:szCs w:val="20"/>
                <w:color w:val="auto"/>
              </w:rPr>
            </w:pPr>
            <w:r>
              <w:rPr>
                <w:rFonts w:ascii="Arial" w:cs="Arial" w:eastAsia="Arial" w:hAnsi="Arial"/>
                <w:sz w:val="14"/>
                <w:szCs w:val="14"/>
                <w:color w:val="auto"/>
              </w:rPr>
              <w:t>196,304,149</w:t>
            </w:r>
          </w:p>
        </w:tc>
        <w:tc>
          <w:tcPr>
            <w:tcW w:w="64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36"/>
        </w:trPr>
        <w:tc>
          <w:tcPr>
            <w:tcW w:w="2060" w:type="dxa"/>
            <w:vAlign w:val="bottom"/>
          </w:tcPr>
          <w:p>
            <w:pPr>
              <w:ind w:left="100"/>
              <w:spacing w:after="0"/>
              <w:rPr>
                <w:sz w:val="20"/>
                <w:szCs w:val="20"/>
                <w:color w:val="auto"/>
              </w:rPr>
            </w:pPr>
            <w:r>
              <w:rPr>
                <w:rFonts w:ascii="Arial" w:cs="Arial" w:eastAsia="Arial" w:hAnsi="Arial"/>
                <w:sz w:val="14"/>
                <w:szCs w:val="14"/>
                <w:color w:val="auto"/>
              </w:rPr>
              <w:t>Process Plants</w:t>
            </w:r>
          </w:p>
        </w:tc>
        <w:tc>
          <w:tcPr>
            <w:tcW w:w="1060" w:type="dxa"/>
            <w:vAlign w:val="bottom"/>
          </w:tcPr>
          <w:p>
            <w:pPr>
              <w:jc w:val="right"/>
              <w:ind w:right="27"/>
              <w:spacing w:after="0"/>
              <w:rPr>
                <w:sz w:val="20"/>
                <w:szCs w:val="20"/>
                <w:color w:val="auto"/>
              </w:rPr>
            </w:pPr>
            <w:r>
              <w:rPr>
                <w:rFonts w:ascii="Arial" w:cs="Arial" w:eastAsia="Arial" w:hAnsi="Arial"/>
                <w:sz w:val="14"/>
                <w:szCs w:val="14"/>
                <w:color w:val="auto"/>
              </w:rPr>
              <w:t>1.50%</w:t>
            </w:r>
          </w:p>
        </w:tc>
        <w:tc>
          <w:tcPr>
            <w:tcW w:w="1120" w:type="dxa"/>
            <w:vAlign w:val="bottom"/>
          </w:tcPr>
          <w:p>
            <w:pPr>
              <w:jc w:val="right"/>
              <w:ind w:right="66"/>
              <w:spacing w:after="0"/>
              <w:rPr>
                <w:sz w:val="20"/>
                <w:szCs w:val="20"/>
                <w:color w:val="auto"/>
              </w:rPr>
            </w:pPr>
            <w:r>
              <w:rPr>
                <w:rFonts w:ascii="Arial" w:cs="Arial" w:eastAsia="Arial" w:hAnsi="Arial"/>
                <w:sz w:val="14"/>
                <w:szCs w:val="14"/>
                <w:color w:val="auto"/>
              </w:rPr>
              <w:t>305,750,568</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4,586,259</w:t>
            </w:r>
          </w:p>
        </w:tc>
        <w:tc>
          <w:tcPr>
            <w:tcW w:w="1180" w:type="dxa"/>
            <w:vAlign w:val="bottom"/>
          </w:tcPr>
          <w:p>
            <w:pPr>
              <w:jc w:val="right"/>
              <w:ind w:right="86"/>
              <w:spacing w:after="0"/>
              <w:rPr>
                <w:sz w:val="20"/>
                <w:szCs w:val="20"/>
                <w:color w:val="auto"/>
              </w:rPr>
            </w:pPr>
            <w:r>
              <w:rPr>
                <w:rFonts w:ascii="Arial" w:cs="Arial" w:eastAsia="Arial" w:hAnsi="Arial"/>
                <w:sz w:val="14"/>
                <w:szCs w:val="14"/>
                <w:color w:val="auto"/>
              </w:rPr>
              <w:t>305,750,568</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4,586,259</w:t>
            </w:r>
          </w:p>
        </w:tc>
        <w:tc>
          <w:tcPr>
            <w:tcW w:w="1200" w:type="dxa"/>
            <w:vAlign w:val="bottom"/>
          </w:tcPr>
          <w:p>
            <w:pPr>
              <w:jc w:val="right"/>
              <w:ind w:right="86"/>
              <w:spacing w:after="0"/>
              <w:rPr>
                <w:sz w:val="20"/>
                <w:szCs w:val="20"/>
                <w:color w:val="auto"/>
              </w:rPr>
            </w:pPr>
            <w:r>
              <w:rPr>
                <w:rFonts w:ascii="Arial" w:cs="Arial" w:eastAsia="Arial" w:hAnsi="Arial"/>
                <w:sz w:val="14"/>
                <w:szCs w:val="14"/>
                <w:color w:val="auto"/>
              </w:rPr>
              <w:t>305,750,568</w:t>
            </w:r>
          </w:p>
        </w:tc>
        <w:tc>
          <w:tcPr>
            <w:tcW w:w="64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36"/>
        </w:trPr>
        <w:tc>
          <w:tcPr>
            <w:tcW w:w="2060" w:type="dxa"/>
            <w:vAlign w:val="bottom"/>
          </w:tcPr>
          <w:p>
            <w:pPr>
              <w:ind w:left="100"/>
              <w:spacing w:after="0"/>
              <w:rPr>
                <w:sz w:val="20"/>
                <w:szCs w:val="20"/>
                <w:color w:val="auto"/>
              </w:rPr>
            </w:pPr>
            <w:r>
              <w:rPr>
                <w:rFonts w:ascii="Arial" w:cs="Arial" w:eastAsia="Arial" w:hAnsi="Arial"/>
                <w:sz w:val="14"/>
                <w:szCs w:val="14"/>
                <w:color w:val="auto"/>
              </w:rPr>
              <w:t>On-site Infrastructure</w:t>
            </w:r>
          </w:p>
        </w:tc>
        <w:tc>
          <w:tcPr>
            <w:tcW w:w="1060" w:type="dxa"/>
            <w:vAlign w:val="bottom"/>
          </w:tcPr>
          <w:p>
            <w:pPr>
              <w:jc w:val="right"/>
              <w:ind w:right="27"/>
              <w:spacing w:after="0"/>
              <w:rPr>
                <w:sz w:val="20"/>
                <w:szCs w:val="20"/>
                <w:color w:val="auto"/>
              </w:rPr>
            </w:pPr>
            <w:r>
              <w:rPr>
                <w:rFonts w:ascii="Arial" w:cs="Arial" w:eastAsia="Arial" w:hAnsi="Arial"/>
                <w:sz w:val="14"/>
                <w:szCs w:val="14"/>
                <w:color w:val="auto"/>
              </w:rPr>
              <w:t>1.50%</w:t>
            </w:r>
          </w:p>
        </w:tc>
        <w:tc>
          <w:tcPr>
            <w:tcW w:w="1120" w:type="dxa"/>
            <w:vAlign w:val="bottom"/>
          </w:tcPr>
          <w:p>
            <w:pPr>
              <w:jc w:val="right"/>
              <w:ind w:right="66"/>
              <w:spacing w:after="0"/>
              <w:rPr>
                <w:sz w:val="20"/>
                <w:szCs w:val="20"/>
                <w:color w:val="auto"/>
              </w:rPr>
            </w:pPr>
            <w:r>
              <w:rPr>
                <w:rFonts w:ascii="Arial" w:cs="Arial" w:eastAsia="Arial" w:hAnsi="Arial"/>
                <w:sz w:val="14"/>
                <w:szCs w:val="14"/>
                <w:color w:val="auto"/>
              </w:rPr>
              <w:t>147,775,941</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2,216,639</w:t>
            </w:r>
          </w:p>
        </w:tc>
        <w:tc>
          <w:tcPr>
            <w:tcW w:w="1180" w:type="dxa"/>
            <w:vAlign w:val="bottom"/>
          </w:tcPr>
          <w:p>
            <w:pPr>
              <w:jc w:val="right"/>
              <w:ind w:right="86"/>
              <w:spacing w:after="0"/>
              <w:rPr>
                <w:sz w:val="20"/>
                <w:szCs w:val="20"/>
                <w:color w:val="auto"/>
              </w:rPr>
            </w:pPr>
            <w:r>
              <w:rPr>
                <w:rFonts w:ascii="Arial" w:cs="Arial" w:eastAsia="Arial" w:hAnsi="Arial"/>
                <w:sz w:val="14"/>
                <w:szCs w:val="14"/>
                <w:color w:val="auto"/>
              </w:rPr>
              <w:t>59,102,361</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886,535</w:t>
            </w:r>
          </w:p>
        </w:tc>
        <w:tc>
          <w:tcPr>
            <w:tcW w:w="1200" w:type="dxa"/>
            <w:vAlign w:val="bottom"/>
          </w:tcPr>
          <w:p>
            <w:pPr>
              <w:jc w:val="right"/>
              <w:ind w:right="86"/>
              <w:spacing w:after="0"/>
              <w:rPr>
                <w:sz w:val="20"/>
                <w:szCs w:val="20"/>
                <w:color w:val="auto"/>
              </w:rPr>
            </w:pPr>
            <w:r>
              <w:rPr>
                <w:rFonts w:ascii="Arial" w:cs="Arial" w:eastAsia="Arial" w:hAnsi="Arial"/>
                <w:sz w:val="14"/>
                <w:szCs w:val="14"/>
                <w:color w:val="auto"/>
              </w:rPr>
              <w:t>12,139,291</w:t>
            </w: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36"/>
        </w:trPr>
        <w:tc>
          <w:tcPr>
            <w:tcW w:w="2060" w:type="dxa"/>
            <w:vAlign w:val="bottom"/>
          </w:tcPr>
          <w:p>
            <w:pPr>
              <w:ind w:left="100"/>
              <w:spacing w:after="0"/>
              <w:rPr>
                <w:sz w:val="20"/>
                <w:szCs w:val="20"/>
                <w:color w:val="auto"/>
              </w:rPr>
            </w:pPr>
            <w:r>
              <w:rPr>
                <w:rFonts w:ascii="Arial" w:cs="Arial" w:eastAsia="Arial" w:hAnsi="Arial"/>
                <w:sz w:val="14"/>
                <w:szCs w:val="14"/>
                <w:color w:val="auto"/>
              </w:rPr>
              <w:t>Energy Infrastructure</w:t>
            </w:r>
          </w:p>
        </w:tc>
        <w:tc>
          <w:tcPr>
            <w:tcW w:w="1060" w:type="dxa"/>
            <w:vAlign w:val="bottom"/>
          </w:tcPr>
          <w:p>
            <w:pPr>
              <w:jc w:val="right"/>
              <w:ind w:right="27"/>
              <w:spacing w:after="0"/>
              <w:rPr>
                <w:sz w:val="20"/>
                <w:szCs w:val="20"/>
                <w:color w:val="auto"/>
              </w:rPr>
            </w:pPr>
            <w:r>
              <w:rPr>
                <w:rFonts w:ascii="Arial" w:cs="Arial" w:eastAsia="Arial" w:hAnsi="Arial"/>
                <w:sz w:val="14"/>
                <w:szCs w:val="14"/>
                <w:color w:val="auto"/>
              </w:rPr>
              <w:t>3.00%</w:t>
            </w:r>
          </w:p>
        </w:tc>
        <w:tc>
          <w:tcPr>
            <w:tcW w:w="1120" w:type="dxa"/>
            <w:vAlign w:val="bottom"/>
          </w:tcPr>
          <w:p>
            <w:pPr>
              <w:jc w:val="right"/>
              <w:ind w:right="66"/>
              <w:spacing w:after="0"/>
              <w:rPr>
                <w:sz w:val="20"/>
                <w:szCs w:val="20"/>
                <w:color w:val="auto"/>
              </w:rPr>
            </w:pPr>
            <w:r>
              <w:rPr>
                <w:rFonts w:ascii="Arial" w:cs="Arial" w:eastAsia="Arial" w:hAnsi="Arial"/>
                <w:sz w:val="14"/>
                <w:szCs w:val="14"/>
                <w:color w:val="auto"/>
              </w:rPr>
              <w:t>49,026,654</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1,470,800</w:t>
            </w:r>
          </w:p>
        </w:tc>
        <w:tc>
          <w:tcPr>
            <w:tcW w:w="1180" w:type="dxa"/>
            <w:vAlign w:val="bottom"/>
          </w:tcPr>
          <w:p>
            <w:pPr>
              <w:jc w:val="right"/>
              <w:ind w:right="86"/>
              <w:spacing w:after="0"/>
              <w:rPr>
                <w:sz w:val="20"/>
                <w:szCs w:val="20"/>
                <w:color w:val="auto"/>
              </w:rPr>
            </w:pPr>
            <w:r>
              <w:rPr>
                <w:rFonts w:ascii="Arial" w:cs="Arial" w:eastAsia="Arial" w:hAnsi="Arial"/>
                <w:sz w:val="14"/>
                <w:szCs w:val="14"/>
                <w:color w:val="auto"/>
              </w:rPr>
              <w:t>20,232,511</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606,975</w:t>
            </w:r>
          </w:p>
        </w:tc>
        <w:tc>
          <w:tcPr>
            <w:tcW w:w="1200" w:type="dxa"/>
            <w:vAlign w:val="bottom"/>
          </w:tcPr>
          <w:p>
            <w:pPr>
              <w:jc w:val="right"/>
              <w:ind w:right="86"/>
              <w:spacing w:after="0"/>
              <w:rPr>
                <w:sz w:val="20"/>
                <w:szCs w:val="20"/>
                <w:color w:val="auto"/>
              </w:rPr>
            </w:pPr>
            <w:r>
              <w:rPr>
                <w:rFonts w:ascii="Arial" w:cs="Arial" w:eastAsia="Arial" w:hAnsi="Arial"/>
                <w:sz w:val="14"/>
                <w:szCs w:val="14"/>
                <w:color w:val="auto"/>
              </w:rPr>
              <w:t>29,172,653</w:t>
            </w:r>
          </w:p>
        </w:tc>
        <w:tc>
          <w:tcPr>
            <w:tcW w:w="6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36"/>
        </w:trPr>
        <w:tc>
          <w:tcPr>
            <w:tcW w:w="2060" w:type="dxa"/>
            <w:vAlign w:val="bottom"/>
          </w:tcPr>
          <w:p>
            <w:pPr>
              <w:ind w:left="100"/>
              <w:spacing w:after="0"/>
              <w:rPr>
                <w:sz w:val="20"/>
                <w:szCs w:val="20"/>
                <w:color w:val="auto"/>
              </w:rPr>
            </w:pPr>
            <w:r>
              <w:rPr>
                <w:rFonts w:ascii="Arial" w:cs="Arial" w:eastAsia="Arial" w:hAnsi="Arial"/>
                <w:sz w:val="14"/>
                <w:szCs w:val="14"/>
                <w:b w:val="1"/>
                <w:bCs w:val="1"/>
                <w:color w:val="auto"/>
              </w:rPr>
              <w:t>SUBTOTAL (Annual)</w:t>
            </w:r>
          </w:p>
        </w:tc>
        <w:tc>
          <w:tcPr>
            <w:tcW w:w="1060" w:type="dxa"/>
            <w:vAlign w:val="bottom"/>
          </w:tcPr>
          <w:p>
            <w:pPr>
              <w:jc w:val="right"/>
              <w:ind w:right="167"/>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center"/>
              <w:ind w:right="146"/>
              <w:spacing w:after="0"/>
              <w:rPr>
                <w:sz w:val="20"/>
                <w:szCs w:val="20"/>
                <w:color w:val="auto"/>
              </w:rPr>
            </w:pPr>
            <w:r>
              <w:rPr>
                <w:rFonts w:ascii="Arial" w:cs="Arial" w:eastAsia="Arial" w:hAnsi="Arial"/>
                <w:sz w:val="14"/>
                <w:szCs w:val="14"/>
                <w:b w:val="1"/>
                <w:bCs w:val="1"/>
                <w:color w:val="auto"/>
              </w:rPr>
              <w:t>Phase1</w:t>
            </w: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11,946,760</w:t>
            </w:r>
          </w:p>
        </w:tc>
        <w:tc>
          <w:tcPr>
            <w:tcW w:w="1180" w:type="dxa"/>
            <w:vAlign w:val="bottom"/>
          </w:tcPr>
          <w:p>
            <w:pPr>
              <w:jc w:val="center"/>
              <w:ind w:right="106"/>
              <w:spacing w:after="0"/>
              <w:rPr>
                <w:sz w:val="20"/>
                <w:szCs w:val="20"/>
                <w:color w:val="auto"/>
              </w:rPr>
            </w:pPr>
            <w:r>
              <w:rPr>
                <w:rFonts w:ascii="Arial" w:cs="Arial" w:eastAsia="Arial" w:hAnsi="Arial"/>
                <w:sz w:val="14"/>
                <w:szCs w:val="14"/>
                <w:b w:val="1"/>
                <w:bCs w:val="1"/>
                <w:color w:val="auto"/>
                <w:w w:val="97"/>
              </w:rPr>
              <w:t>Phase2</w:t>
            </w: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11,802,556</w:t>
            </w:r>
          </w:p>
        </w:tc>
        <w:tc>
          <w:tcPr>
            <w:tcW w:w="1200" w:type="dxa"/>
            <w:vAlign w:val="bottom"/>
          </w:tcPr>
          <w:p>
            <w:pPr>
              <w:jc w:val="center"/>
              <w:ind w:right="106"/>
              <w:spacing w:after="0"/>
              <w:rPr>
                <w:sz w:val="20"/>
                <w:szCs w:val="20"/>
                <w:color w:val="auto"/>
              </w:rPr>
            </w:pPr>
            <w:r>
              <w:rPr>
                <w:rFonts w:ascii="Arial" w:cs="Arial" w:eastAsia="Arial" w:hAnsi="Arial"/>
                <w:sz w:val="14"/>
                <w:szCs w:val="14"/>
                <w:b w:val="1"/>
                <w:bCs w:val="1"/>
                <w:color w:val="auto"/>
              </w:rPr>
              <w:t>Phase3</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11,5</w:t>
            </w:r>
          </w:p>
        </w:tc>
      </w:tr>
      <w:tr>
        <w:trPr>
          <w:trHeight w:val="236"/>
        </w:trPr>
        <w:tc>
          <w:tcPr>
            <w:tcW w:w="2060" w:type="dxa"/>
            <w:vAlign w:val="bottom"/>
          </w:tcPr>
          <w:p>
            <w:pPr>
              <w:ind w:left="100"/>
              <w:spacing w:after="0"/>
              <w:rPr>
                <w:sz w:val="20"/>
                <w:szCs w:val="20"/>
                <w:color w:val="auto"/>
              </w:rPr>
            </w:pPr>
            <w:r>
              <w:rPr>
                <w:rFonts w:ascii="Arial" w:cs="Arial" w:eastAsia="Arial" w:hAnsi="Arial"/>
                <w:sz w:val="14"/>
                <w:szCs w:val="14"/>
                <w:b w:val="1"/>
                <w:bCs w:val="1"/>
                <w:color w:val="auto"/>
              </w:rPr>
              <w:t>TMA (Included in DCF)</w:t>
            </w:r>
          </w:p>
        </w:tc>
        <w:tc>
          <w:tcPr>
            <w:tcW w:w="1060" w:type="dxa"/>
            <w:vAlign w:val="bottom"/>
          </w:tcPr>
          <w:p>
            <w:pPr>
              <w:spacing w:after="0"/>
              <w:rPr>
                <w:sz w:val="20"/>
                <w:szCs w:val="20"/>
                <w:color w:val="auto"/>
              </w:rPr>
            </w:pPr>
          </w:p>
        </w:tc>
        <w:tc>
          <w:tcPr>
            <w:tcW w:w="1120" w:type="dxa"/>
            <w:vAlign w:val="bottom"/>
          </w:tcPr>
          <w:p>
            <w:pPr>
              <w:jc w:val="right"/>
              <w:ind w:right="66"/>
              <w:spacing w:after="0"/>
              <w:rPr>
                <w:sz w:val="20"/>
                <w:szCs w:val="20"/>
                <w:color w:val="auto"/>
              </w:rPr>
            </w:pPr>
            <w:r>
              <w:rPr>
                <w:rFonts w:ascii="Arial" w:cs="Arial" w:eastAsia="Arial" w:hAnsi="Arial"/>
                <w:sz w:val="14"/>
                <w:szCs w:val="14"/>
                <w:b w:val="1"/>
                <w:bCs w:val="1"/>
                <w:color w:val="auto"/>
              </w:rPr>
              <w:t>20,880,145</w:t>
            </w: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20,880, 145</w:t>
            </w:r>
          </w:p>
        </w:tc>
        <w:tc>
          <w:tcPr>
            <w:tcW w:w="1180" w:type="dxa"/>
            <w:vAlign w:val="bottom"/>
          </w:tcPr>
          <w:p>
            <w:pPr>
              <w:jc w:val="right"/>
              <w:ind w:right="86"/>
              <w:spacing w:after="0"/>
              <w:rPr>
                <w:sz w:val="20"/>
                <w:szCs w:val="20"/>
                <w:color w:val="auto"/>
              </w:rPr>
            </w:pPr>
            <w:r>
              <w:rPr>
                <w:rFonts w:ascii="Arial" w:cs="Arial" w:eastAsia="Arial" w:hAnsi="Arial"/>
                <w:sz w:val="14"/>
                <w:szCs w:val="14"/>
                <w:b w:val="1"/>
                <w:bCs w:val="1"/>
                <w:color w:val="auto"/>
              </w:rPr>
              <w:t>19,598,877</w:t>
            </w: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19,598,877</w:t>
            </w:r>
          </w:p>
        </w:tc>
        <w:tc>
          <w:tcPr>
            <w:tcW w:w="1200" w:type="dxa"/>
            <w:vAlign w:val="bottom"/>
          </w:tcPr>
          <w:p>
            <w:pPr>
              <w:jc w:val="right"/>
              <w:ind w:right="86"/>
              <w:spacing w:after="0"/>
              <w:rPr>
                <w:sz w:val="20"/>
                <w:szCs w:val="20"/>
                <w:color w:val="auto"/>
              </w:rPr>
            </w:pPr>
            <w:r>
              <w:rPr>
                <w:rFonts w:ascii="Arial" w:cs="Arial" w:eastAsia="Arial" w:hAnsi="Arial"/>
                <w:sz w:val="14"/>
                <w:szCs w:val="14"/>
                <w:b w:val="1"/>
                <w:bCs w:val="1"/>
                <w:color w:val="auto"/>
              </w:rPr>
              <w:t>19,598,877</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-1028065</wp:posOffset>
            </wp:positionV>
            <wp:extent cx="6078220" cy="1054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7">
                      <a:extLst>
                        <a:ext uri="{28A0092B-C50C-407E-A947-70E740481C1C}"/>
                      </a:extLst>
                    </a:blip>
                    <a:srcRect/>
                    <a:stretch>
                      <a:fillRect/>
                    </a:stretch>
                  </pic:blipFill>
                  <pic:spPr bwMode="auto">
                    <a:xfrm>
                      <a:off x="0" y="0"/>
                      <a:ext cx="6078220" cy="105410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-1028065</wp:posOffset>
            </wp:positionV>
            <wp:extent cx="6078220" cy="1054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8">
                      <a:extLst>
                        <a:ext uri="{28A0092B-C50C-407E-A947-70E740481C1C}"/>
                      </a:extLst>
                    </a:blip>
                    <a:srcRect/>
                    <a:stretch>
                      <a:fillRect/>
                    </a:stretch>
                  </pic:blipFill>
                  <pic:spPr bwMode="auto">
                    <a:xfrm>
                      <a:off x="0" y="0"/>
                      <a:ext cx="6078220" cy="105410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19 / 26</w:t>
      </w:r>
    </w:p>
    <w:p>
      <w:pPr>
        <w:sectPr>
          <w:pgSz w:w="11900" w:h="16838" w:orient="portrait"/>
          <w:cols w:equalWidth="0" w:num="1">
            <w:col w:w="10460"/>
          </w:cols>
          <w:pgMar w:left="1440" w:top="1440" w:right="6" w:bottom="0" w:gutter="0" w:footer="0" w:header="0"/>
          <w:type w:val="continuous"/>
        </w:sectPr>
      </w:pPr>
    </w:p>
    <w:bookmarkStart w:id="155" w:name="page156"/>
    <w:bookmarkEnd w:id="155"/>
    <w:p>
      <w:pPr>
        <w:jc w:val="both"/>
        <w:ind w:left="900"/>
        <w:spacing w:after="0" w:line="307" w:lineRule="auto"/>
        <w:rPr>
          <w:sz w:val="20"/>
          <w:szCs w:val="20"/>
          <w:color w:val="auto"/>
        </w:rPr>
      </w:pPr>
      <w:r>
        <w:rPr>
          <w:rFonts w:ascii="Arial" w:cs="Arial" w:eastAsia="Arial" w:hAnsi="Arial"/>
          <w:sz w:val="20"/>
          <w:szCs w:val="20"/>
          <w:color w:val="auto"/>
        </w:rPr>
        <w:t>The estimated annual cost of sustaining capital S-CAPEX is approximately $12 million per year for each p exclusive of TMA.</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Project Economics</w:t>
      </w:r>
    </w:p>
    <w:p>
      <w:pPr>
        <w:spacing w:after="0" w:line="279" w:lineRule="exact"/>
        <w:rPr>
          <w:sz w:val="20"/>
          <w:szCs w:val="20"/>
          <w:color w:val="auto"/>
        </w:rPr>
      </w:pPr>
    </w:p>
    <w:p>
      <w:pPr>
        <w:jc w:val="both"/>
        <w:ind w:left="900"/>
        <w:spacing w:after="0" w:line="333" w:lineRule="auto"/>
        <w:rPr>
          <w:sz w:val="20"/>
          <w:szCs w:val="20"/>
          <w:color w:val="auto"/>
        </w:rPr>
      </w:pPr>
      <w:r>
        <w:rPr>
          <w:rFonts w:ascii="Arial" w:cs="Arial" w:eastAsia="Arial" w:hAnsi="Arial"/>
          <w:sz w:val="19"/>
          <w:szCs w:val="19"/>
          <w:color w:val="auto"/>
        </w:rPr>
        <w:t>The analysis was prepared using an economic model and assesses both before-tax and after-tax cash scenarios. Capital (CapEx) and Operational (OpEx) Expenditures presented in previous sections have been in this analysis. Prices for lithium carbonate and hydroxide were estimated by the QP. The results include Present Values (NPV) for 10% discount rate, Internal Rate of Return (IRR) and sensitivity analysis of key inp</w:t>
      </w:r>
    </w:p>
    <w:p>
      <w:pPr>
        <w:spacing w:after="0" w:line="195" w:lineRule="exact"/>
        <w:rPr>
          <w:sz w:val="20"/>
          <w:szCs w:val="20"/>
          <w:color w:val="auto"/>
        </w:rPr>
      </w:pPr>
    </w:p>
    <w:p>
      <w:pPr>
        <w:ind w:left="900"/>
        <w:spacing w:after="0" w:line="332" w:lineRule="auto"/>
        <w:rPr>
          <w:sz w:val="20"/>
          <w:szCs w:val="20"/>
          <w:color w:val="auto"/>
        </w:rPr>
      </w:pPr>
      <w:r>
        <w:rPr>
          <w:rFonts w:ascii="Arial" w:cs="Arial" w:eastAsia="Arial" w:hAnsi="Arial"/>
          <w:sz w:val="19"/>
          <w:szCs w:val="19"/>
          <w:b w:val="1"/>
          <w:bCs w:val="1"/>
          <w:color w:val="auto"/>
        </w:rPr>
        <w:t xml:space="preserve">Information contained in the PPG Scoping Study Report, including (but not limited to) the project economics for PPG presented below (including, for greater certainty, revenue, net present value, cas flow and earnings) are presented as of the effective date of the PPG Scoping Study Report based on criteria, assumptions, estimates and other information available at the time and therefore may not ref actual results and outcomes, updated project economics, capital costs and/or operating costs for the project. As a result, actual results may differ from those presented. </w:t>
      </w:r>
      <w:r>
        <w:rPr>
          <w:rFonts w:ascii="Arial" w:cs="Arial" w:eastAsia="Arial" w:hAnsi="Arial"/>
          <w:sz w:val="19"/>
          <w:szCs w:val="19"/>
          <w:color w:val="auto"/>
        </w:rPr>
        <w:t>See “Item 3.D. -</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Risk Factors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1080135</wp:posOffset>
            </wp:positionV>
            <wp:extent cx="6764020"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20 / 26</w:t>
      </w:r>
    </w:p>
    <w:p>
      <w:pPr>
        <w:sectPr>
          <w:pgSz w:w="11900" w:h="16838" w:orient="portrait"/>
          <w:cols w:equalWidth="0" w:num="1">
            <w:col w:w="10460"/>
          </w:cols>
          <w:pgMar w:left="1440" w:top="1172" w:right="6" w:bottom="0" w:gutter="0" w:footer="0" w:header="0"/>
          <w:type w:val="continuous"/>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33" w:lineRule="auto"/>
        <w:rPr>
          <w:sz w:val="20"/>
          <w:szCs w:val="20"/>
          <w:color w:val="auto"/>
        </w:rPr>
      </w:pPr>
      <w:r>
        <w:rPr>
          <w:rFonts w:ascii="Arial" w:cs="Arial" w:eastAsia="Arial" w:hAnsi="Arial"/>
          <w:sz w:val="19"/>
          <w:szCs w:val="19"/>
          <w:color w:val="auto"/>
        </w:rPr>
        <w:t>The analysis was prepared using an economic model and assesses both before-tax and after-tax cash scenarios. Capital (CapEx) and Operational (OpEx) Expenditures presented in previous sections have been in this analysis. Prices for lithium carbonate and hydroxide were estimated by the QP. The results include Present Values (NPV) for 10% discount rate, Internal Rate of Return (IRR) and sensitivity analysis of key inp</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following criteria have been used to develop the economic model:</w:t>
      </w:r>
    </w:p>
    <w:p>
      <w:pPr>
        <w:spacing w:after="0" w:line="236" w:lineRule="exact"/>
        <w:rPr>
          <w:sz w:val="20"/>
          <w:szCs w:val="20"/>
          <w:color w:val="auto"/>
        </w:rPr>
      </w:pPr>
    </w:p>
    <w:p>
      <w:pPr>
        <w:ind w:left="1620" w:hanging="366"/>
        <w:spacing w:after="0"/>
        <w:tabs>
          <w:tab w:leader="none" w:pos="16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Project life: Life of mine (including construction and operation) is estimated to be 33 years.</w:t>
      </w:r>
    </w:p>
    <w:p>
      <w:pPr>
        <w:spacing w:after="0" w:line="257" w:lineRule="exact"/>
        <w:rPr>
          <w:rFonts w:ascii="Arial" w:cs="Arial" w:eastAsia="Arial" w:hAnsi="Arial"/>
          <w:sz w:val="20"/>
          <w:szCs w:val="20"/>
          <w:color w:val="auto"/>
        </w:rPr>
      </w:pPr>
    </w:p>
    <w:p>
      <w:pPr>
        <w:ind w:left="1620" w:right="20" w:hanging="366"/>
        <w:spacing w:after="0" w:line="368" w:lineRule="auto"/>
        <w:tabs>
          <w:tab w:leader="none" w:pos="16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Pricing for lithium carbonate of $18,000 and lithium hydroxide monohydrate (LHM) of $17,800 per to used.</w:t>
      </w:r>
    </w:p>
    <w:p>
      <w:pPr>
        <w:spacing w:after="0" w:line="134" w:lineRule="exact"/>
        <w:rPr>
          <w:rFonts w:ascii="Arial" w:cs="Arial" w:eastAsia="Arial" w:hAnsi="Arial"/>
          <w:sz w:val="20"/>
          <w:szCs w:val="20"/>
          <w:color w:val="auto"/>
        </w:rPr>
      </w:pPr>
    </w:p>
    <w:p>
      <w:pPr>
        <w:ind w:left="1620" w:right="80" w:hanging="366"/>
        <w:spacing w:after="0" w:line="368" w:lineRule="auto"/>
        <w:tabs>
          <w:tab w:leader="none" w:pos="16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Final production rate of 153,000 TPA LCE after all three phases of production reach full operation 9 after the start of phase 1.</w:t>
      </w:r>
    </w:p>
    <w:p>
      <w:pPr>
        <w:spacing w:after="0" w:line="134" w:lineRule="exact"/>
        <w:rPr>
          <w:rFonts w:ascii="Arial" w:cs="Arial" w:eastAsia="Arial" w:hAnsi="Arial"/>
          <w:sz w:val="20"/>
          <w:szCs w:val="20"/>
          <w:color w:val="auto"/>
        </w:rPr>
      </w:pPr>
    </w:p>
    <w:p>
      <w:pPr>
        <w:ind w:left="1620" w:hanging="366"/>
        <w:spacing w:after="0" w:line="373" w:lineRule="auto"/>
        <w:tabs>
          <w:tab w:leader="none" w:pos="16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Discounted Cash Flow (DCF) analysis was based upon scheduling of the currently available Meas and Indicated (M+I) Resources with the assumption that 35% of M+I resources are pumpable as feed to the evaporation ponds and an overall lithium recovery efficiency of 75%. The recovery is bas test work carried out to date and assumptions provided by Ganfeng.</w:t>
      </w:r>
    </w:p>
    <w:p>
      <w:pPr>
        <w:spacing w:after="0" w:line="123" w:lineRule="exact"/>
        <w:rPr>
          <w:rFonts w:ascii="Arial" w:cs="Arial" w:eastAsia="Arial" w:hAnsi="Arial"/>
          <w:sz w:val="20"/>
          <w:szCs w:val="20"/>
          <w:color w:val="auto"/>
        </w:rPr>
      </w:pPr>
    </w:p>
    <w:p>
      <w:pPr>
        <w:ind w:left="1620" w:hanging="366"/>
        <w:spacing w:after="0"/>
        <w:tabs>
          <w:tab w:leader="none" w:pos="16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 discount rate of 10% was used.</w:t>
      </w:r>
    </w:p>
    <w:p>
      <w:pPr>
        <w:spacing w:after="0" w:line="257"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Discounted Cash Flow (DCF) economic evaluation was carried out on a constant money bas there is no provision for escalation or inflation on costs or revenue.</w:t>
      </w:r>
    </w:p>
    <w:p>
      <w:pPr>
        <w:spacing w:after="0" w:line="134" w:lineRule="exact"/>
        <w:rPr>
          <w:rFonts w:ascii="Arial" w:cs="Arial" w:eastAsia="Arial" w:hAnsi="Arial"/>
          <w:sz w:val="20"/>
          <w:szCs w:val="20"/>
          <w:color w:val="auto"/>
        </w:rPr>
      </w:pPr>
    </w:p>
    <w:p>
      <w:pPr>
        <w:ind w:left="1620" w:right="40" w:hanging="366"/>
        <w:spacing w:after="0" w:line="368" w:lineRule="auto"/>
        <w:tabs>
          <w:tab w:leader="none" w:pos="16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For DCF evaluation purposes, it has been assumed that 100% of capital expenditures, includin production expenses, are financed with owners’ equity.</w:t>
      </w:r>
    </w:p>
    <w:p>
      <w:pPr>
        <w:spacing w:after="0" w:line="127" w:lineRule="exact"/>
        <w:rPr>
          <w:rFonts w:ascii="Arial" w:cs="Arial" w:eastAsia="Arial" w:hAnsi="Arial"/>
          <w:sz w:val="20"/>
          <w:szCs w:val="20"/>
          <w:color w:val="auto"/>
        </w:rPr>
      </w:pPr>
    </w:p>
    <w:p>
      <w:pPr>
        <w:ind w:left="1620" w:hanging="366"/>
        <w:spacing w:after="0"/>
        <w:tabs>
          <w:tab w:leader="none" w:pos="16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Pre-construction costs are not included in DCF analysis.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VAT is included for both CapEx and OpEx.</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Lithium grades and recoveries stay constant for 30 years with no dilution.</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key inputs to the economic analysis are shown in Table 9.</w:t>
      </w:r>
    </w:p>
    <w:p>
      <w:pPr>
        <w:spacing w:after="0" w:line="286"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Table 9: The Key Inputs to the Economic Analysis (including RIGI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236220</wp:posOffset>
            </wp:positionV>
            <wp:extent cx="6078220" cy="3092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0">
                      <a:extLst>
                        <a:ext uri="{28A0092B-C50C-407E-A947-70E740481C1C}"/>
                      </a:extLst>
                    </a:blip>
                    <a:srcRect/>
                    <a:stretch>
                      <a:fillRect/>
                    </a:stretch>
                  </pic:blipFill>
                  <pic:spPr bwMode="auto">
                    <a:xfrm>
                      <a:off x="0" y="0"/>
                      <a:ext cx="6078220" cy="309245"/>
                    </a:xfrm>
                    <a:prstGeom prst="rect">
                      <a:avLst/>
                    </a:prstGeom>
                    <a:noFill/>
                  </pic:spPr>
                </pic:pic>
              </a:graphicData>
            </a:graphic>
          </wp:anchor>
        </w:drawing>
      </w:r>
    </w:p>
    <w:p>
      <w:pPr>
        <w:spacing w:after="0" w:line="352" w:lineRule="exact"/>
        <w:rPr>
          <w:sz w:val="20"/>
          <w:szCs w:val="20"/>
          <w:color w:val="auto"/>
        </w:rPr>
      </w:pPr>
    </w:p>
    <w:tbl>
      <w:tblPr>
        <w:tblLayout w:type="fixed"/>
        <w:tblInd w:w="900" w:type="dxa"/>
        <w:tblCellMar>
          <w:top w:w="0" w:type="dxa"/>
          <w:left w:w="0" w:type="dxa"/>
          <w:bottom w:w="0" w:type="dxa"/>
          <w:right w:w="0" w:type="dxa"/>
        </w:tblCellMar>
      </w:tblPr>
      <w:tr>
        <w:trPr>
          <w:trHeight w:val="350"/>
        </w:trPr>
        <w:tc>
          <w:tcPr>
            <w:tcW w:w="3600" w:type="dxa"/>
            <w:vAlign w:val="bottom"/>
            <w:shd w:val="clear" w:color="auto" w:fill="153A57"/>
          </w:tcPr>
          <w:p>
            <w:pPr>
              <w:ind w:left="200"/>
              <w:spacing w:after="0"/>
              <w:rPr>
                <w:sz w:val="20"/>
                <w:szCs w:val="20"/>
                <w:color w:val="auto"/>
              </w:rPr>
            </w:pPr>
            <w:r>
              <w:rPr>
                <w:rFonts w:ascii="Arial" w:cs="Arial" w:eastAsia="Arial" w:hAnsi="Arial"/>
                <w:sz w:val="18"/>
                <w:szCs w:val="18"/>
                <w:b w:val="1"/>
                <w:bCs w:val="1"/>
                <w:color w:val="FFFFFF"/>
              </w:rPr>
              <w:t>Economics Overview</w:t>
            </w:r>
          </w:p>
        </w:tc>
        <w:tc>
          <w:tcPr>
            <w:tcW w:w="2760" w:type="dxa"/>
            <w:vAlign w:val="bottom"/>
            <w:shd w:val="clear" w:color="auto" w:fill="153A57"/>
          </w:tcPr>
          <w:p>
            <w:pPr>
              <w:ind w:left="2000"/>
              <w:spacing w:after="0"/>
              <w:rPr>
                <w:sz w:val="20"/>
                <w:szCs w:val="20"/>
                <w:color w:val="auto"/>
              </w:rPr>
            </w:pPr>
            <w:r>
              <w:rPr>
                <w:rFonts w:ascii="Arial" w:cs="Arial" w:eastAsia="Arial" w:hAnsi="Arial"/>
                <w:sz w:val="18"/>
                <w:szCs w:val="18"/>
                <w:b w:val="1"/>
                <w:bCs w:val="1"/>
                <w:color w:val="FFFFFF"/>
              </w:rPr>
              <w:t>Units</w:t>
            </w:r>
          </w:p>
        </w:tc>
        <w:tc>
          <w:tcPr>
            <w:tcW w:w="1880" w:type="dxa"/>
            <w:vAlign w:val="bottom"/>
            <w:shd w:val="clear" w:color="auto" w:fill="153A57"/>
          </w:tcPr>
          <w:p>
            <w:pPr>
              <w:jc w:val="right"/>
              <w:ind w:right="430"/>
              <w:spacing w:after="0"/>
              <w:rPr>
                <w:sz w:val="20"/>
                <w:szCs w:val="20"/>
                <w:color w:val="auto"/>
              </w:rPr>
            </w:pPr>
            <w:r>
              <w:rPr>
                <w:rFonts w:ascii="Arial" w:cs="Arial" w:eastAsia="Arial" w:hAnsi="Arial"/>
                <w:sz w:val="18"/>
                <w:szCs w:val="18"/>
                <w:b w:val="1"/>
                <w:bCs w:val="1"/>
                <w:color w:val="FFFFFF"/>
              </w:rPr>
              <w:t>Phase 1</w:t>
            </w:r>
          </w:p>
        </w:tc>
        <w:tc>
          <w:tcPr>
            <w:tcW w:w="1320" w:type="dxa"/>
            <w:vAlign w:val="bottom"/>
            <w:shd w:val="clear" w:color="auto" w:fill="153A57"/>
          </w:tcPr>
          <w:p>
            <w:pPr>
              <w:jc w:val="right"/>
              <w:spacing w:after="0"/>
              <w:rPr>
                <w:sz w:val="20"/>
                <w:szCs w:val="20"/>
                <w:color w:val="auto"/>
              </w:rPr>
            </w:pPr>
            <w:r>
              <w:rPr>
                <w:rFonts w:ascii="Arial" w:cs="Arial" w:eastAsia="Arial" w:hAnsi="Arial"/>
                <w:sz w:val="18"/>
                <w:szCs w:val="18"/>
                <w:b w:val="1"/>
                <w:bCs w:val="1"/>
                <w:color w:val="FFFFFF"/>
              </w:rPr>
              <w:t>After Phase</w:t>
            </w:r>
          </w:p>
        </w:tc>
      </w:tr>
      <w:tr>
        <w:trPr>
          <w:trHeight w:val="137"/>
        </w:trPr>
        <w:tc>
          <w:tcPr>
            <w:tcW w:w="3600" w:type="dxa"/>
            <w:vAlign w:val="bottom"/>
            <w:shd w:val="clear" w:color="auto" w:fill="153A57"/>
          </w:tcPr>
          <w:p>
            <w:pPr>
              <w:spacing w:after="0"/>
              <w:rPr>
                <w:sz w:val="11"/>
                <w:szCs w:val="11"/>
                <w:color w:val="auto"/>
              </w:rPr>
            </w:pPr>
          </w:p>
        </w:tc>
        <w:tc>
          <w:tcPr>
            <w:tcW w:w="2760" w:type="dxa"/>
            <w:vAlign w:val="bottom"/>
            <w:shd w:val="clear" w:color="auto" w:fill="153A57"/>
          </w:tcPr>
          <w:p>
            <w:pPr>
              <w:spacing w:after="0"/>
              <w:rPr>
                <w:sz w:val="11"/>
                <w:szCs w:val="11"/>
                <w:color w:val="auto"/>
              </w:rPr>
            </w:pPr>
          </w:p>
        </w:tc>
        <w:tc>
          <w:tcPr>
            <w:tcW w:w="1880" w:type="dxa"/>
            <w:vAlign w:val="bottom"/>
            <w:shd w:val="clear" w:color="auto" w:fill="153A57"/>
          </w:tcPr>
          <w:p>
            <w:pPr>
              <w:spacing w:after="0"/>
              <w:rPr>
                <w:sz w:val="11"/>
                <w:szCs w:val="11"/>
                <w:color w:val="auto"/>
              </w:rPr>
            </w:pPr>
          </w:p>
        </w:tc>
        <w:tc>
          <w:tcPr>
            <w:tcW w:w="1320" w:type="dxa"/>
            <w:vAlign w:val="bottom"/>
            <w:shd w:val="clear" w:color="auto" w:fill="153A57"/>
          </w:tcPr>
          <w:p>
            <w:pPr>
              <w:spacing w:after="0"/>
              <w:rPr>
                <w:sz w:val="11"/>
                <w:szCs w:val="11"/>
                <w:color w:val="auto"/>
              </w:rPr>
            </w:pPr>
          </w:p>
        </w:tc>
      </w:tr>
      <w:tr>
        <w:trPr>
          <w:trHeight w:val="340"/>
        </w:trPr>
        <w:tc>
          <w:tcPr>
            <w:tcW w:w="3600" w:type="dxa"/>
            <w:vAlign w:val="bottom"/>
          </w:tcPr>
          <w:p>
            <w:pPr>
              <w:ind w:left="200"/>
              <w:spacing w:after="0"/>
              <w:rPr>
                <w:sz w:val="20"/>
                <w:szCs w:val="20"/>
                <w:color w:val="auto"/>
              </w:rPr>
            </w:pPr>
            <w:r>
              <w:rPr>
                <w:rFonts w:ascii="Arial" w:cs="Arial" w:eastAsia="Arial" w:hAnsi="Arial"/>
                <w:sz w:val="18"/>
                <w:szCs w:val="18"/>
                <w:color w:val="auto"/>
              </w:rPr>
              <w:t>LCE Production (nom)</w:t>
            </w:r>
          </w:p>
        </w:tc>
        <w:tc>
          <w:tcPr>
            <w:tcW w:w="2760" w:type="dxa"/>
            <w:vAlign w:val="bottom"/>
          </w:tcPr>
          <w:p>
            <w:pPr>
              <w:ind w:left="1600"/>
              <w:spacing w:after="0"/>
              <w:rPr>
                <w:sz w:val="20"/>
                <w:szCs w:val="20"/>
                <w:color w:val="auto"/>
              </w:rPr>
            </w:pPr>
            <w:r>
              <w:rPr>
                <w:rFonts w:ascii="Arial" w:cs="Arial" w:eastAsia="Arial" w:hAnsi="Arial"/>
                <w:sz w:val="18"/>
                <w:szCs w:val="18"/>
                <w:color w:val="auto"/>
              </w:rPr>
              <w:t>TPA</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51,006</w:t>
            </w:r>
          </w:p>
        </w:tc>
        <w:tc>
          <w:tcPr>
            <w:tcW w:w="13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387"/>
        </w:trPr>
        <w:tc>
          <w:tcPr>
            <w:tcW w:w="3600" w:type="dxa"/>
            <w:vAlign w:val="bottom"/>
          </w:tcPr>
          <w:p>
            <w:pPr>
              <w:ind w:left="200"/>
              <w:spacing w:after="0"/>
              <w:rPr>
                <w:sz w:val="20"/>
                <w:szCs w:val="20"/>
                <w:color w:val="auto"/>
              </w:rPr>
            </w:pPr>
            <w:r>
              <w:rPr>
                <w:rFonts w:ascii="Arial" w:cs="Arial" w:eastAsia="Arial" w:hAnsi="Arial"/>
                <w:sz w:val="18"/>
                <w:szCs w:val="18"/>
                <w:color w:val="auto"/>
              </w:rPr>
              <w:t>Li2CO3 Production</w:t>
            </w:r>
          </w:p>
        </w:tc>
        <w:tc>
          <w:tcPr>
            <w:tcW w:w="2760" w:type="dxa"/>
            <w:vAlign w:val="bottom"/>
          </w:tcPr>
          <w:p>
            <w:pPr>
              <w:ind w:left="1600"/>
              <w:spacing w:after="0"/>
              <w:rPr>
                <w:sz w:val="20"/>
                <w:szCs w:val="20"/>
                <w:color w:val="auto"/>
              </w:rPr>
            </w:pPr>
            <w:r>
              <w:rPr>
                <w:rFonts w:ascii="Arial" w:cs="Arial" w:eastAsia="Arial" w:hAnsi="Arial"/>
                <w:sz w:val="18"/>
                <w:szCs w:val="18"/>
                <w:color w:val="auto"/>
              </w:rPr>
              <w:t>TPA</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40,000</w:t>
            </w:r>
          </w:p>
        </w:tc>
        <w:tc>
          <w:tcPr>
            <w:tcW w:w="13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387"/>
        </w:trPr>
        <w:tc>
          <w:tcPr>
            <w:tcW w:w="3600" w:type="dxa"/>
            <w:vAlign w:val="bottom"/>
          </w:tcPr>
          <w:p>
            <w:pPr>
              <w:ind w:left="200"/>
              <w:spacing w:after="0"/>
              <w:rPr>
                <w:sz w:val="20"/>
                <w:szCs w:val="20"/>
                <w:color w:val="auto"/>
              </w:rPr>
            </w:pPr>
            <w:r>
              <w:rPr>
                <w:rFonts w:ascii="Arial" w:cs="Arial" w:eastAsia="Arial" w:hAnsi="Arial"/>
                <w:sz w:val="18"/>
                <w:szCs w:val="18"/>
                <w:color w:val="auto"/>
              </w:rPr>
              <w:t>LHM Production</w:t>
            </w:r>
          </w:p>
        </w:tc>
        <w:tc>
          <w:tcPr>
            <w:tcW w:w="2760" w:type="dxa"/>
            <w:vAlign w:val="bottom"/>
          </w:tcPr>
          <w:p>
            <w:pPr>
              <w:ind w:left="1600"/>
              <w:spacing w:after="0"/>
              <w:rPr>
                <w:sz w:val="20"/>
                <w:szCs w:val="20"/>
                <w:color w:val="auto"/>
              </w:rPr>
            </w:pPr>
            <w:r>
              <w:rPr>
                <w:rFonts w:ascii="Arial" w:cs="Arial" w:eastAsia="Arial" w:hAnsi="Arial"/>
                <w:sz w:val="18"/>
                <w:szCs w:val="18"/>
                <w:color w:val="auto"/>
              </w:rPr>
              <w:t>TPA</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12,500</w:t>
            </w: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87"/>
        </w:trPr>
        <w:tc>
          <w:tcPr>
            <w:tcW w:w="3600" w:type="dxa"/>
            <w:vAlign w:val="bottom"/>
          </w:tcPr>
          <w:p>
            <w:pPr>
              <w:ind w:left="200"/>
              <w:spacing w:after="0"/>
              <w:rPr>
                <w:sz w:val="20"/>
                <w:szCs w:val="20"/>
                <w:color w:val="auto"/>
              </w:rPr>
            </w:pPr>
            <w:r>
              <w:rPr>
                <w:rFonts w:ascii="Arial" w:cs="Arial" w:eastAsia="Arial" w:hAnsi="Arial"/>
                <w:sz w:val="18"/>
                <w:szCs w:val="18"/>
                <w:color w:val="auto"/>
              </w:rPr>
              <w:t>Mine Life (nominal)</w:t>
            </w:r>
          </w:p>
        </w:tc>
        <w:tc>
          <w:tcPr>
            <w:tcW w:w="2760" w:type="dxa"/>
            <w:vAlign w:val="bottom"/>
          </w:tcPr>
          <w:p>
            <w:pPr>
              <w:ind w:left="1600"/>
              <w:spacing w:after="0"/>
              <w:rPr>
                <w:sz w:val="20"/>
                <w:szCs w:val="20"/>
                <w:color w:val="auto"/>
              </w:rPr>
            </w:pPr>
            <w:r>
              <w:rPr>
                <w:rFonts w:ascii="Arial" w:cs="Arial" w:eastAsia="Arial" w:hAnsi="Arial"/>
                <w:sz w:val="18"/>
                <w:szCs w:val="18"/>
                <w:color w:val="auto"/>
              </w:rPr>
              <w:t>years</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1320" w:type="dxa"/>
            <w:vAlign w:val="bottom"/>
          </w:tcPr>
          <w:p>
            <w:pPr>
              <w:spacing w:after="0"/>
              <w:rPr>
                <w:sz w:val="24"/>
                <w:szCs w:val="24"/>
                <w:color w:val="auto"/>
              </w:rPr>
            </w:pPr>
          </w:p>
        </w:tc>
      </w:tr>
      <w:tr>
        <w:trPr>
          <w:trHeight w:val="387"/>
        </w:trPr>
        <w:tc>
          <w:tcPr>
            <w:tcW w:w="3600" w:type="dxa"/>
            <w:vAlign w:val="bottom"/>
          </w:tcPr>
          <w:p>
            <w:pPr>
              <w:ind w:left="200"/>
              <w:spacing w:after="0"/>
              <w:rPr>
                <w:sz w:val="20"/>
                <w:szCs w:val="20"/>
                <w:color w:val="auto"/>
              </w:rPr>
            </w:pPr>
            <w:r>
              <w:rPr>
                <w:rFonts w:ascii="Arial" w:cs="Arial" w:eastAsia="Arial" w:hAnsi="Arial"/>
                <w:sz w:val="18"/>
                <w:szCs w:val="18"/>
                <w:color w:val="auto"/>
              </w:rPr>
              <w:t>Capital Cost (CapEx)</w:t>
            </w:r>
          </w:p>
        </w:tc>
        <w:tc>
          <w:tcPr>
            <w:tcW w:w="2760" w:type="dxa"/>
            <w:vAlign w:val="bottom"/>
          </w:tcPr>
          <w:p>
            <w:pPr>
              <w:ind w:left="1600"/>
              <w:spacing w:after="0"/>
              <w:rPr>
                <w:sz w:val="20"/>
                <w:szCs w:val="20"/>
                <w:color w:val="auto"/>
              </w:rPr>
            </w:pPr>
            <w:r>
              <w:rPr>
                <w:rFonts w:ascii="Arial" w:cs="Arial" w:eastAsia="Arial" w:hAnsi="Arial"/>
                <w:sz w:val="18"/>
                <w:szCs w:val="18"/>
                <w:color w:val="auto"/>
              </w:rPr>
              <w:t>US$</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  1,124,293,717</w:t>
            </w:r>
          </w:p>
        </w:tc>
        <w:tc>
          <w:tcPr>
            <w:tcW w:w="1320" w:type="dxa"/>
            <w:vAlign w:val="bottom"/>
          </w:tcPr>
          <w:p>
            <w:pPr>
              <w:jc w:val="right"/>
              <w:spacing w:after="0"/>
              <w:rPr>
                <w:sz w:val="20"/>
                <w:szCs w:val="20"/>
                <w:color w:val="auto"/>
              </w:rPr>
            </w:pPr>
            <w:r>
              <w:rPr>
                <w:rFonts w:ascii="Arial" w:cs="Arial" w:eastAsia="Arial" w:hAnsi="Arial"/>
                <w:sz w:val="18"/>
                <w:szCs w:val="18"/>
                <w:color w:val="auto"/>
              </w:rPr>
              <w:t>$   3,301,209,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-1203960</wp:posOffset>
            </wp:positionV>
            <wp:extent cx="6078220" cy="12338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1">
                      <a:extLst>
                        <a:ext uri="{28A0092B-C50C-407E-A947-70E740481C1C}"/>
                      </a:extLst>
                    </a:blip>
                    <a:srcRect/>
                    <a:stretch>
                      <a:fillRect/>
                    </a:stretch>
                  </pic:blipFill>
                  <pic:spPr bwMode="auto">
                    <a:xfrm>
                      <a:off x="0" y="0"/>
                      <a:ext cx="6078220" cy="123380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-1203960</wp:posOffset>
            </wp:positionV>
            <wp:extent cx="6078220" cy="12338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2">
                      <a:extLst>
                        <a:ext uri="{28A0092B-C50C-407E-A947-70E740481C1C}"/>
                      </a:extLst>
                    </a:blip>
                    <a:srcRect/>
                    <a:stretch>
                      <a:fillRect/>
                    </a:stretch>
                  </pic:blipFill>
                  <pic:spPr bwMode="auto">
                    <a:xfrm>
                      <a:off x="0" y="0"/>
                      <a:ext cx="6078220" cy="123380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21 / 26</w:t>
      </w:r>
    </w:p>
    <w:p>
      <w:pPr>
        <w:sectPr>
          <w:pgSz w:w="11900" w:h="16838" w:orient="portrait"/>
          <w:cols w:equalWidth="0" w:num="1">
            <w:col w:w="10460"/>
          </w:cols>
          <w:pgMar w:left="1440" w:top="1440" w:right="6" w:bottom="0" w:gutter="0" w:footer="0" w:header="0"/>
          <w:type w:val="continuous"/>
        </w:sectPr>
      </w:pPr>
    </w:p>
    <w:bookmarkStart w:id="157" w:name="page158"/>
    <w:bookmarkEnd w:id="157"/>
    <w:tbl>
      <w:tblPr>
        <w:tblLayout w:type="fixed"/>
        <w:tblInd w:w="1100" w:type="dxa"/>
        <w:tblCellMar>
          <w:top w:w="0" w:type="dxa"/>
          <w:left w:w="0" w:type="dxa"/>
          <w:bottom w:w="0" w:type="dxa"/>
          <w:right w:w="0" w:type="dxa"/>
        </w:tblCellMar>
      </w:tblPr>
      <w:tr>
        <w:trPr>
          <w:trHeight w:val="252"/>
        </w:trPr>
        <w:tc>
          <w:tcPr>
            <w:tcW w:w="4040" w:type="dxa"/>
            <w:vAlign w:val="bottom"/>
          </w:tcPr>
          <w:p>
            <w:pPr>
              <w:spacing w:after="0"/>
              <w:rPr>
                <w:sz w:val="20"/>
                <w:szCs w:val="20"/>
                <w:color w:val="auto"/>
              </w:rPr>
            </w:pPr>
            <w:r>
              <w:rPr>
                <w:rFonts w:ascii="Arial" w:cs="Arial" w:eastAsia="Arial" w:hAnsi="Arial"/>
                <w:sz w:val="18"/>
                <w:szCs w:val="18"/>
                <w:color w:val="auto"/>
              </w:rPr>
              <w:t>Operating Cost (OpEx)</w:t>
            </w:r>
          </w:p>
        </w:tc>
        <w:tc>
          <w:tcPr>
            <w:tcW w:w="2120" w:type="dxa"/>
            <w:vAlign w:val="bottom"/>
          </w:tcPr>
          <w:p>
            <w:pPr>
              <w:ind w:left="960"/>
              <w:spacing w:after="0"/>
              <w:rPr>
                <w:sz w:val="20"/>
                <w:szCs w:val="20"/>
                <w:color w:val="auto"/>
              </w:rPr>
            </w:pPr>
            <w:r>
              <w:rPr>
                <w:rFonts w:ascii="Arial" w:cs="Arial" w:eastAsia="Arial" w:hAnsi="Arial"/>
                <w:sz w:val="18"/>
                <w:szCs w:val="18"/>
                <w:color w:val="auto"/>
              </w:rPr>
              <w:t>US$/t LCE</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5,344</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87"/>
        </w:trPr>
        <w:tc>
          <w:tcPr>
            <w:tcW w:w="4040" w:type="dxa"/>
            <w:vAlign w:val="bottom"/>
          </w:tcPr>
          <w:p>
            <w:pPr>
              <w:spacing w:after="0"/>
              <w:rPr>
                <w:sz w:val="20"/>
                <w:szCs w:val="20"/>
                <w:color w:val="auto"/>
              </w:rPr>
            </w:pPr>
            <w:r>
              <w:rPr>
                <w:rFonts w:ascii="Arial" w:cs="Arial" w:eastAsia="Arial" w:hAnsi="Arial"/>
                <w:sz w:val="18"/>
                <w:szCs w:val="18"/>
                <w:color w:val="auto"/>
              </w:rPr>
              <w:t>Average Selling Price (LCE/LHM)</w:t>
            </w:r>
          </w:p>
        </w:tc>
        <w:tc>
          <w:tcPr>
            <w:tcW w:w="2120" w:type="dxa"/>
            <w:vAlign w:val="bottom"/>
          </w:tcPr>
          <w:p>
            <w:pPr>
              <w:ind w:left="960"/>
              <w:spacing w:after="0"/>
              <w:rPr>
                <w:sz w:val="20"/>
                <w:szCs w:val="20"/>
                <w:color w:val="auto"/>
              </w:rPr>
            </w:pPr>
            <w:r>
              <w:rPr>
                <w:rFonts w:ascii="Arial" w:cs="Arial" w:eastAsia="Arial" w:hAnsi="Arial"/>
                <w:sz w:val="18"/>
                <w:szCs w:val="18"/>
                <w:color w:val="auto"/>
              </w:rPr>
              <w:t>US$/t</w:t>
            </w:r>
          </w:p>
        </w:tc>
        <w:tc>
          <w:tcPr>
            <w:tcW w:w="480" w:type="dxa"/>
            <w:vAlign w:val="bottom"/>
          </w:tcPr>
          <w:p>
            <w:pPr>
              <w:spacing w:after="0"/>
              <w:rPr>
                <w:sz w:val="24"/>
                <w:szCs w:val="24"/>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18,000/17,800</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18,000/17,</w:t>
            </w:r>
          </w:p>
        </w:tc>
      </w:tr>
      <w:tr>
        <w:trPr>
          <w:trHeight w:val="387"/>
        </w:trPr>
        <w:tc>
          <w:tcPr>
            <w:tcW w:w="4040" w:type="dxa"/>
            <w:vAlign w:val="bottom"/>
          </w:tcPr>
          <w:p>
            <w:pPr>
              <w:spacing w:after="0"/>
              <w:rPr>
                <w:sz w:val="20"/>
                <w:szCs w:val="20"/>
                <w:color w:val="auto"/>
              </w:rPr>
            </w:pPr>
            <w:r>
              <w:rPr>
                <w:rFonts w:ascii="Arial" w:cs="Arial" w:eastAsia="Arial" w:hAnsi="Arial"/>
                <w:sz w:val="18"/>
                <w:szCs w:val="18"/>
                <w:color w:val="auto"/>
              </w:rPr>
              <w:t>Discount Rate</w:t>
            </w:r>
          </w:p>
        </w:tc>
        <w:tc>
          <w:tcPr>
            <w:tcW w:w="2120" w:type="dxa"/>
            <w:vAlign w:val="bottom"/>
          </w:tcPr>
          <w:p>
            <w:pPr>
              <w:ind w:left="9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7"/>
        </w:trPr>
        <w:tc>
          <w:tcPr>
            <w:tcW w:w="4040" w:type="dxa"/>
            <w:vAlign w:val="bottom"/>
          </w:tcPr>
          <w:p>
            <w:pPr>
              <w:spacing w:after="0"/>
              <w:rPr>
                <w:sz w:val="20"/>
                <w:szCs w:val="20"/>
                <w:color w:val="auto"/>
              </w:rPr>
            </w:pPr>
            <w:r>
              <w:rPr>
                <w:rFonts w:ascii="Arial" w:cs="Arial" w:eastAsia="Arial" w:hAnsi="Arial"/>
                <w:sz w:val="18"/>
                <w:szCs w:val="18"/>
                <w:color w:val="auto"/>
              </w:rPr>
              <w:t>Net Present Value (NPV) Pre-Tax</w:t>
            </w:r>
          </w:p>
        </w:tc>
        <w:tc>
          <w:tcPr>
            <w:tcW w:w="2120" w:type="dxa"/>
            <w:vAlign w:val="bottom"/>
          </w:tcPr>
          <w:p>
            <w:pPr>
              <w:ind w:left="960"/>
              <w:spacing w:after="0"/>
              <w:rPr>
                <w:sz w:val="20"/>
                <w:szCs w:val="20"/>
                <w:color w:val="auto"/>
              </w:rPr>
            </w:pPr>
            <w:r>
              <w:rPr>
                <w:rFonts w:ascii="Arial" w:cs="Arial" w:eastAsia="Arial" w:hAnsi="Arial"/>
                <w:sz w:val="18"/>
                <w:szCs w:val="18"/>
                <w:color w:val="auto"/>
              </w:rPr>
              <w:t>US$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7,881,378,</w:t>
            </w:r>
          </w:p>
        </w:tc>
      </w:tr>
      <w:tr>
        <w:trPr>
          <w:trHeight w:val="387"/>
        </w:trPr>
        <w:tc>
          <w:tcPr>
            <w:tcW w:w="4040" w:type="dxa"/>
            <w:vAlign w:val="bottom"/>
          </w:tcPr>
          <w:p>
            <w:pPr>
              <w:spacing w:after="0"/>
              <w:rPr>
                <w:sz w:val="20"/>
                <w:szCs w:val="20"/>
                <w:color w:val="auto"/>
              </w:rPr>
            </w:pPr>
            <w:r>
              <w:rPr>
                <w:rFonts w:ascii="Arial" w:cs="Arial" w:eastAsia="Arial" w:hAnsi="Arial"/>
                <w:sz w:val="18"/>
                <w:szCs w:val="18"/>
                <w:color w:val="auto"/>
              </w:rPr>
              <w:t>Internal Rate of Return (IRR) Pre-Tax</w:t>
            </w:r>
          </w:p>
        </w:tc>
        <w:tc>
          <w:tcPr>
            <w:tcW w:w="2120" w:type="dxa"/>
            <w:vAlign w:val="bottom"/>
          </w:tcPr>
          <w:p>
            <w:pPr>
              <w:ind w:left="9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7"/>
        </w:trPr>
        <w:tc>
          <w:tcPr>
            <w:tcW w:w="4040" w:type="dxa"/>
            <w:vAlign w:val="bottom"/>
          </w:tcPr>
          <w:p>
            <w:pPr>
              <w:spacing w:after="0"/>
              <w:rPr>
                <w:sz w:val="20"/>
                <w:szCs w:val="20"/>
                <w:color w:val="auto"/>
              </w:rPr>
            </w:pPr>
            <w:r>
              <w:rPr>
                <w:rFonts w:ascii="Arial" w:cs="Arial" w:eastAsia="Arial" w:hAnsi="Arial"/>
                <w:sz w:val="18"/>
                <w:szCs w:val="18"/>
                <w:color w:val="auto"/>
              </w:rPr>
              <w:t>Net Present Value (NPV) Post-Tax</w:t>
            </w:r>
          </w:p>
        </w:tc>
        <w:tc>
          <w:tcPr>
            <w:tcW w:w="2120" w:type="dxa"/>
            <w:vAlign w:val="bottom"/>
          </w:tcPr>
          <w:p>
            <w:pPr>
              <w:ind w:left="960"/>
              <w:spacing w:after="0"/>
              <w:rPr>
                <w:sz w:val="20"/>
                <w:szCs w:val="20"/>
                <w:color w:val="auto"/>
              </w:rPr>
            </w:pPr>
            <w:r>
              <w:rPr>
                <w:rFonts w:ascii="Arial" w:cs="Arial" w:eastAsia="Arial" w:hAnsi="Arial"/>
                <w:sz w:val="18"/>
                <w:szCs w:val="18"/>
                <w:color w:val="auto"/>
              </w:rPr>
              <w:t>US$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5,766,032,</w:t>
            </w:r>
          </w:p>
        </w:tc>
      </w:tr>
      <w:tr>
        <w:trPr>
          <w:trHeight w:val="387"/>
        </w:trPr>
        <w:tc>
          <w:tcPr>
            <w:tcW w:w="4040" w:type="dxa"/>
            <w:vAlign w:val="bottom"/>
          </w:tcPr>
          <w:p>
            <w:pPr>
              <w:spacing w:after="0"/>
              <w:rPr>
                <w:sz w:val="20"/>
                <w:szCs w:val="20"/>
                <w:color w:val="auto"/>
              </w:rPr>
            </w:pPr>
            <w:r>
              <w:rPr>
                <w:rFonts w:ascii="Arial" w:cs="Arial" w:eastAsia="Arial" w:hAnsi="Arial"/>
                <w:sz w:val="18"/>
                <w:szCs w:val="18"/>
                <w:color w:val="auto"/>
              </w:rPr>
              <w:t>Internal Rate of Return (IRR) Post-Tax</w:t>
            </w:r>
          </w:p>
        </w:tc>
        <w:tc>
          <w:tcPr>
            <w:tcW w:w="2120" w:type="dxa"/>
            <w:vAlign w:val="bottom"/>
          </w:tcPr>
          <w:p>
            <w:pPr>
              <w:ind w:left="9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1482090</wp:posOffset>
            </wp:positionH>
            <wp:positionV relativeFrom="page">
              <wp:posOffset>720090</wp:posOffset>
            </wp:positionV>
            <wp:extent cx="5272405" cy="2457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3">
                      <a:extLst>
                        <a:ext uri="{28A0092B-C50C-407E-A947-70E740481C1C}"/>
                      </a:extLst>
                    </a:blip>
                    <a:srcRect/>
                    <a:stretch>
                      <a:fillRect/>
                    </a:stretch>
                  </pic:blipFill>
                  <pic:spPr bwMode="auto">
                    <a:xfrm>
                      <a:off x="0" y="0"/>
                      <a:ext cx="5272405" cy="24574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-1449070</wp:posOffset>
            </wp:positionV>
            <wp:extent cx="6078220" cy="14795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4">
                      <a:extLst>
                        <a:ext uri="{28A0092B-C50C-407E-A947-70E740481C1C}"/>
                      </a:extLst>
                    </a:blip>
                    <a:srcRect/>
                    <a:stretch>
                      <a:fillRect/>
                    </a:stretch>
                  </pic:blipFill>
                  <pic:spPr bwMode="auto">
                    <a:xfrm>
                      <a:off x="0" y="0"/>
                      <a:ext cx="6078220" cy="14795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-1449070</wp:posOffset>
            </wp:positionV>
            <wp:extent cx="6078220" cy="14795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5">
                      <a:extLst>
                        <a:ext uri="{28A0092B-C50C-407E-A947-70E740481C1C}"/>
                      </a:extLst>
                    </a:blip>
                    <a:srcRect/>
                    <a:stretch>
                      <a:fillRect/>
                    </a:stretch>
                  </pic:blipFill>
                  <pic:spPr bwMode="auto">
                    <a:xfrm>
                      <a:off x="0" y="0"/>
                      <a:ext cx="6078220" cy="1479550"/>
                    </a:xfrm>
                    <a:prstGeom prst="rect">
                      <a:avLst/>
                    </a:prstGeom>
                    <a:noFill/>
                  </pic:spPr>
                </pic:pic>
              </a:graphicData>
            </a:graphic>
          </wp:anchor>
        </w:drawing>
      </w:r>
    </w:p>
    <w:p>
      <w:pPr>
        <w:spacing w:after="0" w:line="366"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project is currently estimated to have a payback period of five years. The economic analysis indicates a after-tax Net Present Value (NPV), discounted at 10%, of approximately $5.77 billion with an Internal Rate of Return (IRR) of approximately 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22 / 26</w:t>
      </w:r>
    </w:p>
    <w:p>
      <w:pPr>
        <w:sectPr>
          <w:pgSz w:w="11900" w:h="16838" w:orient="portrait"/>
          <w:cols w:equalWidth="0" w:num="1">
            <w:col w:w="10460"/>
          </w:cols>
          <w:pgMar w:left="1440" w:top="1221" w:right="6" w:bottom="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Production Schedule</w:t>
      </w:r>
    </w:p>
    <w:p>
      <w:pPr>
        <w:spacing w:after="0" w:line="279"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 xml:space="preserve">Final Production for 40,000 TPA lithium carbonate and 12,500 TPA LHM were used for each cumulative p according to the ramp-up table below (Table </w:t>
      </w:r>
      <w:r>
        <w:rPr>
          <w:rFonts w:ascii="Arial" w:cs="Arial" w:eastAsia="Arial" w:hAnsi="Arial"/>
          <w:sz w:val="20"/>
          <w:szCs w:val="20"/>
          <w:b w:val="1"/>
          <w:bCs w:val="1"/>
          <w:color w:val="auto"/>
        </w:rPr>
        <w:t>136</w:t>
      </w:r>
      <w:r>
        <w:rPr>
          <w:rFonts w:ascii="Arial" w:cs="Arial" w:eastAsia="Arial" w:hAnsi="Arial"/>
          <w:sz w:val="20"/>
          <w:szCs w:val="20"/>
          <w:color w:val="auto"/>
        </w:rPr>
        <w:t>).</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Table 136: Assumed Production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236220</wp:posOffset>
            </wp:positionV>
            <wp:extent cx="6078220" cy="3092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7">
                      <a:extLst>
                        <a:ext uri="{28A0092B-C50C-407E-A947-70E740481C1C}"/>
                      </a:extLst>
                    </a:blip>
                    <a:srcRect/>
                    <a:stretch>
                      <a:fillRect/>
                    </a:stretch>
                  </pic:blipFill>
                  <pic:spPr bwMode="auto">
                    <a:xfrm>
                      <a:off x="0" y="0"/>
                      <a:ext cx="6078220" cy="309245"/>
                    </a:xfrm>
                    <a:prstGeom prst="rect">
                      <a:avLst/>
                    </a:prstGeom>
                    <a:noFill/>
                  </pic:spPr>
                </pic:pic>
              </a:graphicData>
            </a:graphic>
          </wp:anchor>
        </w:drawing>
      </w:r>
    </w:p>
    <w:p>
      <w:pPr>
        <w:spacing w:after="0" w:line="352" w:lineRule="exact"/>
        <w:rPr>
          <w:sz w:val="20"/>
          <w:szCs w:val="20"/>
          <w:color w:val="auto"/>
        </w:rPr>
      </w:pPr>
    </w:p>
    <w:tbl>
      <w:tblPr>
        <w:tblLayout w:type="fixed"/>
        <w:tblInd w:w="900" w:type="dxa"/>
        <w:tblCellMar>
          <w:top w:w="0" w:type="dxa"/>
          <w:left w:w="0" w:type="dxa"/>
          <w:bottom w:w="0" w:type="dxa"/>
          <w:right w:w="0" w:type="dxa"/>
        </w:tblCellMar>
      </w:tblPr>
      <w:tr>
        <w:trPr>
          <w:trHeight w:val="350"/>
        </w:trPr>
        <w:tc>
          <w:tcPr>
            <w:tcW w:w="2940" w:type="dxa"/>
            <w:vAlign w:val="bottom"/>
            <w:shd w:val="clear" w:color="auto" w:fill="153A57"/>
          </w:tcPr>
          <w:p>
            <w:pPr>
              <w:ind w:left="200"/>
              <w:spacing w:after="0"/>
              <w:rPr>
                <w:sz w:val="20"/>
                <w:szCs w:val="20"/>
                <w:color w:val="auto"/>
              </w:rPr>
            </w:pPr>
            <w:r>
              <w:rPr>
                <w:rFonts w:ascii="Arial" w:cs="Arial" w:eastAsia="Arial" w:hAnsi="Arial"/>
                <w:sz w:val="18"/>
                <w:szCs w:val="18"/>
                <w:b w:val="1"/>
                <w:bCs w:val="1"/>
                <w:color w:val="FFFFFF"/>
              </w:rPr>
              <w:t>Phase</w:t>
            </w:r>
          </w:p>
        </w:tc>
        <w:tc>
          <w:tcPr>
            <w:tcW w:w="2620" w:type="dxa"/>
            <w:vAlign w:val="bottom"/>
            <w:shd w:val="clear" w:color="auto" w:fill="153A57"/>
          </w:tcPr>
          <w:p>
            <w:pPr>
              <w:jc w:val="right"/>
              <w:ind w:right="110"/>
              <w:spacing w:after="0"/>
              <w:rPr>
                <w:sz w:val="20"/>
                <w:szCs w:val="20"/>
                <w:color w:val="auto"/>
              </w:rPr>
            </w:pPr>
            <w:r>
              <w:rPr>
                <w:rFonts w:ascii="Arial" w:cs="Arial" w:eastAsia="Arial" w:hAnsi="Arial"/>
                <w:sz w:val="18"/>
                <w:szCs w:val="18"/>
                <w:b w:val="1"/>
                <w:bCs w:val="1"/>
                <w:color w:val="FFFFFF"/>
              </w:rPr>
              <w:t>Years</w:t>
            </w:r>
          </w:p>
        </w:tc>
        <w:tc>
          <w:tcPr>
            <w:tcW w:w="1540" w:type="dxa"/>
            <w:vAlign w:val="bottom"/>
            <w:shd w:val="clear" w:color="auto" w:fill="153A57"/>
          </w:tcPr>
          <w:p>
            <w:pPr>
              <w:jc w:val="right"/>
              <w:ind w:right="230"/>
              <w:spacing w:after="0"/>
              <w:rPr>
                <w:sz w:val="20"/>
                <w:szCs w:val="20"/>
                <w:color w:val="auto"/>
              </w:rPr>
            </w:pPr>
            <w:r>
              <w:rPr>
                <w:rFonts w:ascii="Arial" w:cs="Arial" w:eastAsia="Arial" w:hAnsi="Arial"/>
                <w:sz w:val="18"/>
                <w:szCs w:val="18"/>
                <w:b w:val="1"/>
                <w:bCs w:val="1"/>
                <w:color w:val="FFFFFF"/>
              </w:rPr>
              <w:t>Li2CO3 TPA</w:t>
            </w:r>
          </w:p>
        </w:tc>
        <w:tc>
          <w:tcPr>
            <w:tcW w:w="1300" w:type="dxa"/>
            <w:vAlign w:val="bottom"/>
            <w:shd w:val="clear" w:color="auto" w:fill="153A57"/>
          </w:tcPr>
          <w:p>
            <w:pPr>
              <w:jc w:val="right"/>
              <w:ind w:right="190"/>
              <w:spacing w:after="0"/>
              <w:rPr>
                <w:sz w:val="20"/>
                <w:szCs w:val="20"/>
                <w:color w:val="auto"/>
              </w:rPr>
            </w:pPr>
            <w:r>
              <w:rPr>
                <w:rFonts w:ascii="Arial" w:cs="Arial" w:eastAsia="Arial" w:hAnsi="Arial"/>
                <w:sz w:val="18"/>
                <w:szCs w:val="18"/>
                <w:b w:val="1"/>
                <w:bCs w:val="1"/>
                <w:color w:val="FFFFFF"/>
              </w:rPr>
              <w:t>LiOH TPA</w:t>
            </w:r>
          </w:p>
        </w:tc>
        <w:tc>
          <w:tcPr>
            <w:tcW w:w="1160" w:type="dxa"/>
            <w:vAlign w:val="bottom"/>
            <w:shd w:val="clear" w:color="auto" w:fill="153A57"/>
          </w:tcPr>
          <w:p>
            <w:pPr>
              <w:jc w:val="right"/>
              <w:spacing w:after="0"/>
              <w:rPr>
                <w:sz w:val="20"/>
                <w:szCs w:val="20"/>
                <w:color w:val="auto"/>
              </w:rPr>
            </w:pPr>
            <w:r>
              <w:rPr>
                <w:rFonts w:ascii="Arial" w:cs="Arial" w:eastAsia="Arial" w:hAnsi="Arial"/>
                <w:sz w:val="18"/>
                <w:szCs w:val="18"/>
                <w:b w:val="1"/>
                <w:bCs w:val="1"/>
                <w:color w:val="FFFFFF"/>
              </w:rPr>
              <w:t>Ramp-up</w:t>
            </w:r>
          </w:p>
        </w:tc>
      </w:tr>
      <w:tr>
        <w:trPr>
          <w:trHeight w:val="137"/>
        </w:trPr>
        <w:tc>
          <w:tcPr>
            <w:tcW w:w="2940" w:type="dxa"/>
            <w:vAlign w:val="bottom"/>
            <w:shd w:val="clear" w:color="auto" w:fill="153A57"/>
          </w:tcPr>
          <w:p>
            <w:pPr>
              <w:spacing w:after="0"/>
              <w:rPr>
                <w:sz w:val="11"/>
                <w:szCs w:val="11"/>
                <w:color w:val="auto"/>
              </w:rPr>
            </w:pPr>
          </w:p>
        </w:tc>
        <w:tc>
          <w:tcPr>
            <w:tcW w:w="2620" w:type="dxa"/>
            <w:vAlign w:val="bottom"/>
            <w:shd w:val="clear" w:color="auto" w:fill="153A57"/>
          </w:tcPr>
          <w:p>
            <w:pPr>
              <w:spacing w:after="0"/>
              <w:rPr>
                <w:sz w:val="11"/>
                <w:szCs w:val="11"/>
                <w:color w:val="auto"/>
              </w:rPr>
            </w:pPr>
          </w:p>
        </w:tc>
        <w:tc>
          <w:tcPr>
            <w:tcW w:w="1540" w:type="dxa"/>
            <w:vAlign w:val="bottom"/>
            <w:shd w:val="clear" w:color="auto" w:fill="153A57"/>
          </w:tcPr>
          <w:p>
            <w:pPr>
              <w:spacing w:after="0"/>
              <w:rPr>
                <w:sz w:val="11"/>
                <w:szCs w:val="11"/>
                <w:color w:val="auto"/>
              </w:rPr>
            </w:pPr>
          </w:p>
        </w:tc>
        <w:tc>
          <w:tcPr>
            <w:tcW w:w="1300" w:type="dxa"/>
            <w:vAlign w:val="bottom"/>
            <w:shd w:val="clear" w:color="auto" w:fill="153A57"/>
          </w:tcPr>
          <w:p>
            <w:pPr>
              <w:spacing w:after="0"/>
              <w:rPr>
                <w:sz w:val="11"/>
                <w:szCs w:val="11"/>
                <w:color w:val="auto"/>
              </w:rPr>
            </w:pPr>
          </w:p>
        </w:tc>
        <w:tc>
          <w:tcPr>
            <w:tcW w:w="1160" w:type="dxa"/>
            <w:vAlign w:val="bottom"/>
            <w:shd w:val="clear" w:color="auto" w:fill="153A57"/>
          </w:tcPr>
          <w:p>
            <w:pPr>
              <w:spacing w:after="0"/>
              <w:rPr>
                <w:sz w:val="11"/>
                <w:szCs w:val="11"/>
                <w:color w:val="auto"/>
              </w:rPr>
            </w:pPr>
          </w:p>
        </w:tc>
      </w:tr>
      <w:tr>
        <w:trPr>
          <w:trHeight w:val="340"/>
        </w:trPr>
        <w:tc>
          <w:tcPr>
            <w:tcW w:w="2940" w:type="dxa"/>
            <w:vAlign w:val="bottom"/>
          </w:tcPr>
          <w:p>
            <w:pPr>
              <w:ind w:left="200"/>
              <w:spacing w:after="0"/>
              <w:rPr>
                <w:sz w:val="20"/>
                <w:szCs w:val="20"/>
                <w:color w:val="auto"/>
              </w:rPr>
            </w:pPr>
            <w:r>
              <w:rPr>
                <w:rFonts w:ascii="Arial" w:cs="Arial" w:eastAsia="Arial" w:hAnsi="Arial"/>
                <w:sz w:val="18"/>
                <w:szCs w:val="18"/>
                <w:color w:val="auto"/>
              </w:rPr>
              <w:t>Phase 1</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20,000</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6,250</w:t>
            </w:r>
          </w:p>
        </w:tc>
        <w:tc>
          <w:tcPr>
            <w:tcW w:w="1160" w:type="dxa"/>
            <w:vAlign w:val="bottom"/>
          </w:tcPr>
          <w:p>
            <w:pPr>
              <w:spacing w:after="0"/>
              <w:rPr>
                <w:sz w:val="24"/>
                <w:szCs w:val="24"/>
                <w:color w:val="auto"/>
              </w:rPr>
            </w:pPr>
          </w:p>
        </w:tc>
      </w:tr>
      <w:tr>
        <w:trPr>
          <w:trHeight w:val="387"/>
        </w:trPr>
        <w:tc>
          <w:tcPr>
            <w:tcW w:w="2940" w:type="dxa"/>
            <w:vAlign w:val="bottom"/>
          </w:tcPr>
          <w:p>
            <w:pPr>
              <w:ind w:left="200"/>
              <w:spacing w:after="0"/>
              <w:rPr>
                <w:sz w:val="20"/>
                <w:szCs w:val="20"/>
                <w:color w:val="auto"/>
              </w:rPr>
            </w:pPr>
            <w:r>
              <w:rPr>
                <w:rFonts w:ascii="Arial" w:cs="Arial" w:eastAsia="Arial" w:hAnsi="Arial"/>
                <w:sz w:val="18"/>
                <w:szCs w:val="18"/>
                <w:color w:val="auto"/>
              </w:rPr>
              <w:t>Phase 1</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30,000</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9,375</w:t>
            </w:r>
          </w:p>
        </w:tc>
        <w:tc>
          <w:tcPr>
            <w:tcW w:w="1160" w:type="dxa"/>
            <w:vAlign w:val="bottom"/>
          </w:tcPr>
          <w:p>
            <w:pPr>
              <w:spacing w:after="0"/>
              <w:rPr>
                <w:sz w:val="24"/>
                <w:szCs w:val="24"/>
                <w:color w:val="auto"/>
              </w:rPr>
            </w:pPr>
          </w:p>
        </w:tc>
      </w:tr>
      <w:tr>
        <w:trPr>
          <w:trHeight w:val="387"/>
        </w:trPr>
        <w:tc>
          <w:tcPr>
            <w:tcW w:w="2940" w:type="dxa"/>
            <w:vAlign w:val="bottom"/>
          </w:tcPr>
          <w:p>
            <w:pPr>
              <w:ind w:left="200"/>
              <w:spacing w:after="0"/>
              <w:rPr>
                <w:sz w:val="20"/>
                <w:szCs w:val="20"/>
                <w:color w:val="auto"/>
              </w:rPr>
            </w:pPr>
            <w:r>
              <w:rPr>
                <w:rFonts w:ascii="Arial" w:cs="Arial" w:eastAsia="Arial" w:hAnsi="Arial"/>
                <w:sz w:val="18"/>
                <w:szCs w:val="18"/>
                <w:color w:val="auto"/>
              </w:rPr>
              <w:t>Phase 1-2</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45,000</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14,063</w:t>
            </w:r>
          </w:p>
        </w:tc>
        <w:tc>
          <w:tcPr>
            <w:tcW w:w="1160" w:type="dxa"/>
            <w:vAlign w:val="bottom"/>
          </w:tcPr>
          <w:p>
            <w:pPr>
              <w:jc w:val="right"/>
              <w:spacing w:after="0"/>
              <w:rPr>
                <w:sz w:val="20"/>
                <w:szCs w:val="20"/>
                <w:color w:val="auto"/>
              </w:rPr>
            </w:pPr>
            <w:r>
              <w:rPr>
                <w:rFonts w:ascii="Arial" w:cs="Arial" w:eastAsia="Arial" w:hAnsi="Arial"/>
                <w:sz w:val="18"/>
                <w:szCs w:val="18"/>
                <w:color w:val="auto"/>
              </w:rPr>
              <w:t>100%+Q4 S</w:t>
            </w:r>
          </w:p>
        </w:tc>
      </w:tr>
      <w:tr>
        <w:trPr>
          <w:trHeight w:val="387"/>
        </w:trPr>
        <w:tc>
          <w:tcPr>
            <w:tcW w:w="2940" w:type="dxa"/>
            <w:vAlign w:val="bottom"/>
          </w:tcPr>
          <w:p>
            <w:pPr>
              <w:ind w:left="200"/>
              <w:spacing w:after="0"/>
              <w:rPr>
                <w:sz w:val="20"/>
                <w:szCs w:val="20"/>
                <w:color w:val="auto"/>
              </w:rPr>
            </w:pPr>
            <w:r>
              <w:rPr>
                <w:rFonts w:ascii="Arial" w:cs="Arial" w:eastAsia="Arial" w:hAnsi="Arial"/>
                <w:sz w:val="18"/>
                <w:szCs w:val="18"/>
                <w:color w:val="auto"/>
              </w:rPr>
              <w:t>Phase 2-3</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85,000</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26,563</w:t>
            </w:r>
          </w:p>
        </w:tc>
        <w:tc>
          <w:tcPr>
            <w:tcW w:w="1160" w:type="dxa"/>
            <w:vAlign w:val="bottom"/>
          </w:tcPr>
          <w:p>
            <w:pPr>
              <w:jc w:val="right"/>
              <w:spacing w:after="0"/>
              <w:rPr>
                <w:sz w:val="20"/>
                <w:szCs w:val="20"/>
                <w:color w:val="auto"/>
              </w:rPr>
            </w:pPr>
            <w:r>
              <w:rPr>
                <w:rFonts w:ascii="Arial" w:cs="Arial" w:eastAsia="Arial" w:hAnsi="Arial"/>
                <w:sz w:val="18"/>
                <w:szCs w:val="18"/>
                <w:color w:val="auto"/>
              </w:rPr>
              <w:t>100%+Q4 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-958215</wp:posOffset>
            </wp:positionV>
            <wp:extent cx="6078220" cy="9886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8">
                      <a:extLst>
                        <a:ext uri="{28A0092B-C50C-407E-A947-70E740481C1C}"/>
                      </a:extLst>
                    </a:blip>
                    <a:srcRect/>
                    <a:stretch>
                      <a:fillRect/>
                    </a:stretch>
                  </pic:blipFill>
                  <pic:spPr bwMode="auto">
                    <a:xfrm>
                      <a:off x="0" y="0"/>
                      <a:ext cx="6078220" cy="98869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-958215</wp:posOffset>
            </wp:positionV>
            <wp:extent cx="6078220" cy="9886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9">
                      <a:extLst>
                        <a:ext uri="{28A0092B-C50C-407E-A947-70E740481C1C}"/>
                      </a:extLst>
                    </a:blip>
                    <a:srcRect/>
                    <a:stretch>
                      <a:fillRect/>
                    </a:stretch>
                  </pic:blipFill>
                  <pic:spPr bwMode="auto">
                    <a:xfrm>
                      <a:off x="0" y="0"/>
                      <a:ext cx="6078220" cy="988695"/>
                    </a:xfrm>
                    <a:prstGeom prst="rect">
                      <a:avLst/>
                    </a:prstGeom>
                    <a:noFill/>
                  </pic:spPr>
                </pic:pic>
              </a:graphicData>
            </a:graphic>
          </wp:anchor>
        </w:drawing>
      </w:r>
    </w:p>
    <w:p>
      <w:pPr>
        <w:spacing w:after="0" w:line="366"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In the production model, it is assumed that for the full project in steady state the average annual revenue w $2,827,500,000. The production model assumes a lithium carbonate price of $18,000/tonne.</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Economic Evaluation – Base Case (including RIGI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236220</wp:posOffset>
            </wp:positionV>
            <wp:extent cx="6078220" cy="2355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0">
                      <a:extLst>
                        <a:ext uri="{28A0092B-C50C-407E-A947-70E740481C1C}"/>
                      </a:extLst>
                    </a:blip>
                    <a:srcRect/>
                    <a:stretch>
                      <a:fillRect/>
                    </a:stretch>
                  </pic:blipFill>
                  <pic:spPr bwMode="auto">
                    <a:xfrm>
                      <a:off x="0" y="0"/>
                      <a:ext cx="6078220" cy="23558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00"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FFFFFF"/>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70485</wp:posOffset>
            </wp:positionV>
            <wp:extent cx="3448050" cy="2457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1">
                      <a:extLst>
                        <a:ext uri="{28A0092B-C50C-407E-A947-70E740481C1C}"/>
                      </a:extLst>
                    </a:blip>
                    <a:srcRect/>
                    <a:stretch>
                      <a:fillRect/>
                    </a:stretch>
                  </pic:blipFill>
                  <pic:spPr bwMode="auto">
                    <a:xfrm>
                      <a:off x="0" y="0"/>
                      <a:ext cx="3448050" cy="245745"/>
                    </a:xfrm>
                    <a:prstGeom prst="rect">
                      <a:avLst/>
                    </a:prstGeom>
                    <a:noFill/>
                  </pic:spPr>
                </pic:pic>
              </a:graphicData>
            </a:graphic>
          </wp:anchor>
        </w:drawing>
      </w:r>
    </w:p>
    <w:p>
      <w:pPr>
        <w:spacing w:after="0" w:line="13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Production (LCE)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86995</wp:posOffset>
            </wp:positionV>
            <wp:extent cx="3448050" cy="2457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2">
                      <a:extLst>
                        <a:ext uri="{28A0092B-C50C-407E-A947-70E740481C1C}"/>
                      </a:extLst>
                    </a:blip>
                    <a:srcRect/>
                    <a:stretch>
                      <a:fillRect/>
                    </a:stretch>
                  </pic:blipFill>
                  <pic:spPr bwMode="auto">
                    <a:xfrm>
                      <a:off x="0" y="0"/>
                      <a:ext cx="3448050" cy="245745"/>
                    </a:xfrm>
                    <a:prstGeom prst="rect">
                      <a:avLst/>
                    </a:prstGeom>
                    <a:noFill/>
                  </pic:spPr>
                </pic:pic>
              </a:graphicData>
            </a:graphic>
          </wp:anchor>
        </w:drawing>
      </w:r>
    </w:p>
    <w:p>
      <w:pPr>
        <w:spacing w:after="0" w:line="16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Capital Cost (CapEx)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86995</wp:posOffset>
            </wp:positionV>
            <wp:extent cx="3448050" cy="2457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3">
                      <a:extLst>
                        <a:ext uri="{28A0092B-C50C-407E-A947-70E740481C1C}"/>
                      </a:extLst>
                    </a:blip>
                    <a:srcRect/>
                    <a:stretch>
                      <a:fillRect/>
                    </a:stretch>
                  </pic:blipFill>
                  <pic:spPr bwMode="auto">
                    <a:xfrm>
                      <a:off x="0" y="0"/>
                      <a:ext cx="3448050" cy="245745"/>
                    </a:xfrm>
                    <a:prstGeom prst="rect">
                      <a:avLst/>
                    </a:prstGeom>
                    <a:noFill/>
                  </pic:spPr>
                </pic:pic>
              </a:graphicData>
            </a:graphic>
          </wp:anchor>
        </w:drawing>
      </w:r>
    </w:p>
    <w:p>
      <w:pPr>
        <w:spacing w:after="0" w:line="16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Operating Cost (OpEx)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86995</wp:posOffset>
            </wp:positionV>
            <wp:extent cx="3448050" cy="2457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4">
                      <a:extLst>
                        <a:ext uri="{28A0092B-C50C-407E-A947-70E740481C1C}"/>
                      </a:extLst>
                    </a:blip>
                    <a:srcRect/>
                    <a:stretch>
                      <a:fillRect/>
                    </a:stretch>
                  </pic:blipFill>
                  <pic:spPr bwMode="auto">
                    <a:xfrm>
                      <a:off x="0" y="0"/>
                      <a:ext cx="3448050" cy="245745"/>
                    </a:xfrm>
                    <a:prstGeom prst="rect">
                      <a:avLst/>
                    </a:prstGeom>
                    <a:noFill/>
                  </pic:spPr>
                </pic:pic>
              </a:graphicData>
            </a:graphic>
          </wp:anchor>
        </w:drawing>
      </w:r>
    </w:p>
    <w:p>
      <w:pPr>
        <w:spacing w:after="0" w:line="16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Average Selling Price LCE per 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86995</wp:posOffset>
            </wp:positionV>
            <wp:extent cx="3448050" cy="2457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5">
                      <a:extLst>
                        <a:ext uri="{28A0092B-C50C-407E-A947-70E740481C1C}"/>
                      </a:extLst>
                    </a:blip>
                    <a:srcRect/>
                    <a:stretch>
                      <a:fillRect/>
                    </a:stretch>
                  </pic:blipFill>
                  <pic:spPr bwMode="auto">
                    <a:xfrm>
                      <a:off x="0" y="0"/>
                      <a:ext cx="3448050" cy="245745"/>
                    </a:xfrm>
                    <a:prstGeom prst="rect">
                      <a:avLst/>
                    </a:prstGeom>
                    <a:noFill/>
                  </pic:spPr>
                </pic:pic>
              </a:graphicData>
            </a:graphic>
          </wp:anchor>
        </w:drawing>
      </w:r>
    </w:p>
    <w:p>
      <w:pPr>
        <w:spacing w:after="0" w:line="16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Average Selling Price LHM per 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86995</wp:posOffset>
            </wp:positionV>
            <wp:extent cx="3448050" cy="2457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6">
                      <a:extLst>
                        <a:ext uri="{28A0092B-C50C-407E-A947-70E740481C1C}"/>
                      </a:extLst>
                    </a:blip>
                    <a:srcRect/>
                    <a:stretch>
                      <a:fillRect/>
                    </a:stretch>
                  </pic:blipFill>
                  <pic:spPr bwMode="auto">
                    <a:xfrm>
                      <a:off x="0" y="0"/>
                      <a:ext cx="3448050" cy="245745"/>
                    </a:xfrm>
                    <a:prstGeom prst="rect">
                      <a:avLst/>
                    </a:prstGeom>
                    <a:noFill/>
                  </pic:spPr>
                </pic:pic>
              </a:graphicData>
            </a:graphic>
          </wp:anchor>
        </w:drawing>
      </w:r>
    </w:p>
    <w:p>
      <w:pPr>
        <w:spacing w:after="0" w:line="16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Annual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86995</wp:posOffset>
            </wp:positionV>
            <wp:extent cx="3448050" cy="2457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7">
                      <a:extLst>
                        <a:ext uri="{28A0092B-C50C-407E-A947-70E740481C1C}"/>
                      </a:extLst>
                    </a:blip>
                    <a:srcRect/>
                    <a:stretch>
                      <a:fillRect/>
                    </a:stretch>
                  </pic:blipFill>
                  <pic:spPr bwMode="auto">
                    <a:xfrm>
                      <a:off x="0" y="0"/>
                      <a:ext cx="3448050" cy="245745"/>
                    </a:xfrm>
                    <a:prstGeom prst="rect">
                      <a:avLst/>
                    </a:prstGeom>
                    <a:noFill/>
                  </pic:spPr>
                </pic:pic>
              </a:graphicData>
            </a:graphic>
          </wp:anchor>
        </w:drawing>
      </w:r>
    </w:p>
    <w:p>
      <w:pPr>
        <w:spacing w:after="0" w:line="16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Discount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86995</wp:posOffset>
            </wp:positionV>
            <wp:extent cx="3448050" cy="2457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8">
                      <a:extLst>
                        <a:ext uri="{28A0092B-C50C-407E-A947-70E740481C1C}"/>
                      </a:extLst>
                    </a:blip>
                    <a:srcRect/>
                    <a:stretch>
                      <a:fillRect/>
                    </a:stretch>
                  </pic:blipFill>
                  <pic:spPr bwMode="auto">
                    <a:xfrm>
                      <a:off x="0" y="0"/>
                      <a:ext cx="3448050" cy="245745"/>
                    </a:xfrm>
                    <a:prstGeom prst="rect">
                      <a:avLst/>
                    </a:prstGeom>
                    <a:noFill/>
                  </pic:spPr>
                </pic:pic>
              </a:graphicData>
            </a:graphic>
          </wp:anchor>
        </w:drawing>
      </w:r>
    </w:p>
    <w:p>
      <w:pPr>
        <w:spacing w:after="0" w:line="16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Net Present Value (NPV) Pre-Tax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86995</wp:posOffset>
            </wp:positionV>
            <wp:extent cx="3448050" cy="2457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9">
                      <a:extLst>
                        <a:ext uri="{28A0092B-C50C-407E-A947-70E740481C1C}"/>
                      </a:extLst>
                    </a:blip>
                    <a:srcRect/>
                    <a:stretch>
                      <a:fillRect/>
                    </a:stretch>
                  </pic:blipFill>
                  <pic:spPr bwMode="auto">
                    <a:xfrm>
                      <a:off x="0" y="0"/>
                      <a:ext cx="3448050" cy="245745"/>
                    </a:xfrm>
                    <a:prstGeom prst="rect">
                      <a:avLst/>
                    </a:prstGeom>
                    <a:noFill/>
                  </pic:spPr>
                </pic:pic>
              </a:graphicData>
            </a:graphic>
          </wp:anchor>
        </w:drawing>
      </w:r>
    </w:p>
    <w:p>
      <w:pPr>
        <w:spacing w:after="0" w:line="16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Internal Rate of Return (IRR) Pre-Tax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86995</wp:posOffset>
            </wp:positionV>
            <wp:extent cx="3448050" cy="2457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0">
                      <a:extLst>
                        <a:ext uri="{28A0092B-C50C-407E-A947-70E740481C1C}"/>
                      </a:extLst>
                    </a:blip>
                    <a:srcRect/>
                    <a:stretch>
                      <a:fillRect/>
                    </a:stretch>
                  </pic:blipFill>
                  <pic:spPr bwMode="auto">
                    <a:xfrm>
                      <a:off x="0" y="0"/>
                      <a:ext cx="3448050" cy="245745"/>
                    </a:xfrm>
                    <a:prstGeom prst="rect">
                      <a:avLst/>
                    </a:prstGeom>
                    <a:noFill/>
                  </pic:spPr>
                </pic:pic>
              </a:graphicData>
            </a:graphic>
          </wp:anchor>
        </w:drawing>
      </w:r>
    </w:p>
    <w:p>
      <w:pPr>
        <w:spacing w:after="0" w:line="16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Net Present Value (NPV) Post-Tax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86995</wp:posOffset>
            </wp:positionV>
            <wp:extent cx="3448050" cy="2070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1">
                      <a:extLst>
                        <a:ext uri="{28A0092B-C50C-407E-A947-70E740481C1C}"/>
                      </a:extLst>
                    </a:blip>
                    <a:srcRect/>
                    <a:stretch>
                      <a:fillRect/>
                    </a:stretch>
                  </pic:blipFill>
                  <pic:spPr bwMode="auto">
                    <a:xfrm>
                      <a:off x="0" y="0"/>
                      <a:ext cx="3448050" cy="2070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8"/>
                <w:szCs w:val="18"/>
                <w:color w:val="auto"/>
              </w:rPr>
            </w:pPr>
          </w:p>
        </w:tc>
        <w:tc>
          <w:tcPr>
            <w:tcW w:w="1720" w:type="dxa"/>
            <w:vAlign w:val="bottom"/>
          </w:tcPr>
          <w:p>
            <w:pPr>
              <w:jc w:val="right"/>
              <w:ind w:right="830"/>
              <w:spacing w:after="0"/>
              <w:rPr>
                <w:sz w:val="20"/>
                <w:szCs w:val="20"/>
                <w:color w:val="auto"/>
              </w:rPr>
            </w:pPr>
            <w:r>
              <w:rPr>
                <w:rFonts w:ascii="Arial" w:cs="Arial" w:eastAsia="Arial" w:hAnsi="Arial"/>
                <w:sz w:val="18"/>
                <w:szCs w:val="18"/>
                <w:b w:val="1"/>
                <w:bCs w:val="1"/>
                <w:color w:val="FFFFFF"/>
              </w:rPr>
              <w:t>Initial</w:t>
            </w: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FFFFFF"/>
              </w:rPr>
              <w:t>W/Expansions</w:t>
            </w:r>
          </w:p>
        </w:tc>
      </w:tr>
      <w:tr>
        <w:trPr>
          <w:trHeight w:val="451"/>
        </w:trPr>
        <w:tc>
          <w:tcPr>
            <w:tcW w:w="400" w:type="dxa"/>
            <w:vAlign w:val="bottom"/>
          </w:tcPr>
          <w:p>
            <w:pPr>
              <w:spacing w:after="0"/>
              <w:rPr>
                <w:sz w:val="24"/>
                <w:szCs w:val="24"/>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51,006</w:t>
            </w:r>
          </w:p>
        </w:tc>
        <w:tc>
          <w:tcPr>
            <w:tcW w:w="4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387"/>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1,124,293,717</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3,301,209,</w:t>
            </w:r>
          </w:p>
        </w:tc>
      </w:tr>
      <w:tr>
        <w:trPr>
          <w:trHeight w:val="387"/>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272,572,927</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769,284,</w:t>
            </w:r>
          </w:p>
        </w:tc>
      </w:tr>
      <w:tr>
        <w:trPr>
          <w:trHeight w:val="387"/>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18,000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87"/>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17,800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87"/>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942,500,000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2,827,500,</w:t>
            </w:r>
          </w:p>
        </w:tc>
      </w:tr>
      <w:tr>
        <w:trPr>
          <w:trHeight w:val="387"/>
        </w:trPr>
        <w:tc>
          <w:tcPr>
            <w:tcW w:w="400" w:type="dxa"/>
            <w:vAlign w:val="bottom"/>
          </w:tcPr>
          <w:p>
            <w:pPr>
              <w:spacing w:after="0"/>
              <w:rPr>
                <w:sz w:val="24"/>
                <w:szCs w:val="24"/>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87"/>
        </w:trPr>
        <w:tc>
          <w:tcPr>
            <w:tcW w:w="400" w:type="dxa"/>
            <w:vAlign w:val="bottom"/>
          </w:tcPr>
          <w:p>
            <w:pPr>
              <w:spacing w:after="0"/>
              <w:rPr>
                <w:sz w:val="24"/>
                <w:szCs w:val="24"/>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7,881,378,</w:t>
            </w:r>
          </w:p>
        </w:tc>
      </w:tr>
      <w:tr>
        <w:trPr>
          <w:trHeight w:val="387"/>
        </w:trPr>
        <w:tc>
          <w:tcPr>
            <w:tcW w:w="400" w:type="dxa"/>
            <w:vAlign w:val="bottom"/>
          </w:tcPr>
          <w:p>
            <w:pPr>
              <w:spacing w:after="0"/>
              <w:rPr>
                <w:sz w:val="24"/>
                <w:szCs w:val="24"/>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87"/>
        </w:trPr>
        <w:tc>
          <w:tcPr>
            <w:tcW w:w="400" w:type="dxa"/>
            <w:vAlign w:val="bottom"/>
          </w:tcPr>
          <w:p>
            <w:pPr>
              <w:spacing w:after="0"/>
              <w:rPr>
                <w:sz w:val="24"/>
                <w:szCs w:val="24"/>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5,766,032,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-2472690</wp:posOffset>
            </wp:positionV>
            <wp:extent cx="6078220" cy="25025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2">
                      <a:extLst>
                        <a:ext uri="{28A0092B-C50C-407E-A947-70E740481C1C}"/>
                      </a:extLst>
                    </a:blip>
                    <a:srcRect/>
                    <a:stretch>
                      <a:fillRect/>
                    </a:stretch>
                  </pic:blipFill>
                  <pic:spPr bwMode="auto">
                    <a:xfrm>
                      <a:off x="0" y="0"/>
                      <a:ext cx="6078220" cy="250253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-2472690</wp:posOffset>
            </wp:positionV>
            <wp:extent cx="6078220" cy="25025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3">
                      <a:extLst>
                        <a:ext uri="{28A0092B-C50C-407E-A947-70E740481C1C}"/>
                      </a:extLst>
                    </a:blip>
                    <a:srcRect/>
                    <a:stretch>
                      <a:fillRect/>
                    </a:stretch>
                  </pic:blipFill>
                  <pic:spPr bwMode="auto">
                    <a:xfrm>
                      <a:off x="0" y="0"/>
                      <a:ext cx="6078220" cy="2502535"/>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5800" w:space="720"/>
            <w:col w:w="3940"/>
          </w:cols>
          <w:pgMar w:left="1440" w:top="1440" w:right="6" w:bottom="0" w:gutter="0" w:footer="0" w:header="0"/>
          <w:type w:val="continuous"/>
        </w:sectPr>
      </w:pPr>
    </w:p>
    <w:p>
      <w:pPr>
        <w:ind w:left="1180"/>
        <w:spacing w:after="0"/>
        <w:rPr>
          <w:sz w:val="20"/>
          <w:szCs w:val="20"/>
          <w:color w:val="auto"/>
        </w:rPr>
      </w:pPr>
      <w:r>
        <w:rPr>
          <w:rFonts w:ascii="Arial" w:cs="Arial" w:eastAsia="Arial" w:hAnsi="Arial"/>
          <w:sz w:val="20"/>
          <w:szCs w:val="20"/>
          <w:color w:val="auto"/>
        </w:rPr>
        <w:t xml:space="preserve">Internal Rate of Return (IRR) Post-Tax                </w:t>
      </w:r>
      <w:r>
        <w:rPr>
          <w:sz w:val="1"/>
          <w:szCs w:val="1"/>
          <w:color w:val="auto"/>
        </w:rPr>
        <w:drawing>
          <wp:inline distT="0" distB="0" distL="0" distR="0">
            <wp:extent cx="6350" cy="20701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4">
                      <a:extLst>
                        <a:ext uri="{28A0092B-C50C-407E-A947-70E740481C1C}"/>
                      </a:extLst>
                    </a:blip>
                    <a:srcRect/>
                    <a:stretch>
                      <a:fillRect/>
                    </a:stretch>
                  </pic:blipFill>
                  <pic:spPr bwMode="auto">
                    <a:xfrm>
                      <a:off x="0" y="0"/>
                      <a:ext cx="6350" cy="207010"/>
                    </a:xfrm>
                    <a:prstGeom prst="rect">
                      <a:avLst/>
                    </a:prstGeom>
                    <a:noFill/>
                    <a:ln>
                      <a:noFill/>
                    </a:ln>
                  </pic:spPr>
                </pic:pic>
              </a:graphicData>
            </a:graphic>
          </wp:inline>
        </w:drawing>
      </w:r>
      <w:r>
        <w:rPr>
          <w:rFonts w:ascii="Arial" w:cs="Arial" w:eastAsia="Arial" w:hAnsi="Arial"/>
          <w:sz w:val="20"/>
          <w:szCs w:val="20"/>
          <w:color w:val="auto"/>
        </w:rPr>
        <w:t xml:space="preserve">                   - </w:t>
      </w:r>
      <w:r>
        <w:rPr>
          <w:sz w:val="1"/>
          <w:szCs w:val="1"/>
          <w:color w:val="auto"/>
        </w:rPr>
        <w:drawing>
          <wp:inline distT="0" distB="0" distL="0" distR="0">
            <wp:extent cx="6350" cy="20701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5">
                      <a:extLst>
                        <a:ext uri="{28A0092B-C50C-407E-A947-70E740481C1C}"/>
                      </a:extLst>
                    </a:blip>
                    <a:srcRect/>
                    <a:stretch>
                      <a:fillRect/>
                    </a:stretch>
                  </pic:blipFill>
                  <pic:spPr bwMode="auto">
                    <a:xfrm>
                      <a:off x="0" y="0"/>
                      <a:ext cx="6350" cy="207010"/>
                    </a:xfrm>
                    <a:prstGeom prst="rect">
                      <a:avLst/>
                    </a:prstGeom>
                    <a:noFill/>
                    <a:ln>
                      <a:noFill/>
                    </a:ln>
                  </pic:spPr>
                </pic:pic>
              </a:graphicData>
            </a:graphic>
          </wp:inline>
        </w:drawing>
      </w:r>
      <w:r>
        <w:rPr>
          <w:rFonts w:ascii="Arial" w:cs="Arial" w:eastAsia="Arial" w:hAnsi="Arial"/>
          <w:sz w:val="20"/>
          <w:szCs w:val="20"/>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4015740</wp:posOffset>
            </wp:positionH>
            <wp:positionV relativeFrom="paragraph">
              <wp:posOffset>-5715</wp:posOffset>
            </wp:positionV>
            <wp:extent cx="2629535"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6">
                      <a:extLst>
                        <a:ext uri="{28A0092B-C50C-407E-A947-70E740481C1C}"/>
                      </a:extLst>
                    </a:blip>
                    <a:srcRect/>
                    <a:stretch>
                      <a:fillRect/>
                    </a:stretch>
                  </pic:blipFill>
                  <pic:spPr bwMode="auto">
                    <a:xfrm>
                      <a:off x="0" y="0"/>
                      <a:ext cx="2629535" cy="6350"/>
                    </a:xfrm>
                    <a:prstGeom prst="rect">
                      <a:avLst/>
                    </a:prstGeom>
                    <a:noFill/>
                  </pic:spPr>
                </pic:pic>
              </a:graphicData>
            </a:graphic>
          </wp:anchor>
        </w:drawing>
      </w:r>
    </w:p>
    <w:p>
      <w:pPr>
        <w:spacing w:after="0" w:line="313"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NPV</w:t>
      </w:r>
    </w:p>
    <w:p>
      <w:pPr>
        <w:spacing w:after="0" w:line="279"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A sensitivity analysis was conducted to illustrate the impact of changes in key variables on the Project’s NPV IRR (Table 141).</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color w:val="auto"/>
        </w:rPr>
        <w:t>Sensitivity of NPV, IRR to OpEx increase and decrease from the Base Case is shown in Table 141.</w:t>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23 / 26</w:t>
      </w:r>
    </w:p>
    <w:p>
      <w:pPr>
        <w:sectPr>
          <w:pgSz w:w="11900" w:h="16838" w:orient="portrait"/>
          <w:cols w:equalWidth="0" w:num="1">
            <w:col w:w="10460"/>
          </w:cols>
          <w:pgMar w:left="1440" w:top="1440" w:right="6" w:bottom="0" w:gutter="0" w:footer="0" w:header="0"/>
          <w:type w:val="continuous"/>
        </w:sectPr>
      </w:pPr>
    </w:p>
    <w:bookmarkStart w:id="159" w:name="page160"/>
    <w:bookmarkEnd w:id="1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1826260</wp:posOffset>
            </wp:positionV>
            <wp:extent cx="6764020"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24 / 26</w:t>
      </w:r>
    </w:p>
    <w:p>
      <w:pPr>
        <w:sectPr>
          <w:pgSz w:w="11900" w:h="16838" w:orient="portrait"/>
          <w:cols w:equalWidth="0" w:num="1">
            <w:col w:w="9026"/>
          </w:cols>
          <w:pgMar w:left="1440" w:top="1440" w:right="1440" w:bottom="0" w:gutter="0" w:footer="0" w:header="0"/>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Table 141: Sensitivity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223520</wp:posOffset>
            </wp:positionV>
            <wp:extent cx="6090920" cy="9124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8">
                      <a:extLst>
                        <a:ext uri="{28A0092B-C50C-407E-A947-70E740481C1C}"/>
                      </a:extLst>
                    </a:blip>
                    <a:srcRect/>
                    <a:stretch>
                      <a:fillRect/>
                    </a:stretch>
                  </pic:blipFill>
                  <pic:spPr bwMode="auto">
                    <a:xfrm>
                      <a:off x="0" y="0"/>
                      <a:ext cx="6090920" cy="912495"/>
                    </a:xfrm>
                    <a:prstGeom prst="rect">
                      <a:avLst/>
                    </a:prstGeom>
                    <a:noFill/>
                  </pic:spPr>
                </pic:pic>
              </a:graphicData>
            </a:graphic>
          </wp:anchor>
        </w:drawing>
      </w:r>
    </w:p>
    <w:p>
      <w:pPr>
        <w:spacing w:after="0" w:line="352" w:lineRule="exact"/>
        <w:rPr>
          <w:sz w:val="20"/>
          <w:szCs w:val="20"/>
          <w:color w:val="auto"/>
        </w:rPr>
      </w:pPr>
    </w:p>
    <w:tbl>
      <w:tblPr>
        <w:tblLayout w:type="fixed"/>
        <w:tblInd w:w="900" w:type="dxa"/>
        <w:tblCellMar>
          <w:top w:w="0" w:type="dxa"/>
          <w:left w:w="0" w:type="dxa"/>
          <w:bottom w:w="0" w:type="dxa"/>
          <w:right w:w="0" w:type="dxa"/>
        </w:tblCellMar>
      </w:tblPr>
      <w:tr>
        <w:trPr>
          <w:trHeight w:val="260"/>
        </w:trPr>
        <w:tc>
          <w:tcPr>
            <w:tcW w:w="1220" w:type="dxa"/>
            <w:vAlign w:val="bottom"/>
            <w:shd w:val="clear" w:color="auto" w:fill="153A57"/>
          </w:tcPr>
          <w:p>
            <w:pPr>
              <w:spacing w:after="0"/>
              <w:rPr>
                <w:sz w:val="22"/>
                <w:szCs w:val="22"/>
                <w:color w:val="auto"/>
              </w:rPr>
            </w:pPr>
          </w:p>
        </w:tc>
        <w:tc>
          <w:tcPr>
            <w:tcW w:w="840" w:type="dxa"/>
            <w:vAlign w:val="bottom"/>
            <w:shd w:val="clear" w:color="auto" w:fill="153A57"/>
          </w:tcPr>
          <w:p>
            <w:pPr>
              <w:spacing w:after="0"/>
              <w:rPr>
                <w:sz w:val="22"/>
                <w:szCs w:val="22"/>
                <w:color w:val="auto"/>
              </w:rPr>
            </w:pPr>
          </w:p>
        </w:tc>
        <w:tc>
          <w:tcPr>
            <w:tcW w:w="200" w:type="dxa"/>
            <w:vAlign w:val="bottom"/>
            <w:shd w:val="clear" w:color="auto" w:fill="153A57"/>
          </w:tcPr>
          <w:p>
            <w:pPr>
              <w:spacing w:after="0"/>
              <w:rPr>
                <w:sz w:val="22"/>
                <w:szCs w:val="22"/>
                <w:color w:val="auto"/>
              </w:rPr>
            </w:pPr>
          </w:p>
        </w:tc>
        <w:tc>
          <w:tcPr>
            <w:tcW w:w="1400" w:type="dxa"/>
            <w:vAlign w:val="bottom"/>
            <w:shd w:val="clear" w:color="auto" w:fill="153A57"/>
          </w:tcPr>
          <w:p>
            <w:pPr>
              <w:jc w:val="right"/>
              <w:ind w:right="510"/>
              <w:spacing w:after="0"/>
              <w:rPr>
                <w:sz w:val="20"/>
                <w:szCs w:val="20"/>
                <w:color w:val="auto"/>
              </w:rPr>
            </w:pPr>
            <w:r>
              <w:rPr>
                <w:rFonts w:ascii="Arial" w:cs="Arial" w:eastAsia="Arial" w:hAnsi="Arial"/>
                <w:sz w:val="18"/>
                <w:szCs w:val="18"/>
                <w:b w:val="1"/>
                <w:bCs w:val="1"/>
                <w:color w:val="FFFFFF"/>
              </w:rPr>
              <w:t>Case 1</w:t>
            </w:r>
          </w:p>
        </w:tc>
        <w:tc>
          <w:tcPr>
            <w:tcW w:w="200" w:type="dxa"/>
            <w:vAlign w:val="bottom"/>
            <w:shd w:val="clear" w:color="auto" w:fill="153A57"/>
          </w:tcPr>
          <w:p>
            <w:pPr>
              <w:spacing w:after="0"/>
              <w:rPr>
                <w:sz w:val="22"/>
                <w:szCs w:val="22"/>
                <w:color w:val="auto"/>
              </w:rPr>
            </w:pPr>
          </w:p>
        </w:tc>
        <w:tc>
          <w:tcPr>
            <w:tcW w:w="1400" w:type="dxa"/>
            <w:vAlign w:val="bottom"/>
            <w:shd w:val="clear" w:color="auto" w:fill="153A57"/>
          </w:tcPr>
          <w:p>
            <w:pPr>
              <w:spacing w:after="0"/>
              <w:rPr>
                <w:sz w:val="22"/>
                <w:szCs w:val="22"/>
                <w:color w:val="auto"/>
              </w:rPr>
            </w:pPr>
          </w:p>
        </w:tc>
        <w:tc>
          <w:tcPr>
            <w:tcW w:w="200" w:type="dxa"/>
            <w:vAlign w:val="bottom"/>
            <w:shd w:val="clear" w:color="auto" w:fill="153A57"/>
          </w:tcPr>
          <w:p>
            <w:pPr>
              <w:spacing w:after="0"/>
              <w:rPr>
                <w:sz w:val="22"/>
                <w:szCs w:val="22"/>
                <w:color w:val="auto"/>
              </w:rPr>
            </w:pPr>
          </w:p>
        </w:tc>
        <w:tc>
          <w:tcPr>
            <w:tcW w:w="1400" w:type="dxa"/>
            <w:vAlign w:val="bottom"/>
            <w:shd w:val="clear" w:color="auto" w:fill="153A57"/>
          </w:tcPr>
          <w:p>
            <w:pPr>
              <w:spacing w:after="0"/>
              <w:rPr>
                <w:sz w:val="22"/>
                <w:szCs w:val="22"/>
                <w:color w:val="auto"/>
              </w:rPr>
            </w:pPr>
          </w:p>
        </w:tc>
        <w:tc>
          <w:tcPr>
            <w:tcW w:w="180" w:type="dxa"/>
            <w:vAlign w:val="bottom"/>
            <w:shd w:val="clear" w:color="auto" w:fill="153A57"/>
          </w:tcPr>
          <w:p>
            <w:pPr>
              <w:spacing w:after="0"/>
              <w:rPr>
                <w:sz w:val="22"/>
                <w:szCs w:val="22"/>
                <w:color w:val="auto"/>
              </w:rPr>
            </w:pPr>
          </w:p>
        </w:tc>
        <w:tc>
          <w:tcPr>
            <w:tcW w:w="1420" w:type="dxa"/>
            <w:vAlign w:val="bottom"/>
            <w:shd w:val="clear" w:color="auto" w:fill="153A57"/>
          </w:tcPr>
          <w:p>
            <w:pPr>
              <w:spacing w:after="0"/>
              <w:rPr>
                <w:sz w:val="22"/>
                <w:szCs w:val="22"/>
                <w:color w:val="auto"/>
              </w:rPr>
            </w:pPr>
          </w:p>
        </w:tc>
        <w:tc>
          <w:tcPr>
            <w:tcW w:w="200" w:type="dxa"/>
            <w:vAlign w:val="bottom"/>
            <w:shd w:val="clear" w:color="auto" w:fill="153A57"/>
          </w:tcPr>
          <w:p>
            <w:pPr>
              <w:spacing w:after="0"/>
              <w:rPr>
                <w:sz w:val="22"/>
                <w:szCs w:val="22"/>
                <w:color w:val="auto"/>
              </w:rPr>
            </w:pPr>
          </w:p>
        </w:tc>
        <w:tc>
          <w:tcPr>
            <w:tcW w:w="900" w:type="dxa"/>
            <w:vAlign w:val="bottom"/>
            <w:shd w:val="clear" w:color="auto" w:fill="153A57"/>
          </w:tcPr>
          <w:p>
            <w:pPr>
              <w:spacing w:after="0"/>
              <w:rPr>
                <w:sz w:val="22"/>
                <w:szCs w:val="22"/>
                <w:color w:val="auto"/>
              </w:rPr>
            </w:pPr>
          </w:p>
        </w:tc>
      </w:tr>
      <w:tr>
        <w:trPr>
          <w:trHeight w:val="272"/>
        </w:trPr>
        <w:tc>
          <w:tcPr>
            <w:tcW w:w="1220" w:type="dxa"/>
            <w:vAlign w:val="bottom"/>
            <w:shd w:val="clear" w:color="auto" w:fill="153A57"/>
          </w:tcPr>
          <w:p>
            <w:pPr>
              <w:spacing w:after="0"/>
              <w:rPr>
                <w:sz w:val="23"/>
                <w:szCs w:val="23"/>
                <w:color w:val="auto"/>
              </w:rPr>
            </w:pPr>
          </w:p>
        </w:tc>
        <w:tc>
          <w:tcPr>
            <w:tcW w:w="840" w:type="dxa"/>
            <w:vAlign w:val="bottom"/>
            <w:shd w:val="clear" w:color="auto" w:fill="153A57"/>
          </w:tcPr>
          <w:p>
            <w:pPr>
              <w:spacing w:after="0"/>
              <w:rPr>
                <w:sz w:val="23"/>
                <w:szCs w:val="23"/>
                <w:color w:val="auto"/>
              </w:rPr>
            </w:pPr>
          </w:p>
        </w:tc>
        <w:tc>
          <w:tcPr>
            <w:tcW w:w="200" w:type="dxa"/>
            <w:vAlign w:val="bottom"/>
            <w:shd w:val="clear" w:color="auto" w:fill="153A57"/>
          </w:tcPr>
          <w:p>
            <w:pPr>
              <w:spacing w:after="0"/>
              <w:rPr>
                <w:sz w:val="23"/>
                <w:szCs w:val="23"/>
                <w:color w:val="auto"/>
              </w:rPr>
            </w:pPr>
          </w:p>
        </w:tc>
        <w:tc>
          <w:tcPr>
            <w:tcW w:w="1400" w:type="dxa"/>
            <w:vAlign w:val="bottom"/>
            <w:shd w:val="clear" w:color="auto" w:fill="153A57"/>
          </w:tcPr>
          <w:p>
            <w:pPr>
              <w:jc w:val="right"/>
              <w:ind w:right="570"/>
              <w:spacing w:after="0"/>
              <w:rPr>
                <w:sz w:val="20"/>
                <w:szCs w:val="20"/>
                <w:color w:val="auto"/>
              </w:rPr>
            </w:pPr>
            <w:r>
              <w:rPr>
                <w:rFonts w:ascii="Arial" w:cs="Arial" w:eastAsia="Arial" w:hAnsi="Arial"/>
                <w:sz w:val="18"/>
                <w:szCs w:val="18"/>
                <w:b w:val="1"/>
                <w:bCs w:val="1"/>
                <w:color w:val="FFFFFF"/>
              </w:rPr>
              <w:t>Base</w:t>
            </w:r>
          </w:p>
        </w:tc>
        <w:tc>
          <w:tcPr>
            <w:tcW w:w="200" w:type="dxa"/>
            <w:vAlign w:val="bottom"/>
            <w:shd w:val="clear" w:color="auto" w:fill="153A57"/>
          </w:tcPr>
          <w:p>
            <w:pPr>
              <w:spacing w:after="0"/>
              <w:rPr>
                <w:sz w:val="23"/>
                <w:szCs w:val="23"/>
                <w:color w:val="auto"/>
              </w:rPr>
            </w:pPr>
          </w:p>
        </w:tc>
        <w:tc>
          <w:tcPr>
            <w:tcW w:w="1400" w:type="dxa"/>
            <w:vAlign w:val="bottom"/>
            <w:shd w:val="clear" w:color="auto" w:fill="153A57"/>
          </w:tcPr>
          <w:p>
            <w:pPr>
              <w:spacing w:after="0"/>
              <w:rPr>
                <w:sz w:val="23"/>
                <w:szCs w:val="23"/>
                <w:color w:val="auto"/>
              </w:rPr>
            </w:pPr>
          </w:p>
        </w:tc>
        <w:tc>
          <w:tcPr>
            <w:tcW w:w="200" w:type="dxa"/>
            <w:vAlign w:val="bottom"/>
            <w:shd w:val="clear" w:color="auto" w:fill="153A57"/>
          </w:tcPr>
          <w:p>
            <w:pPr>
              <w:spacing w:after="0"/>
              <w:rPr>
                <w:sz w:val="23"/>
                <w:szCs w:val="23"/>
                <w:color w:val="auto"/>
              </w:rPr>
            </w:pPr>
          </w:p>
        </w:tc>
        <w:tc>
          <w:tcPr>
            <w:tcW w:w="1400" w:type="dxa"/>
            <w:vAlign w:val="bottom"/>
            <w:shd w:val="clear" w:color="auto" w:fill="153A57"/>
          </w:tcPr>
          <w:p>
            <w:pPr>
              <w:spacing w:after="0"/>
              <w:rPr>
                <w:sz w:val="23"/>
                <w:szCs w:val="23"/>
                <w:color w:val="auto"/>
              </w:rPr>
            </w:pPr>
          </w:p>
        </w:tc>
        <w:tc>
          <w:tcPr>
            <w:tcW w:w="180" w:type="dxa"/>
            <w:vAlign w:val="bottom"/>
            <w:shd w:val="clear" w:color="auto" w:fill="153A57"/>
          </w:tcPr>
          <w:p>
            <w:pPr>
              <w:spacing w:after="0"/>
              <w:rPr>
                <w:sz w:val="23"/>
                <w:szCs w:val="23"/>
                <w:color w:val="auto"/>
              </w:rPr>
            </w:pPr>
          </w:p>
        </w:tc>
        <w:tc>
          <w:tcPr>
            <w:tcW w:w="1420" w:type="dxa"/>
            <w:vAlign w:val="bottom"/>
            <w:shd w:val="clear" w:color="auto" w:fill="153A57"/>
          </w:tcPr>
          <w:p>
            <w:pPr>
              <w:spacing w:after="0"/>
              <w:rPr>
                <w:sz w:val="23"/>
                <w:szCs w:val="23"/>
                <w:color w:val="auto"/>
              </w:rPr>
            </w:pPr>
          </w:p>
        </w:tc>
        <w:tc>
          <w:tcPr>
            <w:tcW w:w="200" w:type="dxa"/>
            <w:vAlign w:val="bottom"/>
            <w:shd w:val="clear" w:color="auto" w:fill="153A57"/>
          </w:tcPr>
          <w:p>
            <w:pPr>
              <w:spacing w:after="0"/>
              <w:rPr>
                <w:sz w:val="23"/>
                <w:szCs w:val="23"/>
                <w:color w:val="auto"/>
              </w:rPr>
            </w:pPr>
          </w:p>
        </w:tc>
        <w:tc>
          <w:tcPr>
            <w:tcW w:w="900" w:type="dxa"/>
            <w:vAlign w:val="bottom"/>
            <w:shd w:val="clear" w:color="auto" w:fill="153A57"/>
          </w:tcPr>
          <w:p>
            <w:pPr>
              <w:spacing w:after="0"/>
              <w:rPr>
                <w:sz w:val="23"/>
                <w:szCs w:val="23"/>
                <w:color w:val="auto"/>
              </w:rPr>
            </w:pPr>
          </w:p>
        </w:tc>
      </w:tr>
      <w:tr>
        <w:trPr>
          <w:trHeight w:val="298"/>
        </w:trPr>
        <w:tc>
          <w:tcPr>
            <w:tcW w:w="1220" w:type="dxa"/>
            <w:vAlign w:val="bottom"/>
            <w:tcBorders>
              <w:bottom w:val="single" w:sz="8" w:color="153A57"/>
            </w:tcBorders>
            <w:shd w:val="clear" w:color="auto" w:fill="153A57"/>
          </w:tcPr>
          <w:p>
            <w:pPr>
              <w:ind w:left="200"/>
              <w:spacing w:after="0"/>
              <w:rPr>
                <w:sz w:val="20"/>
                <w:szCs w:val="20"/>
                <w:color w:val="auto"/>
              </w:rPr>
            </w:pPr>
            <w:r>
              <w:rPr>
                <w:rFonts w:ascii="Arial" w:cs="Arial" w:eastAsia="Arial" w:hAnsi="Arial"/>
                <w:sz w:val="18"/>
                <w:szCs w:val="18"/>
                <w:b w:val="1"/>
                <w:bCs w:val="1"/>
                <w:color w:val="FFFFFF"/>
              </w:rPr>
              <w:t>Overview</w:t>
            </w:r>
          </w:p>
        </w:tc>
        <w:tc>
          <w:tcPr>
            <w:tcW w:w="840" w:type="dxa"/>
            <w:vAlign w:val="bottom"/>
            <w:tcBorders>
              <w:bottom w:val="single" w:sz="8" w:color="153A57"/>
            </w:tcBorders>
            <w:shd w:val="clear" w:color="auto" w:fill="153A57"/>
          </w:tcPr>
          <w:p>
            <w:pPr>
              <w:spacing w:after="0"/>
              <w:rPr>
                <w:sz w:val="24"/>
                <w:szCs w:val="24"/>
                <w:color w:val="auto"/>
              </w:rPr>
            </w:pPr>
          </w:p>
        </w:tc>
        <w:tc>
          <w:tcPr>
            <w:tcW w:w="200" w:type="dxa"/>
            <w:vAlign w:val="bottom"/>
            <w:tcBorders>
              <w:bottom w:val="single" w:sz="8" w:color="153A57"/>
            </w:tcBorders>
            <w:shd w:val="clear" w:color="auto" w:fill="153A57"/>
          </w:tcPr>
          <w:p>
            <w:pPr>
              <w:spacing w:after="0"/>
              <w:rPr>
                <w:sz w:val="24"/>
                <w:szCs w:val="24"/>
                <w:color w:val="auto"/>
              </w:rPr>
            </w:pPr>
          </w:p>
        </w:tc>
        <w:tc>
          <w:tcPr>
            <w:tcW w:w="1400" w:type="dxa"/>
            <w:vAlign w:val="bottom"/>
            <w:tcBorders>
              <w:bottom w:val="single" w:sz="8" w:color="153A57"/>
            </w:tcBorders>
            <w:shd w:val="clear" w:color="auto" w:fill="153A57"/>
          </w:tcPr>
          <w:p>
            <w:pPr>
              <w:jc w:val="right"/>
              <w:ind w:right="570"/>
              <w:spacing w:after="0"/>
              <w:rPr>
                <w:sz w:val="20"/>
                <w:szCs w:val="20"/>
                <w:color w:val="auto"/>
              </w:rPr>
            </w:pPr>
            <w:r>
              <w:rPr>
                <w:rFonts w:ascii="Arial" w:cs="Arial" w:eastAsia="Arial" w:hAnsi="Arial"/>
                <w:sz w:val="18"/>
                <w:szCs w:val="18"/>
                <w:b w:val="1"/>
                <w:bCs w:val="1"/>
                <w:color w:val="FFFFFF"/>
              </w:rPr>
              <w:t>Case</w:t>
            </w:r>
          </w:p>
        </w:tc>
        <w:tc>
          <w:tcPr>
            <w:tcW w:w="200" w:type="dxa"/>
            <w:vAlign w:val="bottom"/>
            <w:tcBorders>
              <w:bottom w:val="single" w:sz="8" w:color="153A57"/>
            </w:tcBorders>
            <w:shd w:val="clear" w:color="auto" w:fill="153A57"/>
          </w:tcPr>
          <w:p>
            <w:pPr>
              <w:spacing w:after="0"/>
              <w:rPr>
                <w:sz w:val="24"/>
                <w:szCs w:val="24"/>
                <w:color w:val="auto"/>
              </w:rPr>
            </w:pPr>
          </w:p>
        </w:tc>
        <w:tc>
          <w:tcPr>
            <w:tcW w:w="1400" w:type="dxa"/>
            <w:vAlign w:val="bottom"/>
            <w:tcBorders>
              <w:bottom w:val="single" w:sz="8" w:color="153A57"/>
            </w:tcBorders>
            <w:shd w:val="clear" w:color="auto" w:fill="153A57"/>
          </w:tcPr>
          <w:p>
            <w:pPr>
              <w:jc w:val="right"/>
              <w:ind w:right="330"/>
              <w:spacing w:after="0"/>
              <w:rPr>
                <w:sz w:val="20"/>
                <w:szCs w:val="20"/>
                <w:color w:val="auto"/>
              </w:rPr>
            </w:pPr>
            <w:r>
              <w:rPr>
                <w:rFonts w:ascii="Arial" w:cs="Arial" w:eastAsia="Arial" w:hAnsi="Arial"/>
                <w:sz w:val="18"/>
                <w:szCs w:val="18"/>
                <w:b w:val="1"/>
                <w:bCs w:val="1"/>
                <w:color w:val="FFFFFF"/>
              </w:rPr>
              <w:t>Price -20%</w:t>
            </w:r>
          </w:p>
        </w:tc>
        <w:tc>
          <w:tcPr>
            <w:tcW w:w="200" w:type="dxa"/>
            <w:vAlign w:val="bottom"/>
            <w:tcBorders>
              <w:bottom w:val="single" w:sz="8" w:color="153A57"/>
            </w:tcBorders>
            <w:shd w:val="clear" w:color="auto" w:fill="153A57"/>
          </w:tcPr>
          <w:p>
            <w:pPr>
              <w:spacing w:after="0"/>
              <w:rPr>
                <w:sz w:val="24"/>
                <w:szCs w:val="24"/>
                <w:color w:val="auto"/>
              </w:rPr>
            </w:pPr>
          </w:p>
        </w:tc>
        <w:tc>
          <w:tcPr>
            <w:tcW w:w="1400" w:type="dxa"/>
            <w:vAlign w:val="bottom"/>
            <w:tcBorders>
              <w:bottom w:val="single" w:sz="8" w:color="153A57"/>
            </w:tcBorders>
            <w:shd w:val="clear" w:color="auto" w:fill="153A57"/>
          </w:tcPr>
          <w:p>
            <w:pPr>
              <w:jc w:val="right"/>
              <w:ind w:right="330"/>
              <w:spacing w:after="0"/>
              <w:rPr>
                <w:sz w:val="20"/>
                <w:szCs w:val="20"/>
                <w:color w:val="auto"/>
              </w:rPr>
            </w:pPr>
            <w:r>
              <w:rPr>
                <w:rFonts w:ascii="Arial" w:cs="Arial" w:eastAsia="Arial" w:hAnsi="Arial"/>
                <w:sz w:val="18"/>
                <w:szCs w:val="18"/>
                <w:b w:val="1"/>
                <w:bCs w:val="1"/>
                <w:color w:val="FFFFFF"/>
              </w:rPr>
              <w:t>Price -15%</w:t>
            </w:r>
          </w:p>
        </w:tc>
        <w:tc>
          <w:tcPr>
            <w:tcW w:w="180" w:type="dxa"/>
            <w:vAlign w:val="bottom"/>
            <w:tcBorders>
              <w:bottom w:val="single" w:sz="8" w:color="153A57"/>
            </w:tcBorders>
            <w:shd w:val="clear" w:color="auto" w:fill="153A57"/>
          </w:tcPr>
          <w:p>
            <w:pPr>
              <w:spacing w:after="0"/>
              <w:rPr>
                <w:sz w:val="24"/>
                <w:szCs w:val="24"/>
                <w:color w:val="auto"/>
              </w:rPr>
            </w:pPr>
          </w:p>
        </w:tc>
        <w:tc>
          <w:tcPr>
            <w:tcW w:w="1420" w:type="dxa"/>
            <w:vAlign w:val="bottom"/>
            <w:tcBorders>
              <w:bottom w:val="single" w:sz="8" w:color="153A57"/>
            </w:tcBorders>
            <w:shd w:val="clear" w:color="auto" w:fill="153A57"/>
          </w:tcPr>
          <w:p>
            <w:pPr>
              <w:jc w:val="right"/>
              <w:ind w:right="310"/>
              <w:spacing w:after="0"/>
              <w:rPr>
                <w:sz w:val="20"/>
                <w:szCs w:val="20"/>
                <w:color w:val="auto"/>
              </w:rPr>
            </w:pPr>
            <w:r>
              <w:rPr>
                <w:rFonts w:ascii="Arial" w:cs="Arial" w:eastAsia="Arial" w:hAnsi="Arial"/>
                <w:sz w:val="18"/>
                <w:szCs w:val="18"/>
                <w:b w:val="1"/>
                <w:bCs w:val="1"/>
                <w:color w:val="FFFFFF"/>
              </w:rPr>
              <w:t>Price +15%</w:t>
            </w:r>
          </w:p>
        </w:tc>
        <w:tc>
          <w:tcPr>
            <w:tcW w:w="200" w:type="dxa"/>
            <w:vAlign w:val="bottom"/>
            <w:tcBorders>
              <w:bottom w:val="single" w:sz="8" w:color="153A57"/>
            </w:tcBorders>
            <w:shd w:val="clear" w:color="auto" w:fill="153A57"/>
          </w:tcPr>
          <w:p>
            <w:pPr>
              <w:spacing w:after="0"/>
              <w:rPr>
                <w:sz w:val="24"/>
                <w:szCs w:val="24"/>
                <w:color w:val="auto"/>
              </w:rPr>
            </w:pPr>
          </w:p>
        </w:tc>
        <w:tc>
          <w:tcPr>
            <w:tcW w:w="900" w:type="dxa"/>
            <w:vAlign w:val="bottom"/>
            <w:tcBorders>
              <w:bottom w:val="single" w:sz="8" w:color="153A57"/>
            </w:tcBorders>
            <w:shd w:val="clear" w:color="auto" w:fill="153A57"/>
          </w:tcPr>
          <w:p>
            <w:pPr>
              <w:jc w:val="right"/>
              <w:spacing w:after="0"/>
              <w:rPr>
                <w:sz w:val="20"/>
                <w:szCs w:val="20"/>
                <w:color w:val="auto"/>
              </w:rPr>
            </w:pPr>
            <w:r>
              <w:rPr>
                <w:rFonts w:ascii="Arial" w:cs="Arial" w:eastAsia="Arial" w:hAnsi="Arial"/>
                <w:sz w:val="18"/>
                <w:szCs w:val="18"/>
                <w:b w:val="1"/>
                <w:bCs w:val="1"/>
                <w:color w:val="FFFFFF"/>
              </w:rPr>
              <w:t>Price +20</w:t>
            </w:r>
          </w:p>
        </w:tc>
      </w:tr>
      <w:tr>
        <w:trPr>
          <w:trHeight w:val="250"/>
        </w:trPr>
        <w:tc>
          <w:tcPr>
            <w:tcW w:w="1220" w:type="dxa"/>
            <w:vAlign w:val="bottom"/>
          </w:tcPr>
          <w:p>
            <w:pPr>
              <w:ind w:left="200"/>
              <w:spacing w:after="0"/>
              <w:rPr>
                <w:sz w:val="20"/>
                <w:szCs w:val="20"/>
                <w:color w:val="auto"/>
              </w:rPr>
            </w:pPr>
            <w:r>
              <w:rPr>
                <w:rFonts w:ascii="Arial" w:cs="Arial" w:eastAsia="Arial" w:hAnsi="Arial"/>
                <w:sz w:val="18"/>
                <w:szCs w:val="18"/>
                <w:color w:val="auto"/>
              </w:rPr>
              <w:t>Production</w:t>
            </w: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2"/>
        </w:trPr>
        <w:tc>
          <w:tcPr>
            <w:tcW w:w="1220" w:type="dxa"/>
            <w:vAlign w:val="bottom"/>
          </w:tcPr>
          <w:p>
            <w:pPr>
              <w:ind w:left="200"/>
              <w:spacing w:after="0"/>
              <w:rPr>
                <w:sz w:val="20"/>
                <w:szCs w:val="20"/>
                <w:color w:val="auto"/>
              </w:rPr>
            </w:pPr>
            <w:r>
              <w:rPr>
                <w:rFonts w:ascii="Arial" w:cs="Arial" w:eastAsia="Arial" w:hAnsi="Arial"/>
                <w:sz w:val="18"/>
                <w:szCs w:val="18"/>
                <w:color w:val="auto"/>
              </w:rPr>
              <w:t>(LCE)</w:t>
            </w: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96"/>
        </w:trPr>
        <w:tc>
          <w:tcPr>
            <w:tcW w:w="1220" w:type="dxa"/>
            <w:vAlign w:val="bottom"/>
          </w:tcPr>
          <w:p>
            <w:pPr>
              <w:ind w:left="200"/>
              <w:spacing w:after="0"/>
              <w:rPr>
                <w:sz w:val="20"/>
                <w:szCs w:val="20"/>
                <w:color w:val="auto"/>
              </w:rPr>
            </w:pPr>
            <w:r>
              <w:rPr>
                <w:rFonts w:ascii="Arial" w:cs="Arial" w:eastAsia="Arial" w:hAnsi="Arial"/>
                <w:sz w:val="18"/>
                <w:szCs w:val="18"/>
                <w:color w:val="auto"/>
              </w:rPr>
              <w:t>Capital cost</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2"/>
        </w:trPr>
        <w:tc>
          <w:tcPr>
            <w:tcW w:w="1220" w:type="dxa"/>
            <w:vAlign w:val="bottom"/>
          </w:tcPr>
          <w:p>
            <w:pPr>
              <w:ind w:left="200"/>
              <w:spacing w:after="0"/>
              <w:rPr>
                <w:sz w:val="20"/>
                <w:szCs w:val="20"/>
                <w:color w:val="auto"/>
              </w:rPr>
            </w:pPr>
            <w:r>
              <w:rPr>
                <w:rFonts w:ascii="Arial" w:cs="Arial" w:eastAsia="Arial" w:hAnsi="Arial"/>
                <w:sz w:val="18"/>
                <w:szCs w:val="18"/>
                <w:color w:val="auto"/>
              </w:rPr>
              <w:t>(CAPEX)</w:t>
            </w:r>
          </w:p>
        </w:tc>
        <w:tc>
          <w:tcPr>
            <w:tcW w:w="840" w:type="dxa"/>
            <w:vAlign w:val="bottom"/>
          </w:tcPr>
          <w:p>
            <w:pPr>
              <w:ind w:left="80"/>
              <w:spacing w:after="0"/>
              <w:rPr>
                <w:sz w:val="20"/>
                <w:szCs w:val="20"/>
                <w:color w:val="auto"/>
              </w:rPr>
            </w:pPr>
            <w:r>
              <w:rPr>
                <w:rFonts w:ascii="Arial" w:cs="Arial" w:eastAsia="Arial" w:hAnsi="Arial"/>
                <w:sz w:val="18"/>
                <w:szCs w:val="18"/>
                <w:color w:val="auto"/>
              </w:rPr>
              <w:t>US$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3,301,209,207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3,301,209,207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3,301,209,207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3,301,209,207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3,301,209,</w:t>
            </w:r>
          </w:p>
        </w:tc>
      </w:tr>
      <w:tr>
        <w:trPr>
          <w:trHeight w:val="296"/>
        </w:trPr>
        <w:tc>
          <w:tcPr>
            <w:tcW w:w="122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2"/>
        </w:trPr>
        <w:tc>
          <w:tcPr>
            <w:tcW w:w="1220" w:type="dxa"/>
            <w:vAlign w:val="bottom"/>
          </w:tcPr>
          <w:p>
            <w:pPr>
              <w:ind w:left="200"/>
              <w:spacing w:after="0"/>
              <w:rPr>
                <w:sz w:val="20"/>
                <w:szCs w:val="20"/>
                <w:color w:val="auto"/>
              </w:rPr>
            </w:pPr>
            <w:r>
              <w:rPr>
                <w:rFonts w:ascii="Arial" w:cs="Arial" w:eastAsia="Arial" w:hAnsi="Arial"/>
                <w:sz w:val="18"/>
                <w:szCs w:val="18"/>
                <w:color w:val="auto"/>
              </w:rPr>
              <w:t>cost</w:t>
            </w: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2"/>
        </w:trPr>
        <w:tc>
          <w:tcPr>
            <w:tcW w:w="1220" w:type="dxa"/>
            <w:vAlign w:val="bottom"/>
          </w:tcPr>
          <w:p>
            <w:pPr>
              <w:ind w:left="200"/>
              <w:spacing w:after="0"/>
              <w:rPr>
                <w:sz w:val="20"/>
                <w:szCs w:val="20"/>
                <w:color w:val="auto"/>
              </w:rPr>
            </w:pPr>
            <w:r>
              <w:rPr>
                <w:rFonts w:ascii="Arial" w:cs="Arial" w:eastAsia="Arial" w:hAnsi="Arial"/>
                <w:sz w:val="18"/>
                <w:szCs w:val="18"/>
                <w:color w:val="auto"/>
              </w:rPr>
              <w:t>(OPEX)</w:t>
            </w:r>
          </w:p>
        </w:tc>
        <w:tc>
          <w:tcPr>
            <w:tcW w:w="840" w:type="dxa"/>
            <w:vAlign w:val="bottom"/>
          </w:tcPr>
          <w:p>
            <w:pPr>
              <w:ind w:left="80"/>
              <w:spacing w:after="0"/>
              <w:rPr>
                <w:sz w:val="20"/>
                <w:szCs w:val="20"/>
                <w:color w:val="auto"/>
              </w:rPr>
            </w:pPr>
            <w:r>
              <w:rPr>
                <w:rFonts w:ascii="Arial" w:cs="Arial" w:eastAsia="Arial" w:hAnsi="Arial"/>
                <w:sz w:val="18"/>
                <w:szCs w:val="18"/>
                <w:color w:val="auto"/>
              </w:rPr>
              <w:t>US$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769,284,742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769,284,742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769,284,742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769,284,742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769,284,</w:t>
            </w:r>
          </w:p>
        </w:tc>
      </w:tr>
      <w:tr>
        <w:trPr>
          <w:trHeight w:val="296"/>
        </w:trPr>
        <w:tc>
          <w:tcPr>
            <w:tcW w:w="1220" w:type="dxa"/>
            <w:vAlign w:val="bottom"/>
          </w:tcPr>
          <w:p>
            <w:pPr>
              <w:ind w:left="200"/>
              <w:spacing w:after="0"/>
              <w:rPr>
                <w:sz w:val="20"/>
                <w:szCs w:val="20"/>
                <w:color w:val="auto"/>
              </w:rPr>
            </w:pPr>
            <w:r>
              <w:rPr>
                <w:rFonts w:ascii="Arial" w:cs="Arial" w:eastAsia="Arial" w:hAnsi="Arial"/>
                <w:sz w:val="18"/>
                <w:szCs w:val="18"/>
                <w:color w:val="auto"/>
              </w:rPr>
              <w:t>Av. Selling</w:t>
            </w:r>
          </w:p>
        </w:tc>
        <w:tc>
          <w:tcPr>
            <w:tcW w:w="840" w:type="dxa"/>
            <w:vAlign w:val="bottom"/>
          </w:tcPr>
          <w:p>
            <w:pPr>
              <w:ind w:left="80"/>
              <w:spacing w:after="0"/>
              <w:rPr>
                <w:sz w:val="20"/>
                <w:szCs w:val="20"/>
                <w:color w:val="auto"/>
              </w:rPr>
            </w:pPr>
            <w:r>
              <w:rPr>
                <w:rFonts w:ascii="Arial" w:cs="Arial" w:eastAsia="Arial" w:hAnsi="Arial"/>
                <w:sz w:val="18"/>
                <w:szCs w:val="18"/>
                <w:color w:val="auto"/>
              </w:rPr>
              <w:t>IJS$/t</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2"/>
        </w:trPr>
        <w:tc>
          <w:tcPr>
            <w:tcW w:w="1220" w:type="dxa"/>
            <w:vAlign w:val="bottom"/>
          </w:tcPr>
          <w:p>
            <w:pPr>
              <w:ind w:left="200"/>
              <w:spacing w:after="0"/>
              <w:rPr>
                <w:sz w:val="20"/>
                <w:szCs w:val="20"/>
                <w:color w:val="auto"/>
              </w:rPr>
            </w:pPr>
            <w:r>
              <w:rPr>
                <w:rFonts w:ascii="Arial" w:cs="Arial" w:eastAsia="Arial" w:hAnsi="Arial"/>
                <w:sz w:val="18"/>
                <w:szCs w:val="18"/>
                <w:color w:val="auto"/>
              </w:rPr>
              <w:t>Price LCE</w:t>
            </w:r>
          </w:p>
        </w:tc>
        <w:tc>
          <w:tcPr>
            <w:tcW w:w="840" w:type="dxa"/>
            <w:vAlign w:val="bottom"/>
          </w:tcPr>
          <w:p>
            <w:pPr>
              <w:ind w:left="80"/>
              <w:spacing w:after="0"/>
              <w:rPr>
                <w:sz w:val="20"/>
                <w:szCs w:val="20"/>
                <w:color w:val="auto"/>
              </w:rPr>
            </w:pPr>
            <w:r>
              <w:rPr>
                <w:rFonts w:ascii="Arial" w:cs="Arial" w:eastAsia="Arial" w:hAnsi="Arial"/>
                <w:sz w:val="18"/>
                <w:szCs w:val="18"/>
                <w:color w:val="auto"/>
              </w:rPr>
              <w:t>LCE</w:t>
            </w:r>
          </w:p>
        </w:tc>
        <w:tc>
          <w:tcPr>
            <w:tcW w:w="200" w:type="dxa"/>
            <w:vAlign w:val="bottom"/>
          </w:tcPr>
          <w:p>
            <w:pPr>
              <w:spacing w:after="0"/>
              <w:rPr>
                <w:sz w:val="23"/>
                <w:szCs w:val="23"/>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18,000</w:t>
            </w:r>
          </w:p>
        </w:tc>
        <w:tc>
          <w:tcPr>
            <w:tcW w:w="200" w:type="dxa"/>
            <w:vAlign w:val="bottom"/>
          </w:tcPr>
          <w:p>
            <w:pPr>
              <w:spacing w:after="0"/>
              <w:rPr>
                <w:sz w:val="23"/>
                <w:szCs w:val="23"/>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14,400</w:t>
            </w:r>
          </w:p>
        </w:tc>
        <w:tc>
          <w:tcPr>
            <w:tcW w:w="200" w:type="dxa"/>
            <w:vAlign w:val="bottom"/>
          </w:tcPr>
          <w:p>
            <w:pPr>
              <w:spacing w:after="0"/>
              <w:rPr>
                <w:sz w:val="23"/>
                <w:szCs w:val="23"/>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15,300</w:t>
            </w:r>
          </w:p>
        </w:tc>
        <w:tc>
          <w:tcPr>
            <w:tcW w:w="180" w:type="dxa"/>
            <w:vAlign w:val="bottom"/>
          </w:tcPr>
          <w:p>
            <w:pPr>
              <w:spacing w:after="0"/>
              <w:rPr>
                <w:sz w:val="23"/>
                <w:szCs w:val="23"/>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20,700</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6"/>
        </w:trPr>
        <w:tc>
          <w:tcPr>
            <w:tcW w:w="1220" w:type="dxa"/>
            <w:vAlign w:val="bottom"/>
          </w:tcPr>
          <w:p>
            <w:pPr>
              <w:ind w:left="200"/>
              <w:spacing w:after="0"/>
              <w:rPr>
                <w:sz w:val="20"/>
                <w:szCs w:val="20"/>
                <w:color w:val="auto"/>
              </w:rPr>
            </w:pPr>
            <w:r>
              <w:rPr>
                <w:rFonts w:ascii="Arial" w:cs="Arial" w:eastAsia="Arial" w:hAnsi="Arial"/>
                <w:sz w:val="18"/>
                <w:szCs w:val="18"/>
                <w:color w:val="auto"/>
              </w:rPr>
              <w:t>Discount</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2"/>
        </w:trPr>
        <w:tc>
          <w:tcPr>
            <w:tcW w:w="1220" w:type="dxa"/>
            <w:vAlign w:val="bottom"/>
          </w:tcPr>
          <w:p>
            <w:pPr>
              <w:ind w:left="200"/>
              <w:spacing w:after="0"/>
              <w:rPr>
                <w:sz w:val="20"/>
                <w:szCs w:val="20"/>
                <w:color w:val="auto"/>
              </w:rPr>
            </w:pPr>
            <w:r>
              <w:rPr>
                <w:rFonts w:ascii="Arial" w:cs="Arial" w:eastAsia="Arial" w:hAnsi="Arial"/>
                <w:sz w:val="18"/>
                <w:szCs w:val="18"/>
                <w:color w:val="auto"/>
              </w:rPr>
              <w:t>Rate</w:t>
            </w:r>
          </w:p>
        </w:tc>
        <w:tc>
          <w:tcPr>
            <w:tcW w:w="8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96"/>
        </w:trPr>
        <w:tc>
          <w:tcPr>
            <w:tcW w:w="1220" w:type="dxa"/>
            <w:vAlign w:val="bottom"/>
          </w:tcPr>
          <w:p>
            <w:pPr>
              <w:ind w:left="200"/>
              <w:spacing w:after="0"/>
              <w:rPr>
                <w:sz w:val="20"/>
                <w:szCs w:val="20"/>
                <w:color w:val="auto"/>
              </w:rPr>
            </w:pPr>
            <w:r>
              <w:rPr>
                <w:rFonts w:ascii="Arial" w:cs="Arial" w:eastAsia="Arial" w:hAnsi="Arial"/>
                <w:sz w:val="18"/>
                <w:szCs w:val="18"/>
                <w:color w:val="auto"/>
              </w:rPr>
              <w:t>NPV Post</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2"/>
        </w:trPr>
        <w:tc>
          <w:tcPr>
            <w:tcW w:w="1220" w:type="dxa"/>
            <w:vAlign w:val="bottom"/>
          </w:tcPr>
          <w:p>
            <w:pPr>
              <w:ind w:left="200"/>
              <w:spacing w:after="0"/>
              <w:rPr>
                <w:sz w:val="20"/>
                <w:szCs w:val="20"/>
                <w:color w:val="auto"/>
              </w:rPr>
            </w:pPr>
            <w:r>
              <w:rPr>
                <w:rFonts w:ascii="Arial" w:cs="Arial" w:eastAsia="Arial" w:hAnsi="Arial"/>
                <w:sz w:val="18"/>
                <w:szCs w:val="18"/>
                <w:color w:val="auto"/>
              </w:rPr>
              <w:t>Tax</w:t>
            </w:r>
          </w:p>
        </w:tc>
        <w:tc>
          <w:tcPr>
            <w:tcW w:w="840" w:type="dxa"/>
            <w:vAlign w:val="bottom"/>
          </w:tcPr>
          <w:p>
            <w:pPr>
              <w:ind w:left="80"/>
              <w:spacing w:after="0"/>
              <w:rPr>
                <w:sz w:val="20"/>
                <w:szCs w:val="20"/>
                <w:color w:val="auto"/>
              </w:rPr>
            </w:pPr>
            <w:r>
              <w:rPr>
                <w:rFonts w:ascii="Arial" w:cs="Arial" w:eastAsia="Arial" w:hAnsi="Arial"/>
                <w:sz w:val="18"/>
                <w:szCs w:val="18"/>
                <w:color w:val="auto"/>
              </w:rPr>
              <w:t>MIMUS$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5,766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3,735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4,243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7,289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6"/>
        </w:trPr>
        <w:tc>
          <w:tcPr>
            <w:tcW w:w="1220" w:type="dxa"/>
            <w:vAlign w:val="bottom"/>
          </w:tcPr>
          <w:p>
            <w:pPr>
              <w:ind w:left="200"/>
              <w:spacing w:after="0"/>
              <w:rPr>
                <w:sz w:val="20"/>
                <w:szCs w:val="20"/>
                <w:color w:val="auto"/>
              </w:rPr>
            </w:pPr>
            <w:r>
              <w:rPr>
                <w:rFonts w:ascii="Arial" w:cs="Arial" w:eastAsia="Arial" w:hAnsi="Arial"/>
                <w:sz w:val="18"/>
                <w:szCs w:val="18"/>
                <w:color w:val="auto"/>
              </w:rPr>
              <w:t>IRR Post</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2"/>
        </w:trPr>
        <w:tc>
          <w:tcPr>
            <w:tcW w:w="1220" w:type="dxa"/>
            <w:vAlign w:val="bottom"/>
          </w:tcPr>
          <w:p>
            <w:pPr>
              <w:ind w:left="200"/>
              <w:spacing w:after="0"/>
              <w:rPr>
                <w:sz w:val="20"/>
                <w:szCs w:val="20"/>
                <w:color w:val="auto"/>
              </w:rPr>
            </w:pPr>
            <w:r>
              <w:rPr>
                <w:rFonts w:ascii="Arial" w:cs="Arial" w:eastAsia="Arial" w:hAnsi="Arial"/>
                <w:sz w:val="18"/>
                <w:szCs w:val="18"/>
                <w:color w:val="auto"/>
              </w:rPr>
              <w:t>Tax</w:t>
            </w:r>
          </w:p>
        </w:tc>
        <w:tc>
          <w:tcPr>
            <w:tcW w:w="8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-2672715</wp:posOffset>
            </wp:positionV>
            <wp:extent cx="6078220" cy="32512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49">
                      <a:extLst>
                        <a:ext uri="{28A0092B-C50C-407E-A947-70E740481C1C}"/>
                      </a:extLst>
                    </a:blip>
                    <a:srcRect/>
                    <a:stretch>
                      <a:fillRect/>
                    </a:stretch>
                  </pic:blipFill>
                  <pic:spPr bwMode="auto">
                    <a:xfrm>
                      <a:off x="0" y="0"/>
                      <a:ext cx="6078220" cy="325120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-2672715</wp:posOffset>
            </wp:positionV>
            <wp:extent cx="6078220" cy="32512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0">
                      <a:extLst>
                        <a:ext uri="{28A0092B-C50C-407E-A947-70E740481C1C}"/>
                      </a:extLst>
                    </a:blip>
                    <a:srcRect/>
                    <a:stretch>
                      <a:fillRect/>
                    </a:stretch>
                  </pic:blipFill>
                  <pic:spPr bwMode="auto">
                    <a:xfrm>
                      <a:off x="0" y="0"/>
                      <a:ext cx="6078220" cy="3251200"/>
                    </a:xfrm>
                    <a:prstGeom prst="rect">
                      <a:avLst/>
                    </a:prstGeom>
                    <a:noFill/>
                  </pic:spPr>
                </pic:pic>
              </a:graphicData>
            </a:graphic>
          </wp:anchor>
        </w:drawing>
      </w:r>
    </w:p>
    <w:p>
      <w:pPr>
        <w:spacing w:after="0" w:line="322" w:lineRule="exact"/>
        <w:rPr>
          <w:sz w:val="20"/>
          <w:szCs w:val="20"/>
          <w:color w:val="auto"/>
        </w:rPr>
      </w:pPr>
    </w:p>
    <w:tbl>
      <w:tblPr>
        <w:tblLayout w:type="fixed"/>
        <w:tblInd w:w="900" w:type="dxa"/>
        <w:tblCellMar>
          <w:top w:w="0" w:type="dxa"/>
          <w:left w:w="0" w:type="dxa"/>
          <w:bottom w:w="0" w:type="dxa"/>
          <w:right w:w="0" w:type="dxa"/>
        </w:tblCellMar>
      </w:tblPr>
      <w:tr>
        <w:trPr>
          <w:trHeight w:val="250"/>
        </w:trPr>
        <w:tc>
          <w:tcPr>
            <w:tcW w:w="1220" w:type="dxa"/>
            <w:vAlign w:val="bottom"/>
            <w:shd w:val="clear" w:color="auto" w:fill="153A57"/>
          </w:tcPr>
          <w:p>
            <w:pPr>
              <w:spacing w:after="0"/>
              <w:rPr>
                <w:sz w:val="21"/>
                <w:szCs w:val="21"/>
                <w:color w:val="auto"/>
              </w:rPr>
            </w:pPr>
          </w:p>
        </w:tc>
        <w:tc>
          <w:tcPr>
            <w:tcW w:w="840" w:type="dxa"/>
            <w:vAlign w:val="bottom"/>
            <w:shd w:val="clear" w:color="auto" w:fill="153A57"/>
          </w:tcPr>
          <w:p>
            <w:pPr>
              <w:spacing w:after="0"/>
              <w:rPr>
                <w:sz w:val="21"/>
                <w:szCs w:val="21"/>
                <w:color w:val="auto"/>
              </w:rPr>
            </w:pPr>
          </w:p>
        </w:tc>
        <w:tc>
          <w:tcPr>
            <w:tcW w:w="200" w:type="dxa"/>
            <w:vAlign w:val="bottom"/>
            <w:shd w:val="clear" w:color="auto" w:fill="153A57"/>
          </w:tcPr>
          <w:p>
            <w:pPr>
              <w:spacing w:after="0"/>
              <w:rPr>
                <w:sz w:val="21"/>
                <w:szCs w:val="21"/>
                <w:color w:val="auto"/>
              </w:rPr>
            </w:pPr>
          </w:p>
        </w:tc>
        <w:tc>
          <w:tcPr>
            <w:tcW w:w="1400" w:type="dxa"/>
            <w:vAlign w:val="bottom"/>
            <w:shd w:val="clear" w:color="auto" w:fill="153A57"/>
          </w:tcPr>
          <w:p>
            <w:pPr>
              <w:jc w:val="right"/>
              <w:ind w:right="510"/>
              <w:spacing w:after="0"/>
              <w:rPr>
                <w:sz w:val="20"/>
                <w:szCs w:val="20"/>
                <w:color w:val="auto"/>
              </w:rPr>
            </w:pPr>
            <w:r>
              <w:rPr>
                <w:rFonts w:ascii="Arial" w:cs="Arial" w:eastAsia="Arial" w:hAnsi="Arial"/>
                <w:sz w:val="18"/>
                <w:szCs w:val="18"/>
                <w:b w:val="1"/>
                <w:bCs w:val="1"/>
                <w:color w:val="FFFFFF"/>
              </w:rPr>
              <w:t>Case 1</w:t>
            </w:r>
          </w:p>
        </w:tc>
        <w:tc>
          <w:tcPr>
            <w:tcW w:w="200" w:type="dxa"/>
            <w:vAlign w:val="bottom"/>
            <w:shd w:val="clear" w:color="auto" w:fill="153A57"/>
          </w:tcPr>
          <w:p>
            <w:pPr>
              <w:spacing w:after="0"/>
              <w:rPr>
                <w:sz w:val="21"/>
                <w:szCs w:val="21"/>
                <w:color w:val="auto"/>
              </w:rPr>
            </w:pPr>
          </w:p>
        </w:tc>
        <w:tc>
          <w:tcPr>
            <w:tcW w:w="1400" w:type="dxa"/>
            <w:vAlign w:val="bottom"/>
            <w:shd w:val="clear" w:color="auto" w:fill="153A57"/>
          </w:tcPr>
          <w:p>
            <w:pPr>
              <w:spacing w:after="0"/>
              <w:rPr>
                <w:sz w:val="21"/>
                <w:szCs w:val="21"/>
                <w:color w:val="auto"/>
              </w:rPr>
            </w:pPr>
          </w:p>
        </w:tc>
        <w:tc>
          <w:tcPr>
            <w:tcW w:w="200" w:type="dxa"/>
            <w:vAlign w:val="bottom"/>
            <w:shd w:val="clear" w:color="auto" w:fill="153A57"/>
          </w:tcPr>
          <w:p>
            <w:pPr>
              <w:spacing w:after="0"/>
              <w:rPr>
                <w:sz w:val="21"/>
                <w:szCs w:val="21"/>
                <w:color w:val="auto"/>
              </w:rPr>
            </w:pPr>
          </w:p>
        </w:tc>
        <w:tc>
          <w:tcPr>
            <w:tcW w:w="1400" w:type="dxa"/>
            <w:vAlign w:val="bottom"/>
            <w:shd w:val="clear" w:color="auto" w:fill="153A57"/>
          </w:tcPr>
          <w:p>
            <w:pPr>
              <w:spacing w:after="0"/>
              <w:rPr>
                <w:sz w:val="21"/>
                <w:szCs w:val="21"/>
                <w:color w:val="auto"/>
              </w:rPr>
            </w:pPr>
          </w:p>
        </w:tc>
        <w:tc>
          <w:tcPr>
            <w:tcW w:w="180" w:type="dxa"/>
            <w:vAlign w:val="bottom"/>
            <w:shd w:val="clear" w:color="auto" w:fill="153A57"/>
          </w:tcPr>
          <w:p>
            <w:pPr>
              <w:spacing w:after="0"/>
              <w:rPr>
                <w:sz w:val="21"/>
                <w:szCs w:val="21"/>
                <w:color w:val="auto"/>
              </w:rPr>
            </w:pPr>
          </w:p>
        </w:tc>
        <w:tc>
          <w:tcPr>
            <w:tcW w:w="1420" w:type="dxa"/>
            <w:vAlign w:val="bottom"/>
            <w:shd w:val="clear" w:color="auto" w:fill="153A57"/>
          </w:tcPr>
          <w:p>
            <w:pPr>
              <w:spacing w:after="0"/>
              <w:rPr>
                <w:sz w:val="21"/>
                <w:szCs w:val="21"/>
                <w:color w:val="auto"/>
              </w:rPr>
            </w:pPr>
          </w:p>
        </w:tc>
        <w:tc>
          <w:tcPr>
            <w:tcW w:w="200" w:type="dxa"/>
            <w:vAlign w:val="bottom"/>
            <w:shd w:val="clear" w:color="auto" w:fill="153A57"/>
          </w:tcPr>
          <w:p>
            <w:pPr>
              <w:spacing w:after="0"/>
              <w:rPr>
                <w:sz w:val="21"/>
                <w:szCs w:val="21"/>
                <w:color w:val="auto"/>
              </w:rPr>
            </w:pPr>
          </w:p>
        </w:tc>
        <w:tc>
          <w:tcPr>
            <w:tcW w:w="900" w:type="dxa"/>
            <w:vAlign w:val="bottom"/>
            <w:shd w:val="clear" w:color="auto" w:fill="153A57"/>
          </w:tcPr>
          <w:p>
            <w:pPr>
              <w:spacing w:after="0"/>
              <w:rPr>
                <w:sz w:val="21"/>
                <w:szCs w:val="21"/>
                <w:color w:val="auto"/>
              </w:rPr>
            </w:pPr>
          </w:p>
        </w:tc>
      </w:tr>
      <w:tr>
        <w:trPr>
          <w:trHeight w:val="298"/>
        </w:trPr>
        <w:tc>
          <w:tcPr>
            <w:tcW w:w="1220" w:type="dxa"/>
            <w:vAlign w:val="bottom"/>
            <w:tcBorders>
              <w:bottom w:val="single" w:sz="8" w:color="153A57"/>
            </w:tcBorders>
            <w:shd w:val="clear" w:color="auto" w:fill="153A57"/>
          </w:tcPr>
          <w:p>
            <w:pPr>
              <w:ind w:left="200"/>
              <w:spacing w:after="0"/>
              <w:rPr>
                <w:sz w:val="20"/>
                <w:szCs w:val="20"/>
                <w:color w:val="auto"/>
              </w:rPr>
            </w:pPr>
            <w:r>
              <w:rPr>
                <w:rFonts w:ascii="Arial" w:cs="Arial" w:eastAsia="Arial" w:hAnsi="Arial"/>
                <w:sz w:val="18"/>
                <w:szCs w:val="18"/>
                <w:b w:val="1"/>
                <w:bCs w:val="1"/>
                <w:color w:val="FFFFFF"/>
              </w:rPr>
              <w:t>Overview</w:t>
            </w:r>
          </w:p>
        </w:tc>
        <w:tc>
          <w:tcPr>
            <w:tcW w:w="840" w:type="dxa"/>
            <w:vAlign w:val="bottom"/>
            <w:tcBorders>
              <w:bottom w:val="single" w:sz="8" w:color="153A57"/>
            </w:tcBorders>
            <w:shd w:val="clear" w:color="auto" w:fill="153A57"/>
          </w:tcPr>
          <w:p>
            <w:pPr>
              <w:spacing w:after="0"/>
              <w:rPr>
                <w:sz w:val="24"/>
                <w:szCs w:val="24"/>
                <w:color w:val="auto"/>
              </w:rPr>
            </w:pPr>
          </w:p>
        </w:tc>
        <w:tc>
          <w:tcPr>
            <w:tcW w:w="200" w:type="dxa"/>
            <w:vAlign w:val="bottom"/>
            <w:tcBorders>
              <w:bottom w:val="single" w:sz="8" w:color="153A57"/>
            </w:tcBorders>
            <w:shd w:val="clear" w:color="auto" w:fill="153A57"/>
          </w:tcPr>
          <w:p>
            <w:pPr>
              <w:spacing w:after="0"/>
              <w:rPr>
                <w:sz w:val="24"/>
                <w:szCs w:val="24"/>
                <w:color w:val="auto"/>
              </w:rPr>
            </w:pPr>
          </w:p>
        </w:tc>
        <w:tc>
          <w:tcPr>
            <w:tcW w:w="1400" w:type="dxa"/>
            <w:vAlign w:val="bottom"/>
            <w:tcBorders>
              <w:bottom w:val="single" w:sz="8" w:color="153A57"/>
            </w:tcBorders>
            <w:shd w:val="clear" w:color="auto" w:fill="153A57"/>
          </w:tcPr>
          <w:p>
            <w:pPr>
              <w:jc w:val="right"/>
              <w:ind w:right="330"/>
              <w:spacing w:after="0"/>
              <w:rPr>
                <w:sz w:val="20"/>
                <w:szCs w:val="20"/>
                <w:color w:val="auto"/>
              </w:rPr>
            </w:pPr>
            <w:r>
              <w:rPr>
                <w:rFonts w:ascii="Arial" w:cs="Arial" w:eastAsia="Arial" w:hAnsi="Arial"/>
                <w:sz w:val="18"/>
                <w:szCs w:val="18"/>
                <w:b w:val="1"/>
                <w:bCs w:val="1"/>
                <w:color w:val="FFFFFF"/>
              </w:rPr>
              <w:t>Base Case</w:t>
            </w:r>
          </w:p>
        </w:tc>
        <w:tc>
          <w:tcPr>
            <w:tcW w:w="200" w:type="dxa"/>
            <w:vAlign w:val="bottom"/>
            <w:tcBorders>
              <w:bottom w:val="single" w:sz="8" w:color="153A57"/>
            </w:tcBorders>
            <w:shd w:val="clear" w:color="auto" w:fill="153A57"/>
          </w:tcPr>
          <w:p>
            <w:pPr>
              <w:spacing w:after="0"/>
              <w:rPr>
                <w:sz w:val="24"/>
                <w:szCs w:val="24"/>
                <w:color w:val="auto"/>
              </w:rPr>
            </w:pPr>
          </w:p>
        </w:tc>
        <w:tc>
          <w:tcPr>
            <w:tcW w:w="1400" w:type="dxa"/>
            <w:vAlign w:val="bottom"/>
            <w:tcBorders>
              <w:bottom w:val="single" w:sz="8" w:color="153A57"/>
            </w:tcBorders>
            <w:shd w:val="clear" w:color="auto" w:fill="153A57"/>
          </w:tcPr>
          <w:p>
            <w:pPr>
              <w:jc w:val="right"/>
              <w:ind w:right="310"/>
              <w:spacing w:after="0"/>
              <w:rPr>
                <w:sz w:val="20"/>
                <w:szCs w:val="20"/>
                <w:color w:val="auto"/>
              </w:rPr>
            </w:pPr>
            <w:r>
              <w:rPr>
                <w:rFonts w:ascii="Arial" w:cs="Arial" w:eastAsia="Arial" w:hAnsi="Arial"/>
                <w:sz w:val="18"/>
                <w:szCs w:val="18"/>
                <w:b w:val="1"/>
                <w:bCs w:val="1"/>
                <w:color w:val="FFFFFF"/>
              </w:rPr>
              <w:t>OPEX -20%</w:t>
            </w:r>
          </w:p>
        </w:tc>
        <w:tc>
          <w:tcPr>
            <w:tcW w:w="200" w:type="dxa"/>
            <w:vAlign w:val="bottom"/>
            <w:tcBorders>
              <w:bottom w:val="single" w:sz="8" w:color="153A57"/>
            </w:tcBorders>
            <w:shd w:val="clear" w:color="auto" w:fill="153A57"/>
          </w:tcPr>
          <w:p>
            <w:pPr>
              <w:spacing w:after="0"/>
              <w:rPr>
                <w:sz w:val="24"/>
                <w:szCs w:val="24"/>
                <w:color w:val="auto"/>
              </w:rPr>
            </w:pPr>
          </w:p>
        </w:tc>
        <w:tc>
          <w:tcPr>
            <w:tcW w:w="1400" w:type="dxa"/>
            <w:vAlign w:val="bottom"/>
            <w:tcBorders>
              <w:bottom w:val="single" w:sz="8" w:color="153A57"/>
            </w:tcBorders>
            <w:shd w:val="clear" w:color="auto" w:fill="153A57"/>
          </w:tcPr>
          <w:p>
            <w:pPr>
              <w:jc w:val="right"/>
              <w:ind w:right="310"/>
              <w:spacing w:after="0"/>
              <w:rPr>
                <w:sz w:val="20"/>
                <w:szCs w:val="20"/>
                <w:color w:val="auto"/>
              </w:rPr>
            </w:pPr>
            <w:r>
              <w:rPr>
                <w:rFonts w:ascii="Arial" w:cs="Arial" w:eastAsia="Arial" w:hAnsi="Arial"/>
                <w:sz w:val="18"/>
                <w:szCs w:val="18"/>
                <w:b w:val="1"/>
                <w:bCs w:val="1"/>
                <w:color w:val="FFFFFF"/>
              </w:rPr>
              <w:t>OPEX -15%</w:t>
            </w:r>
          </w:p>
        </w:tc>
        <w:tc>
          <w:tcPr>
            <w:tcW w:w="180" w:type="dxa"/>
            <w:vAlign w:val="bottom"/>
            <w:tcBorders>
              <w:bottom w:val="single" w:sz="8" w:color="153A57"/>
            </w:tcBorders>
            <w:shd w:val="clear" w:color="auto" w:fill="153A57"/>
          </w:tcPr>
          <w:p>
            <w:pPr>
              <w:spacing w:after="0"/>
              <w:rPr>
                <w:sz w:val="24"/>
                <w:szCs w:val="24"/>
                <w:color w:val="auto"/>
              </w:rPr>
            </w:pPr>
          </w:p>
        </w:tc>
        <w:tc>
          <w:tcPr>
            <w:tcW w:w="1420" w:type="dxa"/>
            <w:vAlign w:val="bottom"/>
            <w:tcBorders>
              <w:bottom w:val="single" w:sz="8" w:color="153A57"/>
            </w:tcBorders>
            <w:shd w:val="clear" w:color="auto" w:fill="153A57"/>
          </w:tcPr>
          <w:p>
            <w:pPr>
              <w:jc w:val="right"/>
              <w:ind w:right="290"/>
              <w:spacing w:after="0"/>
              <w:rPr>
                <w:sz w:val="20"/>
                <w:szCs w:val="20"/>
                <w:color w:val="auto"/>
              </w:rPr>
            </w:pPr>
            <w:r>
              <w:rPr>
                <w:rFonts w:ascii="Arial" w:cs="Arial" w:eastAsia="Arial" w:hAnsi="Arial"/>
                <w:sz w:val="18"/>
                <w:szCs w:val="18"/>
                <w:b w:val="1"/>
                <w:bCs w:val="1"/>
                <w:color w:val="FFFFFF"/>
              </w:rPr>
              <w:t>OPEX +15%</w:t>
            </w:r>
          </w:p>
        </w:tc>
        <w:tc>
          <w:tcPr>
            <w:tcW w:w="200" w:type="dxa"/>
            <w:vAlign w:val="bottom"/>
            <w:tcBorders>
              <w:bottom w:val="single" w:sz="8" w:color="153A57"/>
            </w:tcBorders>
            <w:shd w:val="clear" w:color="auto" w:fill="153A57"/>
          </w:tcPr>
          <w:p>
            <w:pPr>
              <w:spacing w:after="0"/>
              <w:rPr>
                <w:sz w:val="24"/>
                <w:szCs w:val="24"/>
                <w:color w:val="auto"/>
              </w:rPr>
            </w:pPr>
          </w:p>
        </w:tc>
        <w:tc>
          <w:tcPr>
            <w:tcW w:w="900" w:type="dxa"/>
            <w:vAlign w:val="bottom"/>
            <w:tcBorders>
              <w:bottom w:val="single" w:sz="8" w:color="153A57"/>
            </w:tcBorders>
            <w:shd w:val="clear" w:color="auto" w:fill="153A57"/>
          </w:tcPr>
          <w:p>
            <w:pPr>
              <w:jc w:val="right"/>
              <w:spacing w:after="0"/>
              <w:rPr>
                <w:sz w:val="20"/>
                <w:szCs w:val="20"/>
                <w:color w:val="auto"/>
              </w:rPr>
            </w:pPr>
            <w:r>
              <w:rPr>
                <w:rFonts w:ascii="Arial" w:cs="Arial" w:eastAsia="Arial" w:hAnsi="Arial"/>
                <w:sz w:val="18"/>
                <w:szCs w:val="18"/>
                <w:b w:val="1"/>
                <w:bCs w:val="1"/>
                <w:color w:val="FFFFFF"/>
              </w:rPr>
              <w:t>OPEX +20</w:t>
            </w:r>
          </w:p>
        </w:tc>
      </w:tr>
      <w:tr>
        <w:trPr>
          <w:trHeight w:val="250"/>
        </w:trPr>
        <w:tc>
          <w:tcPr>
            <w:tcW w:w="1220" w:type="dxa"/>
            <w:vAlign w:val="bottom"/>
          </w:tcPr>
          <w:p>
            <w:pPr>
              <w:ind w:left="200"/>
              <w:spacing w:after="0"/>
              <w:rPr>
                <w:sz w:val="20"/>
                <w:szCs w:val="20"/>
                <w:color w:val="auto"/>
              </w:rPr>
            </w:pPr>
            <w:r>
              <w:rPr>
                <w:rFonts w:ascii="Arial" w:cs="Arial" w:eastAsia="Arial" w:hAnsi="Arial"/>
                <w:sz w:val="18"/>
                <w:szCs w:val="18"/>
                <w:color w:val="auto"/>
              </w:rPr>
              <w:t>Production</w:t>
            </w: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2"/>
        </w:trPr>
        <w:tc>
          <w:tcPr>
            <w:tcW w:w="1220" w:type="dxa"/>
            <w:vAlign w:val="bottom"/>
          </w:tcPr>
          <w:p>
            <w:pPr>
              <w:ind w:left="200"/>
              <w:spacing w:after="0"/>
              <w:rPr>
                <w:sz w:val="20"/>
                <w:szCs w:val="20"/>
                <w:color w:val="auto"/>
              </w:rPr>
            </w:pPr>
            <w:r>
              <w:rPr>
                <w:rFonts w:ascii="Arial" w:cs="Arial" w:eastAsia="Arial" w:hAnsi="Arial"/>
                <w:sz w:val="18"/>
                <w:szCs w:val="18"/>
                <w:color w:val="auto"/>
              </w:rPr>
              <w:t>(LCE)</w:t>
            </w: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96"/>
        </w:trPr>
        <w:tc>
          <w:tcPr>
            <w:tcW w:w="1220" w:type="dxa"/>
            <w:vAlign w:val="bottom"/>
          </w:tcPr>
          <w:p>
            <w:pPr>
              <w:ind w:left="200"/>
              <w:spacing w:after="0"/>
              <w:rPr>
                <w:sz w:val="20"/>
                <w:szCs w:val="20"/>
                <w:color w:val="auto"/>
              </w:rPr>
            </w:pPr>
            <w:r>
              <w:rPr>
                <w:rFonts w:ascii="Arial" w:cs="Arial" w:eastAsia="Arial" w:hAnsi="Arial"/>
                <w:sz w:val="18"/>
                <w:szCs w:val="18"/>
                <w:color w:val="auto"/>
              </w:rPr>
              <w:t>Capital cost</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2"/>
        </w:trPr>
        <w:tc>
          <w:tcPr>
            <w:tcW w:w="1220" w:type="dxa"/>
            <w:vAlign w:val="bottom"/>
          </w:tcPr>
          <w:p>
            <w:pPr>
              <w:ind w:left="200"/>
              <w:spacing w:after="0"/>
              <w:rPr>
                <w:sz w:val="20"/>
                <w:szCs w:val="20"/>
                <w:color w:val="auto"/>
              </w:rPr>
            </w:pPr>
            <w:r>
              <w:rPr>
                <w:rFonts w:ascii="Arial" w:cs="Arial" w:eastAsia="Arial" w:hAnsi="Arial"/>
                <w:sz w:val="18"/>
                <w:szCs w:val="18"/>
                <w:color w:val="auto"/>
              </w:rPr>
              <w:t>(CAPEX)</w:t>
            </w:r>
          </w:p>
        </w:tc>
        <w:tc>
          <w:tcPr>
            <w:tcW w:w="840" w:type="dxa"/>
            <w:vAlign w:val="bottom"/>
          </w:tcPr>
          <w:p>
            <w:pPr>
              <w:ind w:left="80"/>
              <w:spacing w:after="0"/>
              <w:rPr>
                <w:sz w:val="20"/>
                <w:szCs w:val="20"/>
                <w:color w:val="auto"/>
              </w:rPr>
            </w:pPr>
            <w:r>
              <w:rPr>
                <w:rFonts w:ascii="Arial" w:cs="Arial" w:eastAsia="Arial" w:hAnsi="Arial"/>
                <w:sz w:val="18"/>
                <w:szCs w:val="18"/>
                <w:color w:val="auto"/>
              </w:rPr>
              <w:t>US$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3,301,209,207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3,301,209,207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3,301,209,207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3,301,209,207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3,301,209,</w:t>
            </w:r>
          </w:p>
        </w:tc>
      </w:tr>
      <w:tr>
        <w:trPr>
          <w:trHeight w:val="296"/>
        </w:trPr>
        <w:tc>
          <w:tcPr>
            <w:tcW w:w="122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2"/>
        </w:trPr>
        <w:tc>
          <w:tcPr>
            <w:tcW w:w="1220" w:type="dxa"/>
            <w:vAlign w:val="bottom"/>
          </w:tcPr>
          <w:p>
            <w:pPr>
              <w:ind w:left="200"/>
              <w:spacing w:after="0"/>
              <w:rPr>
                <w:sz w:val="20"/>
                <w:szCs w:val="20"/>
                <w:color w:val="auto"/>
              </w:rPr>
            </w:pPr>
            <w:r>
              <w:rPr>
                <w:rFonts w:ascii="Arial" w:cs="Arial" w:eastAsia="Arial" w:hAnsi="Arial"/>
                <w:sz w:val="18"/>
                <w:szCs w:val="18"/>
                <w:color w:val="auto"/>
              </w:rPr>
              <w:t>cost</w:t>
            </w: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2"/>
        </w:trPr>
        <w:tc>
          <w:tcPr>
            <w:tcW w:w="1220" w:type="dxa"/>
            <w:vAlign w:val="bottom"/>
          </w:tcPr>
          <w:p>
            <w:pPr>
              <w:ind w:left="200"/>
              <w:spacing w:after="0"/>
              <w:rPr>
                <w:sz w:val="20"/>
                <w:szCs w:val="20"/>
                <w:color w:val="auto"/>
              </w:rPr>
            </w:pPr>
            <w:r>
              <w:rPr>
                <w:rFonts w:ascii="Arial" w:cs="Arial" w:eastAsia="Arial" w:hAnsi="Arial"/>
                <w:sz w:val="18"/>
                <w:szCs w:val="18"/>
                <w:color w:val="auto"/>
              </w:rPr>
              <w:t>(OPEX)</w:t>
            </w:r>
          </w:p>
        </w:tc>
        <w:tc>
          <w:tcPr>
            <w:tcW w:w="840" w:type="dxa"/>
            <w:vAlign w:val="bottom"/>
          </w:tcPr>
          <w:p>
            <w:pPr>
              <w:ind w:left="80"/>
              <w:spacing w:after="0"/>
              <w:rPr>
                <w:sz w:val="20"/>
                <w:szCs w:val="20"/>
                <w:color w:val="auto"/>
              </w:rPr>
            </w:pPr>
            <w:r>
              <w:rPr>
                <w:rFonts w:ascii="Arial" w:cs="Arial" w:eastAsia="Arial" w:hAnsi="Arial"/>
                <w:sz w:val="18"/>
                <w:szCs w:val="18"/>
                <w:color w:val="auto"/>
              </w:rPr>
              <w:t>US$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769,284,742</w:t>
            </w:r>
          </w:p>
        </w:tc>
        <w:tc>
          <w:tcPr>
            <w:tcW w:w="200" w:type="dxa"/>
            <w:vAlign w:val="bottom"/>
          </w:tcPr>
          <w:p>
            <w:pPr>
              <w:spacing w:after="0"/>
              <w:rPr>
                <w:sz w:val="23"/>
                <w:szCs w:val="23"/>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615,427 794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653,892,031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884,677,454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923,141,</w:t>
            </w:r>
          </w:p>
        </w:tc>
      </w:tr>
      <w:tr>
        <w:trPr>
          <w:trHeight w:val="296"/>
        </w:trPr>
        <w:tc>
          <w:tcPr>
            <w:tcW w:w="1220" w:type="dxa"/>
            <w:vAlign w:val="bottom"/>
          </w:tcPr>
          <w:p>
            <w:pPr>
              <w:ind w:left="200"/>
              <w:spacing w:after="0"/>
              <w:rPr>
                <w:sz w:val="20"/>
                <w:szCs w:val="20"/>
                <w:color w:val="auto"/>
              </w:rPr>
            </w:pPr>
            <w:r>
              <w:rPr>
                <w:rFonts w:ascii="Arial" w:cs="Arial" w:eastAsia="Arial" w:hAnsi="Arial"/>
                <w:sz w:val="18"/>
                <w:szCs w:val="18"/>
                <w:color w:val="auto"/>
              </w:rPr>
              <w:t>Av. Selling</w:t>
            </w:r>
          </w:p>
        </w:tc>
        <w:tc>
          <w:tcPr>
            <w:tcW w:w="840" w:type="dxa"/>
            <w:vAlign w:val="bottom"/>
          </w:tcPr>
          <w:p>
            <w:pPr>
              <w:ind w:left="80"/>
              <w:spacing w:after="0"/>
              <w:rPr>
                <w:sz w:val="20"/>
                <w:szCs w:val="20"/>
                <w:color w:val="auto"/>
              </w:rPr>
            </w:pPr>
            <w:r>
              <w:rPr>
                <w:rFonts w:ascii="Arial" w:cs="Arial" w:eastAsia="Arial" w:hAnsi="Arial"/>
                <w:sz w:val="18"/>
                <w:szCs w:val="18"/>
                <w:color w:val="auto"/>
              </w:rPr>
              <w:t>US$/t</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2"/>
        </w:trPr>
        <w:tc>
          <w:tcPr>
            <w:tcW w:w="1220" w:type="dxa"/>
            <w:vAlign w:val="bottom"/>
          </w:tcPr>
          <w:p>
            <w:pPr>
              <w:ind w:left="200"/>
              <w:spacing w:after="0"/>
              <w:rPr>
                <w:sz w:val="20"/>
                <w:szCs w:val="20"/>
                <w:color w:val="auto"/>
              </w:rPr>
            </w:pPr>
            <w:r>
              <w:rPr>
                <w:rFonts w:ascii="Arial" w:cs="Arial" w:eastAsia="Arial" w:hAnsi="Arial"/>
                <w:sz w:val="18"/>
                <w:szCs w:val="18"/>
                <w:color w:val="auto"/>
              </w:rPr>
              <w:t>Price LCE</w:t>
            </w:r>
          </w:p>
        </w:tc>
        <w:tc>
          <w:tcPr>
            <w:tcW w:w="840" w:type="dxa"/>
            <w:vAlign w:val="bottom"/>
          </w:tcPr>
          <w:p>
            <w:pPr>
              <w:ind w:left="80"/>
              <w:spacing w:after="0"/>
              <w:rPr>
                <w:sz w:val="20"/>
                <w:szCs w:val="20"/>
                <w:color w:val="auto"/>
              </w:rPr>
            </w:pPr>
            <w:r>
              <w:rPr>
                <w:rFonts w:ascii="Arial" w:cs="Arial" w:eastAsia="Arial" w:hAnsi="Arial"/>
                <w:sz w:val="18"/>
                <w:szCs w:val="18"/>
                <w:color w:val="auto"/>
              </w:rPr>
              <w:t>LCE</w:t>
            </w:r>
          </w:p>
        </w:tc>
        <w:tc>
          <w:tcPr>
            <w:tcW w:w="200" w:type="dxa"/>
            <w:vAlign w:val="bottom"/>
          </w:tcPr>
          <w:p>
            <w:pPr>
              <w:spacing w:after="0"/>
              <w:rPr>
                <w:sz w:val="23"/>
                <w:szCs w:val="23"/>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18,000</w:t>
            </w:r>
          </w:p>
        </w:tc>
        <w:tc>
          <w:tcPr>
            <w:tcW w:w="200" w:type="dxa"/>
            <w:vAlign w:val="bottom"/>
          </w:tcPr>
          <w:p>
            <w:pPr>
              <w:spacing w:after="0"/>
              <w:rPr>
                <w:sz w:val="23"/>
                <w:szCs w:val="23"/>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18,000</w:t>
            </w:r>
          </w:p>
        </w:tc>
        <w:tc>
          <w:tcPr>
            <w:tcW w:w="200" w:type="dxa"/>
            <w:vAlign w:val="bottom"/>
          </w:tcPr>
          <w:p>
            <w:pPr>
              <w:spacing w:after="0"/>
              <w:rPr>
                <w:sz w:val="23"/>
                <w:szCs w:val="23"/>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18,000</w:t>
            </w:r>
          </w:p>
        </w:tc>
        <w:tc>
          <w:tcPr>
            <w:tcW w:w="180" w:type="dxa"/>
            <w:vAlign w:val="bottom"/>
          </w:tcPr>
          <w:p>
            <w:pPr>
              <w:spacing w:after="0"/>
              <w:rPr>
                <w:sz w:val="23"/>
                <w:szCs w:val="23"/>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18,000</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96"/>
        </w:trPr>
        <w:tc>
          <w:tcPr>
            <w:tcW w:w="1220" w:type="dxa"/>
            <w:vAlign w:val="bottom"/>
          </w:tcPr>
          <w:p>
            <w:pPr>
              <w:ind w:left="200"/>
              <w:spacing w:after="0"/>
              <w:rPr>
                <w:sz w:val="20"/>
                <w:szCs w:val="20"/>
                <w:color w:val="auto"/>
              </w:rPr>
            </w:pPr>
            <w:r>
              <w:rPr>
                <w:rFonts w:ascii="Arial" w:cs="Arial" w:eastAsia="Arial" w:hAnsi="Arial"/>
                <w:sz w:val="18"/>
                <w:szCs w:val="18"/>
                <w:color w:val="auto"/>
              </w:rPr>
              <w:t>Discount</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2"/>
        </w:trPr>
        <w:tc>
          <w:tcPr>
            <w:tcW w:w="1220" w:type="dxa"/>
            <w:vAlign w:val="bottom"/>
          </w:tcPr>
          <w:p>
            <w:pPr>
              <w:ind w:left="200"/>
              <w:spacing w:after="0"/>
              <w:rPr>
                <w:sz w:val="20"/>
                <w:szCs w:val="20"/>
                <w:color w:val="auto"/>
              </w:rPr>
            </w:pPr>
            <w:r>
              <w:rPr>
                <w:rFonts w:ascii="Arial" w:cs="Arial" w:eastAsia="Arial" w:hAnsi="Arial"/>
                <w:sz w:val="18"/>
                <w:szCs w:val="18"/>
                <w:color w:val="auto"/>
              </w:rPr>
              <w:t>Rate</w:t>
            </w:r>
          </w:p>
        </w:tc>
        <w:tc>
          <w:tcPr>
            <w:tcW w:w="8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96"/>
        </w:trPr>
        <w:tc>
          <w:tcPr>
            <w:tcW w:w="1220" w:type="dxa"/>
            <w:vAlign w:val="bottom"/>
          </w:tcPr>
          <w:p>
            <w:pPr>
              <w:ind w:left="200"/>
              <w:spacing w:after="0"/>
              <w:rPr>
                <w:sz w:val="20"/>
                <w:szCs w:val="20"/>
                <w:color w:val="auto"/>
              </w:rPr>
            </w:pPr>
            <w:r>
              <w:rPr>
                <w:rFonts w:ascii="Arial" w:cs="Arial" w:eastAsia="Arial" w:hAnsi="Arial"/>
                <w:sz w:val="18"/>
                <w:szCs w:val="18"/>
                <w:color w:val="auto"/>
              </w:rPr>
              <w:t>NPV Post</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2"/>
        </w:trPr>
        <w:tc>
          <w:tcPr>
            <w:tcW w:w="1220" w:type="dxa"/>
            <w:vAlign w:val="bottom"/>
          </w:tcPr>
          <w:p>
            <w:pPr>
              <w:ind w:left="200"/>
              <w:spacing w:after="0"/>
              <w:rPr>
                <w:sz w:val="20"/>
                <w:szCs w:val="20"/>
                <w:color w:val="auto"/>
              </w:rPr>
            </w:pPr>
            <w:r>
              <w:rPr>
                <w:rFonts w:ascii="Arial" w:cs="Arial" w:eastAsia="Arial" w:hAnsi="Arial"/>
                <w:sz w:val="18"/>
                <w:szCs w:val="18"/>
                <w:color w:val="auto"/>
              </w:rPr>
              <w:t>Tax</w:t>
            </w:r>
          </w:p>
        </w:tc>
        <w:tc>
          <w:tcPr>
            <w:tcW w:w="840" w:type="dxa"/>
            <w:vAlign w:val="bottom"/>
          </w:tcPr>
          <w:p>
            <w:pPr>
              <w:ind w:left="80"/>
              <w:spacing w:after="0"/>
              <w:rPr>
                <w:sz w:val="20"/>
                <w:szCs w:val="20"/>
                <w:color w:val="auto"/>
              </w:rPr>
            </w:pPr>
            <w:r>
              <w:rPr>
                <w:rFonts w:ascii="Arial" w:cs="Arial" w:eastAsia="Arial" w:hAnsi="Arial"/>
                <w:sz w:val="18"/>
                <w:szCs w:val="18"/>
                <w:color w:val="auto"/>
              </w:rPr>
              <w:t>MIMUS$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5,766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6,335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6,193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5,339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6"/>
        </w:trPr>
        <w:tc>
          <w:tcPr>
            <w:tcW w:w="1220" w:type="dxa"/>
            <w:vAlign w:val="bottom"/>
          </w:tcPr>
          <w:p>
            <w:pPr>
              <w:ind w:left="200"/>
              <w:spacing w:after="0"/>
              <w:rPr>
                <w:sz w:val="20"/>
                <w:szCs w:val="20"/>
                <w:color w:val="auto"/>
              </w:rPr>
            </w:pPr>
            <w:r>
              <w:rPr>
                <w:rFonts w:ascii="Arial" w:cs="Arial" w:eastAsia="Arial" w:hAnsi="Arial"/>
                <w:sz w:val="18"/>
                <w:szCs w:val="18"/>
                <w:color w:val="auto"/>
              </w:rPr>
              <w:t>IRR Post</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2"/>
        </w:trPr>
        <w:tc>
          <w:tcPr>
            <w:tcW w:w="1220" w:type="dxa"/>
            <w:vAlign w:val="bottom"/>
          </w:tcPr>
          <w:p>
            <w:pPr>
              <w:ind w:left="200"/>
              <w:spacing w:after="0"/>
              <w:rPr>
                <w:sz w:val="20"/>
                <w:szCs w:val="20"/>
                <w:color w:val="auto"/>
              </w:rPr>
            </w:pPr>
            <w:r>
              <w:rPr>
                <w:rFonts w:ascii="Arial" w:cs="Arial" w:eastAsia="Arial" w:hAnsi="Arial"/>
                <w:sz w:val="18"/>
                <w:szCs w:val="18"/>
                <w:color w:val="auto"/>
              </w:rPr>
              <w:t>Tax</w:t>
            </w:r>
          </w:p>
        </w:tc>
        <w:tc>
          <w:tcPr>
            <w:tcW w:w="8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-2672715</wp:posOffset>
            </wp:positionV>
            <wp:extent cx="6078220" cy="32512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1">
                      <a:extLst>
                        <a:ext uri="{28A0092B-C50C-407E-A947-70E740481C1C}"/>
                      </a:extLst>
                    </a:blip>
                    <a:srcRect/>
                    <a:stretch>
                      <a:fillRect/>
                    </a:stretch>
                  </pic:blipFill>
                  <pic:spPr bwMode="auto">
                    <a:xfrm>
                      <a:off x="0" y="0"/>
                      <a:ext cx="6078220" cy="325120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-2672715</wp:posOffset>
            </wp:positionV>
            <wp:extent cx="6078220" cy="32512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2">
                      <a:extLst>
                        <a:ext uri="{28A0092B-C50C-407E-A947-70E740481C1C}"/>
                      </a:extLst>
                    </a:blip>
                    <a:srcRect/>
                    <a:stretch>
                      <a:fillRect/>
                    </a:stretch>
                  </pic:blipFill>
                  <pic:spPr bwMode="auto">
                    <a:xfrm>
                      <a:off x="0" y="0"/>
                      <a:ext cx="6078220" cy="3251200"/>
                    </a:xfrm>
                    <a:prstGeom prst="rect">
                      <a:avLst/>
                    </a:prstGeom>
                    <a:noFill/>
                  </pic:spPr>
                </pic:pic>
              </a:graphicData>
            </a:graphic>
          </wp:anchor>
        </w:drawing>
      </w:r>
    </w:p>
    <w:p>
      <w:pPr>
        <w:spacing w:after="0" w:line="322" w:lineRule="exact"/>
        <w:rPr>
          <w:sz w:val="20"/>
          <w:szCs w:val="20"/>
          <w:color w:val="auto"/>
        </w:rPr>
      </w:pPr>
    </w:p>
    <w:tbl>
      <w:tblPr>
        <w:tblLayout w:type="fixed"/>
        <w:tblInd w:w="900" w:type="dxa"/>
        <w:tblCellMar>
          <w:top w:w="0" w:type="dxa"/>
          <w:left w:w="0" w:type="dxa"/>
          <w:bottom w:w="0" w:type="dxa"/>
          <w:right w:w="0" w:type="dxa"/>
        </w:tblCellMar>
      </w:tblPr>
      <w:tr>
        <w:trPr>
          <w:trHeight w:val="250"/>
        </w:trPr>
        <w:tc>
          <w:tcPr>
            <w:tcW w:w="1880" w:type="dxa"/>
            <w:vAlign w:val="bottom"/>
            <w:shd w:val="clear" w:color="auto" w:fill="153A57"/>
          </w:tcPr>
          <w:p>
            <w:pPr>
              <w:spacing w:after="0"/>
              <w:rPr>
                <w:sz w:val="21"/>
                <w:szCs w:val="21"/>
                <w:color w:val="auto"/>
              </w:rPr>
            </w:pPr>
          </w:p>
        </w:tc>
        <w:tc>
          <w:tcPr>
            <w:tcW w:w="1780" w:type="dxa"/>
            <w:vAlign w:val="bottom"/>
            <w:shd w:val="clear" w:color="auto" w:fill="153A57"/>
          </w:tcPr>
          <w:p>
            <w:pPr>
              <w:jc w:val="right"/>
              <w:ind w:right="510"/>
              <w:spacing w:after="0"/>
              <w:rPr>
                <w:sz w:val="20"/>
                <w:szCs w:val="20"/>
                <w:color w:val="auto"/>
              </w:rPr>
            </w:pPr>
            <w:r>
              <w:rPr>
                <w:rFonts w:ascii="Arial" w:cs="Arial" w:eastAsia="Arial" w:hAnsi="Arial"/>
                <w:sz w:val="18"/>
                <w:szCs w:val="18"/>
                <w:b w:val="1"/>
                <w:bCs w:val="1"/>
                <w:color w:val="FFFFFF"/>
              </w:rPr>
              <w:t>Case 1</w:t>
            </w:r>
          </w:p>
        </w:tc>
        <w:tc>
          <w:tcPr>
            <w:tcW w:w="1600" w:type="dxa"/>
            <w:vAlign w:val="bottom"/>
            <w:shd w:val="clear" w:color="auto" w:fill="153A57"/>
          </w:tcPr>
          <w:p>
            <w:pPr>
              <w:spacing w:after="0"/>
              <w:rPr>
                <w:sz w:val="21"/>
                <w:szCs w:val="21"/>
                <w:color w:val="auto"/>
              </w:rPr>
            </w:pPr>
          </w:p>
        </w:tc>
        <w:tc>
          <w:tcPr>
            <w:tcW w:w="1600" w:type="dxa"/>
            <w:vAlign w:val="bottom"/>
            <w:shd w:val="clear" w:color="auto" w:fill="153A57"/>
          </w:tcPr>
          <w:p>
            <w:pPr>
              <w:spacing w:after="0"/>
              <w:rPr>
                <w:sz w:val="21"/>
                <w:szCs w:val="21"/>
                <w:color w:val="auto"/>
              </w:rPr>
            </w:pPr>
          </w:p>
        </w:tc>
        <w:tc>
          <w:tcPr>
            <w:tcW w:w="1600" w:type="dxa"/>
            <w:vAlign w:val="bottom"/>
            <w:shd w:val="clear" w:color="auto" w:fill="153A57"/>
          </w:tcPr>
          <w:p>
            <w:pPr>
              <w:spacing w:after="0"/>
              <w:rPr>
                <w:sz w:val="21"/>
                <w:szCs w:val="21"/>
                <w:color w:val="auto"/>
              </w:rPr>
            </w:pPr>
          </w:p>
        </w:tc>
        <w:tc>
          <w:tcPr>
            <w:tcW w:w="1100" w:type="dxa"/>
            <w:vAlign w:val="bottom"/>
            <w:shd w:val="clear" w:color="auto" w:fill="153A57"/>
          </w:tcPr>
          <w:p>
            <w:pPr>
              <w:spacing w:after="0"/>
              <w:rPr>
                <w:sz w:val="21"/>
                <w:szCs w:val="21"/>
                <w:color w:val="auto"/>
              </w:rPr>
            </w:pPr>
          </w:p>
        </w:tc>
      </w:tr>
      <w:tr>
        <w:trPr>
          <w:trHeight w:val="298"/>
        </w:trPr>
        <w:tc>
          <w:tcPr>
            <w:tcW w:w="1880" w:type="dxa"/>
            <w:vAlign w:val="bottom"/>
            <w:tcBorders>
              <w:bottom w:val="single" w:sz="8" w:color="153A57"/>
            </w:tcBorders>
            <w:shd w:val="clear" w:color="auto" w:fill="153A57"/>
          </w:tcPr>
          <w:p>
            <w:pPr>
              <w:ind w:left="200"/>
              <w:spacing w:after="0"/>
              <w:rPr>
                <w:sz w:val="20"/>
                <w:szCs w:val="20"/>
                <w:color w:val="auto"/>
              </w:rPr>
            </w:pPr>
            <w:r>
              <w:rPr>
                <w:rFonts w:ascii="Arial" w:cs="Arial" w:eastAsia="Arial" w:hAnsi="Arial"/>
                <w:sz w:val="18"/>
                <w:szCs w:val="18"/>
                <w:b w:val="1"/>
                <w:bCs w:val="1"/>
                <w:color w:val="FFFFFF"/>
              </w:rPr>
              <w:t>Overview</w:t>
            </w:r>
          </w:p>
        </w:tc>
        <w:tc>
          <w:tcPr>
            <w:tcW w:w="1780" w:type="dxa"/>
            <w:vAlign w:val="bottom"/>
            <w:tcBorders>
              <w:bottom w:val="single" w:sz="8" w:color="153A57"/>
            </w:tcBorders>
            <w:shd w:val="clear" w:color="auto" w:fill="153A57"/>
          </w:tcPr>
          <w:p>
            <w:pPr>
              <w:jc w:val="right"/>
              <w:ind w:right="330"/>
              <w:spacing w:after="0"/>
              <w:rPr>
                <w:sz w:val="20"/>
                <w:szCs w:val="20"/>
                <w:color w:val="auto"/>
              </w:rPr>
            </w:pPr>
            <w:r>
              <w:rPr>
                <w:rFonts w:ascii="Arial" w:cs="Arial" w:eastAsia="Arial" w:hAnsi="Arial"/>
                <w:sz w:val="18"/>
                <w:szCs w:val="18"/>
                <w:b w:val="1"/>
                <w:bCs w:val="1"/>
                <w:color w:val="FFFFFF"/>
              </w:rPr>
              <w:t>Base Case</w:t>
            </w:r>
          </w:p>
        </w:tc>
        <w:tc>
          <w:tcPr>
            <w:tcW w:w="1600" w:type="dxa"/>
            <w:vAlign w:val="bottom"/>
            <w:tcBorders>
              <w:bottom w:val="single" w:sz="8" w:color="153A57"/>
            </w:tcBorders>
            <w:shd w:val="clear" w:color="auto" w:fill="153A57"/>
          </w:tcPr>
          <w:p>
            <w:pPr>
              <w:jc w:val="right"/>
              <w:ind w:right="250"/>
              <w:spacing w:after="0"/>
              <w:rPr>
                <w:sz w:val="20"/>
                <w:szCs w:val="20"/>
                <w:color w:val="auto"/>
              </w:rPr>
            </w:pPr>
            <w:r>
              <w:rPr>
                <w:rFonts w:ascii="Arial" w:cs="Arial" w:eastAsia="Arial" w:hAnsi="Arial"/>
                <w:sz w:val="18"/>
                <w:szCs w:val="18"/>
                <w:b w:val="1"/>
                <w:bCs w:val="1"/>
                <w:color w:val="FFFFFF"/>
              </w:rPr>
              <w:t>CAPEX -20%</w:t>
            </w:r>
          </w:p>
        </w:tc>
        <w:tc>
          <w:tcPr>
            <w:tcW w:w="1600" w:type="dxa"/>
            <w:vAlign w:val="bottom"/>
            <w:tcBorders>
              <w:bottom w:val="single" w:sz="8" w:color="153A57"/>
            </w:tcBorders>
            <w:shd w:val="clear" w:color="auto" w:fill="153A57"/>
          </w:tcPr>
          <w:p>
            <w:pPr>
              <w:jc w:val="right"/>
              <w:ind w:right="250"/>
              <w:spacing w:after="0"/>
              <w:rPr>
                <w:sz w:val="20"/>
                <w:szCs w:val="20"/>
                <w:color w:val="auto"/>
              </w:rPr>
            </w:pPr>
            <w:r>
              <w:rPr>
                <w:rFonts w:ascii="Arial" w:cs="Arial" w:eastAsia="Arial" w:hAnsi="Arial"/>
                <w:sz w:val="18"/>
                <w:szCs w:val="18"/>
                <w:b w:val="1"/>
                <w:bCs w:val="1"/>
                <w:color w:val="FFFFFF"/>
              </w:rPr>
              <w:t>CAPEX -15%</w:t>
            </w:r>
          </w:p>
        </w:tc>
        <w:tc>
          <w:tcPr>
            <w:tcW w:w="1600" w:type="dxa"/>
            <w:vAlign w:val="bottom"/>
            <w:tcBorders>
              <w:bottom w:val="single" w:sz="8" w:color="153A57"/>
            </w:tcBorders>
            <w:shd w:val="clear" w:color="auto" w:fill="153A57"/>
          </w:tcPr>
          <w:p>
            <w:pPr>
              <w:jc w:val="right"/>
              <w:ind w:right="230"/>
              <w:spacing w:after="0"/>
              <w:rPr>
                <w:sz w:val="20"/>
                <w:szCs w:val="20"/>
                <w:color w:val="auto"/>
              </w:rPr>
            </w:pPr>
            <w:r>
              <w:rPr>
                <w:rFonts w:ascii="Arial" w:cs="Arial" w:eastAsia="Arial" w:hAnsi="Arial"/>
                <w:sz w:val="18"/>
                <w:szCs w:val="18"/>
                <w:b w:val="1"/>
                <w:bCs w:val="1"/>
                <w:color w:val="FFFFFF"/>
              </w:rPr>
              <w:t>CAPEX +15%</w:t>
            </w:r>
          </w:p>
        </w:tc>
        <w:tc>
          <w:tcPr>
            <w:tcW w:w="1100" w:type="dxa"/>
            <w:vAlign w:val="bottom"/>
            <w:tcBorders>
              <w:bottom w:val="single" w:sz="8" w:color="153A57"/>
            </w:tcBorders>
            <w:shd w:val="clear" w:color="auto" w:fill="153A57"/>
          </w:tcPr>
          <w:p>
            <w:pPr>
              <w:jc w:val="right"/>
              <w:spacing w:after="0"/>
              <w:rPr>
                <w:sz w:val="20"/>
                <w:szCs w:val="20"/>
                <w:color w:val="auto"/>
              </w:rPr>
            </w:pPr>
            <w:r>
              <w:rPr>
                <w:rFonts w:ascii="Arial" w:cs="Arial" w:eastAsia="Arial" w:hAnsi="Arial"/>
                <w:sz w:val="18"/>
                <w:szCs w:val="18"/>
                <w:b w:val="1"/>
                <w:bCs w:val="1"/>
                <w:color w:val="FFFFFF"/>
              </w:rPr>
              <w:t>CAPEX +20</w:t>
            </w:r>
          </w:p>
        </w:tc>
      </w:tr>
      <w:tr>
        <w:trPr>
          <w:trHeight w:val="250"/>
        </w:trPr>
        <w:tc>
          <w:tcPr>
            <w:tcW w:w="1880" w:type="dxa"/>
            <w:vAlign w:val="bottom"/>
          </w:tcPr>
          <w:p>
            <w:pPr>
              <w:ind w:left="200"/>
              <w:spacing w:after="0"/>
              <w:rPr>
                <w:sz w:val="20"/>
                <w:szCs w:val="20"/>
                <w:color w:val="auto"/>
              </w:rPr>
            </w:pPr>
            <w:r>
              <w:rPr>
                <w:rFonts w:ascii="Arial" w:cs="Arial" w:eastAsia="Arial" w:hAnsi="Arial"/>
                <w:sz w:val="18"/>
                <w:szCs w:val="18"/>
                <w:color w:val="auto"/>
              </w:rPr>
              <w:t>Production</w:t>
            </w:r>
          </w:p>
        </w:tc>
        <w:tc>
          <w:tcPr>
            <w:tcW w:w="17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2"/>
        </w:trPr>
        <w:tc>
          <w:tcPr>
            <w:tcW w:w="1880" w:type="dxa"/>
            <w:vAlign w:val="bottom"/>
          </w:tcPr>
          <w:p>
            <w:pPr>
              <w:ind w:left="200"/>
              <w:spacing w:after="0"/>
              <w:rPr>
                <w:sz w:val="20"/>
                <w:szCs w:val="20"/>
                <w:color w:val="auto"/>
              </w:rPr>
            </w:pPr>
            <w:r>
              <w:rPr>
                <w:rFonts w:ascii="Arial" w:cs="Arial" w:eastAsia="Arial" w:hAnsi="Arial"/>
                <w:sz w:val="18"/>
                <w:szCs w:val="18"/>
                <w:color w:val="auto"/>
              </w:rPr>
              <w:t>(LCE)</w:t>
            </w:r>
          </w:p>
        </w:tc>
        <w:tc>
          <w:tcPr>
            <w:tcW w:w="1780" w:type="dxa"/>
            <w:vAlign w:val="bottom"/>
          </w:tcPr>
          <w:p>
            <w:pPr>
              <w:jc w:val="right"/>
              <w:spacing w:after="0"/>
              <w:rPr>
                <w:sz w:val="20"/>
                <w:szCs w:val="20"/>
                <w:color w:val="auto"/>
              </w:rPr>
            </w:pPr>
            <w:r>
              <w:rPr>
                <w:rFonts w:ascii="Arial" w:cs="Arial" w:eastAsia="Arial" w:hAnsi="Arial"/>
                <w:sz w:val="18"/>
                <w:szCs w:val="18"/>
                <w:color w:val="auto"/>
              </w:rPr>
              <w:t>100%</w:t>
            </w:r>
          </w:p>
        </w:tc>
        <w:tc>
          <w:tcPr>
            <w:tcW w:w="1600" w:type="dxa"/>
            <w:vAlign w:val="bottom"/>
          </w:tcPr>
          <w:p>
            <w:pPr>
              <w:jc w:val="right"/>
              <w:spacing w:after="0"/>
              <w:rPr>
                <w:sz w:val="20"/>
                <w:szCs w:val="20"/>
                <w:color w:val="auto"/>
              </w:rPr>
            </w:pPr>
            <w:r>
              <w:rPr>
                <w:rFonts w:ascii="Arial" w:cs="Arial" w:eastAsia="Arial" w:hAnsi="Arial"/>
                <w:sz w:val="18"/>
                <w:szCs w:val="18"/>
                <w:color w:val="auto"/>
              </w:rPr>
              <w:t>100%</w:t>
            </w:r>
          </w:p>
        </w:tc>
        <w:tc>
          <w:tcPr>
            <w:tcW w:w="1600" w:type="dxa"/>
            <w:vAlign w:val="bottom"/>
          </w:tcPr>
          <w:p>
            <w:pPr>
              <w:jc w:val="right"/>
              <w:spacing w:after="0"/>
              <w:rPr>
                <w:sz w:val="20"/>
                <w:szCs w:val="20"/>
                <w:color w:val="auto"/>
              </w:rPr>
            </w:pPr>
            <w:r>
              <w:rPr>
                <w:rFonts w:ascii="Arial" w:cs="Arial" w:eastAsia="Arial" w:hAnsi="Arial"/>
                <w:sz w:val="18"/>
                <w:szCs w:val="18"/>
                <w:color w:val="auto"/>
              </w:rPr>
              <w:t>100%</w:t>
            </w:r>
          </w:p>
        </w:tc>
        <w:tc>
          <w:tcPr>
            <w:tcW w:w="1600" w:type="dxa"/>
            <w:vAlign w:val="bottom"/>
          </w:tcPr>
          <w:p>
            <w:pPr>
              <w:jc w:val="right"/>
              <w:spacing w:after="0"/>
              <w:rPr>
                <w:sz w:val="20"/>
                <w:szCs w:val="20"/>
                <w:color w:val="auto"/>
              </w:rPr>
            </w:pPr>
            <w:r>
              <w:rPr>
                <w:rFonts w:ascii="Arial" w:cs="Arial" w:eastAsia="Arial" w:hAnsi="Arial"/>
                <w:sz w:val="18"/>
                <w:szCs w:val="18"/>
                <w:color w:val="auto"/>
              </w:rPr>
              <w:t>100%</w:t>
            </w:r>
          </w:p>
        </w:tc>
        <w:tc>
          <w:tcPr>
            <w:tcW w:w="1100" w:type="dxa"/>
            <w:vAlign w:val="bottom"/>
          </w:tcPr>
          <w:p>
            <w:pPr>
              <w:spacing w:after="0"/>
              <w:rPr>
                <w:sz w:val="23"/>
                <w:szCs w:val="23"/>
                <w:color w:val="auto"/>
              </w:rPr>
            </w:pPr>
          </w:p>
        </w:tc>
      </w:tr>
      <w:tr>
        <w:trPr>
          <w:trHeight w:val="296"/>
        </w:trPr>
        <w:tc>
          <w:tcPr>
            <w:tcW w:w="1880" w:type="dxa"/>
            <w:vAlign w:val="bottom"/>
          </w:tcPr>
          <w:p>
            <w:pPr>
              <w:ind w:left="200"/>
              <w:spacing w:after="0"/>
              <w:rPr>
                <w:sz w:val="20"/>
                <w:szCs w:val="20"/>
                <w:color w:val="auto"/>
              </w:rPr>
            </w:pPr>
            <w:r>
              <w:rPr>
                <w:rFonts w:ascii="Arial" w:cs="Arial" w:eastAsia="Arial" w:hAnsi="Arial"/>
                <w:sz w:val="18"/>
                <w:szCs w:val="18"/>
                <w:color w:val="auto"/>
              </w:rPr>
              <w:t>Capital cost</w:t>
            </w:r>
          </w:p>
        </w:tc>
        <w:tc>
          <w:tcPr>
            <w:tcW w:w="1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2"/>
        </w:trPr>
        <w:tc>
          <w:tcPr>
            <w:tcW w:w="1880" w:type="dxa"/>
            <w:vAlign w:val="bottom"/>
          </w:tcPr>
          <w:p>
            <w:pPr>
              <w:ind w:left="200"/>
              <w:spacing w:after="0"/>
              <w:rPr>
                <w:sz w:val="20"/>
                <w:szCs w:val="20"/>
                <w:color w:val="auto"/>
              </w:rPr>
            </w:pPr>
            <w:r>
              <w:rPr>
                <w:rFonts w:ascii="Arial" w:cs="Arial" w:eastAsia="Arial" w:hAnsi="Arial"/>
                <w:sz w:val="18"/>
                <w:szCs w:val="18"/>
                <w:color w:val="auto"/>
                <w:w w:val="96"/>
              </w:rPr>
              <w:t>(CAPEX)US$</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$ 3,301,209,207</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$ 2,640,967,366</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$ 2,806,027,826</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$ 3,796,390,588</w:t>
            </w:r>
          </w:p>
        </w:tc>
        <w:tc>
          <w:tcPr>
            <w:tcW w:w="1100" w:type="dxa"/>
            <w:vAlign w:val="bottom"/>
          </w:tcPr>
          <w:p>
            <w:pPr>
              <w:jc w:val="right"/>
              <w:spacing w:after="0"/>
              <w:rPr>
                <w:sz w:val="20"/>
                <w:szCs w:val="20"/>
                <w:color w:val="auto"/>
              </w:rPr>
            </w:pPr>
            <w:r>
              <w:rPr>
                <w:rFonts w:ascii="Arial" w:cs="Arial" w:eastAsia="Arial" w:hAnsi="Arial"/>
                <w:sz w:val="18"/>
                <w:szCs w:val="18"/>
                <w:color w:val="auto"/>
              </w:rPr>
              <w:t>$ 3,961,451,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-697230</wp:posOffset>
            </wp:positionV>
            <wp:extent cx="6078220" cy="7270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3">
                      <a:extLst>
                        <a:ext uri="{28A0092B-C50C-407E-A947-70E740481C1C}"/>
                      </a:extLst>
                    </a:blip>
                    <a:srcRect/>
                    <a:stretch>
                      <a:fillRect/>
                    </a:stretch>
                  </pic:blipFill>
                  <pic:spPr bwMode="auto">
                    <a:xfrm>
                      <a:off x="0" y="0"/>
                      <a:ext cx="6078220" cy="72707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-697230</wp:posOffset>
            </wp:positionV>
            <wp:extent cx="6078220" cy="7270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4">
                      <a:extLst>
                        <a:ext uri="{28A0092B-C50C-407E-A947-70E740481C1C}"/>
                      </a:extLst>
                    </a:blip>
                    <a:srcRect/>
                    <a:stretch>
                      <a:fillRect/>
                    </a:stretch>
                  </pic:blipFill>
                  <pic:spPr bwMode="auto">
                    <a:xfrm>
                      <a:off x="0" y="0"/>
                      <a:ext cx="6078220" cy="72707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25 / 26</w:t>
      </w:r>
    </w:p>
    <w:p>
      <w:pPr>
        <w:sectPr>
          <w:pgSz w:w="11900" w:h="16838" w:orient="portrait"/>
          <w:cols w:equalWidth="0" w:num="1">
            <w:col w:w="10460"/>
          </w:cols>
          <w:pgMar w:left="1440" w:top="1440" w:right="6" w:bottom="0" w:gutter="0" w:footer="0" w:header="0"/>
          <w:type w:val="continuous"/>
        </w:sectPr>
      </w:pPr>
    </w:p>
    <w:bookmarkStart w:id="161" w:name="page162"/>
    <w:bookmarkEnd w:id="161"/>
    <w:tbl>
      <w:tblPr>
        <w:tblLayout w:type="fixed"/>
        <w:tblInd w:w="110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Operating</w:t>
            </w: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72"/>
        </w:trPr>
        <w:tc>
          <w:tcPr>
            <w:tcW w:w="980" w:type="dxa"/>
            <w:vAlign w:val="bottom"/>
          </w:tcPr>
          <w:p>
            <w:pPr>
              <w:spacing w:after="0"/>
              <w:rPr>
                <w:sz w:val="20"/>
                <w:szCs w:val="20"/>
                <w:color w:val="auto"/>
              </w:rPr>
            </w:pPr>
            <w:r>
              <w:rPr>
                <w:rFonts w:ascii="Arial" w:cs="Arial" w:eastAsia="Arial" w:hAnsi="Arial"/>
                <w:sz w:val="18"/>
                <w:szCs w:val="18"/>
                <w:color w:val="auto"/>
              </w:rPr>
              <w:t>cost</w:t>
            </w: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2"/>
        </w:trPr>
        <w:tc>
          <w:tcPr>
            <w:tcW w:w="980" w:type="dxa"/>
            <w:vAlign w:val="bottom"/>
          </w:tcPr>
          <w:p>
            <w:pPr>
              <w:spacing w:after="0"/>
              <w:rPr>
                <w:sz w:val="20"/>
                <w:szCs w:val="20"/>
                <w:color w:val="auto"/>
              </w:rPr>
            </w:pPr>
            <w:r>
              <w:rPr>
                <w:rFonts w:ascii="Arial" w:cs="Arial" w:eastAsia="Arial" w:hAnsi="Arial"/>
                <w:sz w:val="18"/>
                <w:szCs w:val="18"/>
                <w:color w:val="auto"/>
              </w:rPr>
              <w:t>(OPEX)</w:t>
            </w:r>
          </w:p>
        </w:tc>
        <w:tc>
          <w:tcPr>
            <w:tcW w:w="460" w:type="dxa"/>
            <w:vAlign w:val="bottom"/>
          </w:tcPr>
          <w:p>
            <w:pPr>
              <w:ind w:left="120"/>
              <w:spacing w:after="0"/>
              <w:rPr>
                <w:sz w:val="20"/>
                <w:szCs w:val="20"/>
                <w:color w:val="auto"/>
              </w:rPr>
            </w:pPr>
            <w:r>
              <w:rPr>
                <w:rFonts w:ascii="Arial" w:cs="Arial" w:eastAsia="Arial" w:hAnsi="Arial"/>
                <w:sz w:val="18"/>
                <w:szCs w:val="18"/>
                <w:color w:val="auto"/>
                <w:w w:val="91"/>
              </w:rPr>
              <w:t>US$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769,284,742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769,284,742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769,284,742</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769,284,742</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769,284,</w:t>
            </w:r>
          </w:p>
        </w:tc>
      </w:tr>
      <w:tr>
        <w:trPr>
          <w:trHeight w:val="296"/>
        </w:trPr>
        <w:tc>
          <w:tcPr>
            <w:tcW w:w="980" w:type="dxa"/>
            <w:vAlign w:val="bottom"/>
          </w:tcPr>
          <w:p>
            <w:pPr>
              <w:spacing w:after="0"/>
              <w:rPr>
                <w:sz w:val="20"/>
                <w:szCs w:val="20"/>
                <w:color w:val="auto"/>
              </w:rPr>
            </w:pPr>
            <w:r>
              <w:rPr>
                <w:rFonts w:ascii="Arial" w:cs="Arial" w:eastAsia="Arial" w:hAnsi="Arial"/>
                <w:sz w:val="18"/>
                <w:szCs w:val="18"/>
                <w:color w:val="auto"/>
              </w:rPr>
              <w:t>Av. Selling</w:t>
            </w:r>
          </w:p>
        </w:tc>
        <w:tc>
          <w:tcPr>
            <w:tcW w:w="460" w:type="dxa"/>
            <w:vAlign w:val="bottom"/>
          </w:tcPr>
          <w:p>
            <w:pPr>
              <w:ind w:left="120"/>
              <w:spacing w:after="0"/>
              <w:rPr>
                <w:sz w:val="20"/>
                <w:szCs w:val="20"/>
                <w:color w:val="auto"/>
              </w:rPr>
            </w:pPr>
            <w:r>
              <w:rPr>
                <w:rFonts w:ascii="Arial" w:cs="Arial" w:eastAsia="Arial" w:hAnsi="Arial"/>
                <w:sz w:val="18"/>
                <w:szCs w:val="18"/>
                <w:color w:val="auto"/>
                <w:w w:val="91"/>
              </w:rPr>
              <w:t>US$</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/t</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2"/>
        </w:trPr>
        <w:tc>
          <w:tcPr>
            <w:tcW w:w="980" w:type="dxa"/>
            <w:vAlign w:val="bottom"/>
          </w:tcPr>
          <w:p>
            <w:pPr>
              <w:spacing w:after="0"/>
              <w:rPr>
                <w:sz w:val="20"/>
                <w:szCs w:val="20"/>
                <w:color w:val="auto"/>
              </w:rPr>
            </w:pPr>
            <w:r>
              <w:rPr>
                <w:rFonts w:ascii="Arial" w:cs="Arial" w:eastAsia="Arial" w:hAnsi="Arial"/>
                <w:sz w:val="18"/>
                <w:szCs w:val="18"/>
                <w:color w:val="auto"/>
              </w:rPr>
              <w:t>Price LCE</w:t>
            </w:r>
          </w:p>
        </w:tc>
        <w:tc>
          <w:tcPr>
            <w:tcW w:w="460" w:type="dxa"/>
            <w:vAlign w:val="bottom"/>
          </w:tcPr>
          <w:p>
            <w:pPr>
              <w:ind w:left="120"/>
              <w:spacing w:after="0"/>
              <w:rPr>
                <w:sz w:val="20"/>
                <w:szCs w:val="20"/>
                <w:color w:val="auto"/>
              </w:rPr>
            </w:pPr>
            <w:r>
              <w:rPr>
                <w:rFonts w:ascii="Arial" w:cs="Arial" w:eastAsia="Arial" w:hAnsi="Arial"/>
                <w:sz w:val="18"/>
                <w:szCs w:val="18"/>
                <w:color w:val="auto"/>
                <w:w w:val="91"/>
              </w:rPr>
              <w:t>LCE</w:t>
            </w:r>
          </w:p>
        </w:tc>
        <w:tc>
          <w:tcPr>
            <w:tcW w:w="680" w:type="dxa"/>
            <w:vAlign w:val="bottom"/>
          </w:tcPr>
          <w:p>
            <w:pPr>
              <w:spacing w:after="0"/>
              <w:rPr>
                <w:sz w:val="23"/>
                <w:szCs w:val="23"/>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18,000</w:t>
            </w:r>
          </w:p>
        </w:tc>
        <w:tc>
          <w:tcPr>
            <w:tcW w:w="260" w:type="dxa"/>
            <w:vAlign w:val="bottom"/>
          </w:tcPr>
          <w:p>
            <w:pPr>
              <w:spacing w:after="0"/>
              <w:rPr>
                <w:sz w:val="23"/>
                <w:szCs w:val="23"/>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18,000</w:t>
            </w:r>
          </w:p>
        </w:tc>
        <w:tc>
          <w:tcPr>
            <w:tcW w:w="26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18,000</w:t>
            </w:r>
          </w:p>
        </w:tc>
        <w:tc>
          <w:tcPr>
            <w:tcW w:w="34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18,000</w:t>
            </w:r>
          </w:p>
        </w:tc>
        <w:tc>
          <w:tcPr>
            <w:tcW w:w="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96"/>
        </w:trPr>
        <w:tc>
          <w:tcPr>
            <w:tcW w:w="980" w:type="dxa"/>
            <w:vAlign w:val="bottom"/>
          </w:tcPr>
          <w:p>
            <w:pPr>
              <w:spacing w:after="0"/>
              <w:rPr>
                <w:sz w:val="20"/>
                <w:szCs w:val="20"/>
                <w:color w:val="auto"/>
              </w:rPr>
            </w:pPr>
            <w:r>
              <w:rPr>
                <w:rFonts w:ascii="Arial" w:cs="Arial" w:eastAsia="Arial" w:hAnsi="Arial"/>
                <w:sz w:val="18"/>
                <w:szCs w:val="18"/>
                <w:color w:val="auto"/>
              </w:rPr>
              <w:t>Discount</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2"/>
        </w:trPr>
        <w:tc>
          <w:tcPr>
            <w:tcW w:w="980" w:type="dxa"/>
            <w:vAlign w:val="bottom"/>
          </w:tcPr>
          <w:p>
            <w:pPr>
              <w:spacing w:after="0"/>
              <w:rPr>
                <w:sz w:val="20"/>
                <w:szCs w:val="20"/>
                <w:color w:val="auto"/>
              </w:rPr>
            </w:pPr>
            <w:r>
              <w:rPr>
                <w:rFonts w:ascii="Arial" w:cs="Arial" w:eastAsia="Arial" w:hAnsi="Arial"/>
                <w:sz w:val="18"/>
                <w:szCs w:val="18"/>
                <w:color w:val="auto"/>
              </w:rPr>
              <w:t>Rate</w:t>
            </w:r>
          </w:p>
        </w:tc>
        <w:tc>
          <w:tcPr>
            <w:tcW w:w="46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1482090</wp:posOffset>
            </wp:positionH>
            <wp:positionV relativeFrom="page">
              <wp:posOffset>720090</wp:posOffset>
            </wp:positionV>
            <wp:extent cx="1286510" cy="5327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5">
                      <a:extLst>
                        <a:ext uri="{28A0092B-C50C-407E-A947-70E740481C1C}"/>
                      </a:extLst>
                    </a:blip>
                    <a:srcRect/>
                    <a:stretch>
                      <a:fillRect/>
                    </a:stretch>
                  </pic:blipFill>
                  <pic:spPr bwMode="auto">
                    <a:xfrm>
                      <a:off x="0" y="0"/>
                      <a:ext cx="1286510" cy="532765"/>
                    </a:xfrm>
                    <a:prstGeom prst="rect">
                      <a:avLst/>
                    </a:prstGeom>
                    <a:noFill/>
                  </pic:spPr>
                </pic:pic>
              </a:graphicData>
            </a:graphic>
          </wp:anchor>
        </w:drawing>
        <w:drawing>
          <wp:anchor simplePos="0" relativeHeight="251657728" behindDoc="1" locked="0" layoutInCell="0" allowOverlap="1">
            <wp:simplePos x="0" y="0"/>
            <wp:positionH relativeFrom="page">
              <wp:posOffset>3677285</wp:posOffset>
            </wp:positionH>
            <wp:positionV relativeFrom="page">
              <wp:posOffset>720090</wp:posOffset>
            </wp:positionV>
            <wp:extent cx="116840" cy="5327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6">
                      <a:extLst>
                        <a:ext uri="{28A0092B-C50C-407E-A947-70E740481C1C}"/>
                      </a:extLst>
                    </a:blip>
                    <a:srcRect/>
                    <a:stretch>
                      <a:fillRect/>
                    </a:stretch>
                  </pic:blipFill>
                  <pic:spPr bwMode="auto">
                    <a:xfrm>
                      <a:off x="0" y="0"/>
                      <a:ext cx="116840" cy="532765"/>
                    </a:xfrm>
                    <a:prstGeom prst="rect">
                      <a:avLst/>
                    </a:prstGeom>
                    <a:noFill/>
                  </pic:spPr>
                </pic:pic>
              </a:graphicData>
            </a:graphic>
          </wp:anchor>
        </w:drawing>
        <w:drawing>
          <wp:anchor simplePos="0" relativeHeight="251657728" behindDoc="1" locked="0" layoutInCell="0" allowOverlap="1">
            <wp:simplePos x="0" y="0"/>
            <wp:positionH relativeFrom="page">
              <wp:posOffset>4693285</wp:posOffset>
            </wp:positionH>
            <wp:positionV relativeFrom="page">
              <wp:posOffset>720090</wp:posOffset>
            </wp:positionV>
            <wp:extent cx="116840" cy="5327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7">
                      <a:extLst>
                        <a:ext uri="{28A0092B-C50C-407E-A947-70E740481C1C}"/>
                      </a:extLst>
                    </a:blip>
                    <a:srcRect/>
                    <a:stretch>
                      <a:fillRect/>
                    </a:stretch>
                  </pic:blipFill>
                  <pic:spPr bwMode="auto">
                    <a:xfrm>
                      <a:off x="0" y="0"/>
                      <a:ext cx="116840" cy="532765"/>
                    </a:xfrm>
                    <a:prstGeom prst="rect">
                      <a:avLst/>
                    </a:prstGeom>
                    <a:noFill/>
                  </pic:spPr>
                </pic:pic>
              </a:graphicData>
            </a:graphic>
          </wp:anchor>
        </w:drawing>
        <w:drawing>
          <wp:anchor simplePos="0" relativeHeight="251657728" behindDoc="1" locked="0" layoutInCell="0" allowOverlap="1">
            <wp:simplePos x="0" y="0"/>
            <wp:positionH relativeFrom="page">
              <wp:posOffset>5708015</wp:posOffset>
            </wp:positionH>
            <wp:positionV relativeFrom="page">
              <wp:posOffset>720090</wp:posOffset>
            </wp:positionV>
            <wp:extent cx="116840" cy="5327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8">
                      <a:extLst>
                        <a:ext uri="{28A0092B-C50C-407E-A947-70E740481C1C}"/>
                      </a:extLst>
                    </a:blip>
                    <a:srcRect/>
                    <a:stretch>
                      <a:fillRect/>
                    </a:stretch>
                  </pic:blipFill>
                  <pic:spPr bwMode="auto">
                    <a:xfrm>
                      <a:off x="0" y="0"/>
                      <a:ext cx="116840" cy="532765"/>
                    </a:xfrm>
                    <a:prstGeom prst="rect">
                      <a:avLst/>
                    </a:prstGeom>
                    <a:noFill/>
                  </pic:spPr>
                </pic:pic>
              </a:graphicData>
            </a:graphic>
          </wp:anchor>
        </w:drawing>
        <w:drawing>
          <wp:anchor simplePos="0" relativeHeight="251657728" behindDoc="1" locked="0" layoutInCell="0" allowOverlap="1">
            <wp:simplePos x="0" y="0"/>
            <wp:positionH relativeFrom="page">
              <wp:posOffset>6722745</wp:posOffset>
            </wp:positionH>
            <wp:positionV relativeFrom="page">
              <wp:posOffset>720090</wp:posOffset>
            </wp:positionV>
            <wp:extent cx="116840" cy="5327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59">
                      <a:extLst>
                        <a:ext uri="{28A0092B-C50C-407E-A947-70E740481C1C}"/>
                      </a:extLst>
                    </a:blip>
                    <a:srcRect/>
                    <a:stretch>
                      <a:fillRect/>
                    </a:stretch>
                  </pic:blipFill>
                  <pic:spPr bwMode="auto">
                    <a:xfrm>
                      <a:off x="0" y="0"/>
                      <a:ext cx="116840" cy="53276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-697230</wp:posOffset>
            </wp:positionV>
            <wp:extent cx="6078220" cy="7270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0">
                      <a:extLst>
                        <a:ext uri="{28A0092B-C50C-407E-A947-70E740481C1C}"/>
                      </a:extLst>
                    </a:blip>
                    <a:srcRect/>
                    <a:stretch>
                      <a:fillRect/>
                    </a:stretch>
                  </pic:blipFill>
                  <pic:spPr bwMode="auto">
                    <a:xfrm>
                      <a:off x="0" y="0"/>
                      <a:ext cx="6078220" cy="72707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-697230</wp:posOffset>
            </wp:positionV>
            <wp:extent cx="6078220" cy="7270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1">
                      <a:extLst>
                        <a:ext uri="{28A0092B-C50C-407E-A947-70E740481C1C}"/>
                      </a:extLst>
                    </a:blip>
                    <a:srcRect/>
                    <a:stretch>
                      <a:fillRect/>
                    </a:stretch>
                  </pic:blipFill>
                  <pic:spPr bwMode="auto">
                    <a:xfrm>
                      <a:off x="0" y="0"/>
                      <a:ext cx="6078220" cy="727075"/>
                    </a:xfrm>
                    <a:prstGeom prst="rect">
                      <a:avLst/>
                    </a:prstGeom>
                    <a:noFill/>
                  </pic:spPr>
                </pic:pic>
              </a:graphicData>
            </a:graphic>
          </wp:anchor>
        </w:drawing>
      </w:r>
    </w:p>
    <w:p>
      <w:pPr>
        <w:sectPr>
          <w:pgSz w:w="11900" w:h="16838" w:orient="portrait"/>
          <w:cols w:equalWidth="0" w:num="1">
            <w:col w:w="10460"/>
          </w:cols>
          <w:pgMar w:left="1440" w:top="1176"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26 / 26</w:t>
      </w:r>
    </w:p>
    <w:p>
      <w:pPr>
        <w:sectPr>
          <w:pgSz w:w="11900" w:h="16838" w:orient="portrait"/>
          <w:cols w:equalWidth="0" w:num="1">
            <w:col w:w="10460"/>
          </w:cols>
          <w:pgMar w:left="1440" w:top="1176" w:right="6" w:bottom="0" w:gutter="0" w:footer="0" w:header="0"/>
          <w:type w:val="continuous"/>
        </w:sectPr>
      </w:pPr>
    </w:p>
    <w:bookmarkStart w:id="162" w:name="page163"/>
    <w:bookmarkEnd w:id="162"/>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NPV Post</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Tax</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MIMUS$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5,766</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6,151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6,055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5,477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5,381</w:t>
      </w:r>
    </w:p>
    <w:p>
      <w:pPr>
        <w:spacing w:after="0" w:line="3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IRR Post</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Tax</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28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8</w:t>
      </w:r>
    </w:p>
    <w:p>
      <w:pPr>
        <w:sectPr>
          <w:pgSz w:w="11900" w:h="16838" w:orient="portrait"/>
          <w:cols w:equalWidth="0" w:num="1">
            <w:col w:w="9400"/>
          </w:cols>
          <w:pgMar w:left="1260" w:top="1282" w:right="1246" w:bottom="0" w:gutter="0" w:footer="0" w:header="0"/>
          <w:type w:val="continuous"/>
        </w:sectPr>
      </w:pPr>
    </w:p>
    <w:bookmarkStart w:id="163" w:name="page164"/>
    <w:bookmarkEnd w:id="163"/>
    <w:p>
      <w:pPr>
        <w:jc w:val="right"/>
        <w:spacing w:after="0"/>
        <w:rPr>
          <w:sz w:val="20"/>
          <w:szCs w:val="20"/>
          <w:color w:val="auto"/>
        </w:rPr>
      </w:pPr>
      <w:r>
        <w:rPr>
          <w:rFonts w:ascii="Arial" w:cs="Arial" w:eastAsia="Arial" w:hAnsi="Arial"/>
          <w:sz w:val="18"/>
          <w:szCs w:val="18"/>
          <w:color w:val="auto"/>
        </w:rPr>
        <w:t>30</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1319530</wp:posOffset>
            </wp:positionV>
            <wp:extent cx="6764020" cy="19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400"/>
          </w:cols>
          <w:pgMar w:left="1260" w:top="116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8</w:t>
      </w:r>
    </w:p>
    <w:p>
      <w:pPr>
        <w:sectPr>
          <w:pgSz w:w="11900" w:h="16838" w:orient="portrait"/>
          <w:cols w:equalWidth="0" w:num="1">
            <w:col w:w="9400"/>
          </w:cols>
          <w:pgMar w:left="1260" w:top="1162" w:right="1246" w:bottom="0" w:gutter="0" w:footer="0" w:header="0"/>
          <w:type w:val="continuous"/>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After-Tax sensitivity of NPV and IRR to variations in CapEx, OpEx and Price is shown on Figure 215 and Fig 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177165</wp:posOffset>
            </wp:positionV>
            <wp:extent cx="5579110" cy="35528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3">
                      <a:extLst>
                        <a:ext uri="{28A0092B-C50C-407E-A947-70E740481C1C}"/>
                      </a:extLst>
                    </a:blip>
                    <a:srcRect/>
                    <a:stretch>
                      <a:fillRect/>
                    </a:stretch>
                  </pic:blipFill>
                  <pic:spPr bwMode="auto">
                    <a:xfrm>
                      <a:off x="0" y="0"/>
                      <a:ext cx="5579110" cy="3552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Figure 215: After-Tax NPV Sensitivity to CapEx, OpEx and Price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1266825</wp:posOffset>
            </wp:positionH>
            <wp:positionV relativeFrom="paragraph">
              <wp:posOffset>217170</wp:posOffset>
            </wp:positionV>
            <wp:extent cx="5276850" cy="34194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4">
                      <a:extLst>
                        <a:ext uri="{28A0092B-C50C-407E-A947-70E740481C1C}"/>
                      </a:extLst>
                    </a:blip>
                    <a:srcRect/>
                    <a:stretch>
                      <a:fillRect/>
                    </a:stretch>
                  </pic:blipFill>
                  <pic:spPr bwMode="auto">
                    <a:xfrm>
                      <a:off x="0" y="0"/>
                      <a:ext cx="5276850" cy="341947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3 / 8</w:t>
      </w:r>
    </w:p>
    <w:p>
      <w:pPr>
        <w:sectPr>
          <w:pgSz w:w="11900" w:h="16838" w:orient="portrait"/>
          <w:cols w:equalWidth="0" w:num="1">
            <w:col w:w="10460"/>
          </w:cols>
          <w:pgMar w:left="1440" w:top="1440" w:right="6" w:bottom="0" w:gutter="0" w:footer="0" w:header="0"/>
          <w:type w:val="continuous"/>
        </w:sectPr>
      </w:pPr>
    </w:p>
    <w:bookmarkStart w:id="165" w:name="page166"/>
    <w:bookmarkEnd w:id="1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2016760</wp:posOffset>
            </wp:positionV>
            <wp:extent cx="6764020"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 / 8</w:t>
      </w:r>
    </w:p>
    <w:p>
      <w:pPr>
        <w:sectPr>
          <w:pgSz w:w="11900" w:h="16838" w:orient="portrait"/>
          <w:cols w:equalWidth="0" w:num="1">
            <w:col w:w="9026"/>
          </w:cols>
          <w:pgMar w:left="1440" w:top="1440" w:right="1440" w:bottom="0" w:gutter="0" w:footer="0" w:header="0"/>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Figure 216: After-Tax IRR Sensitivity to CapEx, OpEx and Price Variation</w:t>
      </w:r>
    </w:p>
    <w:p>
      <w:pPr>
        <w:spacing w:after="0" w:line="279" w:lineRule="exact"/>
        <w:rPr>
          <w:sz w:val="20"/>
          <w:szCs w:val="20"/>
          <w:color w:val="auto"/>
        </w:rPr>
      </w:pPr>
    </w:p>
    <w:p>
      <w:pPr>
        <w:ind w:left="900" w:right="20"/>
        <w:spacing w:after="0" w:line="307" w:lineRule="auto"/>
        <w:rPr>
          <w:sz w:val="20"/>
          <w:szCs w:val="20"/>
          <w:color w:val="auto"/>
        </w:rPr>
      </w:pPr>
      <w:r>
        <w:rPr>
          <w:rFonts w:ascii="Arial" w:cs="Arial" w:eastAsia="Arial" w:hAnsi="Arial"/>
          <w:sz w:val="20"/>
          <w:szCs w:val="20"/>
          <w:color w:val="auto"/>
        </w:rPr>
        <w:t>The Project’s IRR results are most sensitive to changes in product pricing. For this reason, the sensitivity of and IRR to specific price scenarios has been evaluated and is presented in Table 142 and Figure 217.</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Table 142: Sensitivity Analysis for Different Price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222885</wp:posOffset>
            </wp:positionV>
            <wp:extent cx="6090920" cy="9124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6">
                      <a:extLst>
                        <a:ext uri="{28A0092B-C50C-407E-A947-70E740481C1C}"/>
                      </a:extLst>
                    </a:blip>
                    <a:srcRect/>
                    <a:stretch>
                      <a:fillRect/>
                    </a:stretch>
                  </pic:blipFill>
                  <pic:spPr bwMode="auto">
                    <a:xfrm>
                      <a:off x="0" y="0"/>
                      <a:ext cx="6090920" cy="912495"/>
                    </a:xfrm>
                    <a:prstGeom prst="rect">
                      <a:avLst/>
                    </a:prstGeom>
                    <a:noFill/>
                  </pic:spPr>
                </pic:pic>
              </a:graphicData>
            </a:graphic>
          </wp:anchor>
        </w:drawing>
      </w:r>
    </w:p>
    <w:p>
      <w:pPr>
        <w:spacing w:after="0" w:line="351" w:lineRule="exact"/>
        <w:rPr>
          <w:sz w:val="20"/>
          <w:szCs w:val="20"/>
          <w:color w:val="auto"/>
        </w:rPr>
      </w:pPr>
    </w:p>
    <w:tbl>
      <w:tblPr>
        <w:tblLayout w:type="fixed"/>
        <w:tblInd w:w="900" w:type="dxa"/>
        <w:tblCellMar>
          <w:top w:w="0" w:type="dxa"/>
          <w:left w:w="0" w:type="dxa"/>
          <w:bottom w:w="0" w:type="dxa"/>
          <w:right w:w="0" w:type="dxa"/>
        </w:tblCellMar>
      </w:tblPr>
      <w:tr>
        <w:trPr>
          <w:trHeight w:val="260"/>
        </w:trPr>
        <w:tc>
          <w:tcPr>
            <w:tcW w:w="1140" w:type="dxa"/>
            <w:vAlign w:val="bottom"/>
            <w:shd w:val="clear" w:color="auto" w:fill="153A57"/>
          </w:tcPr>
          <w:p>
            <w:pPr>
              <w:spacing w:after="0"/>
              <w:rPr>
                <w:sz w:val="22"/>
                <w:szCs w:val="22"/>
                <w:color w:val="auto"/>
              </w:rPr>
            </w:pPr>
          </w:p>
        </w:tc>
        <w:tc>
          <w:tcPr>
            <w:tcW w:w="800" w:type="dxa"/>
            <w:vAlign w:val="bottom"/>
            <w:shd w:val="clear" w:color="auto" w:fill="153A57"/>
          </w:tcPr>
          <w:p>
            <w:pPr>
              <w:spacing w:after="0"/>
              <w:rPr>
                <w:sz w:val="22"/>
                <w:szCs w:val="22"/>
                <w:color w:val="auto"/>
              </w:rPr>
            </w:pPr>
          </w:p>
        </w:tc>
        <w:tc>
          <w:tcPr>
            <w:tcW w:w="220" w:type="dxa"/>
            <w:vAlign w:val="bottom"/>
            <w:shd w:val="clear" w:color="auto" w:fill="153A57"/>
          </w:tcPr>
          <w:p>
            <w:pPr>
              <w:spacing w:after="0"/>
              <w:rPr>
                <w:sz w:val="22"/>
                <w:szCs w:val="22"/>
                <w:color w:val="auto"/>
              </w:rPr>
            </w:pPr>
          </w:p>
        </w:tc>
        <w:tc>
          <w:tcPr>
            <w:tcW w:w="1420" w:type="dxa"/>
            <w:vAlign w:val="bottom"/>
            <w:shd w:val="clear" w:color="auto" w:fill="153A57"/>
          </w:tcPr>
          <w:p>
            <w:pPr>
              <w:jc w:val="right"/>
              <w:ind w:right="530"/>
              <w:spacing w:after="0"/>
              <w:rPr>
                <w:sz w:val="20"/>
                <w:szCs w:val="20"/>
                <w:color w:val="auto"/>
              </w:rPr>
            </w:pPr>
            <w:r>
              <w:rPr>
                <w:rFonts w:ascii="Arial" w:cs="Arial" w:eastAsia="Arial" w:hAnsi="Arial"/>
                <w:sz w:val="18"/>
                <w:szCs w:val="18"/>
                <w:b w:val="1"/>
                <w:bCs w:val="1"/>
                <w:color w:val="FFFFFF"/>
              </w:rPr>
              <w:t>Case 1</w:t>
            </w:r>
          </w:p>
        </w:tc>
        <w:tc>
          <w:tcPr>
            <w:tcW w:w="240" w:type="dxa"/>
            <w:vAlign w:val="bottom"/>
            <w:shd w:val="clear" w:color="auto" w:fill="153A57"/>
          </w:tcPr>
          <w:p>
            <w:pPr>
              <w:spacing w:after="0"/>
              <w:rPr>
                <w:sz w:val="22"/>
                <w:szCs w:val="22"/>
                <w:color w:val="auto"/>
              </w:rPr>
            </w:pPr>
          </w:p>
        </w:tc>
        <w:tc>
          <w:tcPr>
            <w:tcW w:w="1380" w:type="dxa"/>
            <w:vAlign w:val="bottom"/>
            <w:shd w:val="clear" w:color="auto" w:fill="153A57"/>
          </w:tcPr>
          <w:p>
            <w:pPr>
              <w:jc w:val="center"/>
              <w:ind w:right="310"/>
              <w:spacing w:after="0"/>
              <w:rPr>
                <w:sz w:val="20"/>
                <w:szCs w:val="20"/>
                <w:color w:val="auto"/>
              </w:rPr>
            </w:pPr>
            <w:r>
              <w:rPr>
                <w:rFonts w:ascii="Arial" w:cs="Arial" w:eastAsia="Arial" w:hAnsi="Arial"/>
                <w:sz w:val="18"/>
                <w:szCs w:val="18"/>
                <w:b w:val="1"/>
                <w:bCs w:val="1"/>
                <w:color w:val="FFFFFF"/>
                <w:w w:val="99"/>
              </w:rPr>
              <w:t>Case 2</w:t>
            </w:r>
          </w:p>
        </w:tc>
        <w:tc>
          <w:tcPr>
            <w:tcW w:w="260" w:type="dxa"/>
            <w:vAlign w:val="bottom"/>
            <w:shd w:val="clear" w:color="auto" w:fill="153A57"/>
          </w:tcPr>
          <w:p>
            <w:pPr>
              <w:spacing w:after="0"/>
              <w:rPr>
                <w:sz w:val="22"/>
                <w:szCs w:val="22"/>
                <w:color w:val="auto"/>
              </w:rPr>
            </w:pPr>
          </w:p>
        </w:tc>
        <w:tc>
          <w:tcPr>
            <w:tcW w:w="1380" w:type="dxa"/>
            <w:vAlign w:val="bottom"/>
            <w:shd w:val="clear" w:color="auto" w:fill="153A57"/>
          </w:tcPr>
          <w:p>
            <w:pPr>
              <w:jc w:val="center"/>
              <w:ind w:right="350"/>
              <w:spacing w:after="0"/>
              <w:rPr>
                <w:sz w:val="20"/>
                <w:szCs w:val="20"/>
                <w:color w:val="auto"/>
              </w:rPr>
            </w:pPr>
            <w:r>
              <w:rPr>
                <w:rFonts w:ascii="Arial" w:cs="Arial" w:eastAsia="Arial" w:hAnsi="Arial"/>
                <w:sz w:val="18"/>
                <w:szCs w:val="18"/>
                <w:b w:val="1"/>
                <w:bCs w:val="1"/>
                <w:color w:val="FFFFFF"/>
                <w:w w:val="99"/>
              </w:rPr>
              <w:t>Case 3</w:t>
            </w:r>
          </w:p>
        </w:tc>
        <w:tc>
          <w:tcPr>
            <w:tcW w:w="200" w:type="dxa"/>
            <w:vAlign w:val="bottom"/>
            <w:shd w:val="clear" w:color="auto" w:fill="153A57"/>
          </w:tcPr>
          <w:p>
            <w:pPr>
              <w:spacing w:after="0"/>
              <w:rPr>
                <w:sz w:val="22"/>
                <w:szCs w:val="22"/>
                <w:color w:val="auto"/>
              </w:rPr>
            </w:pPr>
          </w:p>
        </w:tc>
        <w:tc>
          <w:tcPr>
            <w:tcW w:w="1440" w:type="dxa"/>
            <w:vAlign w:val="bottom"/>
            <w:shd w:val="clear" w:color="auto" w:fill="153A57"/>
          </w:tcPr>
          <w:p>
            <w:pPr>
              <w:jc w:val="center"/>
              <w:ind w:right="290"/>
              <w:spacing w:after="0"/>
              <w:rPr>
                <w:sz w:val="20"/>
                <w:szCs w:val="20"/>
                <w:color w:val="auto"/>
              </w:rPr>
            </w:pPr>
            <w:r>
              <w:rPr>
                <w:rFonts w:ascii="Arial" w:cs="Arial" w:eastAsia="Arial" w:hAnsi="Arial"/>
                <w:sz w:val="18"/>
                <w:szCs w:val="18"/>
                <w:b w:val="1"/>
                <w:bCs w:val="1"/>
                <w:color w:val="FFFFFF"/>
                <w:w w:val="99"/>
              </w:rPr>
              <w:t>Case 4</w:t>
            </w:r>
          </w:p>
        </w:tc>
        <w:tc>
          <w:tcPr>
            <w:tcW w:w="200" w:type="dxa"/>
            <w:vAlign w:val="bottom"/>
            <w:shd w:val="clear" w:color="auto" w:fill="153A57"/>
          </w:tcPr>
          <w:p>
            <w:pPr>
              <w:spacing w:after="0"/>
              <w:rPr>
                <w:sz w:val="22"/>
                <w:szCs w:val="22"/>
                <w:color w:val="auto"/>
              </w:rPr>
            </w:pPr>
          </w:p>
        </w:tc>
        <w:tc>
          <w:tcPr>
            <w:tcW w:w="880" w:type="dxa"/>
            <w:vAlign w:val="bottom"/>
            <w:shd w:val="clear" w:color="auto" w:fill="153A57"/>
          </w:tcPr>
          <w:p>
            <w:pPr>
              <w:jc w:val="center"/>
              <w:ind w:left="90"/>
              <w:spacing w:after="0"/>
              <w:rPr>
                <w:sz w:val="20"/>
                <w:szCs w:val="20"/>
                <w:color w:val="auto"/>
              </w:rPr>
            </w:pPr>
            <w:r>
              <w:rPr>
                <w:rFonts w:ascii="Arial" w:cs="Arial" w:eastAsia="Arial" w:hAnsi="Arial"/>
                <w:sz w:val="18"/>
                <w:szCs w:val="18"/>
                <w:b w:val="1"/>
                <w:bCs w:val="1"/>
                <w:color w:val="FFFFFF"/>
                <w:w w:val="99"/>
              </w:rPr>
              <w:t>Case 5</w:t>
            </w:r>
          </w:p>
        </w:tc>
      </w:tr>
      <w:tr>
        <w:trPr>
          <w:trHeight w:val="272"/>
        </w:trPr>
        <w:tc>
          <w:tcPr>
            <w:tcW w:w="1140" w:type="dxa"/>
            <w:vAlign w:val="bottom"/>
            <w:shd w:val="clear" w:color="auto" w:fill="153A57"/>
          </w:tcPr>
          <w:p>
            <w:pPr>
              <w:spacing w:after="0"/>
              <w:rPr>
                <w:sz w:val="23"/>
                <w:szCs w:val="23"/>
                <w:color w:val="auto"/>
              </w:rPr>
            </w:pPr>
          </w:p>
        </w:tc>
        <w:tc>
          <w:tcPr>
            <w:tcW w:w="800" w:type="dxa"/>
            <w:vAlign w:val="bottom"/>
            <w:shd w:val="clear" w:color="auto" w:fill="153A57"/>
          </w:tcPr>
          <w:p>
            <w:pPr>
              <w:spacing w:after="0"/>
              <w:rPr>
                <w:sz w:val="23"/>
                <w:szCs w:val="23"/>
                <w:color w:val="auto"/>
              </w:rPr>
            </w:pPr>
          </w:p>
        </w:tc>
        <w:tc>
          <w:tcPr>
            <w:tcW w:w="220" w:type="dxa"/>
            <w:vAlign w:val="bottom"/>
            <w:shd w:val="clear" w:color="auto" w:fill="153A57"/>
          </w:tcPr>
          <w:p>
            <w:pPr>
              <w:spacing w:after="0"/>
              <w:rPr>
                <w:sz w:val="23"/>
                <w:szCs w:val="23"/>
                <w:color w:val="auto"/>
              </w:rPr>
            </w:pPr>
          </w:p>
        </w:tc>
        <w:tc>
          <w:tcPr>
            <w:tcW w:w="1420" w:type="dxa"/>
            <w:vAlign w:val="bottom"/>
            <w:shd w:val="clear" w:color="auto" w:fill="153A57"/>
          </w:tcPr>
          <w:p>
            <w:pPr>
              <w:jc w:val="right"/>
              <w:ind w:right="590"/>
              <w:spacing w:after="0"/>
              <w:rPr>
                <w:sz w:val="20"/>
                <w:szCs w:val="20"/>
                <w:color w:val="auto"/>
              </w:rPr>
            </w:pPr>
            <w:r>
              <w:rPr>
                <w:rFonts w:ascii="Arial" w:cs="Arial" w:eastAsia="Arial" w:hAnsi="Arial"/>
                <w:sz w:val="18"/>
                <w:szCs w:val="18"/>
                <w:b w:val="1"/>
                <w:bCs w:val="1"/>
                <w:color w:val="FFFFFF"/>
              </w:rPr>
              <w:t>Base</w:t>
            </w:r>
          </w:p>
        </w:tc>
        <w:tc>
          <w:tcPr>
            <w:tcW w:w="240" w:type="dxa"/>
            <w:vAlign w:val="bottom"/>
            <w:shd w:val="clear" w:color="auto" w:fill="153A57"/>
          </w:tcPr>
          <w:p>
            <w:pPr>
              <w:spacing w:after="0"/>
              <w:rPr>
                <w:sz w:val="23"/>
                <w:szCs w:val="23"/>
                <w:color w:val="auto"/>
              </w:rPr>
            </w:pPr>
          </w:p>
        </w:tc>
        <w:tc>
          <w:tcPr>
            <w:tcW w:w="1380" w:type="dxa"/>
            <w:vAlign w:val="bottom"/>
            <w:shd w:val="clear" w:color="auto" w:fill="153A57"/>
          </w:tcPr>
          <w:p>
            <w:pPr>
              <w:jc w:val="center"/>
              <w:ind w:right="310"/>
              <w:spacing w:after="0"/>
              <w:rPr>
                <w:sz w:val="20"/>
                <w:szCs w:val="20"/>
                <w:color w:val="auto"/>
              </w:rPr>
            </w:pPr>
            <w:r>
              <w:rPr>
                <w:rFonts w:ascii="Arial" w:cs="Arial" w:eastAsia="Arial" w:hAnsi="Arial"/>
                <w:sz w:val="18"/>
                <w:szCs w:val="18"/>
                <w:b w:val="1"/>
                <w:bCs w:val="1"/>
                <w:color w:val="FFFFFF"/>
                <w:w w:val="99"/>
              </w:rPr>
              <w:t>Price:</w:t>
            </w:r>
          </w:p>
        </w:tc>
        <w:tc>
          <w:tcPr>
            <w:tcW w:w="260" w:type="dxa"/>
            <w:vAlign w:val="bottom"/>
            <w:shd w:val="clear" w:color="auto" w:fill="153A57"/>
          </w:tcPr>
          <w:p>
            <w:pPr>
              <w:spacing w:after="0"/>
              <w:rPr>
                <w:sz w:val="23"/>
                <w:szCs w:val="23"/>
                <w:color w:val="auto"/>
              </w:rPr>
            </w:pPr>
          </w:p>
        </w:tc>
        <w:tc>
          <w:tcPr>
            <w:tcW w:w="1380" w:type="dxa"/>
            <w:vAlign w:val="bottom"/>
            <w:shd w:val="clear" w:color="auto" w:fill="153A57"/>
          </w:tcPr>
          <w:p>
            <w:pPr>
              <w:jc w:val="center"/>
              <w:ind w:right="350"/>
              <w:spacing w:after="0"/>
              <w:rPr>
                <w:sz w:val="20"/>
                <w:szCs w:val="20"/>
                <w:color w:val="auto"/>
              </w:rPr>
            </w:pPr>
            <w:r>
              <w:rPr>
                <w:rFonts w:ascii="Arial" w:cs="Arial" w:eastAsia="Arial" w:hAnsi="Arial"/>
                <w:sz w:val="18"/>
                <w:szCs w:val="18"/>
                <w:b w:val="1"/>
                <w:bCs w:val="1"/>
                <w:color w:val="FFFFFF"/>
                <w:w w:val="99"/>
              </w:rPr>
              <w:t>Price:</w:t>
            </w:r>
          </w:p>
        </w:tc>
        <w:tc>
          <w:tcPr>
            <w:tcW w:w="200" w:type="dxa"/>
            <w:vAlign w:val="bottom"/>
            <w:shd w:val="clear" w:color="auto" w:fill="153A57"/>
          </w:tcPr>
          <w:p>
            <w:pPr>
              <w:spacing w:after="0"/>
              <w:rPr>
                <w:sz w:val="23"/>
                <w:szCs w:val="23"/>
                <w:color w:val="auto"/>
              </w:rPr>
            </w:pPr>
          </w:p>
        </w:tc>
        <w:tc>
          <w:tcPr>
            <w:tcW w:w="1440" w:type="dxa"/>
            <w:vAlign w:val="bottom"/>
            <w:shd w:val="clear" w:color="auto" w:fill="153A57"/>
          </w:tcPr>
          <w:p>
            <w:pPr>
              <w:jc w:val="center"/>
              <w:ind w:right="290"/>
              <w:spacing w:after="0"/>
              <w:rPr>
                <w:sz w:val="20"/>
                <w:szCs w:val="20"/>
                <w:color w:val="auto"/>
              </w:rPr>
            </w:pPr>
            <w:r>
              <w:rPr>
                <w:rFonts w:ascii="Arial" w:cs="Arial" w:eastAsia="Arial" w:hAnsi="Arial"/>
                <w:sz w:val="18"/>
                <w:szCs w:val="18"/>
                <w:b w:val="1"/>
                <w:bCs w:val="1"/>
                <w:color w:val="FFFFFF"/>
                <w:w w:val="99"/>
              </w:rPr>
              <w:t>Price:</w:t>
            </w:r>
          </w:p>
        </w:tc>
        <w:tc>
          <w:tcPr>
            <w:tcW w:w="200" w:type="dxa"/>
            <w:vAlign w:val="bottom"/>
            <w:shd w:val="clear" w:color="auto" w:fill="153A57"/>
          </w:tcPr>
          <w:p>
            <w:pPr>
              <w:spacing w:after="0"/>
              <w:rPr>
                <w:sz w:val="23"/>
                <w:szCs w:val="23"/>
                <w:color w:val="auto"/>
              </w:rPr>
            </w:pPr>
          </w:p>
        </w:tc>
        <w:tc>
          <w:tcPr>
            <w:tcW w:w="880" w:type="dxa"/>
            <w:vAlign w:val="bottom"/>
            <w:shd w:val="clear" w:color="auto" w:fill="153A57"/>
          </w:tcPr>
          <w:p>
            <w:pPr>
              <w:jc w:val="center"/>
              <w:ind w:left="70"/>
              <w:spacing w:after="0"/>
              <w:rPr>
                <w:sz w:val="20"/>
                <w:szCs w:val="20"/>
                <w:color w:val="auto"/>
              </w:rPr>
            </w:pPr>
            <w:r>
              <w:rPr>
                <w:rFonts w:ascii="Arial" w:cs="Arial" w:eastAsia="Arial" w:hAnsi="Arial"/>
                <w:sz w:val="18"/>
                <w:szCs w:val="18"/>
                <w:b w:val="1"/>
                <w:bCs w:val="1"/>
                <w:color w:val="FFFFFF"/>
              </w:rPr>
              <w:t>Disc.</w:t>
            </w:r>
          </w:p>
        </w:tc>
      </w:tr>
      <w:tr>
        <w:trPr>
          <w:trHeight w:val="298"/>
        </w:trPr>
        <w:tc>
          <w:tcPr>
            <w:tcW w:w="1140" w:type="dxa"/>
            <w:vAlign w:val="bottom"/>
            <w:tcBorders>
              <w:bottom w:val="single" w:sz="8" w:color="153A57"/>
            </w:tcBorders>
            <w:shd w:val="clear" w:color="auto" w:fill="153A57"/>
          </w:tcPr>
          <w:p>
            <w:pPr>
              <w:ind w:left="200"/>
              <w:spacing w:after="0"/>
              <w:rPr>
                <w:sz w:val="20"/>
                <w:szCs w:val="20"/>
                <w:color w:val="auto"/>
              </w:rPr>
            </w:pPr>
            <w:r>
              <w:rPr>
                <w:rFonts w:ascii="Arial" w:cs="Arial" w:eastAsia="Arial" w:hAnsi="Arial"/>
                <w:sz w:val="18"/>
                <w:szCs w:val="18"/>
                <w:b w:val="1"/>
                <w:bCs w:val="1"/>
                <w:color w:val="FFFFFF"/>
              </w:rPr>
              <w:t>Overview</w:t>
            </w:r>
          </w:p>
        </w:tc>
        <w:tc>
          <w:tcPr>
            <w:tcW w:w="800" w:type="dxa"/>
            <w:vAlign w:val="bottom"/>
            <w:tcBorders>
              <w:bottom w:val="single" w:sz="8" w:color="153A57"/>
            </w:tcBorders>
            <w:shd w:val="clear" w:color="auto" w:fill="153A57"/>
          </w:tcPr>
          <w:p>
            <w:pPr>
              <w:spacing w:after="0"/>
              <w:rPr>
                <w:sz w:val="24"/>
                <w:szCs w:val="24"/>
                <w:color w:val="auto"/>
              </w:rPr>
            </w:pPr>
          </w:p>
        </w:tc>
        <w:tc>
          <w:tcPr>
            <w:tcW w:w="220" w:type="dxa"/>
            <w:vAlign w:val="bottom"/>
            <w:tcBorders>
              <w:bottom w:val="single" w:sz="8" w:color="153A57"/>
            </w:tcBorders>
            <w:shd w:val="clear" w:color="auto" w:fill="153A57"/>
          </w:tcPr>
          <w:p>
            <w:pPr>
              <w:spacing w:after="0"/>
              <w:rPr>
                <w:sz w:val="24"/>
                <w:szCs w:val="24"/>
                <w:color w:val="auto"/>
              </w:rPr>
            </w:pPr>
          </w:p>
        </w:tc>
        <w:tc>
          <w:tcPr>
            <w:tcW w:w="1420" w:type="dxa"/>
            <w:vAlign w:val="bottom"/>
            <w:tcBorders>
              <w:bottom w:val="single" w:sz="8" w:color="153A57"/>
            </w:tcBorders>
            <w:shd w:val="clear" w:color="auto" w:fill="153A57"/>
          </w:tcPr>
          <w:p>
            <w:pPr>
              <w:jc w:val="right"/>
              <w:ind w:right="590"/>
              <w:spacing w:after="0"/>
              <w:rPr>
                <w:sz w:val="20"/>
                <w:szCs w:val="20"/>
                <w:color w:val="auto"/>
              </w:rPr>
            </w:pPr>
            <w:r>
              <w:rPr>
                <w:rFonts w:ascii="Arial" w:cs="Arial" w:eastAsia="Arial" w:hAnsi="Arial"/>
                <w:sz w:val="18"/>
                <w:szCs w:val="18"/>
                <w:b w:val="1"/>
                <w:bCs w:val="1"/>
                <w:color w:val="FFFFFF"/>
              </w:rPr>
              <w:t>Case</w:t>
            </w:r>
          </w:p>
        </w:tc>
        <w:tc>
          <w:tcPr>
            <w:tcW w:w="240" w:type="dxa"/>
            <w:vAlign w:val="bottom"/>
            <w:tcBorders>
              <w:bottom w:val="single" w:sz="8" w:color="153A57"/>
            </w:tcBorders>
            <w:shd w:val="clear" w:color="auto" w:fill="153A57"/>
          </w:tcPr>
          <w:p>
            <w:pPr>
              <w:spacing w:after="0"/>
              <w:rPr>
                <w:sz w:val="24"/>
                <w:szCs w:val="24"/>
                <w:color w:val="auto"/>
              </w:rPr>
            </w:pPr>
          </w:p>
        </w:tc>
        <w:tc>
          <w:tcPr>
            <w:tcW w:w="1380" w:type="dxa"/>
            <w:vAlign w:val="bottom"/>
            <w:tcBorders>
              <w:bottom w:val="single" w:sz="8" w:color="153A57"/>
            </w:tcBorders>
            <w:shd w:val="clear" w:color="auto" w:fill="153A57"/>
          </w:tcPr>
          <w:p>
            <w:pPr>
              <w:jc w:val="center"/>
              <w:ind w:right="330"/>
              <w:spacing w:after="0"/>
              <w:rPr>
                <w:sz w:val="20"/>
                <w:szCs w:val="20"/>
                <w:color w:val="auto"/>
              </w:rPr>
            </w:pPr>
            <w:r>
              <w:rPr>
                <w:rFonts w:ascii="Arial" w:cs="Arial" w:eastAsia="Arial" w:hAnsi="Arial"/>
                <w:sz w:val="18"/>
                <w:szCs w:val="18"/>
                <w:b w:val="1"/>
                <w:bCs w:val="1"/>
                <w:color w:val="FFFFFF"/>
                <w:w w:val="99"/>
              </w:rPr>
              <w:t>12K us$/t</w:t>
            </w:r>
          </w:p>
        </w:tc>
        <w:tc>
          <w:tcPr>
            <w:tcW w:w="260" w:type="dxa"/>
            <w:vAlign w:val="bottom"/>
            <w:tcBorders>
              <w:bottom w:val="single" w:sz="8" w:color="153A57"/>
            </w:tcBorders>
            <w:shd w:val="clear" w:color="auto" w:fill="153A57"/>
          </w:tcPr>
          <w:p>
            <w:pPr>
              <w:spacing w:after="0"/>
              <w:rPr>
                <w:sz w:val="24"/>
                <w:szCs w:val="24"/>
                <w:color w:val="auto"/>
              </w:rPr>
            </w:pPr>
          </w:p>
        </w:tc>
        <w:tc>
          <w:tcPr>
            <w:tcW w:w="1380" w:type="dxa"/>
            <w:vAlign w:val="bottom"/>
            <w:tcBorders>
              <w:bottom w:val="single" w:sz="8" w:color="153A57"/>
            </w:tcBorders>
            <w:shd w:val="clear" w:color="auto" w:fill="153A57"/>
          </w:tcPr>
          <w:p>
            <w:pPr>
              <w:jc w:val="center"/>
              <w:ind w:right="330"/>
              <w:spacing w:after="0"/>
              <w:rPr>
                <w:sz w:val="20"/>
                <w:szCs w:val="20"/>
                <w:color w:val="auto"/>
              </w:rPr>
            </w:pPr>
            <w:r>
              <w:rPr>
                <w:rFonts w:ascii="Arial" w:cs="Arial" w:eastAsia="Arial" w:hAnsi="Arial"/>
                <w:sz w:val="18"/>
                <w:szCs w:val="18"/>
                <w:b w:val="1"/>
                <w:bCs w:val="1"/>
                <w:color w:val="FFFFFF"/>
                <w:w w:val="99"/>
              </w:rPr>
              <w:t>16K us$/t</w:t>
            </w:r>
          </w:p>
        </w:tc>
        <w:tc>
          <w:tcPr>
            <w:tcW w:w="200" w:type="dxa"/>
            <w:vAlign w:val="bottom"/>
            <w:tcBorders>
              <w:bottom w:val="single" w:sz="8" w:color="153A57"/>
            </w:tcBorders>
            <w:shd w:val="clear" w:color="auto" w:fill="153A57"/>
          </w:tcPr>
          <w:p>
            <w:pPr>
              <w:spacing w:after="0"/>
              <w:rPr>
                <w:sz w:val="24"/>
                <w:szCs w:val="24"/>
                <w:color w:val="auto"/>
              </w:rPr>
            </w:pPr>
          </w:p>
        </w:tc>
        <w:tc>
          <w:tcPr>
            <w:tcW w:w="1440" w:type="dxa"/>
            <w:vAlign w:val="bottom"/>
            <w:tcBorders>
              <w:bottom w:val="single" w:sz="8" w:color="153A57"/>
            </w:tcBorders>
            <w:shd w:val="clear" w:color="auto" w:fill="153A57"/>
          </w:tcPr>
          <w:p>
            <w:pPr>
              <w:jc w:val="center"/>
              <w:ind w:right="270"/>
              <w:spacing w:after="0"/>
              <w:rPr>
                <w:sz w:val="20"/>
                <w:szCs w:val="20"/>
                <w:color w:val="auto"/>
              </w:rPr>
            </w:pPr>
            <w:r>
              <w:rPr>
                <w:rFonts w:ascii="Arial" w:cs="Arial" w:eastAsia="Arial" w:hAnsi="Arial"/>
                <w:sz w:val="18"/>
                <w:szCs w:val="18"/>
                <w:b w:val="1"/>
                <w:bCs w:val="1"/>
                <w:color w:val="FFFFFF"/>
                <w:w w:val="99"/>
              </w:rPr>
              <w:t>20K us$/t</w:t>
            </w:r>
          </w:p>
        </w:tc>
        <w:tc>
          <w:tcPr>
            <w:tcW w:w="200" w:type="dxa"/>
            <w:vAlign w:val="bottom"/>
            <w:tcBorders>
              <w:bottom w:val="single" w:sz="8" w:color="153A57"/>
            </w:tcBorders>
            <w:shd w:val="clear" w:color="auto" w:fill="153A57"/>
          </w:tcPr>
          <w:p>
            <w:pPr>
              <w:spacing w:after="0"/>
              <w:rPr>
                <w:sz w:val="24"/>
                <w:szCs w:val="24"/>
                <w:color w:val="auto"/>
              </w:rPr>
            </w:pPr>
          </w:p>
        </w:tc>
        <w:tc>
          <w:tcPr>
            <w:tcW w:w="880" w:type="dxa"/>
            <w:vAlign w:val="bottom"/>
            <w:tcBorders>
              <w:bottom w:val="single" w:sz="8" w:color="153A57"/>
            </w:tcBorders>
            <w:shd w:val="clear" w:color="auto" w:fill="153A57"/>
          </w:tcPr>
          <w:p>
            <w:pPr>
              <w:jc w:val="center"/>
              <w:ind w:left="90"/>
              <w:spacing w:after="0"/>
              <w:rPr>
                <w:sz w:val="20"/>
                <w:szCs w:val="20"/>
                <w:color w:val="auto"/>
              </w:rPr>
            </w:pPr>
            <w:r>
              <w:rPr>
                <w:rFonts w:ascii="Arial" w:cs="Arial" w:eastAsia="Arial" w:hAnsi="Arial"/>
                <w:sz w:val="18"/>
                <w:szCs w:val="18"/>
                <w:b w:val="1"/>
                <w:bCs w:val="1"/>
                <w:color w:val="FFFFFF"/>
                <w:w w:val="99"/>
              </w:rPr>
              <w:t>Rate 8%</w:t>
            </w:r>
          </w:p>
        </w:tc>
      </w:tr>
      <w:tr>
        <w:trPr>
          <w:trHeight w:val="250"/>
        </w:trPr>
        <w:tc>
          <w:tcPr>
            <w:tcW w:w="1140" w:type="dxa"/>
            <w:vAlign w:val="bottom"/>
          </w:tcPr>
          <w:p>
            <w:pPr>
              <w:ind w:left="200"/>
              <w:spacing w:after="0"/>
              <w:rPr>
                <w:sz w:val="20"/>
                <w:szCs w:val="20"/>
                <w:color w:val="auto"/>
              </w:rPr>
            </w:pPr>
            <w:r>
              <w:rPr>
                <w:rFonts w:ascii="Arial" w:cs="Arial" w:eastAsia="Arial" w:hAnsi="Arial"/>
                <w:sz w:val="18"/>
                <w:szCs w:val="18"/>
                <w:color w:val="auto"/>
              </w:rPr>
              <w:t>Production</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2"/>
        </w:trPr>
        <w:tc>
          <w:tcPr>
            <w:tcW w:w="1140" w:type="dxa"/>
            <w:vAlign w:val="bottom"/>
          </w:tcPr>
          <w:p>
            <w:pPr>
              <w:ind w:left="200"/>
              <w:spacing w:after="0"/>
              <w:rPr>
                <w:sz w:val="20"/>
                <w:szCs w:val="20"/>
                <w:color w:val="auto"/>
              </w:rPr>
            </w:pPr>
            <w:r>
              <w:rPr>
                <w:rFonts w:ascii="Arial" w:cs="Arial" w:eastAsia="Arial" w:hAnsi="Arial"/>
                <w:sz w:val="18"/>
                <w:szCs w:val="18"/>
                <w:color w:val="auto"/>
              </w:rPr>
              <w:t>(LCE)</w:t>
            </w: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96"/>
        </w:trPr>
        <w:tc>
          <w:tcPr>
            <w:tcW w:w="1140" w:type="dxa"/>
            <w:vAlign w:val="bottom"/>
          </w:tcPr>
          <w:p>
            <w:pPr>
              <w:ind w:left="200"/>
              <w:spacing w:after="0"/>
              <w:rPr>
                <w:sz w:val="20"/>
                <w:szCs w:val="20"/>
                <w:color w:val="auto"/>
              </w:rPr>
            </w:pPr>
            <w:r>
              <w:rPr>
                <w:rFonts w:ascii="Arial" w:cs="Arial" w:eastAsia="Arial" w:hAnsi="Arial"/>
                <w:sz w:val="18"/>
                <w:szCs w:val="18"/>
                <w:color w:val="auto"/>
              </w:rPr>
              <w:t>Capital</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2"/>
        </w:trPr>
        <w:tc>
          <w:tcPr>
            <w:tcW w:w="1140" w:type="dxa"/>
            <w:vAlign w:val="bottom"/>
          </w:tcPr>
          <w:p>
            <w:pPr>
              <w:ind w:left="200"/>
              <w:spacing w:after="0"/>
              <w:rPr>
                <w:sz w:val="20"/>
                <w:szCs w:val="20"/>
                <w:color w:val="auto"/>
              </w:rPr>
            </w:pPr>
            <w:r>
              <w:rPr>
                <w:rFonts w:ascii="Arial" w:cs="Arial" w:eastAsia="Arial" w:hAnsi="Arial"/>
                <w:sz w:val="18"/>
                <w:szCs w:val="18"/>
                <w:color w:val="auto"/>
              </w:rPr>
              <w:t>cost</w:t>
            </w: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2"/>
        </w:trPr>
        <w:tc>
          <w:tcPr>
            <w:tcW w:w="1140" w:type="dxa"/>
            <w:vAlign w:val="bottom"/>
          </w:tcPr>
          <w:p>
            <w:pPr>
              <w:ind w:left="200"/>
              <w:spacing w:after="0"/>
              <w:rPr>
                <w:sz w:val="20"/>
                <w:szCs w:val="20"/>
                <w:color w:val="auto"/>
              </w:rPr>
            </w:pPr>
            <w:r>
              <w:rPr>
                <w:rFonts w:ascii="Arial" w:cs="Arial" w:eastAsia="Arial" w:hAnsi="Arial"/>
                <w:sz w:val="18"/>
                <w:szCs w:val="18"/>
                <w:color w:val="auto"/>
              </w:rPr>
              <w:t>(CAPEX)</w:t>
            </w:r>
          </w:p>
        </w:tc>
        <w:tc>
          <w:tcPr>
            <w:tcW w:w="800" w:type="dxa"/>
            <w:vAlign w:val="bottom"/>
          </w:tcPr>
          <w:p>
            <w:pPr>
              <w:ind w:left="80"/>
              <w:spacing w:after="0"/>
              <w:rPr>
                <w:sz w:val="20"/>
                <w:szCs w:val="20"/>
                <w:color w:val="auto"/>
              </w:rPr>
            </w:pPr>
            <w:r>
              <w:rPr>
                <w:rFonts w:ascii="Arial" w:cs="Arial" w:eastAsia="Arial" w:hAnsi="Arial"/>
                <w:sz w:val="18"/>
                <w:szCs w:val="18"/>
                <w:color w:val="auto"/>
              </w:rPr>
              <w:t>US$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3,301,209,207</w:t>
            </w:r>
          </w:p>
        </w:tc>
        <w:tc>
          <w:tcPr>
            <w:tcW w:w="1620" w:type="dxa"/>
            <w:vAlign w:val="bottom"/>
            <w:gridSpan w:val="2"/>
          </w:tcPr>
          <w:p>
            <w:pPr>
              <w:jc w:val="right"/>
              <w:ind w:right="130"/>
              <w:spacing w:after="0"/>
              <w:rPr>
                <w:sz w:val="20"/>
                <w:szCs w:val="20"/>
                <w:color w:val="auto"/>
              </w:rPr>
            </w:pPr>
            <w:r>
              <w:rPr>
                <w:rFonts w:ascii="Arial" w:cs="Arial" w:eastAsia="Arial" w:hAnsi="Arial"/>
                <w:sz w:val="18"/>
                <w:szCs w:val="18"/>
                <w:color w:val="auto"/>
              </w:rPr>
              <w:t>$ 2,640,967,366</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$ 2,806,027,826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3,796,390,588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3,961,451,</w:t>
            </w:r>
          </w:p>
        </w:tc>
      </w:tr>
      <w:tr>
        <w:trPr>
          <w:trHeight w:val="296"/>
        </w:trPr>
        <w:tc>
          <w:tcPr>
            <w:tcW w:w="114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2"/>
        </w:trPr>
        <w:tc>
          <w:tcPr>
            <w:tcW w:w="1140" w:type="dxa"/>
            <w:vAlign w:val="bottom"/>
          </w:tcPr>
          <w:p>
            <w:pPr>
              <w:ind w:left="200"/>
              <w:spacing w:after="0"/>
              <w:rPr>
                <w:sz w:val="20"/>
                <w:szCs w:val="20"/>
                <w:color w:val="auto"/>
              </w:rPr>
            </w:pPr>
            <w:r>
              <w:rPr>
                <w:rFonts w:ascii="Arial" w:cs="Arial" w:eastAsia="Arial" w:hAnsi="Arial"/>
                <w:sz w:val="18"/>
                <w:szCs w:val="18"/>
                <w:color w:val="auto"/>
              </w:rPr>
              <w:t>cost</w:t>
            </w: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2"/>
        </w:trPr>
        <w:tc>
          <w:tcPr>
            <w:tcW w:w="1140" w:type="dxa"/>
            <w:vAlign w:val="bottom"/>
          </w:tcPr>
          <w:p>
            <w:pPr>
              <w:ind w:left="200"/>
              <w:spacing w:after="0"/>
              <w:rPr>
                <w:sz w:val="20"/>
                <w:szCs w:val="20"/>
                <w:color w:val="auto"/>
              </w:rPr>
            </w:pPr>
            <w:r>
              <w:rPr>
                <w:rFonts w:ascii="Arial" w:cs="Arial" w:eastAsia="Arial" w:hAnsi="Arial"/>
                <w:sz w:val="18"/>
                <w:szCs w:val="18"/>
                <w:color w:val="auto"/>
              </w:rPr>
              <w:t>(OPEX)</w:t>
            </w:r>
          </w:p>
        </w:tc>
        <w:tc>
          <w:tcPr>
            <w:tcW w:w="800" w:type="dxa"/>
            <w:vAlign w:val="bottom"/>
          </w:tcPr>
          <w:p>
            <w:pPr>
              <w:ind w:left="80"/>
              <w:spacing w:after="0"/>
              <w:rPr>
                <w:sz w:val="20"/>
                <w:szCs w:val="20"/>
                <w:color w:val="auto"/>
              </w:rPr>
            </w:pPr>
            <w:r>
              <w:rPr>
                <w:rFonts w:ascii="Arial" w:cs="Arial" w:eastAsia="Arial" w:hAnsi="Arial"/>
                <w:sz w:val="18"/>
                <w:szCs w:val="18"/>
                <w:color w:val="auto"/>
              </w:rPr>
              <w:t>US$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769,284,742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769,284,742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769,284,742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769,284,742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769,284,</w:t>
            </w:r>
          </w:p>
        </w:tc>
      </w:tr>
      <w:tr>
        <w:trPr>
          <w:trHeight w:val="296"/>
        </w:trPr>
        <w:tc>
          <w:tcPr>
            <w:tcW w:w="1140" w:type="dxa"/>
            <w:vAlign w:val="bottom"/>
          </w:tcPr>
          <w:p>
            <w:pPr>
              <w:ind w:left="200"/>
              <w:spacing w:after="0"/>
              <w:rPr>
                <w:sz w:val="20"/>
                <w:szCs w:val="20"/>
                <w:color w:val="auto"/>
              </w:rPr>
            </w:pPr>
            <w:r>
              <w:rPr>
                <w:rFonts w:ascii="Arial" w:cs="Arial" w:eastAsia="Arial" w:hAnsi="Arial"/>
                <w:sz w:val="18"/>
                <w:szCs w:val="18"/>
                <w:color w:val="auto"/>
              </w:rPr>
              <w:t>Av. Selling</w:t>
            </w:r>
          </w:p>
        </w:tc>
        <w:tc>
          <w:tcPr>
            <w:tcW w:w="800" w:type="dxa"/>
            <w:vAlign w:val="bottom"/>
          </w:tcPr>
          <w:p>
            <w:pPr>
              <w:ind w:left="80"/>
              <w:spacing w:after="0"/>
              <w:rPr>
                <w:sz w:val="20"/>
                <w:szCs w:val="20"/>
                <w:color w:val="auto"/>
              </w:rPr>
            </w:pPr>
            <w:r>
              <w:rPr>
                <w:rFonts w:ascii="Arial" w:cs="Arial" w:eastAsia="Arial" w:hAnsi="Arial"/>
                <w:sz w:val="18"/>
                <w:szCs w:val="18"/>
                <w:color w:val="auto"/>
              </w:rPr>
              <w:t>US$/t-</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2"/>
        </w:trPr>
        <w:tc>
          <w:tcPr>
            <w:tcW w:w="1140" w:type="dxa"/>
            <w:vAlign w:val="bottom"/>
          </w:tcPr>
          <w:p>
            <w:pPr>
              <w:ind w:left="200"/>
              <w:spacing w:after="0"/>
              <w:rPr>
                <w:sz w:val="20"/>
                <w:szCs w:val="20"/>
                <w:color w:val="auto"/>
              </w:rPr>
            </w:pPr>
            <w:r>
              <w:rPr>
                <w:rFonts w:ascii="Arial" w:cs="Arial" w:eastAsia="Arial" w:hAnsi="Arial"/>
                <w:sz w:val="18"/>
                <w:szCs w:val="18"/>
                <w:color w:val="auto"/>
              </w:rPr>
              <w:t>Price LCE</w:t>
            </w:r>
          </w:p>
        </w:tc>
        <w:tc>
          <w:tcPr>
            <w:tcW w:w="800" w:type="dxa"/>
            <w:vAlign w:val="bottom"/>
          </w:tcPr>
          <w:p>
            <w:pPr>
              <w:ind w:left="80"/>
              <w:spacing w:after="0"/>
              <w:rPr>
                <w:sz w:val="20"/>
                <w:szCs w:val="20"/>
                <w:color w:val="auto"/>
              </w:rPr>
            </w:pPr>
            <w:r>
              <w:rPr>
                <w:rFonts w:ascii="Arial" w:cs="Arial" w:eastAsia="Arial" w:hAnsi="Arial"/>
                <w:sz w:val="18"/>
                <w:szCs w:val="18"/>
                <w:color w:val="auto"/>
              </w:rPr>
              <w:t>LCE</w:t>
            </w:r>
          </w:p>
        </w:tc>
        <w:tc>
          <w:tcPr>
            <w:tcW w:w="220" w:type="dxa"/>
            <w:vAlign w:val="bottom"/>
          </w:tcPr>
          <w:p>
            <w:pPr>
              <w:spacing w:after="0"/>
              <w:rPr>
                <w:sz w:val="23"/>
                <w:szCs w:val="23"/>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18,000</w:t>
            </w:r>
          </w:p>
        </w:tc>
        <w:tc>
          <w:tcPr>
            <w:tcW w:w="240" w:type="dxa"/>
            <w:vAlign w:val="bottom"/>
          </w:tcPr>
          <w:p>
            <w:pPr>
              <w:spacing w:after="0"/>
              <w:rPr>
                <w:sz w:val="23"/>
                <w:szCs w:val="23"/>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12,000</w:t>
            </w:r>
          </w:p>
        </w:tc>
        <w:tc>
          <w:tcPr>
            <w:tcW w:w="260" w:type="dxa"/>
            <w:vAlign w:val="bottom"/>
          </w:tcPr>
          <w:p>
            <w:pPr>
              <w:spacing w:after="0"/>
              <w:rPr>
                <w:sz w:val="23"/>
                <w:szCs w:val="23"/>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16,000</w:t>
            </w:r>
          </w:p>
        </w:tc>
        <w:tc>
          <w:tcPr>
            <w:tcW w:w="200" w:type="dxa"/>
            <w:vAlign w:val="bottom"/>
          </w:tcPr>
          <w:p>
            <w:pPr>
              <w:spacing w:after="0"/>
              <w:rPr>
                <w:sz w:val="23"/>
                <w:szCs w:val="23"/>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96"/>
        </w:trPr>
        <w:tc>
          <w:tcPr>
            <w:tcW w:w="1140" w:type="dxa"/>
            <w:vAlign w:val="bottom"/>
          </w:tcPr>
          <w:p>
            <w:pPr>
              <w:ind w:left="200"/>
              <w:spacing w:after="0"/>
              <w:rPr>
                <w:sz w:val="20"/>
                <w:szCs w:val="20"/>
                <w:color w:val="auto"/>
              </w:rPr>
            </w:pPr>
            <w:r>
              <w:rPr>
                <w:rFonts w:ascii="Arial" w:cs="Arial" w:eastAsia="Arial" w:hAnsi="Arial"/>
                <w:sz w:val="18"/>
                <w:szCs w:val="18"/>
                <w:color w:val="auto"/>
              </w:rPr>
              <w:t>Discount</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2"/>
        </w:trPr>
        <w:tc>
          <w:tcPr>
            <w:tcW w:w="1140" w:type="dxa"/>
            <w:vAlign w:val="bottom"/>
          </w:tcPr>
          <w:p>
            <w:pPr>
              <w:ind w:left="200"/>
              <w:spacing w:after="0"/>
              <w:rPr>
                <w:sz w:val="20"/>
                <w:szCs w:val="20"/>
                <w:color w:val="auto"/>
              </w:rPr>
            </w:pPr>
            <w:r>
              <w:rPr>
                <w:rFonts w:ascii="Arial" w:cs="Arial" w:eastAsia="Arial" w:hAnsi="Arial"/>
                <w:sz w:val="18"/>
                <w:szCs w:val="18"/>
                <w:color w:val="auto"/>
              </w:rPr>
              <w:t>Rate</w:t>
            </w:r>
          </w:p>
        </w:tc>
        <w:tc>
          <w:tcPr>
            <w:tcW w:w="800" w:type="dxa"/>
            <w:vAlign w:val="bottom"/>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96"/>
        </w:trPr>
        <w:tc>
          <w:tcPr>
            <w:tcW w:w="1140" w:type="dxa"/>
            <w:vAlign w:val="bottom"/>
          </w:tcPr>
          <w:p>
            <w:pPr>
              <w:ind w:left="200"/>
              <w:spacing w:after="0"/>
              <w:rPr>
                <w:sz w:val="20"/>
                <w:szCs w:val="20"/>
                <w:color w:val="auto"/>
              </w:rPr>
            </w:pPr>
            <w:r>
              <w:rPr>
                <w:rFonts w:ascii="Arial" w:cs="Arial" w:eastAsia="Arial" w:hAnsi="Arial"/>
                <w:sz w:val="18"/>
                <w:szCs w:val="18"/>
                <w:color w:val="auto"/>
              </w:rPr>
              <w:t>NPV Post</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2"/>
        </w:trPr>
        <w:tc>
          <w:tcPr>
            <w:tcW w:w="1140" w:type="dxa"/>
            <w:vAlign w:val="bottom"/>
          </w:tcPr>
          <w:p>
            <w:pPr>
              <w:ind w:left="200"/>
              <w:spacing w:after="0"/>
              <w:rPr>
                <w:sz w:val="20"/>
                <w:szCs w:val="20"/>
                <w:color w:val="auto"/>
              </w:rPr>
            </w:pPr>
            <w:r>
              <w:rPr>
                <w:rFonts w:ascii="Arial" w:cs="Arial" w:eastAsia="Arial" w:hAnsi="Arial"/>
                <w:sz w:val="18"/>
                <w:szCs w:val="18"/>
                <w:color w:val="auto"/>
              </w:rPr>
              <w:t>Tax</w:t>
            </w:r>
          </w:p>
        </w:tc>
        <w:tc>
          <w:tcPr>
            <w:tcW w:w="800" w:type="dxa"/>
            <w:vAlign w:val="bottom"/>
          </w:tcPr>
          <w:p>
            <w:pPr>
              <w:ind w:left="80"/>
              <w:spacing w:after="0"/>
              <w:rPr>
                <w:sz w:val="20"/>
                <w:szCs w:val="20"/>
                <w:color w:val="auto"/>
              </w:rPr>
            </w:pPr>
            <w:r>
              <w:rPr>
                <w:rFonts w:ascii="Arial" w:cs="Arial" w:eastAsia="Arial" w:hAnsi="Arial"/>
                <w:sz w:val="18"/>
                <w:szCs w:val="18"/>
                <w:color w:val="auto"/>
              </w:rPr>
              <w:t>MMUS$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5,766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2,381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4,638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6,895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96"/>
        </w:trPr>
        <w:tc>
          <w:tcPr>
            <w:tcW w:w="1140" w:type="dxa"/>
            <w:vAlign w:val="bottom"/>
          </w:tcPr>
          <w:p>
            <w:pPr>
              <w:ind w:left="200"/>
              <w:spacing w:after="0"/>
              <w:rPr>
                <w:sz w:val="20"/>
                <w:szCs w:val="20"/>
                <w:color w:val="auto"/>
              </w:rPr>
            </w:pPr>
            <w:r>
              <w:rPr>
                <w:rFonts w:ascii="Arial" w:cs="Arial" w:eastAsia="Arial" w:hAnsi="Arial"/>
                <w:sz w:val="18"/>
                <w:szCs w:val="18"/>
                <w:color w:val="auto"/>
              </w:rPr>
              <w:t>IRR Post</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2"/>
        </w:trPr>
        <w:tc>
          <w:tcPr>
            <w:tcW w:w="1140" w:type="dxa"/>
            <w:vAlign w:val="bottom"/>
          </w:tcPr>
          <w:p>
            <w:pPr>
              <w:ind w:left="200"/>
              <w:spacing w:after="0"/>
              <w:rPr>
                <w:sz w:val="20"/>
                <w:szCs w:val="20"/>
                <w:color w:val="auto"/>
              </w:rPr>
            </w:pPr>
            <w:r>
              <w:rPr>
                <w:rFonts w:ascii="Arial" w:cs="Arial" w:eastAsia="Arial" w:hAnsi="Arial"/>
                <w:sz w:val="18"/>
                <w:szCs w:val="18"/>
                <w:color w:val="auto"/>
              </w:rPr>
              <w:t>Tax</w:t>
            </w:r>
          </w:p>
        </w:tc>
        <w:tc>
          <w:tcPr>
            <w:tcW w:w="800" w:type="dxa"/>
            <w:vAlign w:val="bottom"/>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-2844800</wp:posOffset>
            </wp:positionV>
            <wp:extent cx="6078220" cy="5770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7">
                      <a:extLst>
                        <a:ext uri="{28A0092B-C50C-407E-A947-70E740481C1C}"/>
                      </a:extLst>
                    </a:blip>
                    <a:srcRect/>
                    <a:stretch>
                      <a:fillRect/>
                    </a:stretch>
                  </pic:blipFill>
                  <pic:spPr bwMode="auto">
                    <a:xfrm>
                      <a:off x="0" y="0"/>
                      <a:ext cx="6078220" cy="577088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-2844800</wp:posOffset>
            </wp:positionV>
            <wp:extent cx="6078220" cy="57708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8">
                      <a:extLst>
                        <a:ext uri="{28A0092B-C50C-407E-A947-70E740481C1C}"/>
                      </a:extLst>
                    </a:blip>
                    <a:srcRect/>
                    <a:stretch>
                      <a:fillRect/>
                    </a:stretch>
                  </pic:blipFill>
                  <pic:spPr bwMode="auto">
                    <a:xfrm>
                      <a:off x="0" y="0"/>
                      <a:ext cx="6078220" cy="577088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5 / 8</w:t>
      </w:r>
    </w:p>
    <w:p>
      <w:pPr>
        <w:sectPr>
          <w:pgSz w:w="11900" w:h="16838" w:orient="portrait"/>
          <w:cols w:equalWidth="0" w:num="1">
            <w:col w:w="10460"/>
          </w:cols>
          <w:pgMar w:left="1440" w:top="1440" w:right="6" w:bottom="0" w:gutter="0" w:footer="0" w:header="0"/>
          <w:type w:val="continuous"/>
        </w:sectPr>
      </w:pPr>
    </w:p>
    <w:bookmarkStart w:id="167" w:name="page168"/>
    <w:bookmarkEnd w:id="1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1826260</wp:posOffset>
            </wp:positionV>
            <wp:extent cx="6764020" cy="19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6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 / 8</w:t>
      </w:r>
    </w:p>
    <w:p>
      <w:pPr>
        <w:sectPr>
          <w:pgSz w:w="11900" w:h="16838" w:orient="portrait"/>
          <w:cols w:equalWidth="0" w:num="1">
            <w:col w:w="9026"/>
          </w:cols>
          <w:pgMar w:left="1440" w:top="1440" w:right="1440" w:bottom="0" w:gutter="0" w:footer="0" w:header="0"/>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right="3760"/>
        <w:spacing w:after="0" w:line="432" w:lineRule="auto"/>
        <w:rPr>
          <w:sz w:val="20"/>
          <w:szCs w:val="20"/>
          <w:color w:val="auto"/>
        </w:rPr>
      </w:pPr>
      <w:r>
        <w:rPr>
          <w:rFonts w:ascii="Arial" w:cs="Arial" w:eastAsia="Arial" w:hAnsi="Arial"/>
          <w:sz w:val="20"/>
          <w:szCs w:val="20"/>
          <w:b w:val="1"/>
          <w:bCs w:val="1"/>
          <w:color w:val="auto"/>
        </w:rPr>
        <w:t xml:space="preserve">Figure 217: Sensitivity Analysis for Different Price Scenarios </w:t>
      </w:r>
      <w:r>
        <w:rPr>
          <w:rFonts w:ascii="Arial" w:cs="Arial" w:eastAsia="Arial" w:hAnsi="Arial"/>
          <w:sz w:val="20"/>
          <w:szCs w:val="20"/>
          <w:color w:val="auto"/>
        </w:rPr>
        <w:t>Discounted Cash Flow</w:t>
      </w:r>
    </w:p>
    <w:p>
      <w:pPr>
        <w:spacing w:after="0" w:line="16"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Table 139 summarizes the Discounted Cash Flow (DCF) for the assumed Base Case price and production scenario.</w:t>
      </w:r>
    </w:p>
    <w:p>
      <w:pPr>
        <w:spacing w:after="0" w:line="12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Table 139: Discounted Cash Flow Summary (including RIGI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4376420</wp:posOffset>
            </wp:positionV>
            <wp:extent cx="6764020" cy="1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0">
                      <a:extLst>
                        <a:ext uri="{28A0092B-C50C-407E-A947-70E740481C1C}"/>
                      </a:extLst>
                    </a:blip>
                    <a:srcRect/>
                    <a:stretch>
                      <a:fillRect/>
                    </a:stretch>
                  </pic:blipFill>
                  <pic:spPr bwMode="auto">
                    <a:xfrm>
                      <a:off x="0" y="0"/>
                      <a:ext cx="6764020" cy="190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217170</wp:posOffset>
            </wp:positionV>
            <wp:extent cx="6078220" cy="28098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1">
                      <a:extLst>
                        <a:ext uri="{28A0092B-C50C-407E-A947-70E740481C1C}"/>
                      </a:extLst>
                    </a:blip>
                    <a:srcRect/>
                    <a:stretch>
                      <a:fillRect/>
                    </a:stretch>
                  </pic:blipFill>
                  <pic:spPr bwMode="auto">
                    <a:xfrm>
                      <a:off x="0" y="0"/>
                      <a:ext cx="6078220" cy="2809875"/>
                    </a:xfrm>
                    <a:prstGeom prst="rect">
                      <a:avLst/>
                    </a:prstGeom>
                    <a:noFill/>
                  </pic:spPr>
                </pic:pic>
              </a:graphicData>
            </a:graphic>
          </wp:anchor>
        </w:drawing>
      </w:r>
    </w:p>
    <w:p>
      <w:pPr>
        <w:sectPr>
          <w:pgSz w:w="11900" w:h="16838" w:orient="portrait"/>
          <w:cols w:equalWidth="0" w:num="1">
            <w:col w:w="10420"/>
          </w:cols>
          <w:pgMar w:left="1440" w:top="1440" w:right="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7 / 8</w:t>
      </w:r>
    </w:p>
    <w:p>
      <w:pPr>
        <w:sectPr>
          <w:pgSz w:w="11900" w:h="16838" w:orient="portrait"/>
          <w:cols w:equalWidth="0" w:num="1">
            <w:col w:w="10420"/>
          </w:cols>
          <w:pgMar w:left="1440" w:top="1440" w:right="46" w:bottom="0" w:gutter="0" w:footer="0" w:header="0"/>
          <w:type w:val="continuous"/>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Table 139: Discounted Cash Flow Summary (including RIGI benefits)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217170</wp:posOffset>
            </wp:positionV>
            <wp:extent cx="6078220" cy="50292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2">
                      <a:extLst>
                        <a:ext uri="{28A0092B-C50C-407E-A947-70E740481C1C}"/>
                      </a:extLst>
                    </a:blip>
                    <a:srcRect/>
                    <a:stretch>
                      <a:fillRect/>
                    </a:stretch>
                  </pic:blipFill>
                  <pic:spPr bwMode="auto">
                    <a:xfrm>
                      <a:off x="0" y="0"/>
                      <a:ext cx="6078220" cy="5029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Internal Controls Over Mineral Resource and Reserve Estimates.</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Company has internal controls for reviewing and documenting the information supporting the Mi Resource and Mineral Reserve estimates, describing the methods used, and ensuring the validity of estimates. Information that is used to compile mineral resources and reserves is prepared and certifie appropriately qualified persons at the project sites and is subject to our internal review process which incl review by appropriate management. An independent Qualified Person is contracted by the Company to c resources and reserves estimates according to S-K 1300 standards.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8 / 8</w:t>
      </w:r>
    </w:p>
    <w:p>
      <w:pPr>
        <w:sectPr>
          <w:pgSz w:w="11900" w:h="16838" w:orient="portrait"/>
          <w:cols w:equalWidth="0" w:num="1">
            <w:col w:w="10460"/>
          </w:cols>
          <w:pgMar w:left="1440" w:top="1440" w:right="6" w:bottom="0" w:gutter="0" w:footer="0" w:header="0"/>
          <w:type w:val="continuous"/>
        </w:sectPr>
      </w:pPr>
    </w:p>
    <w:bookmarkStart w:id="170" w:name="page171"/>
    <w:bookmarkEnd w:id="1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1902460</wp:posOffset>
            </wp:positionV>
            <wp:extent cx="6764020" cy="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59</w:t>
      </w:r>
    </w:p>
    <w:p>
      <w:pPr>
        <w:sectPr>
          <w:pgSz w:w="11900" w:h="16838" w:orient="portrait"/>
          <w:cols w:equalWidth="0" w:num="1">
            <w:col w:w="9026"/>
          </w:cols>
          <w:pgMar w:left="1440" w:top="1440" w:right="1440" w:bottom="0" w:gutter="0" w:footer="0" w:header="0"/>
        </w:sectPr>
      </w:pPr>
    </w:p>
    <w:bookmarkStart w:id="171" w:name="page172"/>
    <w:bookmarkEnd w:id="1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4A. UNRESOLVED STAFF COMMENTS</w:t>
      </w:r>
    </w:p>
    <w:p>
      <w:pPr>
        <w:spacing w:after="0" w:line="286"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None.</w:t>
      </w:r>
    </w:p>
    <w:p>
      <w:pPr>
        <w:spacing w:after="0" w:line="284"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5. OPERATING AND FINANCIAL REVIEW AND PROSPECTS</w:t>
      </w:r>
    </w:p>
    <w:p>
      <w:pPr>
        <w:spacing w:after="0" w:line="286"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A. Operating Results</w:t>
      </w:r>
    </w:p>
    <w:p>
      <w:pPr>
        <w:spacing w:after="0" w:line="27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See the Management's Discussion and Analysis of the Company for the year ended December 31, 2 incorporated by reference into this annual report as Exhibit 15.1.</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B. Liquidity And Capital Resources</w:t>
      </w:r>
    </w:p>
    <w:p>
      <w:pPr>
        <w:spacing w:after="0" w:line="27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See the Management's Discussion and Analysis of the Company for the year ended December 31, 2 incorporated by reference into this annual report as Exhibit 15.1.</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C. Research and Development, Patents and Licenses, etc.</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Company does not hold any patents.</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D. Trend Information</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Lithium has unique properties that enables its use in many applications. As the lightest metal with a hig electrochemical potential, lithium is particularly well suited for energy storage. Lithium-ion batteries represen most electrochemically mature and commercially proven technology for electric vehicles, battery energy sto systems (“BESS”), owing to their high energy density, efficiency, and scalability., lithium is also used in a v of industrial applications, including glass and ceramics, lubricating greases, metallurgy, pharmaceuticals, polymers.</w:t>
      </w:r>
    </w:p>
    <w:p>
      <w:pPr>
        <w:spacing w:after="0" w:line="212"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According to Benchmark Minerals Intelligence, global lithium demand is expected to grow at a sustained d digit pace through the end of the decade, driven primarily by battery applications. Benchmark projects g lithium demand to increase by approximately 20% year-on-year in 2026, with incremental annual demand gr of roughly 250–300 kt LCE per year through 2030 under its base-case scenario. Battery applications remai dominant source of demand, with electric vehicles accounting for approximately three-quarters of total ba related lithium consumption, while BESS represents the fastest-growing segment. Benchmark estimates BESS demand will expand by approximately 48% in 2026, reaching ~427 kt LCE, supported by acceler global grid-scale and behind-the-meter deployments. Industrial and other non-battery uses are foreca contribute a ~210 kt LCE of demand in 2026, with around half of this demand concentrated in China. Ove longer term, benchmark forecasts lithium demand to grow at a ~9.7% CAGR from 2025 to 2040, with ba demand increasingly dominated by lithium-ion chemistries, reinforcing lithium’s strategic importance in el mobility, stationary energy storage, and high-energy-density applications.</w:t>
      </w:r>
    </w:p>
    <w:p>
      <w:pPr>
        <w:spacing w:after="0" w:line="2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Lithium has been listed as one of the critical elements by the U.S. Department of Energy based largely o importance in rechargeable batteries. Lithium-ion battery is the preferred form for high-density application EVs and portable electronics. A full-electric EV can require over 50 kg of LCE in the battery.</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 / 59</w:t>
      </w:r>
    </w:p>
    <w:p>
      <w:pPr>
        <w:sectPr>
          <w:pgSz w:w="11900" w:h="16838" w:orient="portrait"/>
          <w:cols w:equalWidth="0" w:num="1">
            <w:col w:w="10460"/>
          </w:cols>
          <w:pgMar w:left="1440" w:top="1440" w:right="6" w:bottom="0" w:gutter="0" w:footer="0" w:header="0"/>
          <w:type w:val="continuous"/>
        </w:sectPr>
      </w:pPr>
    </w:p>
    <w:bookmarkStart w:id="172" w:name="page173"/>
    <w:bookmarkEnd w:id="172"/>
    <w:p>
      <w:pPr>
        <w:jc w:val="both"/>
        <w:ind w:left="900"/>
        <w:spacing w:after="0" w:line="334" w:lineRule="auto"/>
        <w:rPr>
          <w:sz w:val="20"/>
          <w:szCs w:val="20"/>
          <w:color w:val="auto"/>
        </w:rPr>
      </w:pPr>
      <w:r>
        <w:rPr>
          <w:rFonts w:ascii="Arial" w:cs="Arial" w:eastAsia="Arial" w:hAnsi="Arial"/>
          <w:sz w:val="19"/>
          <w:szCs w:val="19"/>
          <w:color w:val="auto"/>
        </w:rPr>
        <w:t>Lithium consumption is expected to increase significantly in the coming years driven by a rapid increa demand for EVs and BESS. According to Benchmark Minerals, EV sales have grown by 3.5 -4.0 million EV year over the last three years, which represents between 200-250 kMT-LCE incremental demand year on ye</w:t>
      </w:r>
    </w:p>
    <w:p>
      <w:pPr>
        <w:spacing w:after="0" w:line="193"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Lithium occurs in the structure of pegmatitic minerals, the most important of which is spodumene (hard rock due to its solubility as an ion, is also commonly found in brines and clays. Pure lithium does not occur fre nature, only in compounds. Starting in the 1980s, brine-based lithium chemicals provided most of the su however, in recent years, hard rock forms have surpassed brine as the largest feedstock for lithium che production.</w:t>
      </w:r>
    </w:p>
    <w:p>
      <w:pPr>
        <w:spacing w:after="0" w:line="210"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As a result of continued exploration, measured and indicated lithium resources have increased substan worldwide and total about 115 million tons. (USGS, 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1091565</wp:posOffset>
            </wp:positionV>
            <wp:extent cx="6764020" cy="19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 / 59</w:t>
      </w:r>
    </w:p>
    <w:p>
      <w:pPr>
        <w:sectPr>
          <w:pgSz w:w="11900" w:h="16838" w:orient="portrait"/>
          <w:cols w:equalWidth="0" w:num="1">
            <w:col w:w="10460"/>
          </w:cols>
          <w:pgMar w:left="1440" w:top="1172" w:right="6" w:bottom="0" w:gutter="0" w:footer="0" w:header="0"/>
          <w:type w:val="continuous"/>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The world's largest known lithium reserves are in Chile, which accounts for 31% of lithium reserves, followe Australia with 23%, and Argentina in third place, accounting for 13% of global reserves (USGS, January 202</w:t>
      </w:r>
    </w:p>
    <w:p>
      <w:pPr>
        <w:spacing w:after="0" w:line="215" w:lineRule="exact"/>
        <w:rPr>
          <w:sz w:val="20"/>
          <w:szCs w:val="20"/>
          <w:color w:val="auto"/>
        </w:rPr>
      </w:pPr>
    </w:p>
    <w:p>
      <w:pPr>
        <w:jc w:val="both"/>
        <w:ind w:left="900" w:right="40"/>
        <w:spacing w:after="0" w:line="311" w:lineRule="auto"/>
        <w:rPr>
          <w:sz w:val="20"/>
          <w:szCs w:val="20"/>
          <w:color w:val="auto"/>
        </w:rPr>
      </w:pPr>
      <w:r>
        <w:rPr>
          <w:rFonts w:ascii="Arial" w:cs="Arial" w:eastAsia="Arial" w:hAnsi="Arial"/>
          <w:sz w:val="20"/>
          <w:szCs w:val="20"/>
          <w:color w:val="auto"/>
        </w:rPr>
        <w:t>China is a global leader in lithium refining and battery production, with a highly advanced and integrated s chain. It imports raw lithium minerals, mainly from Australia, South America and increasingly Africa and processes them into lithium compounds, such as lithium hydroxide and lithium carbonate.</w:t>
      </w:r>
    </w:p>
    <w:p>
      <w:pPr>
        <w:spacing w:after="0" w:line="212"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As the global transition toward sustainable energy accelerates, lithium has become a critical raw material. the past decade, alternating periods of supply constraint and oversupply have contributed to pronounced volatility. Lithium prices increased sharply between 2021 and 2023, briefly peaking at approximately US$8 before correcting significantly and continuing to trend lower through 2024 and into 2025 as new supply en the market and demand growth moderated outside of China. In recent months, prices have rebounded into more than doubling from cyclical lows.</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More recently, market conditions have begun to reflect increased capital discipline across the industry, with cost projects deferred, operating curtailments implemented, and investment increasingly focused on lower-scalable production. At the same time, continued investment in lithium extraction technologies, including DLE selective capacity expansions are expected to influence the future supply-demand balance. As a result, m analysts generally anticipate a period of greater price stability over the medium term as supply rationalizatio structurally growing battery demand move toward improved market balance.</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E. Critical Accounting Estimates</w:t>
      </w:r>
    </w:p>
    <w:p>
      <w:pPr>
        <w:spacing w:after="0" w:line="279" w:lineRule="exact"/>
        <w:rPr>
          <w:sz w:val="20"/>
          <w:szCs w:val="20"/>
          <w:color w:val="auto"/>
        </w:rPr>
      </w:pPr>
    </w:p>
    <w:p>
      <w:pPr>
        <w:jc w:val="both"/>
        <w:ind w:left="900" w:right="20"/>
        <w:spacing w:after="0" w:line="307" w:lineRule="auto"/>
        <w:rPr>
          <w:sz w:val="20"/>
          <w:szCs w:val="20"/>
          <w:color w:val="auto"/>
        </w:rPr>
      </w:pPr>
      <w:r>
        <w:rPr>
          <w:rFonts w:ascii="Arial" w:cs="Arial" w:eastAsia="Arial" w:hAnsi="Arial"/>
          <w:sz w:val="20"/>
          <w:szCs w:val="20"/>
          <w:color w:val="auto"/>
        </w:rPr>
        <w:t>See Note 3 of the Company’s financial statements for the year ended December 31, 2025, in this annual r for a description of our critical estimates and accounting judgements and material accounting policies.</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6. DIRECTORS, SENIOR MANAGEMENT AND EMPLOYEES</w:t>
      </w:r>
    </w:p>
    <w:p>
      <w:pPr>
        <w:spacing w:after="0" w:line="286"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A. Directors and Senior Management</w:t>
      </w:r>
    </w:p>
    <w:p>
      <w:pPr>
        <w:spacing w:after="0" w:line="27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following are the directors and Named Executives (as defined below) of the Company as of the date o annual report:</w:t>
      </w:r>
    </w:p>
    <w:p>
      <w:pPr>
        <w:spacing w:after="0" w:line="309" w:lineRule="exact"/>
        <w:rPr>
          <w:sz w:val="20"/>
          <w:szCs w:val="20"/>
          <w:color w:val="auto"/>
        </w:rPr>
      </w:pPr>
    </w:p>
    <w:tbl>
      <w:tblPr>
        <w:tblLayout w:type="fixed"/>
        <w:tblInd w:w="900" w:type="dxa"/>
        <w:tblCellMar>
          <w:top w:w="0" w:type="dxa"/>
          <w:left w:w="0" w:type="dxa"/>
          <w:bottom w:w="0" w:type="dxa"/>
          <w:right w:w="0" w:type="dxa"/>
        </w:tblCellMar>
      </w:tblPr>
      <w:tr>
        <w:trPr>
          <w:trHeight w:val="317"/>
        </w:trPr>
        <w:tc>
          <w:tcPr>
            <w:tcW w:w="2360" w:type="dxa"/>
            <w:vAlign w:val="bottom"/>
            <w:shd w:val="clear" w:color="auto" w:fill="153A57"/>
          </w:tcPr>
          <w:p>
            <w:pPr>
              <w:ind w:left="160"/>
              <w:spacing w:after="0"/>
              <w:rPr>
                <w:sz w:val="20"/>
                <w:szCs w:val="20"/>
                <w:color w:val="auto"/>
              </w:rPr>
            </w:pPr>
            <w:r>
              <w:rPr>
                <w:rFonts w:ascii="Arial" w:cs="Arial" w:eastAsia="Arial" w:hAnsi="Arial"/>
                <w:sz w:val="18"/>
                <w:szCs w:val="18"/>
                <w:b w:val="1"/>
                <w:bCs w:val="1"/>
                <w:color w:val="FFFFFF"/>
              </w:rPr>
              <w:t>Name</w:t>
            </w:r>
          </w:p>
        </w:tc>
        <w:tc>
          <w:tcPr>
            <w:tcW w:w="960" w:type="dxa"/>
            <w:vAlign w:val="bottom"/>
            <w:shd w:val="clear" w:color="auto" w:fill="153A57"/>
          </w:tcPr>
          <w:p>
            <w:pPr>
              <w:jc w:val="center"/>
              <w:spacing w:after="0"/>
              <w:rPr>
                <w:sz w:val="20"/>
                <w:szCs w:val="20"/>
                <w:color w:val="auto"/>
              </w:rPr>
            </w:pPr>
            <w:r>
              <w:rPr>
                <w:rFonts w:ascii="Arial" w:cs="Arial" w:eastAsia="Arial" w:hAnsi="Arial"/>
                <w:sz w:val="18"/>
                <w:szCs w:val="18"/>
                <w:b w:val="1"/>
                <w:bCs w:val="1"/>
                <w:color w:val="FFFFFF"/>
                <w:w w:val="93"/>
              </w:rPr>
              <w:t>Age</w:t>
            </w:r>
            <w:r>
              <w:rPr>
                <w:rFonts w:ascii="Arial" w:cs="Arial" w:eastAsia="Arial" w:hAnsi="Arial"/>
                <w:sz w:val="24"/>
                <w:szCs w:val="24"/>
                <w:b w:val="1"/>
                <w:bCs w:val="1"/>
                <w:color w:val="FFFFFF"/>
                <w:w w:val="93"/>
                <w:vertAlign w:val="superscript"/>
              </w:rPr>
              <w:t>(1)</w:t>
            </w:r>
          </w:p>
        </w:tc>
        <w:tc>
          <w:tcPr>
            <w:tcW w:w="4900" w:type="dxa"/>
            <w:vAlign w:val="bottom"/>
            <w:shd w:val="clear" w:color="auto" w:fill="153A57"/>
          </w:tcPr>
          <w:p>
            <w:pPr>
              <w:ind w:left="2220"/>
              <w:spacing w:after="0"/>
              <w:rPr>
                <w:sz w:val="20"/>
                <w:szCs w:val="20"/>
                <w:color w:val="auto"/>
              </w:rPr>
            </w:pPr>
            <w:r>
              <w:rPr>
                <w:rFonts w:ascii="Arial" w:cs="Arial" w:eastAsia="Arial" w:hAnsi="Arial"/>
                <w:sz w:val="18"/>
                <w:szCs w:val="18"/>
                <w:b w:val="1"/>
                <w:bCs w:val="1"/>
                <w:color w:val="FFFFFF"/>
              </w:rPr>
              <w:t>Position</w:t>
            </w:r>
          </w:p>
        </w:tc>
        <w:tc>
          <w:tcPr>
            <w:tcW w:w="1340" w:type="dxa"/>
            <w:vAlign w:val="bottom"/>
            <w:shd w:val="clear" w:color="auto" w:fill="153A57"/>
          </w:tcPr>
          <w:p>
            <w:pPr>
              <w:ind w:left="60"/>
              <w:spacing w:after="0"/>
              <w:rPr>
                <w:sz w:val="20"/>
                <w:szCs w:val="20"/>
                <w:color w:val="auto"/>
              </w:rPr>
            </w:pPr>
            <w:r>
              <w:rPr>
                <w:rFonts w:ascii="Arial" w:cs="Arial" w:eastAsia="Arial" w:hAnsi="Arial"/>
                <w:sz w:val="18"/>
                <w:szCs w:val="18"/>
                <w:b w:val="1"/>
                <w:bCs w:val="1"/>
                <w:color w:val="FFFFFF"/>
                <w:w w:val="98"/>
              </w:rPr>
              <w:t>Date of Appoin</w:t>
            </w:r>
          </w:p>
        </w:tc>
      </w:tr>
      <w:tr>
        <w:trPr>
          <w:trHeight w:val="235"/>
        </w:trPr>
        <w:tc>
          <w:tcPr>
            <w:tcW w:w="2360" w:type="dxa"/>
            <w:vAlign w:val="bottom"/>
            <w:tcBorders>
              <w:bottom w:val="single" w:sz="8" w:color="153A57"/>
            </w:tcBorders>
            <w:shd w:val="clear" w:color="auto" w:fill="153A57"/>
          </w:tcPr>
          <w:p>
            <w:pPr>
              <w:spacing w:after="0"/>
              <w:rPr>
                <w:sz w:val="20"/>
                <w:szCs w:val="20"/>
                <w:color w:val="auto"/>
              </w:rPr>
            </w:pPr>
          </w:p>
        </w:tc>
        <w:tc>
          <w:tcPr>
            <w:tcW w:w="960" w:type="dxa"/>
            <w:vAlign w:val="bottom"/>
            <w:tcBorders>
              <w:bottom w:val="single" w:sz="8" w:color="153A57"/>
            </w:tcBorders>
            <w:shd w:val="clear" w:color="auto" w:fill="153A57"/>
          </w:tcPr>
          <w:p>
            <w:pPr>
              <w:spacing w:after="0"/>
              <w:rPr>
                <w:sz w:val="20"/>
                <w:szCs w:val="20"/>
                <w:color w:val="auto"/>
              </w:rPr>
            </w:pPr>
          </w:p>
        </w:tc>
        <w:tc>
          <w:tcPr>
            <w:tcW w:w="4900" w:type="dxa"/>
            <w:vAlign w:val="bottom"/>
            <w:tcBorders>
              <w:bottom w:val="single" w:sz="8" w:color="153A57"/>
            </w:tcBorders>
            <w:shd w:val="clear" w:color="auto" w:fill="153A57"/>
          </w:tcPr>
          <w:p>
            <w:pPr>
              <w:spacing w:after="0"/>
              <w:rPr>
                <w:sz w:val="20"/>
                <w:szCs w:val="20"/>
                <w:color w:val="auto"/>
              </w:rPr>
            </w:pPr>
          </w:p>
        </w:tc>
        <w:tc>
          <w:tcPr>
            <w:tcW w:w="1340" w:type="dxa"/>
            <w:vAlign w:val="bottom"/>
            <w:tcBorders>
              <w:bottom w:val="single" w:sz="8" w:color="153A57"/>
            </w:tcBorders>
            <w:shd w:val="clear" w:color="auto" w:fill="153A57"/>
          </w:tcPr>
          <w:p>
            <w:pPr>
              <w:ind w:left="480"/>
              <w:spacing w:after="0" w:line="205" w:lineRule="exact"/>
              <w:rPr>
                <w:sz w:val="20"/>
                <w:szCs w:val="20"/>
                <w:color w:val="auto"/>
              </w:rPr>
            </w:pPr>
            <w:r>
              <w:rPr>
                <w:rFonts w:ascii="Arial" w:cs="Arial" w:eastAsia="Arial" w:hAnsi="Arial"/>
                <w:sz w:val="18"/>
                <w:szCs w:val="18"/>
                <w:b w:val="1"/>
                <w:bCs w:val="1"/>
                <w:color w:val="FFFFFF"/>
                <w:w w:val="96"/>
              </w:rPr>
              <w:t>as Directo</w:t>
            </w:r>
          </w:p>
        </w:tc>
      </w:tr>
      <w:tr>
        <w:trPr>
          <w:trHeight w:val="315"/>
        </w:trPr>
        <w:tc>
          <w:tcPr>
            <w:tcW w:w="2360" w:type="dxa"/>
            <w:vAlign w:val="bottom"/>
          </w:tcPr>
          <w:p>
            <w:pPr>
              <w:ind w:left="160"/>
              <w:spacing w:after="0"/>
              <w:rPr>
                <w:sz w:val="20"/>
                <w:szCs w:val="20"/>
                <w:color w:val="auto"/>
              </w:rPr>
            </w:pPr>
            <w:r>
              <w:rPr>
                <w:rFonts w:ascii="Arial" w:cs="Arial" w:eastAsia="Arial" w:hAnsi="Arial"/>
                <w:sz w:val="18"/>
                <w:szCs w:val="18"/>
                <w:color w:val="auto"/>
              </w:rPr>
              <w:t>John Kanellitsas</w:t>
            </w:r>
            <w:r>
              <w:rPr>
                <w:rFonts w:ascii="Arial" w:cs="Arial" w:eastAsia="Arial" w:hAnsi="Arial"/>
                <w:sz w:val="24"/>
                <w:szCs w:val="24"/>
                <w:color w:val="auto"/>
                <w:vertAlign w:val="superscript"/>
              </w:rPr>
              <w:t>(1)</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4900" w:type="dxa"/>
            <w:vAlign w:val="bottom"/>
          </w:tcPr>
          <w:p>
            <w:pPr>
              <w:ind w:left="220"/>
              <w:spacing w:after="0"/>
              <w:rPr>
                <w:sz w:val="20"/>
                <w:szCs w:val="20"/>
                <w:color w:val="auto"/>
              </w:rPr>
            </w:pPr>
            <w:r>
              <w:rPr>
                <w:rFonts w:ascii="Arial" w:cs="Arial" w:eastAsia="Arial" w:hAnsi="Arial"/>
                <w:sz w:val="18"/>
                <w:szCs w:val="18"/>
                <w:color w:val="auto"/>
              </w:rPr>
              <w:t>Chair</w:t>
            </w:r>
          </w:p>
        </w:tc>
        <w:tc>
          <w:tcPr>
            <w:tcW w:w="1340" w:type="dxa"/>
            <w:vAlign w:val="bottom"/>
          </w:tcPr>
          <w:p>
            <w:pPr>
              <w:ind w:left="60"/>
              <w:spacing w:after="0"/>
              <w:rPr>
                <w:sz w:val="20"/>
                <w:szCs w:val="20"/>
                <w:color w:val="auto"/>
              </w:rPr>
            </w:pPr>
            <w:r>
              <w:rPr>
                <w:rFonts w:ascii="Arial" w:cs="Arial" w:eastAsia="Arial" w:hAnsi="Arial"/>
                <w:sz w:val="18"/>
                <w:szCs w:val="18"/>
                <w:color w:val="auto"/>
                <w:w w:val="94"/>
              </w:rPr>
              <w:t>September 4, 20</w:t>
            </w:r>
          </w:p>
        </w:tc>
      </w:tr>
      <w:tr>
        <w:trPr>
          <w:trHeight w:val="310"/>
        </w:trPr>
        <w:tc>
          <w:tcPr>
            <w:tcW w:w="2360" w:type="dxa"/>
            <w:vAlign w:val="bottom"/>
          </w:tcPr>
          <w:p>
            <w:pPr>
              <w:ind w:left="160"/>
              <w:spacing w:after="0"/>
              <w:rPr>
                <w:sz w:val="20"/>
                <w:szCs w:val="20"/>
                <w:color w:val="auto"/>
              </w:rPr>
            </w:pPr>
            <w:r>
              <w:rPr>
                <w:rFonts w:ascii="Arial" w:cs="Arial" w:eastAsia="Arial" w:hAnsi="Arial"/>
                <w:sz w:val="18"/>
                <w:szCs w:val="18"/>
                <w:color w:val="auto"/>
              </w:rPr>
              <w:t>Samuel Pigott</w:t>
            </w:r>
            <w:r>
              <w:rPr>
                <w:rFonts w:ascii="Arial" w:cs="Arial" w:eastAsia="Arial" w:hAnsi="Arial"/>
                <w:sz w:val="24"/>
                <w:szCs w:val="24"/>
                <w:color w:val="auto"/>
                <w:vertAlign w:val="superscript"/>
              </w:rPr>
              <w:t>(2)</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4900" w:type="dxa"/>
            <w:vAlign w:val="bottom"/>
          </w:tcPr>
          <w:p>
            <w:pPr>
              <w:ind w:left="220"/>
              <w:spacing w:after="0"/>
              <w:rPr>
                <w:sz w:val="20"/>
                <w:szCs w:val="20"/>
                <w:color w:val="auto"/>
              </w:rPr>
            </w:pPr>
            <w:r>
              <w:rPr>
                <w:rFonts w:ascii="Arial" w:cs="Arial" w:eastAsia="Arial" w:hAnsi="Arial"/>
                <w:sz w:val="18"/>
                <w:szCs w:val="18"/>
                <w:color w:val="auto"/>
              </w:rPr>
              <w:t>Chief Executive Officer</w:t>
            </w:r>
          </w:p>
        </w:tc>
        <w:tc>
          <w:tcPr>
            <w:tcW w:w="1340" w:type="dxa"/>
            <w:vAlign w:val="bottom"/>
          </w:tcPr>
          <w:p>
            <w:pPr>
              <w:ind w:left="60"/>
              <w:spacing w:after="0"/>
              <w:rPr>
                <w:sz w:val="20"/>
                <w:szCs w:val="20"/>
                <w:color w:val="auto"/>
              </w:rPr>
            </w:pPr>
            <w:r>
              <w:rPr>
                <w:rFonts w:ascii="Arial" w:cs="Arial" w:eastAsia="Arial" w:hAnsi="Arial"/>
                <w:sz w:val="18"/>
                <w:szCs w:val="18"/>
                <w:color w:val="auto"/>
              </w:rPr>
              <w:t>March 19, 2024</w:t>
            </w:r>
          </w:p>
        </w:tc>
      </w:tr>
      <w:tr>
        <w:trPr>
          <w:trHeight w:val="245"/>
        </w:trPr>
        <w:tc>
          <w:tcPr>
            <w:tcW w:w="2360" w:type="dxa"/>
            <w:vAlign w:val="bottom"/>
          </w:tcPr>
          <w:p>
            <w:pPr>
              <w:ind w:left="160"/>
              <w:spacing w:after="0"/>
              <w:rPr>
                <w:sz w:val="20"/>
                <w:szCs w:val="20"/>
                <w:color w:val="auto"/>
              </w:rPr>
            </w:pPr>
            <w:r>
              <w:rPr>
                <w:rFonts w:ascii="Arial" w:cs="Arial" w:eastAsia="Arial" w:hAnsi="Arial"/>
                <w:sz w:val="18"/>
                <w:szCs w:val="18"/>
                <w:color w:val="auto"/>
              </w:rPr>
              <w:t>George Ireland*</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69</w:t>
            </w:r>
          </w:p>
        </w:tc>
        <w:tc>
          <w:tcPr>
            <w:tcW w:w="4900" w:type="dxa"/>
            <w:vAlign w:val="bottom"/>
          </w:tcPr>
          <w:p>
            <w:pPr>
              <w:ind w:left="220"/>
              <w:spacing w:after="0"/>
              <w:rPr>
                <w:sz w:val="20"/>
                <w:szCs w:val="20"/>
                <w:color w:val="auto"/>
              </w:rPr>
            </w:pPr>
            <w:r>
              <w:rPr>
                <w:rFonts w:ascii="Arial" w:cs="Arial" w:eastAsia="Arial" w:hAnsi="Arial"/>
                <w:sz w:val="18"/>
                <w:szCs w:val="18"/>
                <w:color w:val="auto"/>
              </w:rPr>
              <w:t>Lead Director</w:t>
            </w:r>
          </w:p>
        </w:tc>
        <w:tc>
          <w:tcPr>
            <w:tcW w:w="1340" w:type="dxa"/>
            <w:vAlign w:val="bottom"/>
          </w:tcPr>
          <w:p>
            <w:pPr>
              <w:ind w:left="60"/>
              <w:spacing w:after="0"/>
              <w:rPr>
                <w:sz w:val="20"/>
                <w:szCs w:val="20"/>
                <w:color w:val="auto"/>
              </w:rPr>
            </w:pPr>
            <w:r>
              <w:rPr>
                <w:rFonts w:ascii="Arial" w:cs="Arial" w:eastAsia="Arial" w:hAnsi="Arial"/>
                <w:sz w:val="18"/>
                <w:szCs w:val="18"/>
                <w:color w:val="auto"/>
                <w:w w:val="98"/>
              </w:rPr>
              <w:t>November 13, 2</w:t>
            </w:r>
          </w:p>
        </w:tc>
      </w:tr>
      <w:tr>
        <w:trPr>
          <w:trHeight w:val="310"/>
        </w:trPr>
        <w:tc>
          <w:tcPr>
            <w:tcW w:w="2360" w:type="dxa"/>
            <w:vAlign w:val="bottom"/>
          </w:tcPr>
          <w:p>
            <w:pPr>
              <w:ind w:left="160"/>
              <w:spacing w:after="0"/>
              <w:rPr>
                <w:sz w:val="20"/>
                <w:szCs w:val="20"/>
                <w:color w:val="auto"/>
              </w:rPr>
            </w:pPr>
            <w:r>
              <w:rPr>
                <w:rFonts w:ascii="Arial" w:cs="Arial" w:eastAsia="Arial" w:hAnsi="Arial"/>
                <w:sz w:val="18"/>
                <w:szCs w:val="18"/>
                <w:color w:val="auto"/>
              </w:rPr>
              <w:t>Diego Lopez Casanello*</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49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340" w:type="dxa"/>
            <w:vAlign w:val="bottom"/>
          </w:tcPr>
          <w:p>
            <w:pPr>
              <w:ind w:left="60"/>
              <w:spacing w:after="0"/>
              <w:rPr>
                <w:sz w:val="20"/>
                <w:szCs w:val="20"/>
                <w:color w:val="auto"/>
              </w:rPr>
            </w:pPr>
            <w:r>
              <w:rPr>
                <w:rFonts w:ascii="Arial" w:cs="Arial" w:eastAsia="Arial" w:hAnsi="Arial"/>
                <w:sz w:val="18"/>
                <w:szCs w:val="18"/>
                <w:color w:val="auto"/>
                <w:w w:val="97"/>
              </w:rPr>
              <w:t>October 3, 2023</w:t>
            </w:r>
          </w:p>
        </w:tc>
      </w:tr>
      <w:tr>
        <w:trPr>
          <w:trHeight w:val="310"/>
        </w:trPr>
        <w:tc>
          <w:tcPr>
            <w:tcW w:w="2360" w:type="dxa"/>
            <w:vAlign w:val="bottom"/>
          </w:tcPr>
          <w:p>
            <w:pPr>
              <w:ind w:left="160"/>
              <w:spacing w:after="0"/>
              <w:rPr>
                <w:sz w:val="20"/>
                <w:szCs w:val="20"/>
                <w:color w:val="auto"/>
              </w:rPr>
            </w:pPr>
            <w:r>
              <w:rPr>
                <w:rFonts w:ascii="Arial" w:cs="Arial" w:eastAsia="Arial" w:hAnsi="Arial"/>
                <w:sz w:val="18"/>
                <w:szCs w:val="18"/>
                <w:color w:val="auto"/>
              </w:rPr>
              <w:t>Robert Doyle*</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57</w:t>
            </w:r>
          </w:p>
        </w:tc>
        <w:tc>
          <w:tcPr>
            <w:tcW w:w="49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340" w:type="dxa"/>
            <w:vAlign w:val="bottom"/>
          </w:tcPr>
          <w:p>
            <w:pPr>
              <w:ind w:left="60"/>
              <w:spacing w:after="0"/>
              <w:rPr>
                <w:sz w:val="20"/>
                <w:szCs w:val="20"/>
                <w:color w:val="auto"/>
              </w:rPr>
            </w:pPr>
            <w:r>
              <w:rPr>
                <w:rFonts w:ascii="Arial" w:cs="Arial" w:eastAsia="Arial" w:hAnsi="Arial"/>
                <w:sz w:val="18"/>
                <w:szCs w:val="18"/>
                <w:color w:val="auto"/>
                <w:w w:val="97"/>
              </w:rPr>
              <w:t>October 3, 2023</w:t>
            </w:r>
          </w:p>
        </w:tc>
      </w:tr>
      <w:tr>
        <w:trPr>
          <w:trHeight w:val="376"/>
        </w:trPr>
        <w:tc>
          <w:tcPr>
            <w:tcW w:w="2360" w:type="dxa"/>
            <w:vAlign w:val="bottom"/>
          </w:tcPr>
          <w:p>
            <w:pPr>
              <w:ind w:left="160"/>
              <w:spacing w:after="0"/>
              <w:rPr>
                <w:sz w:val="20"/>
                <w:szCs w:val="20"/>
                <w:color w:val="auto"/>
              </w:rPr>
            </w:pPr>
            <w:r>
              <w:rPr>
                <w:rFonts w:ascii="Arial" w:cs="Arial" w:eastAsia="Arial" w:hAnsi="Arial"/>
                <w:sz w:val="18"/>
                <w:szCs w:val="18"/>
                <w:color w:val="auto"/>
              </w:rPr>
              <w:t>Franco Mignacco</w:t>
            </w:r>
            <w:r>
              <w:rPr>
                <w:rFonts w:ascii="Arial" w:cs="Arial" w:eastAsia="Arial" w:hAnsi="Arial"/>
                <w:sz w:val="24"/>
                <w:szCs w:val="24"/>
                <w:color w:val="auto"/>
                <w:vertAlign w:val="superscript"/>
              </w:rPr>
              <w:t>(3)</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4900" w:type="dxa"/>
            <w:vAlign w:val="bottom"/>
          </w:tcPr>
          <w:p>
            <w:pPr>
              <w:ind w:left="220"/>
              <w:spacing w:after="0"/>
              <w:rPr>
                <w:sz w:val="20"/>
                <w:szCs w:val="20"/>
                <w:color w:val="auto"/>
              </w:rPr>
            </w:pPr>
            <w:r>
              <w:rPr>
                <w:rFonts w:ascii="Arial" w:cs="Arial" w:eastAsia="Arial" w:hAnsi="Arial"/>
                <w:sz w:val="18"/>
                <w:szCs w:val="18"/>
                <w:color w:val="auto"/>
              </w:rPr>
              <w:t>Chair of the Shareholder Committee of Exar and Director</w:t>
            </w:r>
            <w:r>
              <w:rPr>
                <w:rFonts w:ascii="Arial" w:cs="Arial" w:eastAsia="Arial" w:hAnsi="Arial"/>
                <w:sz w:val="24"/>
                <w:szCs w:val="24"/>
                <w:color w:val="auto"/>
                <w:vertAlign w:val="superscript"/>
              </w:rPr>
              <w:t>**</w:t>
            </w:r>
          </w:p>
        </w:tc>
        <w:tc>
          <w:tcPr>
            <w:tcW w:w="1340" w:type="dxa"/>
            <w:vAlign w:val="bottom"/>
          </w:tcPr>
          <w:p>
            <w:pPr>
              <w:ind w:left="60"/>
              <w:spacing w:after="0"/>
              <w:rPr>
                <w:sz w:val="20"/>
                <w:szCs w:val="20"/>
                <w:color w:val="auto"/>
              </w:rPr>
            </w:pPr>
            <w:r>
              <w:rPr>
                <w:rFonts w:ascii="Arial" w:cs="Arial" w:eastAsia="Arial" w:hAnsi="Arial"/>
                <w:sz w:val="18"/>
                <w:szCs w:val="18"/>
                <w:color w:val="auto"/>
                <w:w w:val="94"/>
              </w:rPr>
              <w:t>September 4, 20</w:t>
            </w:r>
          </w:p>
        </w:tc>
      </w:tr>
      <w:tr>
        <w:trPr>
          <w:trHeight w:val="245"/>
        </w:trPr>
        <w:tc>
          <w:tcPr>
            <w:tcW w:w="2360" w:type="dxa"/>
            <w:vAlign w:val="bottom"/>
          </w:tcPr>
          <w:p>
            <w:pPr>
              <w:ind w:left="160"/>
              <w:spacing w:after="0"/>
              <w:rPr>
                <w:sz w:val="20"/>
                <w:szCs w:val="20"/>
                <w:color w:val="auto"/>
              </w:rPr>
            </w:pPr>
            <w:r>
              <w:rPr>
                <w:rFonts w:ascii="Arial" w:cs="Arial" w:eastAsia="Arial" w:hAnsi="Arial"/>
                <w:sz w:val="18"/>
                <w:szCs w:val="18"/>
                <w:color w:val="auto"/>
              </w:rPr>
              <w:t>Monica Moretto</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49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340" w:type="dxa"/>
            <w:vAlign w:val="bottom"/>
          </w:tcPr>
          <w:p>
            <w:pPr>
              <w:ind w:left="60"/>
              <w:spacing w:after="0"/>
              <w:rPr>
                <w:sz w:val="20"/>
                <w:szCs w:val="20"/>
                <w:color w:val="auto"/>
              </w:rPr>
            </w:pPr>
            <w:r>
              <w:rPr>
                <w:rFonts w:ascii="Arial" w:cs="Arial" w:eastAsia="Arial" w:hAnsi="Arial"/>
                <w:sz w:val="18"/>
                <w:szCs w:val="18"/>
                <w:color w:val="auto"/>
              </w:rPr>
              <w:t>March 19, 2024</w:t>
            </w:r>
          </w:p>
        </w:tc>
      </w:tr>
      <w:tr>
        <w:trPr>
          <w:trHeight w:val="310"/>
        </w:trPr>
        <w:tc>
          <w:tcPr>
            <w:tcW w:w="2360" w:type="dxa"/>
            <w:vAlign w:val="bottom"/>
          </w:tcPr>
          <w:p>
            <w:pPr>
              <w:ind w:left="160"/>
              <w:spacing w:after="0"/>
              <w:rPr>
                <w:sz w:val="20"/>
                <w:szCs w:val="20"/>
                <w:color w:val="auto"/>
              </w:rPr>
            </w:pPr>
            <w:r>
              <w:rPr>
                <w:rFonts w:ascii="Arial" w:cs="Arial" w:eastAsia="Arial" w:hAnsi="Arial"/>
                <w:sz w:val="18"/>
                <w:szCs w:val="18"/>
                <w:color w:val="auto"/>
              </w:rPr>
              <w:t>Calum Morrison</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49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340" w:type="dxa"/>
            <w:vAlign w:val="bottom"/>
          </w:tcPr>
          <w:p>
            <w:pPr>
              <w:ind w:left="60"/>
              <w:spacing w:after="0"/>
              <w:rPr>
                <w:sz w:val="20"/>
                <w:szCs w:val="20"/>
                <w:color w:val="auto"/>
              </w:rPr>
            </w:pPr>
            <w:r>
              <w:rPr>
                <w:rFonts w:ascii="Arial" w:cs="Arial" w:eastAsia="Arial" w:hAnsi="Arial"/>
                <w:sz w:val="18"/>
                <w:szCs w:val="18"/>
                <w:color w:val="auto"/>
                <w:w w:val="97"/>
              </w:rPr>
              <w:t>October 3, 2023</w:t>
            </w:r>
          </w:p>
        </w:tc>
      </w:tr>
      <w:tr>
        <w:trPr>
          <w:trHeight w:val="376"/>
        </w:trPr>
        <w:tc>
          <w:tcPr>
            <w:tcW w:w="2360" w:type="dxa"/>
            <w:vAlign w:val="bottom"/>
          </w:tcPr>
          <w:p>
            <w:pPr>
              <w:ind w:left="160"/>
              <w:spacing w:after="0"/>
              <w:rPr>
                <w:sz w:val="20"/>
                <w:szCs w:val="20"/>
                <w:color w:val="auto"/>
              </w:rPr>
            </w:pPr>
            <w:r>
              <w:rPr>
                <w:rFonts w:ascii="Arial" w:cs="Arial" w:eastAsia="Arial" w:hAnsi="Arial"/>
                <w:sz w:val="18"/>
                <w:szCs w:val="18"/>
                <w:color w:val="auto"/>
              </w:rPr>
              <w:t>Alec Meikle</w:t>
            </w:r>
            <w:r>
              <w:rPr>
                <w:rFonts w:ascii="Arial" w:cs="Arial" w:eastAsia="Arial" w:hAnsi="Arial"/>
                <w:sz w:val="24"/>
                <w:szCs w:val="24"/>
                <w:color w:val="auto"/>
                <w:vertAlign w:val="superscript"/>
              </w:rPr>
              <w:t>(4)</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37</w:t>
            </w:r>
          </w:p>
        </w:tc>
        <w:tc>
          <w:tcPr>
            <w:tcW w:w="4900" w:type="dxa"/>
            <w:vAlign w:val="bottom"/>
          </w:tcPr>
          <w:p>
            <w:pPr>
              <w:ind w:left="220"/>
              <w:spacing w:after="0"/>
              <w:rPr>
                <w:sz w:val="20"/>
                <w:szCs w:val="20"/>
                <w:color w:val="auto"/>
              </w:rPr>
            </w:pPr>
            <w:r>
              <w:rPr>
                <w:rFonts w:ascii="Arial" w:cs="Arial" w:eastAsia="Arial" w:hAnsi="Arial"/>
                <w:sz w:val="18"/>
                <w:szCs w:val="18"/>
                <w:color w:val="auto"/>
              </w:rPr>
              <w:t>President</w:t>
            </w:r>
          </w:p>
        </w:tc>
        <w:tc>
          <w:tcPr>
            <w:tcW w:w="1340" w:type="dxa"/>
            <w:vAlign w:val="bottom"/>
          </w:tcPr>
          <w:p>
            <w:pPr>
              <w:ind w:left="60"/>
              <w:spacing w:after="0"/>
              <w:rPr>
                <w:sz w:val="20"/>
                <w:szCs w:val="20"/>
                <w:color w:val="auto"/>
              </w:rPr>
            </w:pPr>
            <w:r>
              <w:rPr>
                <w:rFonts w:ascii="Arial" w:cs="Arial" w:eastAsia="Arial" w:hAnsi="Arial"/>
                <w:sz w:val="18"/>
                <w:szCs w:val="18"/>
                <w:color w:val="auto"/>
              </w:rPr>
              <w:t>N/A</w:t>
            </w:r>
          </w:p>
        </w:tc>
      </w:tr>
      <w:tr>
        <w:trPr>
          <w:trHeight w:val="245"/>
        </w:trPr>
        <w:tc>
          <w:tcPr>
            <w:tcW w:w="2360" w:type="dxa"/>
            <w:vAlign w:val="bottom"/>
          </w:tcPr>
          <w:p>
            <w:pPr>
              <w:ind w:left="160"/>
              <w:spacing w:after="0"/>
              <w:rPr>
                <w:sz w:val="20"/>
                <w:szCs w:val="20"/>
                <w:color w:val="auto"/>
              </w:rPr>
            </w:pPr>
            <w:r>
              <w:rPr>
                <w:rFonts w:ascii="Arial" w:cs="Arial" w:eastAsia="Arial" w:hAnsi="Arial"/>
                <w:sz w:val="18"/>
                <w:szCs w:val="18"/>
                <w:color w:val="auto"/>
              </w:rPr>
              <w:t>Alex Shulga</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4900" w:type="dxa"/>
            <w:vAlign w:val="bottom"/>
          </w:tcPr>
          <w:p>
            <w:pPr>
              <w:ind w:left="220"/>
              <w:spacing w:after="0"/>
              <w:rPr>
                <w:sz w:val="20"/>
                <w:szCs w:val="20"/>
                <w:color w:val="auto"/>
              </w:rPr>
            </w:pPr>
            <w:r>
              <w:rPr>
                <w:rFonts w:ascii="Arial" w:cs="Arial" w:eastAsia="Arial" w:hAnsi="Arial"/>
                <w:sz w:val="18"/>
                <w:szCs w:val="18"/>
                <w:color w:val="auto"/>
              </w:rPr>
              <w:t>Vice President and Chief Financial Officer</w:t>
            </w:r>
          </w:p>
        </w:tc>
        <w:tc>
          <w:tcPr>
            <w:tcW w:w="1340" w:type="dxa"/>
            <w:vAlign w:val="bottom"/>
          </w:tcPr>
          <w:p>
            <w:pPr>
              <w:ind w:left="6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-1741805</wp:posOffset>
            </wp:positionV>
            <wp:extent cx="6078220"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5">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-1544320</wp:posOffset>
            </wp:positionV>
            <wp:extent cx="6078220"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6">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-1347470</wp:posOffset>
            </wp:positionV>
            <wp:extent cx="6078220"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7">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-1149985</wp:posOffset>
            </wp:positionV>
            <wp:extent cx="6078220"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8">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-953135</wp:posOffset>
            </wp:positionV>
            <wp:extent cx="6078220"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79">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-755650</wp:posOffset>
            </wp:positionV>
            <wp:extent cx="6078220"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0">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-558800</wp:posOffset>
            </wp:positionV>
            <wp:extent cx="6078220"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1">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-361315</wp:posOffset>
            </wp:positionV>
            <wp:extent cx="6078220"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2">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-164465</wp:posOffset>
            </wp:positionV>
            <wp:extent cx="6078220"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3">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32385</wp:posOffset>
            </wp:positionV>
            <wp:extent cx="6078220"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4">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3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 / 59</w:t>
      </w:r>
    </w:p>
    <w:p>
      <w:pPr>
        <w:sectPr>
          <w:pgSz w:w="11900" w:h="16838" w:orient="portrait"/>
          <w:cols w:equalWidth="0" w:num="1">
            <w:col w:w="10460"/>
          </w:cols>
          <w:pgMar w:left="1440" w:top="1440" w:right="6" w:bottom="0" w:gutter="0" w:footer="0" w:header="0"/>
          <w:type w:val="continuous"/>
        </w:sectPr>
      </w:pPr>
    </w:p>
    <w:bookmarkStart w:id="174" w:name="page175"/>
    <w:bookmarkEnd w:id="174"/>
    <w:p>
      <w:pPr>
        <w:ind w:left="1060"/>
        <w:spacing w:after="0"/>
        <w:tabs>
          <w:tab w:leader="none" w:pos="3640" w:val="left"/>
          <w:tab w:leader="none" w:pos="4420" w:val="left"/>
          <w:tab w:leader="none" w:pos="9160" w:val="left"/>
        </w:tabs>
        <w:rPr>
          <w:sz w:val="20"/>
          <w:szCs w:val="20"/>
          <w:color w:val="auto"/>
        </w:rPr>
      </w:pPr>
      <w:r>
        <w:rPr>
          <w:rFonts w:ascii="Arial" w:cs="Arial" w:eastAsia="Arial" w:hAnsi="Arial"/>
          <w:sz w:val="18"/>
          <w:szCs w:val="18"/>
          <w:color w:val="auto"/>
        </w:rPr>
        <w:t>Mariano Chiappori</w:t>
      </w:r>
      <w:r>
        <w:rPr>
          <w:sz w:val="20"/>
          <w:szCs w:val="20"/>
          <w:color w:val="auto"/>
        </w:rPr>
        <w:tab/>
      </w: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Vice President and Chief Operating Officer</w:t>
      </w:r>
      <w:r>
        <w:rPr>
          <w:sz w:val="20"/>
          <w:szCs w:val="20"/>
          <w:color w:val="auto"/>
        </w:rPr>
        <w:tab/>
      </w:r>
      <w:r>
        <w:rPr>
          <w:rFonts w:ascii="Arial" w:cs="Arial" w:eastAsia="Arial" w:hAnsi="Arial"/>
          <w:sz w:val="17"/>
          <w:szCs w:val="17"/>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32385</wp:posOffset>
            </wp:positionV>
            <wp:extent cx="6078220"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5">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374"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Notes:</w:t>
      </w:r>
    </w:p>
    <w:p>
      <w:pPr>
        <w:spacing w:after="0" w:line="152" w:lineRule="exact"/>
        <w:rPr>
          <w:sz w:val="20"/>
          <w:szCs w:val="20"/>
          <w:color w:val="auto"/>
        </w:rPr>
      </w:pPr>
    </w:p>
    <w:p>
      <w:pPr>
        <w:ind w:left="1620" w:hanging="366"/>
        <w:spacing w:after="0"/>
        <w:tabs>
          <w:tab w:leader="none" w:pos="16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Will transition to non-Executive Chair on March 31, 2026.</w:t>
      </w:r>
    </w:p>
    <w:p>
      <w:pPr>
        <w:spacing w:after="0" w:line="176" w:lineRule="exact"/>
        <w:rPr>
          <w:rFonts w:ascii="Arial" w:cs="Arial" w:eastAsia="Arial" w:hAnsi="Arial"/>
          <w:sz w:val="16"/>
          <w:szCs w:val="16"/>
          <w:color w:val="auto"/>
        </w:rPr>
      </w:pPr>
    </w:p>
    <w:p>
      <w:pPr>
        <w:ind w:left="1620" w:hanging="366"/>
        <w:spacing w:after="0"/>
        <w:tabs>
          <w:tab w:leader="none" w:pos="16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Ceased to be President and remains solely CEO as of January 1, 2026.</w:t>
      </w:r>
    </w:p>
    <w:p>
      <w:pPr>
        <w:spacing w:after="0" w:line="303" w:lineRule="exact"/>
        <w:rPr>
          <w:rFonts w:ascii="Arial" w:cs="Arial" w:eastAsia="Arial" w:hAnsi="Arial"/>
          <w:sz w:val="16"/>
          <w:szCs w:val="16"/>
          <w:color w:val="auto"/>
        </w:rPr>
      </w:pPr>
    </w:p>
    <w:p>
      <w:pPr>
        <w:ind w:left="1620" w:hanging="366"/>
        <w:spacing w:after="0" w:line="460" w:lineRule="auto"/>
        <w:tabs>
          <w:tab w:leader="none" w:pos="16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Mr. Mignacco was formerly President of Exar until December 6, 2024, at which time he became Chair of the Shareholder Com of Exar.</w:t>
      </w:r>
    </w:p>
    <w:p>
      <w:pPr>
        <w:spacing w:after="0" w:line="134" w:lineRule="exact"/>
        <w:rPr>
          <w:rFonts w:ascii="Arial" w:cs="Arial" w:eastAsia="Arial" w:hAnsi="Arial"/>
          <w:sz w:val="16"/>
          <w:szCs w:val="16"/>
          <w:color w:val="auto"/>
        </w:rPr>
      </w:pPr>
    </w:p>
    <w:p>
      <w:pPr>
        <w:ind w:left="1620" w:hanging="366"/>
        <w:spacing w:after="0" w:line="460" w:lineRule="auto"/>
        <w:tabs>
          <w:tab w:leader="none" w:pos="16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Appointed Executive Vice President, Corporate Development on July 31, 2024. Promoted to President effective as of January 2026.</w:t>
      </w:r>
    </w:p>
    <w:p>
      <w:pPr>
        <w:spacing w:after="0" w:line="64"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1134110</wp:posOffset>
            </wp:positionV>
            <wp:extent cx="6764020" cy="19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6"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 / 59</w:t>
      </w:r>
    </w:p>
    <w:p>
      <w:pPr>
        <w:sectPr>
          <w:pgSz w:w="11900" w:h="16838" w:orient="portrait"/>
          <w:cols w:equalWidth="0" w:num="1">
            <w:col w:w="10460"/>
          </w:cols>
          <w:pgMar w:left="1440" w:top="1176" w:right="6" w:bottom="0" w:gutter="0" w:footer="0" w:header="0"/>
          <w:type w:val="continuous"/>
        </w:sectPr>
      </w:pPr>
    </w:p>
    <w:bookmarkStart w:id="175" w:name="page176"/>
    <w:bookmarkEnd w:id="1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Biographical information with respect to each of our directors and our Named Executives is set forth below.</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John Kanellitsas, Chair</w:t>
      </w:r>
    </w:p>
    <w:p>
      <w:pPr>
        <w:spacing w:after="0" w:line="279" w:lineRule="exact"/>
        <w:rPr>
          <w:sz w:val="20"/>
          <w:szCs w:val="20"/>
          <w:color w:val="auto"/>
        </w:rPr>
      </w:pPr>
    </w:p>
    <w:p>
      <w:pPr>
        <w:jc w:val="both"/>
        <w:ind w:left="900"/>
        <w:spacing w:after="0" w:line="333" w:lineRule="auto"/>
        <w:rPr>
          <w:sz w:val="20"/>
          <w:szCs w:val="20"/>
          <w:color w:val="auto"/>
        </w:rPr>
      </w:pPr>
      <w:r>
        <w:rPr>
          <w:rFonts w:ascii="Arial" w:cs="Arial" w:eastAsia="Arial" w:hAnsi="Arial"/>
          <w:sz w:val="19"/>
          <w:szCs w:val="19"/>
          <w:color w:val="auto"/>
        </w:rPr>
        <w:t>Mr. Kanellitsas is the Chairman of the Company. He joined the Company (when formerly known as Lit Americas Corp.) as an independent director in June 2013. He served in various executive roles with the Com since September 2015, including Interim CEO from October 2023 until March 2024. Mr. Kanellitsas has serv several public and private company boards including Lithium Royalty Corp and Largo Physical Vanadium Co</w:t>
      </w:r>
    </w:p>
    <w:p>
      <w:pPr>
        <w:spacing w:after="0" w:line="195"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He has over 30 years of experience in the investment banking and asset management industries and was founder of Geologic Resource Partners, LLP, where he served as its Chief Operating Officer from 2004 to 2 Prior to Geologic, Mr. Kanellitsas was employed by Sun Valley Gold, LLC and Morgan Stanley &amp; Co. in New and San Francisco.</w:t>
      </w:r>
    </w:p>
    <w:p>
      <w:pPr>
        <w:spacing w:after="0" w:line="212" w:lineRule="exact"/>
        <w:rPr>
          <w:sz w:val="20"/>
          <w:szCs w:val="20"/>
          <w:color w:val="auto"/>
        </w:rPr>
      </w:pPr>
    </w:p>
    <w:p>
      <w:pPr>
        <w:jc w:val="both"/>
        <w:ind w:left="900" w:right="20"/>
        <w:spacing w:after="0" w:line="307" w:lineRule="auto"/>
        <w:rPr>
          <w:sz w:val="20"/>
          <w:szCs w:val="20"/>
          <w:color w:val="auto"/>
        </w:rPr>
      </w:pPr>
      <w:r>
        <w:rPr>
          <w:rFonts w:ascii="Arial" w:cs="Arial" w:eastAsia="Arial" w:hAnsi="Arial"/>
          <w:sz w:val="20"/>
          <w:szCs w:val="20"/>
          <w:color w:val="auto"/>
        </w:rPr>
        <w:t>Mr. Kanellitsas has a Bachelor of Science in Mechanical Engineering from Michigan State University a Master of Business Administration from the University of California in Los Angeles.</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Samuel Pigott, Chief Executive Officer</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Mr. Pigott joined the Company as Chief Executive Officer on March 18, 2024, and as a director on Marc 2024. Prior to this, he served as Head of Business Development, of Ganfeng from October 2018 to March 2 Before joining Ganfeng in 2018, Mr. Pigott worked in several financial and investment banking institutions variety of senior roles.</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Mr. Pigott holds a Master of Business Administration from Oxford University and a Bachelor of Arts in Econo and History from McGill University.</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George Ireland, Lead Director</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Mr. Ireland joined the Company as a director in November 2015. He has over forty years of experience i mining and metals industry in positions ranging from field geologist and operations, to banking and ve capital. In 2004, Mr. Ireland founded Geologic Resource Partners LLP and serves as Chief Investment Office CEO. He previously held various roles as an analyst and partner with investment firms including Knott Par LP, Cleveland Cliffs Inc., the Chase Manhattan Bank, ASARCO Inc. and Ventures Trident LP.</w:t>
      </w:r>
    </w:p>
    <w:p>
      <w:pPr>
        <w:spacing w:after="0" w:line="210"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He graduated from the University of Michigan with a BSc degree from the School of Natural Resources and Fellow in the Society of Economic Geologists.</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Diego Lopez Casanello, Director</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Mr. Casanello joined the Company as a director in October 2023 with the Separation Transaction. He has s as Chief Executive Officer of Farmers Business Network, Inc. (farmer-to-farmer network and e-comm platform) since March 2024; Managing Partner of Vidavo Ventures (venture capital firm focused decarbonization technologies) since March 2022; and Executive Advisor to New Mountain Capital LLC (pr equity firm) since June 2021. Prior to this he served as President and Chief Operating Officer of UPL Li (global agricultural and specialty chemicals manufacturer) from March 2019 to May 2021 and as the</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 / 59</w:t>
      </w:r>
    </w:p>
    <w:p>
      <w:pPr>
        <w:sectPr>
          <w:pgSz w:w="11900" w:h="16838" w:orient="portrait"/>
          <w:cols w:equalWidth="0" w:num="1">
            <w:col w:w="10460"/>
          </w:cols>
          <w:pgMar w:left="1440" w:top="1440" w:right="6" w:bottom="0" w:gutter="0" w:footer="0" w:header="0"/>
          <w:type w:val="continuous"/>
        </w:sectPr>
      </w:pPr>
    </w:p>
    <w:bookmarkStart w:id="176" w:name="page177"/>
    <w:bookmarkEnd w:id="176"/>
    <w:p>
      <w:pPr>
        <w:jc w:val="both"/>
        <w:ind w:left="900" w:right="20"/>
        <w:spacing w:after="0" w:line="311" w:lineRule="auto"/>
        <w:rPr>
          <w:sz w:val="20"/>
          <w:szCs w:val="20"/>
          <w:color w:val="auto"/>
        </w:rPr>
      </w:pPr>
      <w:r>
        <w:rPr>
          <w:rFonts w:ascii="Arial" w:cs="Arial" w:eastAsia="Arial" w:hAnsi="Arial"/>
          <w:sz w:val="20"/>
          <w:szCs w:val="20"/>
          <w:color w:val="auto"/>
        </w:rPr>
        <w:t>Executive Officer of Arysta LifeScience Corporation (global agricultural chemicals manufacturer) from Feb 2016 to February 2019, following its sale in July 2018 to UPL. He currently serves on the board of P Products LLC since November 2021 (environmental solutions).</w:t>
      </w:r>
    </w:p>
    <w:p>
      <w:pPr>
        <w:spacing w:after="0" w:line="212" w:lineRule="exact"/>
        <w:rPr>
          <w:sz w:val="20"/>
          <w:szCs w:val="20"/>
          <w:color w:val="auto"/>
        </w:rPr>
      </w:pPr>
    </w:p>
    <w:p>
      <w:pPr>
        <w:ind w:left="900"/>
        <w:spacing w:after="0" w:line="312" w:lineRule="auto"/>
        <w:rPr>
          <w:sz w:val="20"/>
          <w:szCs w:val="20"/>
          <w:color w:val="auto"/>
        </w:rPr>
      </w:pPr>
      <w:r>
        <w:rPr>
          <w:rFonts w:ascii="Arial" w:cs="Arial" w:eastAsia="Arial" w:hAnsi="Arial"/>
          <w:sz w:val="20"/>
          <w:szCs w:val="20"/>
          <w:color w:val="auto"/>
        </w:rPr>
        <w:t>Mr. Casanello started his career at chemical manufacturer BASF SE and worked in senior executive positio Europe, Asia, South and North America, including as Managing Director of BASF Argentina S.A. and leadin Oilfield and Mining Chemicals business in North America. He has extensive M&amp;A experience and holds a Business Administration from the University of 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 / 59</w:t>
      </w:r>
    </w:p>
    <w:p>
      <w:pPr>
        <w:sectPr>
          <w:pgSz w:w="11900" w:h="16838" w:orient="portrait"/>
          <w:cols w:equalWidth="0" w:num="1">
            <w:col w:w="10460"/>
          </w:cols>
          <w:pgMar w:left="1440" w:top="1172" w:right="6" w:bottom="0" w:gutter="0" w:footer="0" w:header="0"/>
          <w:type w:val="continuous"/>
        </w:sectPr>
      </w:pPr>
    </w:p>
    <w:bookmarkStart w:id="177" w:name="page178"/>
    <w:bookmarkEnd w:id="1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Robert Doyle, Director</w:t>
      </w:r>
    </w:p>
    <w:p>
      <w:pPr>
        <w:spacing w:after="0" w:line="279" w:lineRule="exact"/>
        <w:rPr>
          <w:sz w:val="20"/>
          <w:szCs w:val="20"/>
          <w:color w:val="auto"/>
        </w:rPr>
      </w:pPr>
    </w:p>
    <w:p>
      <w:pPr>
        <w:jc w:val="both"/>
        <w:ind w:left="900"/>
        <w:spacing w:after="0" w:line="332" w:lineRule="auto"/>
        <w:rPr>
          <w:sz w:val="20"/>
          <w:szCs w:val="20"/>
          <w:color w:val="auto"/>
        </w:rPr>
      </w:pPr>
      <w:r>
        <w:rPr>
          <w:rFonts w:ascii="Arial" w:cs="Arial" w:eastAsia="Arial" w:hAnsi="Arial"/>
          <w:sz w:val="19"/>
          <w:szCs w:val="19"/>
          <w:color w:val="auto"/>
        </w:rPr>
        <w:t>Mr. Doyle joined the Company as a director in October 2023 with the Separation Transaction. He has be corporate director since June 2016, serving on the boards of Faraday Copper Corp. (development-stage co company) since April 2022, OreZone Gold Corp. (TSX and ASX-listed gold producer) since June 2022, Sno Gold Corp. since August 2025 and Maverix Metals Inc. (royalty streaming company) from June 2016 un acquisition by Triple Flag Precious Metals Corp. in January 2023. He previously served as CFO of Pan Ame Silver Corp. (TSX and NASDAQ-listed, leading producer of silver) from January 2004 until retiring in March 2</w:t>
      </w:r>
    </w:p>
    <w:p>
      <w:pPr>
        <w:spacing w:after="0" w:line="198"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Mr. Doyle has over 30 years of international experience in corporate finance, functional management and c markets roles. Mr. Doyle holds a BSc of Finance from the University of Cape Town and is a Chartered Accou in South Africa and Chartered Financial Analyst in Canada.</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Franco Mignacco, Director</w:t>
      </w:r>
    </w:p>
    <w:p>
      <w:pPr>
        <w:spacing w:after="0" w:line="279"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Mr. Mignacco has been a director of the Company since September 2009 and has been serving on the boa Full Circle Lithium Corp. since April 21, 2023. He served as President of Exar from June 2013 – December overseeing operations and development of the Cauchari-Olaroz mineral project. Previously, he was the Chair of the former Lithium Americas Corp. from June 2013 to September 2015 prior to its merger with We Lithium USA Corp.</w:t>
      </w:r>
    </w:p>
    <w:p>
      <w:pPr>
        <w:spacing w:after="0" w:line="210"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Mr. Mignacco holds an MBA from San Andres University in Buenos Aires, Argentina and a mining degree honours from Universidad Austral, Buenos Aires, Argentina.</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Monica Moretto, Director</w:t>
      </w:r>
    </w:p>
    <w:p>
      <w:pPr>
        <w:spacing w:after="0" w:line="279" w:lineRule="exact"/>
        <w:rPr>
          <w:sz w:val="20"/>
          <w:szCs w:val="20"/>
          <w:color w:val="auto"/>
        </w:rPr>
      </w:pPr>
    </w:p>
    <w:p>
      <w:pPr>
        <w:ind w:left="900" w:right="20"/>
        <w:spacing w:after="0" w:line="307" w:lineRule="auto"/>
        <w:rPr>
          <w:sz w:val="20"/>
          <w:szCs w:val="20"/>
          <w:color w:val="auto"/>
        </w:rPr>
      </w:pPr>
      <w:r>
        <w:rPr>
          <w:rFonts w:ascii="Arial" w:cs="Arial" w:eastAsia="Arial" w:hAnsi="Arial"/>
          <w:sz w:val="20"/>
          <w:szCs w:val="20"/>
          <w:color w:val="auto"/>
        </w:rPr>
        <w:t>Ms. Moretto joined the Company as a director in March 2024. She has served as Vice President, Sustainabi Pan American Silver Corp. (TSX and NASDAQ-listed, leading producer of silver) since April 2008.</w:t>
      </w:r>
    </w:p>
    <w:p>
      <w:pPr>
        <w:spacing w:after="0" w:line="2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Ms. Moretto is a seasoned senior executive with vast experience in the mining industry who has prov leadership and strategic advice to industry boards and international committees in North America for almos decades. She currently chairs the International Social Responsibility committee at the Mining Associatio Canada. Ms. Moretto holds a Bachelor of Art in communications from Argentina and holds an ESG design from Competent Boards. She was the recipient of the Robert H. Hedley Sustainability Award of Excellence, by the prestigious Association for Mineral Exploration of British Columbia in January 2019, and more recentl 2021 Trailblazer Award given by Women in Mining Canada. She also holds the CDI Board designation.</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Calum Morrison, Director</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Mr. Morrison joined the Company as a director in October 2023 with the Separation Transaction. Mr. Morriso served as President and Director of Snowline Gold Corp., a gold development company since February 202 has previously served as President and Chief Executive Officer of Great Bear Royalties Corp. (royalty comp from January 2020 to September 2022 until its sale to Royal Gold Inc.; VP Business Development and CF Great Bear Resources Ltd. (precious metals company) from November 2019 to February 2022 until its sa Kinross Gold Corporation.</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 / 59</w:t>
      </w:r>
    </w:p>
    <w:p>
      <w:pPr>
        <w:sectPr>
          <w:pgSz w:w="11900" w:h="16838" w:orient="portrait"/>
          <w:cols w:equalWidth="0" w:num="1">
            <w:col w:w="10460"/>
          </w:cols>
          <w:pgMar w:left="1440" w:top="1440" w:right="6" w:bottom="0" w:gutter="0" w:footer="0" w:header="0"/>
          <w:type w:val="continuous"/>
        </w:sectPr>
      </w:pPr>
    </w:p>
    <w:bookmarkStart w:id="178" w:name="page179"/>
    <w:bookmarkEnd w:id="178"/>
    <w:p>
      <w:pPr>
        <w:jc w:val="both"/>
        <w:ind w:left="900"/>
        <w:spacing w:after="0" w:line="311" w:lineRule="auto"/>
        <w:rPr>
          <w:sz w:val="20"/>
          <w:szCs w:val="20"/>
          <w:color w:val="auto"/>
        </w:rPr>
      </w:pPr>
      <w:r>
        <w:rPr>
          <w:rFonts w:ascii="Arial" w:cs="Arial" w:eastAsia="Arial" w:hAnsi="Arial"/>
          <w:sz w:val="20"/>
          <w:szCs w:val="20"/>
          <w:color w:val="auto"/>
        </w:rPr>
        <w:t>Mr. Morrison has over 20 years of experience in the mining sector. Mr. Morrison currently resides in Vanco Canada, holds a BSc from Dalhousie University and is a Chartered Professional Accountant in British Colu and Chartered Financial Analyst in Canada.</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Alec Meikle, President</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Mr. Meikle has over 15 years experience in capital markets and the resource industry. Prior to joining Company (formerly Lithium Americas Corp.) in 2016, Alec was a research analyst at Cormark Securities cov base metals and lithium companies. In his various capacities with the Company, Alec has been responsibl over $2 billion in M&amp;A and financing transactions. He holds a Bachelor of Commerce from University of Tor Mr. Meikle currently resides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1087755</wp:posOffset>
            </wp:positionV>
            <wp:extent cx="6764020" cy="19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9 / 59</w:t>
      </w:r>
    </w:p>
    <w:p>
      <w:pPr>
        <w:sectPr>
          <w:pgSz w:w="11900" w:h="16838" w:orient="portrait"/>
          <w:cols w:equalWidth="0" w:num="1">
            <w:col w:w="10460"/>
          </w:cols>
          <w:pgMar w:left="1440" w:top="1172" w:right="6" w:bottom="0" w:gutter="0" w:footer="0" w:header="0"/>
          <w:type w:val="continuous"/>
        </w:sectPr>
      </w:pPr>
    </w:p>
    <w:bookmarkStart w:id="179" w:name="page180"/>
    <w:bookmarkEnd w:id="1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Alex Shulga, Vice President and Chief Financial Officer</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Mr. Shulga is a Chartered Professional Accountant (CPA-CGA) and a member of the Association of Char Certified Accountants (FCCA, UK). He has 20 years of experience in the mining sector focusing on fin management, corporate finance, financial reporting and compliance and mergers &amp; acquisitions. Prior to jo the Company (formerly Lithium Americas Corp.) in 2018, Mr. Shulga held senior roles in audit and assur practice at PricewaterhouseCoopers LLP. Currently, Mr. Shulga is a Director for the Vancouver Chapt Financial Executives International. He was Vice-President of Finance for Lithium Americas Corp. prio assuming his current role at Lithium Argentina.</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Mariano Chiappori, Vice President and Chief Operating Officer</w:t>
      </w:r>
    </w:p>
    <w:p>
      <w:pPr>
        <w:spacing w:after="0" w:line="279" w:lineRule="exact"/>
        <w:rPr>
          <w:sz w:val="20"/>
          <w:szCs w:val="20"/>
          <w:color w:val="auto"/>
        </w:rPr>
      </w:pPr>
    </w:p>
    <w:p>
      <w:pPr>
        <w:ind w:left="900"/>
        <w:spacing w:after="0" w:line="314" w:lineRule="auto"/>
        <w:rPr>
          <w:sz w:val="20"/>
          <w:szCs w:val="20"/>
          <w:color w:val="auto"/>
        </w:rPr>
      </w:pPr>
      <w:r>
        <w:rPr>
          <w:rFonts w:ascii="Arial" w:cs="Arial" w:eastAsia="Arial" w:hAnsi="Arial"/>
          <w:sz w:val="20"/>
          <w:szCs w:val="20"/>
          <w:color w:val="auto"/>
        </w:rPr>
        <w:t xml:space="preserve">Mr. Chiappori is a mechanical engineer with extensive expertise and experience managing complex busine and projects at national and international levels. Before his eight-year tenure with lithium producer FMC (now Livent USA Corp.), where he held several senior roles including Global Director of Manufacturing Supply Chain, Mr. Chiappori was Operations Manager for United Phosphorus Ltd. and managed construction and industrial operations for Bunge Argentina </w:t>
      </w:r>
      <w:r>
        <w:rPr>
          <w:rFonts w:ascii="Arial" w:cs="Arial" w:eastAsia="Arial" w:hAnsi="Arial"/>
          <w:sz w:val="20"/>
          <w:szCs w:val="20"/>
          <w:u w:val="single" w:color="auto"/>
          <w:color w:val="auto"/>
        </w:rPr>
        <w:t>a</w:t>
      </w:r>
      <w:r>
        <w:rPr>
          <w:rFonts w:ascii="Arial" w:cs="Arial" w:eastAsia="Arial" w:hAnsi="Arial"/>
          <w:sz w:val="20"/>
          <w:szCs w:val="20"/>
          <w:color w:val="auto"/>
        </w:rPr>
        <w:t>nd held different management positions at Petr and Shell. He was Vice-President of Lithium Americas’ Latin American Operations from July 2022 until Oc 2023, when he assumed his current role with Lithium Argentina. Mr. Chiappori holds a mechanical engine degree from Universidad Nacional de la Plata, and a postgraduate degree in management development fro IAE Business School.</w:t>
      </w:r>
    </w:p>
    <w:p>
      <w:pPr>
        <w:spacing w:after="0" w:line="209" w:lineRule="exact"/>
        <w:rPr>
          <w:sz w:val="20"/>
          <w:szCs w:val="20"/>
          <w:color w:val="auto"/>
        </w:rPr>
      </w:pPr>
    </w:p>
    <w:p>
      <w:pPr>
        <w:ind w:left="900" w:right="7360" w:hanging="6"/>
        <w:spacing w:after="0" w:line="556" w:lineRule="auto"/>
        <w:tabs>
          <w:tab w:leader="none" w:pos="1156"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color w:val="auto"/>
        </w:rPr>
        <w:t>Compensation Director Compensation</w:t>
      </w:r>
    </w:p>
    <w:p>
      <w:pPr>
        <w:spacing w:after="0" w:line="31"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main objective of Lithium Argentina’s director compensation program is to attract and retain directors w broad range of skills and strategic expertise who are also able to successfully carry out the Board’s mandat a company with international operations, directors are required to devote significant time and energy to performance of their duties, including preparing for and attending Board meetings and mine site v participating on Board committees and ensuring that they stay informed about Lithium Argentina’s business trends and developments affecting the mining industry, generally, and the mining industry in the countri which we operate.</w:t>
      </w:r>
    </w:p>
    <w:p>
      <w:pPr>
        <w:spacing w:after="0" w:line="254" w:lineRule="exact"/>
        <w:rPr>
          <w:sz w:val="20"/>
          <w:szCs w:val="20"/>
          <w:color w:val="auto"/>
        </w:rPr>
      </w:pPr>
    </w:p>
    <w:p>
      <w:pPr>
        <w:ind w:left="900"/>
        <w:spacing w:after="0" w:line="312" w:lineRule="auto"/>
        <w:rPr>
          <w:sz w:val="20"/>
          <w:szCs w:val="20"/>
          <w:color w:val="auto"/>
        </w:rPr>
      </w:pPr>
      <w:r>
        <w:rPr>
          <w:rFonts w:ascii="Arial" w:cs="Arial" w:eastAsia="Arial" w:hAnsi="Arial"/>
          <w:sz w:val="20"/>
          <w:szCs w:val="20"/>
          <w:color w:val="auto"/>
        </w:rPr>
        <w:t>The Company’s director compensation program has been redesigned to be competitive with the market in we compete for qualified directors. The program is reviewed with the assistance of an independent compens consultant from time to time to allow the Company to keep attracting and retaining qualified directors to serv our Board.</w:t>
      </w:r>
    </w:p>
    <w:p>
      <w:pPr>
        <w:spacing w:after="0" w:line="2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In accordance with the recommendation of Lane Caputo Compensation Inc. (“</w:t>
      </w:r>
      <w:r>
        <w:rPr>
          <w:rFonts w:ascii="Arial" w:cs="Arial" w:eastAsia="Arial" w:hAnsi="Arial"/>
          <w:sz w:val="20"/>
          <w:szCs w:val="20"/>
          <w:b w:val="1"/>
          <w:bCs w:val="1"/>
          <w:color w:val="auto"/>
        </w:rPr>
        <w:t>Lane Caputo</w:t>
      </w:r>
      <w:r>
        <w:rPr>
          <w:rFonts w:ascii="Arial" w:cs="Arial" w:eastAsia="Arial" w:hAnsi="Arial"/>
          <w:sz w:val="20"/>
          <w:szCs w:val="20"/>
          <w:color w:val="auto"/>
        </w:rPr>
        <w:t xml:space="preserve">”), an indepen compensation advisor to the Company, a fee schedule for independent directors </w:t>
      </w:r>
      <w:r>
        <w:rPr>
          <w:rFonts w:ascii="Arial" w:cs="Arial" w:eastAsia="Arial" w:hAnsi="Arial"/>
          <w:sz w:val="20"/>
          <w:szCs w:val="20"/>
          <w:u w:val="single" w:color="auto"/>
          <w:color w:val="auto"/>
        </w:rPr>
        <w:t>(also applicable to</w:t>
      </w:r>
      <w:r>
        <w:rPr>
          <w:rFonts w:ascii="Arial" w:cs="Arial" w:eastAsia="Arial" w:hAnsi="Arial"/>
          <w:sz w:val="20"/>
          <w:szCs w:val="20"/>
          <w:color w:val="auto"/>
        </w:rPr>
        <w:t xml:space="preserve"> employee directors) and senior management was developed based on a benchmarking exercise to the group outlined below </w:t>
      </w:r>
      <w:r>
        <w:rPr>
          <w:rFonts w:ascii="Arial" w:cs="Arial" w:eastAsia="Arial" w:hAnsi="Arial"/>
          <w:sz w:val="20"/>
          <w:szCs w:val="20"/>
          <w:u w:val="single" w:color="auto"/>
          <w:color w:val="auto"/>
        </w:rPr>
        <w:t>(the “</w:t>
      </w:r>
      <w:r>
        <w:rPr>
          <w:rFonts w:ascii="Arial" w:cs="Arial" w:eastAsia="Arial" w:hAnsi="Arial"/>
          <w:sz w:val="20"/>
          <w:szCs w:val="20"/>
          <w:b w:val="1"/>
          <w:bCs w:val="1"/>
          <w:u w:val="single" w:color="auto"/>
          <w:color w:val="auto"/>
        </w:rPr>
        <w:t>Peer Group</w:t>
      </w:r>
      <w:r>
        <w:rPr>
          <w:rFonts w:ascii="Arial" w:cs="Arial" w:eastAsia="Arial" w:hAnsi="Arial"/>
          <w:sz w:val="20"/>
          <w:szCs w:val="20"/>
          <w:u w:val="single" w:color="auto"/>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567055</wp:posOffset>
                </wp:positionH>
                <wp:positionV relativeFrom="paragraph">
                  <wp:posOffset>-242570</wp:posOffset>
                </wp:positionV>
                <wp:extent cx="2660650"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0650" cy="4763"/>
                        </a:xfrm>
                        <a:prstGeom prst="line">
                          <a:avLst/>
                        </a:prstGeom>
                        <a:solidFill>
                          <a:srgbClr val="FFFFFF"/>
                        </a:solidFill>
                        <a:ln w="9301">
                          <a:solidFill>
                            <a:srgbClr val="000000"/>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5pt,-19.0999pt" to="254.15pt,-19.0999pt" o:allowincell="f" strokecolor="#000000" strokeweight="0.7324pt"/>
            </w:pict>
          </mc:Fallback>
        </mc:AlternateConten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10 / 59</w:t>
      </w:r>
    </w:p>
    <w:p>
      <w:pPr>
        <w:sectPr>
          <w:pgSz w:w="11900" w:h="16838" w:orient="portrait"/>
          <w:cols w:equalWidth="0" w:num="1">
            <w:col w:w="10460"/>
          </w:cols>
          <w:pgMar w:left="1440" w:top="1440" w:right="6" w:bottom="0" w:gutter="0" w:footer="0" w:header="0"/>
          <w:type w:val="continuous"/>
        </w:sectPr>
      </w:pPr>
    </w:p>
    <w:bookmarkStart w:id="180" w:name="page181"/>
    <w:bookmarkEnd w:id="180"/>
    <w:p>
      <w:pPr>
        <w:ind w:left="11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1482090</wp:posOffset>
            </wp:positionH>
            <wp:positionV relativeFrom="page">
              <wp:posOffset>720090</wp:posOffset>
            </wp:positionV>
            <wp:extent cx="6078220" cy="2667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89">
                      <a:extLst>
                        <a:ext uri="{28A0092B-C50C-407E-A947-70E740481C1C}"/>
                      </a:extLst>
                    </a:blip>
                    <a:srcRect/>
                    <a:stretch>
                      <a:fillRect/>
                    </a:stretch>
                  </pic:blipFill>
                  <pic:spPr bwMode="auto">
                    <a:xfrm>
                      <a:off x="0" y="0"/>
                      <a:ext cx="6078220" cy="266700"/>
                    </a:xfrm>
                    <a:prstGeom prst="rect">
                      <a:avLst/>
                    </a:prstGeom>
                    <a:noFill/>
                  </pic:spPr>
                </pic:pic>
              </a:graphicData>
            </a:graphic>
          </wp:anchor>
        </w:drawing>
        <w:t>Compensation Peer Group</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3"/>
          </w:tcPr>
          <w:p>
            <w:pPr>
              <w:ind w:left="1180"/>
              <w:spacing w:after="0"/>
              <w:rPr>
                <w:sz w:val="20"/>
                <w:szCs w:val="20"/>
                <w:color w:val="auto"/>
              </w:rPr>
            </w:pPr>
            <w:r>
              <w:rPr>
                <w:rFonts w:ascii="Arial" w:cs="Arial" w:eastAsia="Arial" w:hAnsi="Arial"/>
                <w:sz w:val="18"/>
                <w:szCs w:val="18"/>
                <w:color w:val="auto"/>
              </w:rPr>
              <w:t>Aris Mining Corp.</w:t>
            </w:r>
          </w:p>
        </w:tc>
        <w:tc>
          <w:tcPr>
            <w:tcW w:w="3420" w:type="dxa"/>
            <w:vAlign w:val="bottom"/>
          </w:tcPr>
          <w:p>
            <w:pPr>
              <w:ind w:left="720"/>
              <w:spacing w:after="0"/>
              <w:rPr>
                <w:sz w:val="20"/>
                <w:szCs w:val="20"/>
                <w:color w:val="auto"/>
              </w:rPr>
            </w:pPr>
            <w:r>
              <w:rPr>
                <w:rFonts w:ascii="Arial" w:cs="Arial" w:eastAsia="Arial" w:hAnsi="Arial"/>
                <w:sz w:val="18"/>
                <w:szCs w:val="18"/>
                <w:color w:val="auto"/>
              </w:rPr>
              <w:t>Fortuna Silver Mines Inc.</w:t>
            </w:r>
          </w:p>
        </w:tc>
        <w:tc>
          <w:tcPr>
            <w:tcW w:w="3260" w:type="dxa"/>
            <w:vAlign w:val="bottom"/>
          </w:tcPr>
          <w:p>
            <w:pPr>
              <w:ind w:left="700"/>
              <w:spacing w:after="0"/>
              <w:rPr>
                <w:sz w:val="20"/>
                <w:szCs w:val="20"/>
                <w:color w:val="auto"/>
              </w:rPr>
            </w:pPr>
            <w:r>
              <w:rPr>
                <w:rFonts w:ascii="Arial" w:cs="Arial" w:eastAsia="Arial" w:hAnsi="Arial"/>
                <w:sz w:val="18"/>
                <w:szCs w:val="18"/>
                <w:color w:val="auto"/>
              </w:rPr>
              <w:t>Lithium Americas Corp.</w:t>
            </w:r>
          </w:p>
        </w:tc>
      </w:tr>
      <w:tr>
        <w:trPr>
          <w:trHeight w:val="420"/>
        </w:trPr>
        <w:tc>
          <w:tcPr>
            <w:tcW w:w="3960" w:type="dxa"/>
            <w:vAlign w:val="bottom"/>
            <w:gridSpan w:val="3"/>
          </w:tcPr>
          <w:p>
            <w:pPr>
              <w:ind w:left="1180"/>
              <w:spacing w:after="0"/>
              <w:rPr>
                <w:sz w:val="20"/>
                <w:szCs w:val="20"/>
                <w:color w:val="auto"/>
              </w:rPr>
            </w:pPr>
            <w:r>
              <w:rPr>
                <w:rFonts w:ascii="Arial" w:cs="Arial" w:eastAsia="Arial" w:hAnsi="Arial"/>
                <w:sz w:val="18"/>
                <w:szCs w:val="18"/>
                <w:color w:val="auto"/>
              </w:rPr>
              <w:t>Aya Gold &amp; Silver Inc.</w:t>
            </w:r>
          </w:p>
        </w:tc>
        <w:tc>
          <w:tcPr>
            <w:tcW w:w="3420" w:type="dxa"/>
            <w:vAlign w:val="bottom"/>
          </w:tcPr>
          <w:p>
            <w:pPr>
              <w:ind w:left="720"/>
              <w:spacing w:after="0"/>
              <w:rPr>
                <w:sz w:val="20"/>
                <w:szCs w:val="20"/>
                <w:color w:val="auto"/>
              </w:rPr>
            </w:pPr>
            <w:r>
              <w:rPr>
                <w:rFonts w:ascii="Arial" w:cs="Arial" w:eastAsia="Arial" w:hAnsi="Arial"/>
                <w:sz w:val="18"/>
                <w:szCs w:val="18"/>
                <w:color w:val="auto"/>
              </w:rPr>
              <w:t>Hudbay Minerals Inc.</w:t>
            </w:r>
          </w:p>
        </w:tc>
        <w:tc>
          <w:tcPr>
            <w:tcW w:w="3260" w:type="dxa"/>
            <w:vAlign w:val="bottom"/>
          </w:tcPr>
          <w:p>
            <w:pPr>
              <w:ind w:left="700"/>
              <w:spacing w:after="0"/>
              <w:rPr>
                <w:sz w:val="20"/>
                <w:szCs w:val="20"/>
                <w:color w:val="auto"/>
              </w:rPr>
            </w:pPr>
            <w:r>
              <w:rPr>
                <w:rFonts w:ascii="Arial" w:cs="Arial" w:eastAsia="Arial" w:hAnsi="Arial"/>
                <w:sz w:val="18"/>
                <w:szCs w:val="18"/>
                <w:color w:val="auto"/>
              </w:rPr>
              <w:t>MAG Silver Corp.</w:t>
            </w:r>
          </w:p>
        </w:tc>
      </w:tr>
      <w:tr>
        <w:trPr>
          <w:trHeight w:val="426"/>
        </w:trPr>
        <w:tc>
          <w:tcPr>
            <w:tcW w:w="3960" w:type="dxa"/>
            <w:vAlign w:val="bottom"/>
            <w:gridSpan w:val="3"/>
          </w:tcPr>
          <w:p>
            <w:pPr>
              <w:ind w:left="1180"/>
              <w:spacing w:after="0"/>
              <w:rPr>
                <w:sz w:val="20"/>
                <w:szCs w:val="20"/>
                <w:color w:val="auto"/>
              </w:rPr>
            </w:pPr>
            <w:r>
              <w:rPr>
                <w:rFonts w:ascii="Arial" w:cs="Arial" w:eastAsia="Arial" w:hAnsi="Arial"/>
                <w:sz w:val="18"/>
                <w:szCs w:val="18"/>
                <w:color w:val="auto"/>
              </w:rPr>
              <w:t xml:space="preserve">Capstone </w:t>
            </w:r>
            <w:r>
              <w:rPr>
                <w:rFonts w:ascii="Arial" w:cs="Arial" w:eastAsia="Arial" w:hAnsi="Arial"/>
                <w:sz w:val="19"/>
                <w:szCs w:val="19"/>
                <w:color w:val="auto"/>
              </w:rPr>
              <w:t>Copper</w:t>
            </w:r>
            <w:r>
              <w:rPr>
                <w:rFonts w:ascii="Arial" w:cs="Arial" w:eastAsia="Arial" w:hAnsi="Arial"/>
                <w:sz w:val="18"/>
                <w:szCs w:val="18"/>
                <w:color w:val="auto"/>
              </w:rPr>
              <w:t xml:space="preserve"> Corp.</w:t>
            </w:r>
          </w:p>
        </w:tc>
        <w:tc>
          <w:tcPr>
            <w:tcW w:w="3420" w:type="dxa"/>
            <w:vAlign w:val="bottom"/>
          </w:tcPr>
          <w:p>
            <w:pPr>
              <w:ind w:left="720"/>
              <w:spacing w:after="0"/>
              <w:rPr>
                <w:sz w:val="20"/>
                <w:szCs w:val="20"/>
                <w:color w:val="auto"/>
              </w:rPr>
            </w:pPr>
            <w:r>
              <w:rPr>
                <w:rFonts w:ascii="Arial" w:cs="Arial" w:eastAsia="Arial" w:hAnsi="Arial"/>
                <w:sz w:val="18"/>
                <w:szCs w:val="18"/>
                <w:color w:val="auto"/>
              </w:rPr>
              <w:t>IGO Limited</w:t>
            </w:r>
          </w:p>
        </w:tc>
        <w:tc>
          <w:tcPr>
            <w:tcW w:w="3260" w:type="dxa"/>
            <w:vAlign w:val="bottom"/>
          </w:tcPr>
          <w:p>
            <w:pPr>
              <w:ind w:left="700"/>
              <w:spacing w:after="0"/>
              <w:rPr>
                <w:sz w:val="20"/>
                <w:szCs w:val="20"/>
                <w:color w:val="auto"/>
              </w:rPr>
            </w:pPr>
            <w:r>
              <w:rPr>
                <w:rFonts w:ascii="Arial" w:cs="Arial" w:eastAsia="Arial" w:hAnsi="Arial"/>
                <w:sz w:val="18"/>
                <w:szCs w:val="18"/>
                <w:color w:val="auto"/>
              </w:rPr>
              <w:t>MP Materials Corp.</w:t>
            </w:r>
          </w:p>
        </w:tc>
      </w:tr>
      <w:tr>
        <w:trPr>
          <w:trHeight w:val="20"/>
        </w:trPr>
        <w:tc>
          <w:tcPr>
            <w:tcW w:w="2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426"/>
        </w:trPr>
        <w:tc>
          <w:tcPr>
            <w:tcW w:w="3960" w:type="dxa"/>
            <w:vAlign w:val="bottom"/>
            <w:gridSpan w:val="3"/>
          </w:tcPr>
          <w:p>
            <w:pPr>
              <w:ind w:left="1180"/>
              <w:spacing w:after="0"/>
              <w:rPr>
                <w:sz w:val="20"/>
                <w:szCs w:val="20"/>
                <w:color w:val="auto"/>
              </w:rPr>
            </w:pPr>
            <w:r>
              <w:rPr>
                <w:rFonts w:ascii="Arial" w:cs="Arial" w:eastAsia="Arial" w:hAnsi="Arial"/>
                <w:sz w:val="18"/>
                <w:szCs w:val="18"/>
                <w:color w:val="auto"/>
              </w:rPr>
              <w:t>Ero Copper Corp.</w:t>
            </w:r>
          </w:p>
        </w:tc>
        <w:tc>
          <w:tcPr>
            <w:tcW w:w="3420" w:type="dxa"/>
            <w:vAlign w:val="bottom"/>
          </w:tcPr>
          <w:p>
            <w:pPr>
              <w:ind w:left="720"/>
              <w:spacing w:after="0"/>
              <w:rPr>
                <w:sz w:val="20"/>
                <w:szCs w:val="20"/>
                <w:color w:val="auto"/>
              </w:rPr>
            </w:pPr>
            <w:r>
              <w:rPr>
                <w:rFonts w:ascii="Arial" w:cs="Arial" w:eastAsia="Arial" w:hAnsi="Arial"/>
                <w:sz w:val="18"/>
                <w:szCs w:val="18"/>
                <w:color w:val="auto"/>
              </w:rPr>
              <w:t>Ioneer Ltd.</w:t>
            </w:r>
          </w:p>
        </w:tc>
        <w:tc>
          <w:tcPr>
            <w:tcW w:w="3260" w:type="dxa"/>
            <w:vAlign w:val="bottom"/>
          </w:tcPr>
          <w:p>
            <w:pPr>
              <w:ind w:left="700"/>
              <w:spacing w:after="0"/>
              <w:rPr>
                <w:sz w:val="20"/>
                <w:szCs w:val="20"/>
                <w:color w:val="auto"/>
              </w:rPr>
            </w:pPr>
            <w:r>
              <w:rPr>
                <w:rFonts w:ascii="Arial" w:cs="Arial" w:eastAsia="Arial" w:hAnsi="Arial"/>
                <w:sz w:val="18"/>
                <w:szCs w:val="18"/>
                <w:color w:val="auto"/>
              </w:rPr>
              <w:t>Piedmont Lithium Inc.</w:t>
            </w:r>
          </w:p>
        </w:tc>
      </w:tr>
      <w:tr>
        <w:trPr>
          <w:trHeight w:val="420"/>
        </w:trPr>
        <w:tc>
          <w:tcPr>
            <w:tcW w:w="3960" w:type="dxa"/>
            <w:vAlign w:val="bottom"/>
            <w:gridSpan w:val="3"/>
          </w:tcPr>
          <w:p>
            <w:pPr>
              <w:ind w:left="1180"/>
              <w:spacing w:after="0"/>
              <w:rPr>
                <w:sz w:val="20"/>
                <w:szCs w:val="20"/>
                <w:color w:val="auto"/>
              </w:rPr>
            </w:pPr>
            <w:r>
              <w:rPr>
                <w:rFonts w:ascii="Arial" w:cs="Arial" w:eastAsia="Arial" w:hAnsi="Arial"/>
                <w:sz w:val="18"/>
                <w:szCs w:val="18"/>
                <w:color w:val="auto"/>
              </w:rPr>
              <w:t>First Majestic Silver Corp.</w:t>
            </w:r>
          </w:p>
        </w:tc>
        <w:tc>
          <w:tcPr>
            <w:tcW w:w="3420" w:type="dxa"/>
            <w:vAlign w:val="bottom"/>
          </w:tcPr>
          <w:p>
            <w:pPr>
              <w:ind w:left="720"/>
              <w:spacing w:after="0"/>
              <w:rPr>
                <w:sz w:val="20"/>
                <w:szCs w:val="20"/>
                <w:color w:val="auto"/>
              </w:rPr>
            </w:pPr>
            <w:r>
              <w:rPr>
                <w:rFonts w:ascii="Arial" w:cs="Arial" w:eastAsia="Arial" w:hAnsi="Arial"/>
                <w:sz w:val="18"/>
                <w:szCs w:val="18"/>
                <w:color w:val="auto"/>
              </w:rPr>
              <w:t>Liontown Resources Ltd.</w:t>
            </w:r>
          </w:p>
        </w:tc>
        <w:tc>
          <w:tcPr>
            <w:tcW w:w="3260" w:type="dxa"/>
            <w:vAlign w:val="bottom"/>
          </w:tcPr>
          <w:p>
            <w:pPr>
              <w:ind w:left="700"/>
              <w:spacing w:after="0"/>
              <w:rPr>
                <w:sz w:val="20"/>
                <w:szCs w:val="20"/>
                <w:color w:val="auto"/>
              </w:rPr>
            </w:pPr>
            <w:r>
              <w:rPr>
                <w:rFonts w:ascii="Arial" w:cs="Arial" w:eastAsia="Arial" w:hAnsi="Arial"/>
                <w:sz w:val="18"/>
                <w:szCs w:val="18"/>
                <w:color w:val="auto"/>
              </w:rPr>
              <w:t>Standard Lithium Ltd.</w:t>
            </w:r>
          </w:p>
        </w:tc>
      </w:tr>
      <w:tr>
        <w:trPr>
          <w:trHeight w:val="2164"/>
        </w:trPr>
        <w:tc>
          <w:tcPr>
            <w:tcW w:w="200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1300" w:type="dxa"/>
            <w:vAlign w:val="bottom"/>
            <w:tcBorders>
              <w:bottom w:val="single" w:sz="8" w:color="010101"/>
            </w:tcBorders>
          </w:tcPr>
          <w:p>
            <w:pPr>
              <w:spacing w:after="0"/>
              <w:rPr>
                <w:sz w:val="24"/>
                <w:szCs w:val="24"/>
                <w:color w:val="auto"/>
              </w:rPr>
            </w:pPr>
          </w:p>
        </w:tc>
        <w:tc>
          <w:tcPr>
            <w:tcW w:w="3420" w:type="dxa"/>
            <w:vAlign w:val="bottom"/>
            <w:tcBorders>
              <w:bottom w:val="single" w:sz="8" w:color="010101"/>
            </w:tcBorders>
          </w:tcPr>
          <w:p>
            <w:pPr>
              <w:spacing w:after="0"/>
              <w:rPr>
                <w:sz w:val="24"/>
                <w:szCs w:val="24"/>
                <w:color w:val="auto"/>
              </w:rPr>
            </w:pPr>
          </w:p>
        </w:tc>
        <w:tc>
          <w:tcPr>
            <w:tcW w:w="32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0">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10640"/>
          </w:cols>
          <w:pgMar w:left="1260" w:top="1236"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11 / 59</w:t>
      </w:r>
    </w:p>
    <w:p>
      <w:pPr>
        <w:sectPr>
          <w:pgSz w:w="11900" w:h="16838" w:orient="portrait"/>
          <w:cols w:equalWidth="0" w:num="1">
            <w:col w:w="10640"/>
          </w:cols>
          <w:pgMar w:left="1260" w:top="1236" w:right="6" w:bottom="0" w:gutter="0" w:footer="0" w:header="0"/>
          <w:type w:val="continuous"/>
        </w:sectPr>
      </w:pPr>
    </w:p>
    <w:bookmarkStart w:id="181" w:name="page182"/>
    <w:bookmarkEnd w:id="1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Compensation paid to the independent directors is comprised of an annual cash retainer for serving on the B and committees, payable in arrears in four quarterly installments, and an equity retainer in the form of an deferred share unit (“</w:t>
      </w:r>
      <w:r>
        <w:rPr>
          <w:rFonts w:ascii="Arial" w:cs="Arial" w:eastAsia="Arial" w:hAnsi="Arial"/>
          <w:sz w:val="20"/>
          <w:szCs w:val="20"/>
          <w:b w:val="1"/>
          <w:bCs w:val="1"/>
          <w:color w:val="auto"/>
        </w:rPr>
        <w:t>DSU</w:t>
      </w:r>
      <w:r>
        <w:rPr>
          <w:rFonts w:ascii="Arial" w:cs="Arial" w:eastAsia="Arial" w:hAnsi="Arial"/>
          <w:sz w:val="20"/>
          <w:szCs w:val="20"/>
          <w:color w:val="auto"/>
        </w:rPr>
        <w:t>”) grants in accordance with the Company’s current Incentive Plan. Upon appoint to the Board, a pro-rated initial equity award will be made based on the amount of time until the next annual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192405</wp:posOffset>
            </wp:positionV>
            <wp:extent cx="6350" cy="2667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1">
                      <a:extLst>
                        <a:ext uri="{28A0092B-C50C-407E-A947-70E740481C1C}"/>
                      </a:extLst>
                    </a:blip>
                    <a:srcRect/>
                    <a:stretch>
                      <a:fillRect/>
                    </a:stretch>
                  </pic:blipFill>
                  <pic:spPr bwMode="auto">
                    <a:xfrm>
                      <a:off x="0" y="0"/>
                      <a:ext cx="6350" cy="266700"/>
                    </a:xfrm>
                    <a:prstGeom prst="rect">
                      <a:avLst/>
                    </a:prstGeom>
                    <a:noFill/>
                  </pic:spPr>
                </pic:pic>
              </a:graphicData>
            </a:graphic>
          </wp:anchor>
        </w:drawing>
        <w:drawing>
          <wp:anchor simplePos="0" relativeHeight="251657728" behindDoc="1" locked="0" layoutInCell="0" allowOverlap="1">
            <wp:simplePos x="0" y="0"/>
            <wp:positionH relativeFrom="column">
              <wp:posOffset>5169535</wp:posOffset>
            </wp:positionH>
            <wp:positionV relativeFrom="paragraph">
              <wp:posOffset>192405</wp:posOffset>
            </wp:positionV>
            <wp:extent cx="6350" cy="2667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2">
                      <a:extLst>
                        <a:ext uri="{28A0092B-C50C-407E-A947-70E740481C1C}"/>
                      </a:extLst>
                    </a:blip>
                    <a:srcRect/>
                    <a:stretch>
                      <a:fillRect/>
                    </a:stretch>
                  </pic:blipFill>
                  <pic:spPr bwMode="auto">
                    <a:xfrm>
                      <a:off x="0" y="0"/>
                      <a:ext cx="6350" cy="266700"/>
                    </a:xfrm>
                    <a:prstGeom prst="rect">
                      <a:avLst/>
                    </a:prstGeom>
                    <a:noFill/>
                  </pic:spPr>
                </pic:pic>
              </a:graphicData>
            </a:graphic>
          </wp:anchor>
        </w:drawing>
      </w:r>
    </w:p>
    <w:p>
      <w:pPr>
        <w:spacing w:after="0" w:line="283" w:lineRule="exact"/>
        <w:rPr>
          <w:sz w:val="20"/>
          <w:szCs w:val="20"/>
          <w:color w:val="auto"/>
        </w:rPr>
      </w:pPr>
    </w:p>
    <w:tbl>
      <w:tblPr>
        <w:tblLayout w:type="fixed"/>
        <w:tblInd w:w="900" w:type="dxa"/>
        <w:tblCellMar>
          <w:top w:w="0" w:type="dxa"/>
          <w:left w:w="0" w:type="dxa"/>
          <w:bottom w:w="0" w:type="dxa"/>
          <w:right w:w="0" w:type="dxa"/>
        </w:tblCellMar>
      </w:tblPr>
      <w:tr>
        <w:trPr>
          <w:trHeight w:val="310"/>
        </w:trPr>
        <w:tc>
          <w:tcPr>
            <w:tcW w:w="100" w:type="dxa"/>
            <w:vAlign w:val="bottom"/>
            <w:shd w:val="clear" w:color="auto" w:fill="153A57"/>
          </w:tcPr>
          <w:p>
            <w:pPr>
              <w:spacing w:after="0"/>
              <w:rPr>
                <w:sz w:val="24"/>
                <w:szCs w:val="24"/>
                <w:color w:val="auto"/>
              </w:rPr>
            </w:pPr>
          </w:p>
        </w:tc>
        <w:tc>
          <w:tcPr>
            <w:tcW w:w="3600" w:type="dxa"/>
            <w:vAlign w:val="bottom"/>
            <w:gridSpan w:val="2"/>
            <w:shd w:val="clear" w:color="auto" w:fill="153A57"/>
          </w:tcPr>
          <w:p>
            <w:pPr>
              <w:spacing w:after="0"/>
              <w:rPr>
                <w:sz w:val="20"/>
                <w:szCs w:val="20"/>
                <w:color w:val="auto"/>
              </w:rPr>
            </w:pPr>
            <w:r>
              <w:rPr>
                <w:rFonts w:ascii="Arial" w:cs="Arial" w:eastAsia="Arial" w:hAnsi="Arial"/>
                <w:sz w:val="18"/>
                <w:szCs w:val="18"/>
                <w:b w:val="1"/>
                <w:bCs w:val="1"/>
                <w:color w:val="FFFFFF"/>
              </w:rPr>
              <w:t>Services by Independent Directors</w:t>
            </w:r>
          </w:p>
        </w:tc>
        <w:tc>
          <w:tcPr>
            <w:tcW w:w="3520" w:type="dxa"/>
            <w:vAlign w:val="bottom"/>
            <w:gridSpan w:val="3"/>
            <w:shd w:val="clear" w:color="auto" w:fill="153A57"/>
          </w:tcPr>
          <w:p>
            <w:pPr>
              <w:ind w:left="240"/>
              <w:spacing w:after="0"/>
              <w:rPr>
                <w:sz w:val="20"/>
                <w:szCs w:val="20"/>
                <w:color w:val="auto"/>
              </w:rPr>
            </w:pPr>
            <w:r>
              <w:rPr>
                <w:rFonts w:ascii="Arial" w:cs="Arial" w:eastAsia="Arial" w:hAnsi="Arial"/>
                <w:sz w:val="18"/>
                <w:szCs w:val="18"/>
                <w:b w:val="1"/>
                <w:bCs w:val="1"/>
                <w:color w:val="FFFFFF"/>
              </w:rPr>
              <w:t>Cash Retainer</w:t>
            </w:r>
          </w:p>
        </w:tc>
        <w:tc>
          <w:tcPr>
            <w:tcW w:w="2340" w:type="dxa"/>
            <w:vAlign w:val="bottom"/>
            <w:shd w:val="clear" w:color="auto" w:fill="153A57"/>
          </w:tcPr>
          <w:p>
            <w:pPr>
              <w:ind w:left="140"/>
              <w:spacing w:after="0"/>
              <w:rPr>
                <w:sz w:val="20"/>
                <w:szCs w:val="20"/>
                <w:color w:val="auto"/>
              </w:rPr>
            </w:pPr>
            <w:r>
              <w:rPr>
                <w:rFonts w:ascii="Arial" w:cs="Arial" w:eastAsia="Arial" w:hAnsi="Arial"/>
                <w:sz w:val="18"/>
                <w:szCs w:val="18"/>
                <w:b w:val="1"/>
                <w:bCs w:val="1"/>
                <w:color w:val="FFFFFF"/>
              </w:rPr>
              <w:t>Equity Retainer</w:t>
            </w:r>
          </w:p>
        </w:tc>
      </w:tr>
      <w:tr>
        <w:trPr>
          <w:trHeight w:val="111"/>
        </w:trPr>
        <w:tc>
          <w:tcPr>
            <w:tcW w:w="100" w:type="dxa"/>
            <w:vAlign w:val="bottom"/>
            <w:shd w:val="clear" w:color="auto" w:fill="153A57"/>
          </w:tcPr>
          <w:p>
            <w:pPr>
              <w:spacing w:after="0"/>
              <w:rPr>
                <w:sz w:val="9"/>
                <w:szCs w:val="9"/>
                <w:color w:val="auto"/>
              </w:rPr>
            </w:pPr>
          </w:p>
        </w:tc>
        <w:tc>
          <w:tcPr>
            <w:tcW w:w="2340" w:type="dxa"/>
            <w:vAlign w:val="bottom"/>
            <w:shd w:val="clear" w:color="auto" w:fill="153A57"/>
          </w:tcPr>
          <w:p>
            <w:pPr>
              <w:spacing w:after="0"/>
              <w:rPr>
                <w:sz w:val="9"/>
                <w:szCs w:val="9"/>
                <w:color w:val="auto"/>
              </w:rPr>
            </w:pPr>
          </w:p>
        </w:tc>
        <w:tc>
          <w:tcPr>
            <w:tcW w:w="1500" w:type="dxa"/>
            <w:vAlign w:val="bottom"/>
            <w:gridSpan w:val="2"/>
            <w:shd w:val="clear" w:color="auto" w:fill="153A57"/>
          </w:tcPr>
          <w:p>
            <w:pPr>
              <w:spacing w:after="0"/>
              <w:rPr>
                <w:sz w:val="9"/>
                <w:szCs w:val="9"/>
                <w:color w:val="auto"/>
              </w:rPr>
            </w:pPr>
          </w:p>
        </w:tc>
        <w:tc>
          <w:tcPr>
            <w:tcW w:w="1620" w:type="dxa"/>
            <w:vAlign w:val="bottom"/>
            <w:shd w:val="clear" w:color="auto" w:fill="153A57"/>
          </w:tcPr>
          <w:p>
            <w:pPr>
              <w:spacing w:after="0"/>
              <w:rPr>
                <w:sz w:val="9"/>
                <w:szCs w:val="9"/>
                <w:color w:val="auto"/>
              </w:rPr>
            </w:pPr>
          </w:p>
        </w:tc>
        <w:tc>
          <w:tcPr>
            <w:tcW w:w="1660" w:type="dxa"/>
            <w:vAlign w:val="bottom"/>
            <w:shd w:val="clear" w:color="auto" w:fill="153A57"/>
          </w:tcPr>
          <w:p>
            <w:pPr>
              <w:spacing w:after="0"/>
              <w:rPr>
                <w:sz w:val="9"/>
                <w:szCs w:val="9"/>
                <w:color w:val="auto"/>
              </w:rPr>
            </w:pPr>
          </w:p>
        </w:tc>
        <w:tc>
          <w:tcPr>
            <w:tcW w:w="2340" w:type="dxa"/>
            <w:vAlign w:val="bottom"/>
            <w:shd w:val="clear" w:color="auto" w:fill="153A57"/>
          </w:tcPr>
          <w:p>
            <w:pPr>
              <w:spacing w:after="0"/>
              <w:rPr>
                <w:sz w:val="9"/>
                <w:szCs w:val="9"/>
                <w:color w:val="auto"/>
              </w:rPr>
            </w:pPr>
          </w:p>
        </w:tc>
      </w:tr>
      <w:tr>
        <w:trPr>
          <w:trHeight w:val="310"/>
        </w:trPr>
        <w:tc>
          <w:tcPr>
            <w:tcW w:w="100" w:type="dxa"/>
            <w:vAlign w:val="bottom"/>
            <w:shd w:val="clear" w:color="auto" w:fill="D9D9D9"/>
          </w:tcPr>
          <w:p>
            <w:pPr>
              <w:spacing w:after="0"/>
              <w:rPr>
                <w:sz w:val="24"/>
                <w:szCs w:val="24"/>
                <w:color w:val="auto"/>
              </w:rPr>
            </w:pPr>
          </w:p>
        </w:tc>
        <w:tc>
          <w:tcPr>
            <w:tcW w:w="7120" w:type="dxa"/>
            <w:vAlign w:val="bottom"/>
            <w:gridSpan w:val="5"/>
            <w:shd w:val="clear" w:color="auto" w:fill="D9D9D9"/>
          </w:tcPr>
          <w:p>
            <w:pPr>
              <w:spacing w:after="0"/>
              <w:rPr>
                <w:sz w:val="20"/>
                <w:szCs w:val="20"/>
                <w:color w:val="auto"/>
              </w:rPr>
            </w:pPr>
            <w:r>
              <w:rPr>
                <w:rFonts w:ascii="Arial" w:cs="Arial" w:eastAsia="Arial" w:hAnsi="Arial"/>
                <w:sz w:val="18"/>
                <w:szCs w:val="18"/>
                <w:b w:val="1"/>
                <w:bCs w:val="1"/>
                <w:color w:val="auto"/>
              </w:rPr>
              <w:t xml:space="preserve">Annual Base Fees </w:t>
            </w:r>
            <w:r>
              <w:rPr>
                <w:rFonts w:ascii="Arial" w:cs="Arial" w:eastAsia="Arial" w:hAnsi="Arial"/>
                <w:sz w:val="18"/>
                <w:szCs w:val="18"/>
                <w:b w:val="1"/>
                <w:bCs w:val="1"/>
                <w:i w:val="1"/>
                <w:iCs w:val="1"/>
                <w:color w:val="auto"/>
              </w:rPr>
              <w:t>(payable in arrears in four quarterly installments)</w:t>
            </w:r>
          </w:p>
        </w:tc>
        <w:tc>
          <w:tcPr>
            <w:tcW w:w="2340" w:type="dxa"/>
            <w:vAlign w:val="bottom"/>
            <w:shd w:val="clear" w:color="auto" w:fill="D9D9D9"/>
          </w:tcPr>
          <w:p>
            <w:pPr>
              <w:spacing w:after="0"/>
              <w:rPr>
                <w:sz w:val="24"/>
                <w:szCs w:val="24"/>
                <w:color w:val="auto"/>
              </w:rPr>
            </w:pPr>
          </w:p>
        </w:tc>
      </w:tr>
      <w:tr>
        <w:trPr>
          <w:trHeight w:val="111"/>
        </w:trPr>
        <w:tc>
          <w:tcPr>
            <w:tcW w:w="100" w:type="dxa"/>
            <w:vAlign w:val="bottom"/>
            <w:shd w:val="clear" w:color="auto" w:fill="D9D9D9"/>
          </w:tcPr>
          <w:p>
            <w:pPr>
              <w:spacing w:after="0"/>
              <w:rPr>
                <w:sz w:val="9"/>
                <w:szCs w:val="9"/>
                <w:color w:val="auto"/>
              </w:rPr>
            </w:pPr>
          </w:p>
        </w:tc>
        <w:tc>
          <w:tcPr>
            <w:tcW w:w="2340" w:type="dxa"/>
            <w:vAlign w:val="bottom"/>
            <w:shd w:val="clear" w:color="auto" w:fill="D9D9D9"/>
          </w:tcPr>
          <w:p>
            <w:pPr>
              <w:spacing w:after="0"/>
              <w:rPr>
                <w:sz w:val="9"/>
                <w:szCs w:val="9"/>
                <w:color w:val="auto"/>
              </w:rPr>
            </w:pPr>
          </w:p>
        </w:tc>
        <w:tc>
          <w:tcPr>
            <w:tcW w:w="1260" w:type="dxa"/>
            <w:vAlign w:val="bottom"/>
            <w:shd w:val="clear" w:color="auto" w:fill="D9D9D9"/>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1620" w:type="dxa"/>
            <w:vAlign w:val="bottom"/>
            <w:shd w:val="clear" w:color="auto" w:fill="D9D9D9"/>
          </w:tcPr>
          <w:p>
            <w:pPr>
              <w:spacing w:after="0"/>
              <w:rPr>
                <w:sz w:val="9"/>
                <w:szCs w:val="9"/>
                <w:color w:val="auto"/>
              </w:rPr>
            </w:pPr>
          </w:p>
        </w:tc>
        <w:tc>
          <w:tcPr>
            <w:tcW w:w="1660" w:type="dxa"/>
            <w:vAlign w:val="bottom"/>
            <w:shd w:val="clear" w:color="auto" w:fill="D9D9D9"/>
          </w:tcPr>
          <w:p>
            <w:pPr>
              <w:spacing w:after="0"/>
              <w:rPr>
                <w:sz w:val="9"/>
                <w:szCs w:val="9"/>
                <w:color w:val="auto"/>
              </w:rPr>
            </w:pPr>
          </w:p>
        </w:tc>
        <w:tc>
          <w:tcPr>
            <w:tcW w:w="2340" w:type="dxa"/>
            <w:vAlign w:val="bottom"/>
            <w:shd w:val="clear" w:color="auto" w:fill="D9D9D9"/>
          </w:tcPr>
          <w:p>
            <w:pPr>
              <w:spacing w:after="0"/>
              <w:rPr>
                <w:sz w:val="9"/>
                <w:szCs w:val="9"/>
                <w:color w:val="auto"/>
              </w:rPr>
            </w:pPr>
          </w:p>
        </w:tc>
      </w:tr>
      <w:tr>
        <w:trPr>
          <w:trHeight w:val="310"/>
        </w:trPr>
        <w:tc>
          <w:tcPr>
            <w:tcW w:w="10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Lead Director</w:t>
            </w:r>
          </w:p>
        </w:tc>
        <w:tc>
          <w:tcPr>
            <w:tcW w:w="3520" w:type="dxa"/>
            <w:vAlign w:val="bottom"/>
            <w:gridSpan w:val="3"/>
          </w:tcPr>
          <w:p>
            <w:pPr>
              <w:ind w:left="240"/>
              <w:spacing w:after="0"/>
              <w:rPr>
                <w:sz w:val="20"/>
                <w:szCs w:val="20"/>
                <w:color w:val="auto"/>
              </w:rPr>
            </w:pPr>
            <w:r>
              <w:rPr>
                <w:rFonts w:ascii="Arial" w:cs="Arial" w:eastAsia="Arial" w:hAnsi="Arial"/>
                <w:sz w:val="18"/>
                <w:szCs w:val="18"/>
                <w:color w:val="auto"/>
              </w:rPr>
              <w:t>US$70,000 per year</w:t>
            </w:r>
          </w:p>
        </w:tc>
        <w:tc>
          <w:tcPr>
            <w:tcW w:w="2340" w:type="dxa"/>
            <w:vAlign w:val="bottom"/>
          </w:tcPr>
          <w:p>
            <w:pPr>
              <w:ind w:left="140"/>
              <w:spacing w:after="0"/>
              <w:rPr>
                <w:sz w:val="20"/>
                <w:szCs w:val="20"/>
                <w:color w:val="auto"/>
              </w:rPr>
            </w:pPr>
            <w:r>
              <w:rPr>
                <w:rFonts w:ascii="Arial" w:cs="Arial" w:eastAsia="Arial" w:hAnsi="Arial"/>
                <w:sz w:val="18"/>
                <w:szCs w:val="18"/>
                <w:color w:val="auto"/>
              </w:rPr>
              <w:t>US$150,000 in the form of</w:t>
            </w:r>
          </w:p>
        </w:tc>
      </w:tr>
      <w:tr>
        <w:trPr>
          <w:trHeight w:val="272"/>
        </w:trPr>
        <w:tc>
          <w:tcPr>
            <w:tcW w:w="1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340" w:type="dxa"/>
            <w:vAlign w:val="bottom"/>
          </w:tcPr>
          <w:p>
            <w:pPr>
              <w:ind w:left="140"/>
              <w:spacing w:after="0"/>
              <w:rPr>
                <w:sz w:val="20"/>
                <w:szCs w:val="20"/>
                <w:color w:val="auto"/>
              </w:rPr>
            </w:pPr>
            <w:r>
              <w:rPr>
                <w:rFonts w:ascii="Arial" w:cs="Arial" w:eastAsia="Arial" w:hAnsi="Arial"/>
                <w:sz w:val="18"/>
                <w:szCs w:val="18"/>
                <w:color w:val="auto"/>
                <w:w w:val="97"/>
              </w:rPr>
              <w:t>annual DSU grant under the</w:t>
            </w:r>
          </w:p>
        </w:tc>
      </w:tr>
      <w:tr>
        <w:trPr>
          <w:trHeight w:val="272"/>
        </w:trPr>
        <w:tc>
          <w:tcPr>
            <w:tcW w:w="1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340" w:type="dxa"/>
            <w:vAlign w:val="bottom"/>
          </w:tcPr>
          <w:p>
            <w:pPr>
              <w:ind w:left="140"/>
              <w:spacing w:after="0"/>
              <w:rPr>
                <w:sz w:val="20"/>
                <w:szCs w:val="20"/>
                <w:color w:val="auto"/>
              </w:rPr>
            </w:pPr>
            <w:r>
              <w:rPr>
                <w:rFonts w:ascii="Arial" w:cs="Arial" w:eastAsia="Arial" w:hAnsi="Arial"/>
                <w:sz w:val="18"/>
                <w:szCs w:val="18"/>
                <w:color w:val="auto"/>
              </w:rPr>
              <w:t>Incentive Plan</w:t>
            </w:r>
          </w:p>
        </w:tc>
      </w:tr>
      <w:tr>
        <w:trPr>
          <w:trHeight w:val="420"/>
        </w:trPr>
        <w:tc>
          <w:tcPr>
            <w:tcW w:w="10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Independent Director Fee (for all</w:t>
            </w:r>
          </w:p>
        </w:tc>
        <w:tc>
          <w:tcPr>
            <w:tcW w:w="3520" w:type="dxa"/>
            <w:vAlign w:val="bottom"/>
            <w:gridSpan w:val="3"/>
          </w:tcPr>
          <w:p>
            <w:pPr>
              <w:ind w:left="240"/>
              <w:spacing w:after="0"/>
              <w:rPr>
                <w:sz w:val="20"/>
                <w:szCs w:val="20"/>
                <w:color w:val="auto"/>
              </w:rPr>
            </w:pPr>
            <w:r>
              <w:rPr>
                <w:rFonts w:ascii="Arial" w:cs="Arial" w:eastAsia="Arial" w:hAnsi="Arial"/>
                <w:sz w:val="18"/>
                <w:szCs w:val="18"/>
                <w:color w:val="auto"/>
              </w:rPr>
              <w:t>US$50,000 per year</w:t>
            </w:r>
          </w:p>
        </w:tc>
        <w:tc>
          <w:tcPr>
            <w:tcW w:w="2340" w:type="dxa"/>
            <w:vAlign w:val="bottom"/>
          </w:tcPr>
          <w:p>
            <w:pPr>
              <w:ind w:left="140"/>
              <w:spacing w:after="0"/>
              <w:rPr>
                <w:sz w:val="20"/>
                <w:szCs w:val="20"/>
                <w:color w:val="auto"/>
              </w:rPr>
            </w:pPr>
            <w:r>
              <w:rPr>
                <w:rFonts w:ascii="Arial" w:cs="Arial" w:eastAsia="Arial" w:hAnsi="Arial"/>
                <w:sz w:val="18"/>
                <w:szCs w:val="18"/>
                <w:color w:val="auto"/>
              </w:rPr>
              <w:t>US$150,000 in the form of</w:t>
            </w:r>
          </w:p>
        </w:tc>
      </w:tr>
      <w:tr>
        <w:trPr>
          <w:trHeight w:val="272"/>
        </w:trPr>
        <w:tc>
          <w:tcPr>
            <w:tcW w:w="100" w:type="dxa"/>
            <w:vAlign w:val="bottom"/>
          </w:tcPr>
          <w:p>
            <w:pPr>
              <w:spacing w:after="0"/>
              <w:rPr>
                <w:sz w:val="23"/>
                <w:szCs w:val="23"/>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independent directors other than the Lead</w:t>
            </w:r>
          </w:p>
        </w:tc>
        <w:tc>
          <w:tcPr>
            <w:tcW w:w="2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340" w:type="dxa"/>
            <w:vAlign w:val="bottom"/>
          </w:tcPr>
          <w:p>
            <w:pPr>
              <w:ind w:left="140"/>
              <w:spacing w:after="0"/>
              <w:rPr>
                <w:sz w:val="20"/>
                <w:szCs w:val="20"/>
                <w:color w:val="auto"/>
              </w:rPr>
            </w:pPr>
            <w:r>
              <w:rPr>
                <w:rFonts w:ascii="Arial" w:cs="Arial" w:eastAsia="Arial" w:hAnsi="Arial"/>
                <w:sz w:val="18"/>
                <w:szCs w:val="18"/>
                <w:color w:val="auto"/>
                <w:w w:val="97"/>
              </w:rPr>
              <w:t>annual DSU grant under the</w:t>
            </w:r>
          </w:p>
        </w:tc>
      </w:tr>
      <w:tr>
        <w:trPr>
          <w:trHeight w:val="272"/>
        </w:trPr>
        <w:tc>
          <w:tcPr>
            <w:tcW w:w="100" w:type="dxa"/>
            <w:vAlign w:val="bottom"/>
          </w:tcPr>
          <w:p>
            <w:pPr>
              <w:spacing w:after="0"/>
              <w:rPr>
                <w:sz w:val="23"/>
                <w:szCs w:val="23"/>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340" w:type="dxa"/>
            <w:vAlign w:val="bottom"/>
          </w:tcPr>
          <w:p>
            <w:pPr>
              <w:ind w:left="140"/>
              <w:spacing w:after="0"/>
              <w:rPr>
                <w:sz w:val="20"/>
                <w:szCs w:val="20"/>
                <w:color w:val="auto"/>
              </w:rPr>
            </w:pPr>
            <w:r>
              <w:rPr>
                <w:rFonts w:ascii="Arial" w:cs="Arial" w:eastAsia="Arial" w:hAnsi="Arial"/>
                <w:sz w:val="18"/>
                <w:szCs w:val="18"/>
                <w:color w:val="auto"/>
              </w:rPr>
              <w:t>Incentive Plan</w:t>
            </w:r>
          </w:p>
        </w:tc>
      </w:tr>
      <w:tr>
        <w:trPr>
          <w:trHeight w:val="111"/>
        </w:trPr>
        <w:tc>
          <w:tcPr>
            <w:tcW w:w="1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50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4000" w:type="dxa"/>
            <w:vAlign w:val="bottom"/>
            <w:gridSpan w:val="2"/>
          </w:tcPr>
          <w:p>
            <w:pPr>
              <w:spacing w:after="0"/>
              <w:rPr>
                <w:sz w:val="9"/>
                <w:szCs w:val="9"/>
                <w:color w:val="auto"/>
              </w:rPr>
            </w:pPr>
          </w:p>
        </w:tc>
      </w:tr>
      <w:tr>
        <w:trPr>
          <w:trHeight w:val="310"/>
        </w:trPr>
        <w:tc>
          <w:tcPr>
            <w:tcW w:w="100" w:type="dxa"/>
            <w:vAlign w:val="bottom"/>
            <w:shd w:val="clear" w:color="auto" w:fill="D9D9D9"/>
          </w:tcPr>
          <w:p>
            <w:pPr>
              <w:spacing w:after="0"/>
              <w:rPr>
                <w:sz w:val="24"/>
                <w:szCs w:val="24"/>
                <w:color w:val="auto"/>
              </w:rPr>
            </w:pPr>
          </w:p>
        </w:tc>
        <w:tc>
          <w:tcPr>
            <w:tcW w:w="9460" w:type="dxa"/>
            <w:vAlign w:val="bottom"/>
            <w:gridSpan w:val="6"/>
            <w:shd w:val="clear" w:color="auto" w:fill="D9D9D9"/>
          </w:tcPr>
          <w:p>
            <w:pPr>
              <w:spacing w:after="0"/>
              <w:rPr>
                <w:sz w:val="20"/>
                <w:szCs w:val="20"/>
                <w:color w:val="auto"/>
              </w:rPr>
            </w:pPr>
            <w:r>
              <w:rPr>
                <w:rFonts w:ascii="Arial" w:cs="Arial" w:eastAsia="Arial" w:hAnsi="Arial"/>
                <w:sz w:val="18"/>
                <w:szCs w:val="18"/>
                <w:b w:val="1"/>
                <w:bCs w:val="1"/>
                <w:color w:val="auto"/>
              </w:rPr>
              <w:t xml:space="preserve">Additional Fees for Serving on Committees </w:t>
            </w:r>
            <w:r>
              <w:rPr>
                <w:rFonts w:ascii="Arial" w:cs="Arial" w:eastAsia="Arial" w:hAnsi="Arial"/>
                <w:sz w:val="18"/>
                <w:szCs w:val="18"/>
                <w:b w:val="1"/>
                <w:bCs w:val="1"/>
                <w:i w:val="1"/>
                <w:iCs w:val="1"/>
                <w:color w:val="auto"/>
              </w:rPr>
              <w:t>(payable in arrears in four quarterly installments)</w:t>
            </w:r>
          </w:p>
        </w:tc>
      </w:tr>
      <w:tr>
        <w:trPr>
          <w:trHeight w:val="111"/>
        </w:trPr>
        <w:tc>
          <w:tcPr>
            <w:tcW w:w="100" w:type="dxa"/>
            <w:vAlign w:val="bottom"/>
            <w:shd w:val="clear" w:color="auto" w:fill="D9D9D9"/>
          </w:tcPr>
          <w:p>
            <w:pPr>
              <w:spacing w:after="0"/>
              <w:rPr>
                <w:sz w:val="9"/>
                <w:szCs w:val="9"/>
                <w:color w:val="auto"/>
              </w:rPr>
            </w:pPr>
          </w:p>
        </w:tc>
        <w:tc>
          <w:tcPr>
            <w:tcW w:w="2340" w:type="dxa"/>
            <w:vAlign w:val="bottom"/>
            <w:shd w:val="clear" w:color="auto" w:fill="D9D9D9"/>
          </w:tcPr>
          <w:p>
            <w:pPr>
              <w:spacing w:after="0"/>
              <w:rPr>
                <w:sz w:val="9"/>
                <w:szCs w:val="9"/>
                <w:color w:val="auto"/>
              </w:rPr>
            </w:pPr>
          </w:p>
        </w:tc>
        <w:tc>
          <w:tcPr>
            <w:tcW w:w="1260" w:type="dxa"/>
            <w:vAlign w:val="bottom"/>
            <w:shd w:val="clear" w:color="auto" w:fill="D9D9D9"/>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1620" w:type="dxa"/>
            <w:vAlign w:val="bottom"/>
            <w:shd w:val="clear" w:color="auto" w:fill="D9D9D9"/>
          </w:tcPr>
          <w:p>
            <w:pPr>
              <w:spacing w:after="0"/>
              <w:rPr>
                <w:sz w:val="9"/>
                <w:szCs w:val="9"/>
                <w:color w:val="auto"/>
              </w:rPr>
            </w:pPr>
          </w:p>
        </w:tc>
        <w:tc>
          <w:tcPr>
            <w:tcW w:w="1660" w:type="dxa"/>
            <w:vAlign w:val="bottom"/>
            <w:shd w:val="clear" w:color="auto" w:fill="D9D9D9"/>
          </w:tcPr>
          <w:p>
            <w:pPr>
              <w:spacing w:after="0"/>
              <w:rPr>
                <w:sz w:val="9"/>
                <w:szCs w:val="9"/>
                <w:color w:val="auto"/>
              </w:rPr>
            </w:pPr>
          </w:p>
        </w:tc>
        <w:tc>
          <w:tcPr>
            <w:tcW w:w="2340" w:type="dxa"/>
            <w:vAlign w:val="bottom"/>
            <w:shd w:val="clear" w:color="auto" w:fill="D9D9D9"/>
          </w:tcPr>
          <w:p>
            <w:pPr>
              <w:spacing w:after="0"/>
              <w:rPr>
                <w:sz w:val="9"/>
                <w:szCs w:val="9"/>
                <w:color w:val="auto"/>
              </w:rPr>
            </w:pPr>
          </w:p>
        </w:tc>
      </w:tr>
      <w:tr>
        <w:trPr>
          <w:trHeight w:val="291"/>
        </w:trPr>
        <w:tc>
          <w:tcPr>
            <w:tcW w:w="10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Annual Fee for acting as Chair of the Minera</w:t>
            </w:r>
          </w:p>
        </w:tc>
        <w:tc>
          <w:tcPr>
            <w:tcW w:w="3520" w:type="dxa"/>
            <w:vAlign w:val="bottom"/>
            <w:gridSpan w:val="3"/>
          </w:tcPr>
          <w:p>
            <w:pPr>
              <w:ind w:left="240"/>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40,000 per year</w:t>
            </w:r>
          </w:p>
        </w:tc>
        <w:tc>
          <w:tcPr>
            <w:tcW w:w="234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52"/>
        </w:trPr>
        <w:tc>
          <w:tcPr>
            <w:tcW w:w="100" w:type="dxa"/>
            <w:vAlign w:val="bottom"/>
          </w:tcPr>
          <w:p>
            <w:pPr>
              <w:spacing w:after="0"/>
              <w:rPr>
                <w:sz w:val="21"/>
                <w:szCs w:val="21"/>
                <w:color w:val="auto"/>
              </w:rPr>
            </w:pPr>
          </w:p>
        </w:tc>
        <w:tc>
          <w:tcPr>
            <w:tcW w:w="2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Exar Shareholder Committee</w:t>
            </w:r>
          </w:p>
        </w:tc>
        <w:tc>
          <w:tcPr>
            <w:tcW w:w="12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660" w:type="dxa"/>
            <w:vAlign w:val="bottom"/>
          </w:tcPr>
          <w:p>
            <w:pPr>
              <w:spacing w:after="0"/>
              <w:rPr>
                <w:sz w:val="21"/>
                <w:szCs w:val="21"/>
                <w:color w:val="auto"/>
              </w:rPr>
            </w:pPr>
          </w:p>
        </w:tc>
        <w:tc>
          <w:tcPr>
            <w:tcW w:w="2340" w:type="dxa"/>
            <w:vAlign w:val="bottom"/>
          </w:tcPr>
          <w:p>
            <w:pPr>
              <w:spacing w:after="0"/>
              <w:rPr>
                <w:sz w:val="21"/>
                <w:szCs w:val="21"/>
                <w:color w:val="auto"/>
              </w:rPr>
            </w:pPr>
          </w:p>
        </w:tc>
      </w:tr>
      <w:tr>
        <w:trPr>
          <w:trHeight w:val="419"/>
        </w:trPr>
        <w:tc>
          <w:tcPr>
            <w:tcW w:w="10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Annual Fee for acting as Chair of the Audit</w:t>
            </w:r>
          </w:p>
        </w:tc>
        <w:tc>
          <w:tcPr>
            <w:tcW w:w="3520" w:type="dxa"/>
            <w:vAlign w:val="bottom"/>
            <w:gridSpan w:val="3"/>
          </w:tcPr>
          <w:p>
            <w:pPr>
              <w:ind w:left="240"/>
              <w:spacing w:after="0"/>
              <w:rPr>
                <w:sz w:val="20"/>
                <w:szCs w:val="20"/>
                <w:color w:val="auto"/>
              </w:rPr>
            </w:pPr>
            <w:r>
              <w:rPr>
                <w:rFonts w:ascii="Arial" w:cs="Arial" w:eastAsia="Arial" w:hAnsi="Arial"/>
                <w:sz w:val="18"/>
                <w:szCs w:val="18"/>
                <w:color w:val="auto"/>
              </w:rPr>
              <w:t>US$20,000 per year</w:t>
            </w:r>
          </w:p>
        </w:tc>
        <w:tc>
          <w:tcPr>
            <w:tcW w:w="234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72"/>
        </w:trPr>
        <w:tc>
          <w:tcPr>
            <w:tcW w:w="100" w:type="dxa"/>
            <w:vAlign w:val="bottom"/>
          </w:tcPr>
          <w:p>
            <w:pPr>
              <w:spacing w:after="0"/>
              <w:rPr>
                <w:sz w:val="23"/>
                <w:szCs w:val="23"/>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and Risk Committee</w:t>
            </w:r>
          </w:p>
        </w:tc>
        <w:tc>
          <w:tcPr>
            <w:tcW w:w="2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340" w:type="dxa"/>
            <w:vAlign w:val="bottom"/>
          </w:tcPr>
          <w:p>
            <w:pPr>
              <w:spacing w:after="0"/>
              <w:rPr>
                <w:sz w:val="23"/>
                <w:szCs w:val="23"/>
                <w:color w:val="auto"/>
              </w:rPr>
            </w:pPr>
          </w:p>
        </w:tc>
      </w:tr>
      <w:tr>
        <w:trPr>
          <w:trHeight w:val="420"/>
        </w:trPr>
        <w:tc>
          <w:tcPr>
            <w:tcW w:w="10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Annual Fee for acting as Chair of the</w:t>
            </w:r>
          </w:p>
        </w:tc>
        <w:tc>
          <w:tcPr>
            <w:tcW w:w="3520" w:type="dxa"/>
            <w:vAlign w:val="bottom"/>
            <w:gridSpan w:val="3"/>
          </w:tcPr>
          <w:p>
            <w:pPr>
              <w:ind w:left="240"/>
              <w:spacing w:after="0"/>
              <w:rPr>
                <w:sz w:val="20"/>
                <w:szCs w:val="20"/>
                <w:color w:val="auto"/>
              </w:rPr>
            </w:pPr>
            <w:r>
              <w:rPr>
                <w:rFonts w:ascii="Arial" w:cs="Arial" w:eastAsia="Arial" w:hAnsi="Arial"/>
                <w:sz w:val="18"/>
                <w:szCs w:val="18"/>
                <w:color w:val="auto"/>
              </w:rPr>
              <w:t>US$15,000 per year</w:t>
            </w:r>
          </w:p>
        </w:tc>
        <w:tc>
          <w:tcPr>
            <w:tcW w:w="234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72"/>
        </w:trPr>
        <w:tc>
          <w:tcPr>
            <w:tcW w:w="100" w:type="dxa"/>
            <w:vAlign w:val="bottom"/>
          </w:tcPr>
          <w:p>
            <w:pPr>
              <w:spacing w:after="0"/>
              <w:rPr>
                <w:sz w:val="23"/>
                <w:szCs w:val="23"/>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GNCLC</w:t>
            </w:r>
          </w:p>
        </w:tc>
        <w:tc>
          <w:tcPr>
            <w:tcW w:w="2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340" w:type="dxa"/>
            <w:vAlign w:val="bottom"/>
          </w:tcPr>
          <w:p>
            <w:pPr>
              <w:spacing w:after="0"/>
              <w:rPr>
                <w:sz w:val="23"/>
                <w:szCs w:val="23"/>
                <w:color w:val="auto"/>
              </w:rPr>
            </w:pPr>
          </w:p>
        </w:tc>
      </w:tr>
      <w:tr>
        <w:trPr>
          <w:trHeight w:val="420"/>
        </w:trPr>
        <w:tc>
          <w:tcPr>
            <w:tcW w:w="10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Annual Fee for serving as a Chair of any</w:t>
            </w:r>
          </w:p>
        </w:tc>
        <w:tc>
          <w:tcPr>
            <w:tcW w:w="3520" w:type="dxa"/>
            <w:vAlign w:val="bottom"/>
            <w:gridSpan w:val="3"/>
          </w:tcPr>
          <w:p>
            <w:pPr>
              <w:ind w:left="240"/>
              <w:spacing w:after="0"/>
              <w:rPr>
                <w:sz w:val="20"/>
                <w:szCs w:val="20"/>
                <w:color w:val="auto"/>
              </w:rPr>
            </w:pPr>
            <w:r>
              <w:rPr>
                <w:rFonts w:ascii="Arial" w:cs="Arial" w:eastAsia="Arial" w:hAnsi="Arial"/>
                <w:sz w:val="18"/>
                <w:szCs w:val="18"/>
                <w:color w:val="auto"/>
              </w:rPr>
              <w:t>US$10,000 per year</w:t>
            </w:r>
          </w:p>
        </w:tc>
        <w:tc>
          <w:tcPr>
            <w:tcW w:w="234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72"/>
        </w:trPr>
        <w:tc>
          <w:tcPr>
            <w:tcW w:w="100" w:type="dxa"/>
            <w:vAlign w:val="bottom"/>
          </w:tcPr>
          <w:p>
            <w:pPr>
              <w:spacing w:after="0"/>
              <w:rPr>
                <w:sz w:val="23"/>
                <w:szCs w:val="23"/>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other committee</w:t>
            </w:r>
          </w:p>
        </w:tc>
        <w:tc>
          <w:tcPr>
            <w:tcW w:w="2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340" w:type="dxa"/>
            <w:vAlign w:val="bottom"/>
          </w:tcPr>
          <w:p>
            <w:pPr>
              <w:spacing w:after="0"/>
              <w:rPr>
                <w:sz w:val="23"/>
                <w:szCs w:val="23"/>
                <w:color w:val="auto"/>
              </w:rPr>
            </w:pPr>
          </w:p>
        </w:tc>
      </w:tr>
      <w:tr>
        <w:trPr>
          <w:trHeight w:val="750"/>
        </w:trPr>
        <w:tc>
          <w:tcPr>
            <w:tcW w:w="10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Special Committee Meeting Fees</w:t>
            </w:r>
          </w:p>
        </w:tc>
        <w:tc>
          <w:tcPr>
            <w:tcW w:w="3520" w:type="dxa"/>
            <w:vAlign w:val="bottom"/>
            <w:gridSpan w:val="3"/>
          </w:tcPr>
          <w:p>
            <w:pPr>
              <w:ind w:left="240"/>
              <w:spacing w:after="0"/>
              <w:rPr>
                <w:sz w:val="20"/>
                <w:szCs w:val="20"/>
                <w:color w:val="auto"/>
              </w:rPr>
            </w:pPr>
            <w:r>
              <w:rPr>
                <w:rFonts w:ascii="Arial" w:cs="Arial" w:eastAsia="Arial" w:hAnsi="Arial"/>
                <w:sz w:val="18"/>
                <w:szCs w:val="18"/>
                <w:color w:val="auto"/>
              </w:rPr>
              <w:t>To be set by the Board concurrent with</w:t>
            </w:r>
          </w:p>
        </w:tc>
        <w:tc>
          <w:tcPr>
            <w:tcW w:w="2340" w:type="dxa"/>
            <w:vAlign w:val="bottom"/>
          </w:tcPr>
          <w:p>
            <w:pPr>
              <w:spacing w:after="0"/>
              <w:rPr>
                <w:sz w:val="24"/>
                <w:szCs w:val="24"/>
                <w:color w:val="auto"/>
              </w:rPr>
            </w:pPr>
          </w:p>
        </w:tc>
      </w:tr>
      <w:tr>
        <w:trPr>
          <w:trHeight w:val="272"/>
        </w:trPr>
        <w:tc>
          <w:tcPr>
            <w:tcW w:w="1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520" w:type="dxa"/>
            <w:vAlign w:val="bottom"/>
            <w:gridSpan w:val="3"/>
          </w:tcPr>
          <w:p>
            <w:pPr>
              <w:ind w:left="240"/>
              <w:spacing w:after="0"/>
              <w:rPr>
                <w:sz w:val="20"/>
                <w:szCs w:val="20"/>
                <w:color w:val="auto"/>
              </w:rPr>
            </w:pPr>
            <w:r>
              <w:rPr>
                <w:rFonts w:ascii="Arial" w:cs="Arial" w:eastAsia="Arial" w:hAnsi="Arial"/>
                <w:sz w:val="18"/>
                <w:szCs w:val="18"/>
                <w:color w:val="auto"/>
              </w:rPr>
              <w:t>establishing the special committee, and</w:t>
            </w:r>
          </w:p>
        </w:tc>
        <w:tc>
          <w:tcPr>
            <w:tcW w:w="2340" w:type="dxa"/>
            <w:vAlign w:val="bottom"/>
          </w:tcPr>
          <w:p>
            <w:pPr>
              <w:spacing w:after="0"/>
              <w:rPr>
                <w:sz w:val="23"/>
                <w:szCs w:val="23"/>
                <w:color w:val="auto"/>
              </w:rPr>
            </w:pPr>
          </w:p>
        </w:tc>
      </w:tr>
      <w:tr>
        <w:trPr>
          <w:trHeight w:val="272"/>
        </w:trPr>
        <w:tc>
          <w:tcPr>
            <w:tcW w:w="1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520" w:type="dxa"/>
            <w:vAlign w:val="bottom"/>
            <w:gridSpan w:val="3"/>
          </w:tcPr>
          <w:p>
            <w:pPr>
              <w:ind w:left="240"/>
              <w:spacing w:after="0"/>
              <w:rPr>
                <w:sz w:val="20"/>
                <w:szCs w:val="20"/>
                <w:color w:val="auto"/>
              </w:rPr>
            </w:pPr>
            <w:r>
              <w:rPr>
                <w:rFonts w:ascii="Arial" w:cs="Arial" w:eastAsia="Arial" w:hAnsi="Arial"/>
                <w:sz w:val="18"/>
                <w:szCs w:val="18"/>
                <w:color w:val="auto"/>
              </w:rPr>
              <w:t>dependent upon the expected workload</w:t>
            </w:r>
          </w:p>
        </w:tc>
        <w:tc>
          <w:tcPr>
            <w:tcW w:w="2340" w:type="dxa"/>
            <w:vAlign w:val="bottom"/>
          </w:tcPr>
          <w:p>
            <w:pPr>
              <w:spacing w:after="0"/>
              <w:rPr>
                <w:sz w:val="23"/>
                <w:szCs w:val="23"/>
                <w:color w:val="auto"/>
              </w:rPr>
            </w:pPr>
          </w:p>
        </w:tc>
      </w:tr>
    </w:tbl>
    <w:p>
      <w:pPr>
        <w:spacing w:after="0" w:line="200" w:lineRule="exact"/>
        <w:rPr>
          <w:sz w:val="20"/>
          <w:szCs w:val="20"/>
          <w:color w:val="auto"/>
        </w:rPr>
      </w:pPr>
    </w:p>
    <w:p>
      <w:pPr>
        <w:spacing w:after="0" w:line="244"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Director Compensation Table</w:t>
      </w:r>
    </w:p>
    <w:p>
      <w:pPr>
        <w:spacing w:after="0" w:line="27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table below summarizes the compensation earned by all directors other than directors who are also Na Executives for the year ended December 31, 2025.</w:t>
      </w:r>
    </w:p>
    <w:p>
      <w:pPr>
        <w:spacing w:after="0" w:line="215" w:lineRule="exact"/>
        <w:rPr>
          <w:sz w:val="20"/>
          <w:szCs w:val="20"/>
          <w:color w:val="auto"/>
        </w:rPr>
      </w:pPr>
    </w:p>
    <w:p>
      <w:pPr>
        <w:ind w:left="900"/>
        <w:spacing w:after="0"/>
        <w:rPr>
          <w:sz w:val="20"/>
          <w:szCs w:val="20"/>
          <w:color w:val="auto"/>
        </w:rPr>
      </w:pPr>
      <w:r>
        <w:rPr>
          <w:rFonts w:ascii="Arial" w:cs="Arial" w:eastAsia="Arial" w:hAnsi="Arial"/>
          <w:sz w:val="19"/>
          <w:szCs w:val="19"/>
          <w:color w:val="auto"/>
        </w:rPr>
        <w:t>In 2025, we paid a total of $US1,305,000 in director compensation to independent and non-employee directo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2336165</wp:posOffset>
            </wp:positionH>
            <wp:positionV relativeFrom="paragraph">
              <wp:posOffset>239395</wp:posOffset>
            </wp:positionV>
            <wp:extent cx="6350" cy="546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3">
                      <a:extLst>
                        <a:ext uri="{28A0092B-C50C-407E-A947-70E740481C1C}"/>
                      </a:extLst>
                    </a:blip>
                    <a:srcRect/>
                    <a:stretch>
                      <a:fillRect/>
                    </a:stretch>
                  </pic:blipFill>
                  <pic:spPr bwMode="auto">
                    <a:xfrm>
                      <a:off x="0" y="0"/>
                      <a:ext cx="6350" cy="54610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239395</wp:posOffset>
            </wp:positionV>
            <wp:extent cx="6350" cy="546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4">
                      <a:extLst>
                        <a:ext uri="{28A0092B-C50C-407E-A947-70E740481C1C}"/>
                      </a:extLst>
                    </a:blip>
                    <a:srcRect/>
                    <a:stretch>
                      <a:fillRect/>
                    </a:stretch>
                  </pic:blipFill>
                  <pic:spPr bwMode="auto">
                    <a:xfrm>
                      <a:off x="0" y="0"/>
                      <a:ext cx="6350" cy="54610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239395</wp:posOffset>
            </wp:positionV>
            <wp:extent cx="6350" cy="546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5">
                      <a:extLst>
                        <a:ext uri="{28A0092B-C50C-407E-A947-70E740481C1C}"/>
                      </a:extLst>
                    </a:blip>
                    <a:srcRect/>
                    <a:stretch>
                      <a:fillRect/>
                    </a:stretch>
                  </pic:blipFill>
                  <pic:spPr bwMode="auto">
                    <a:xfrm>
                      <a:off x="0" y="0"/>
                      <a:ext cx="6350" cy="546100"/>
                    </a:xfrm>
                    <a:prstGeom prst="rect">
                      <a:avLst/>
                    </a:prstGeom>
                    <a:noFill/>
                  </pic:spPr>
                </pic:pic>
              </a:graphicData>
            </a:graphic>
          </wp:anchor>
        </w:drawing>
        <w:drawing>
          <wp:anchor simplePos="0" relativeHeight="251657728" behindDoc="1" locked="0" layoutInCell="0" allowOverlap="1">
            <wp:simplePos x="0" y="0"/>
            <wp:positionH relativeFrom="column">
              <wp:posOffset>4208145</wp:posOffset>
            </wp:positionH>
            <wp:positionV relativeFrom="paragraph">
              <wp:posOffset>239395</wp:posOffset>
            </wp:positionV>
            <wp:extent cx="6350" cy="546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6">
                      <a:extLst>
                        <a:ext uri="{28A0092B-C50C-407E-A947-70E740481C1C}"/>
                      </a:extLst>
                    </a:blip>
                    <a:srcRect/>
                    <a:stretch>
                      <a:fillRect/>
                    </a:stretch>
                  </pic:blipFill>
                  <pic:spPr bwMode="auto">
                    <a:xfrm>
                      <a:off x="0" y="0"/>
                      <a:ext cx="6350" cy="546100"/>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239395</wp:posOffset>
            </wp:positionV>
            <wp:extent cx="6350" cy="546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7">
                      <a:extLst>
                        <a:ext uri="{28A0092B-C50C-407E-A947-70E740481C1C}"/>
                      </a:extLst>
                    </a:blip>
                    <a:srcRect/>
                    <a:stretch>
                      <a:fillRect/>
                    </a:stretch>
                  </pic:blipFill>
                  <pic:spPr bwMode="auto">
                    <a:xfrm>
                      <a:off x="0" y="0"/>
                      <a:ext cx="6350" cy="546100"/>
                    </a:xfrm>
                    <a:prstGeom prst="rect">
                      <a:avLst/>
                    </a:prstGeom>
                    <a:noFill/>
                  </pic:spPr>
                </pic:pic>
              </a:graphicData>
            </a:graphic>
          </wp:anchor>
        </w:drawing>
        <w:drawing>
          <wp:anchor simplePos="0" relativeHeight="251657728" behindDoc="1" locked="0" layoutInCell="0" allowOverlap="1">
            <wp:simplePos x="0" y="0"/>
            <wp:positionH relativeFrom="column">
              <wp:posOffset>5523865</wp:posOffset>
            </wp:positionH>
            <wp:positionV relativeFrom="paragraph">
              <wp:posOffset>239395</wp:posOffset>
            </wp:positionV>
            <wp:extent cx="6350" cy="546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98">
                      <a:extLst>
                        <a:ext uri="{28A0092B-C50C-407E-A947-70E740481C1C}"/>
                      </a:extLst>
                    </a:blip>
                    <a:srcRect/>
                    <a:stretch>
                      <a:fillRect/>
                    </a:stretch>
                  </pic:blipFill>
                  <pic:spPr bwMode="auto">
                    <a:xfrm>
                      <a:off x="0" y="0"/>
                      <a:ext cx="6350" cy="546100"/>
                    </a:xfrm>
                    <a:prstGeom prst="rect">
                      <a:avLst/>
                    </a:prstGeom>
                    <a:noFill/>
                  </pic:spPr>
                </pic:pic>
              </a:graphicData>
            </a:graphic>
          </wp:anchor>
        </w:drawing>
        <w:drawing>
          <wp:anchor simplePos="0" relativeHeight="251657728" behindDoc="1" locked="0" layoutInCell="0" allowOverlap="1">
            <wp:simplePos x="0" y="0"/>
            <wp:positionH relativeFrom="column">
              <wp:posOffset>6283325</wp:posOffset>
            </wp:positionH>
            <wp:positionV relativeFrom="paragraph">
              <wp:posOffset>239395</wp:posOffset>
            </wp:positionV>
            <wp:extent cx="6350" cy="546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99">
                      <a:extLst>
                        <a:ext uri="{28A0092B-C50C-407E-A947-70E740481C1C}"/>
                      </a:extLst>
                    </a:blip>
                    <a:srcRect/>
                    <a:stretch>
                      <a:fillRect/>
                    </a:stretch>
                  </pic:blipFill>
                  <pic:spPr bwMode="auto">
                    <a:xfrm>
                      <a:off x="0" y="0"/>
                      <a:ext cx="6350" cy="546100"/>
                    </a:xfrm>
                    <a:prstGeom prst="rect">
                      <a:avLst/>
                    </a:prstGeom>
                    <a:noFill/>
                  </pic:spPr>
                </pic:pic>
              </a:graphicData>
            </a:graphic>
          </wp:anchor>
        </w:drawing>
      </w:r>
    </w:p>
    <w:p>
      <w:pPr>
        <w:spacing w:after="0" w:line="357" w:lineRule="exact"/>
        <w:rPr>
          <w:sz w:val="20"/>
          <w:szCs w:val="20"/>
          <w:color w:val="auto"/>
        </w:rPr>
      </w:pPr>
    </w:p>
    <w:tbl>
      <w:tblPr>
        <w:tblLayout w:type="fixed"/>
        <w:tblInd w:w="900" w:type="dxa"/>
        <w:tblCellMar>
          <w:top w:w="0" w:type="dxa"/>
          <w:left w:w="0" w:type="dxa"/>
          <w:bottom w:w="0" w:type="dxa"/>
          <w:right w:w="0" w:type="dxa"/>
        </w:tblCellMar>
      </w:tblPr>
      <w:tr>
        <w:trPr>
          <w:trHeight w:val="196"/>
        </w:trPr>
        <w:tc>
          <w:tcPr>
            <w:tcW w:w="2460" w:type="dxa"/>
            <w:vAlign w:val="bottom"/>
            <w:shd w:val="clear" w:color="auto" w:fill="153A57"/>
          </w:tcPr>
          <w:p>
            <w:pPr>
              <w:spacing w:after="0"/>
              <w:rPr>
                <w:sz w:val="17"/>
                <w:szCs w:val="17"/>
                <w:color w:val="auto"/>
              </w:rPr>
            </w:pPr>
          </w:p>
        </w:tc>
        <w:tc>
          <w:tcPr>
            <w:tcW w:w="1320" w:type="dxa"/>
            <w:vAlign w:val="bottom"/>
            <w:shd w:val="clear" w:color="auto" w:fill="153A57"/>
          </w:tcPr>
          <w:p>
            <w:pPr>
              <w:spacing w:after="0"/>
              <w:rPr>
                <w:sz w:val="17"/>
                <w:szCs w:val="17"/>
                <w:color w:val="auto"/>
              </w:rPr>
            </w:pPr>
          </w:p>
        </w:tc>
        <w:tc>
          <w:tcPr>
            <w:tcW w:w="1080" w:type="dxa"/>
            <w:vAlign w:val="bottom"/>
            <w:shd w:val="clear" w:color="auto" w:fill="153A57"/>
          </w:tcPr>
          <w:p>
            <w:pPr>
              <w:spacing w:after="0"/>
              <w:rPr>
                <w:sz w:val="17"/>
                <w:szCs w:val="17"/>
                <w:color w:val="auto"/>
              </w:rPr>
            </w:pPr>
          </w:p>
        </w:tc>
        <w:tc>
          <w:tcPr>
            <w:tcW w:w="820" w:type="dxa"/>
            <w:vAlign w:val="bottom"/>
            <w:shd w:val="clear" w:color="auto" w:fill="153A57"/>
          </w:tcPr>
          <w:p>
            <w:pPr>
              <w:jc w:val="center"/>
              <w:spacing w:after="0"/>
              <w:rPr>
                <w:sz w:val="20"/>
                <w:szCs w:val="20"/>
                <w:color w:val="auto"/>
              </w:rPr>
            </w:pPr>
            <w:r>
              <w:rPr>
                <w:rFonts w:ascii="Arial" w:cs="Arial" w:eastAsia="Arial" w:hAnsi="Arial"/>
                <w:sz w:val="14"/>
                <w:szCs w:val="14"/>
                <w:b w:val="1"/>
                <w:bCs w:val="1"/>
                <w:color w:val="FFFFFF"/>
              </w:rPr>
              <w:t>Option-</w:t>
            </w:r>
          </w:p>
        </w:tc>
        <w:tc>
          <w:tcPr>
            <w:tcW w:w="1260" w:type="dxa"/>
            <w:vAlign w:val="bottom"/>
            <w:shd w:val="clear" w:color="auto" w:fill="153A57"/>
          </w:tcPr>
          <w:p>
            <w:pPr>
              <w:jc w:val="center"/>
              <w:spacing w:after="0"/>
              <w:rPr>
                <w:sz w:val="20"/>
                <w:szCs w:val="20"/>
                <w:color w:val="auto"/>
              </w:rPr>
            </w:pPr>
            <w:r>
              <w:rPr>
                <w:rFonts w:ascii="Arial" w:cs="Arial" w:eastAsia="Arial" w:hAnsi="Arial"/>
                <w:sz w:val="14"/>
                <w:szCs w:val="14"/>
                <w:b w:val="1"/>
                <w:bCs w:val="1"/>
                <w:color w:val="FFFFFF"/>
              </w:rPr>
              <w:t>Non-Equity</w:t>
            </w:r>
          </w:p>
        </w:tc>
        <w:tc>
          <w:tcPr>
            <w:tcW w:w="840" w:type="dxa"/>
            <w:vAlign w:val="bottom"/>
            <w:shd w:val="clear" w:color="auto" w:fill="153A57"/>
          </w:tcPr>
          <w:p>
            <w:pPr>
              <w:spacing w:after="0"/>
              <w:rPr>
                <w:sz w:val="17"/>
                <w:szCs w:val="17"/>
                <w:color w:val="auto"/>
              </w:rPr>
            </w:pPr>
          </w:p>
        </w:tc>
        <w:tc>
          <w:tcPr>
            <w:tcW w:w="1240" w:type="dxa"/>
            <w:vAlign w:val="bottom"/>
            <w:shd w:val="clear" w:color="auto" w:fill="153A57"/>
          </w:tcPr>
          <w:p>
            <w:pPr>
              <w:spacing w:after="0"/>
              <w:rPr>
                <w:sz w:val="17"/>
                <w:szCs w:val="17"/>
                <w:color w:val="auto"/>
              </w:rPr>
            </w:pPr>
          </w:p>
        </w:tc>
        <w:tc>
          <w:tcPr>
            <w:tcW w:w="540" w:type="dxa"/>
            <w:vAlign w:val="bottom"/>
            <w:shd w:val="clear" w:color="auto" w:fill="153A57"/>
          </w:tcPr>
          <w:p>
            <w:pPr>
              <w:spacing w:after="0"/>
              <w:rPr>
                <w:sz w:val="17"/>
                <w:szCs w:val="17"/>
                <w:color w:val="auto"/>
              </w:rPr>
            </w:pPr>
          </w:p>
        </w:tc>
      </w:tr>
      <w:tr>
        <w:trPr>
          <w:trHeight w:val="211"/>
        </w:trPr>
        <w:tc>
          <w:tcPr>
            <w:tcW w:w="2460" w:type="dxa"/>
            <w:vAlign w:val="bottom"/>
            <w:shd w:val="clear" w:color="auto" w:fill="153A57"/>
          </w:tcPr>
          <w:p>
            <w:pPr>
              <w:spacing w:after="0"/>
              <w:rPr>
                <w:sz w:val="18"/>
                <w:szCs w:val="18"/>
                <w:color w:val="auto"/>
              </w:rPr>
            </w:pPr>
          </w:p>
        </w:tc>
        <w:tc>
          <w:tcPr>
            <w:tcW w:w="1320" w:type="dxa"/>
            <w:vAlign w:val="bottom"/>
            <w:shd w:val="clear" w:color="auto" w:fill="153A57"/>
          </w:tcPr>
          <w:p>
            <w:pPr>
              <w:spacing w:after="0"/>
              <w:rPr>
                <w:sz w:val="18"/>
                <w:szCs w:val="18"/>
                <w:color w:val="auto"/>
              </w:rPr>
            </w:pPr>
          </w:p>
        </w:tc>
        <w:tc>
          <w:tcPr>
            <w:tcW w:w="1080" w:type="dxa"/>
            <w:vAlign w:val="bottom"/>
            <w:shd w:val="clear" w:color="auto" w:fill="153A57"/>
          </w:tcPr>
          <w:p>
            <w:pPr>
              <w:jc w:val="center"/>
              <w:spacing w:after="0"/>
              <w:rPr>
                <w:sz w:val="20"/>
                <w:szCs w:val="20"/>
                <w:color w:val="auto"/>
              </w:rPr>
            </w:pPr>
            <w:r>
              <w:rPr>
                <w:rFonts w:ascii="Arial" w:cs="Arial" w:eastAsia="Arial" w:hAnsi="Arial"/>
                <w:sz w:val="14"/>
                <w:szCs w:val="14"/>
                <w:b w:val="1"/>
                <w:bCs w:val="1"/>
                <w:color w:val="FFFFFF"/>
              </w:rPr>
              <w:t>Share-Based</w:t>
            </w:r>
          </w:p>
        </w:tc>
        <w:tc>
          <w:tcPr>
            <w:tcW w:w="820" w:type="dxa"/>
            <w:vAlign w:val="bottom"/>
            <w:shd w:val="clear" w:color="auto" w:fill="153A57"/>
          </w:tcPr>
          <w:p>
            <w:pPr>
              <w:jc w:val="center"/>
              <w:ind w:right="3"/>
              <w:spacing w:after="0"/>
              <w:rPr>
                <w:sz w:val="20"/>
                <w:szCs w:val="20"/>
                <w:color w:val="auto"/>
              </w:rPr>
            </w:pPr>
            <w:r>
              <w:rPr>
                <w:rFonts w:ascii="Arial" w:cs="Arial" w:eastAsia="Arial" w:hAnsi="Arial"/>
                <w:sz w:val="14"/>
                <w:szCs w:val="14"/>
                <w:b w:val="1"/>
                <w:bCs w:val="1"/>
                <w:color w:val="FFFFFF"/>
                <w:w w:val="99"/>
              </w:rPr>
              <w:t>Based</w:t>
            </w:r>
          </w:p>
        </w:tc>
        <w:tc>
          <w:tcPr>
            <w:tcW w:w="1260" w:type="dxa"/>
            <w:vAlign w:val="bottom"/>
            <w:shd w:val="clear" w:color="auto" w:fill="153A57"/>
          </w:tcPr>
          <w:p>
            <w:pPr>
              <w:jc w:val="center"/>
              <w:spacing w:after="0"/>
              <w:rPr>
                <w:sz w:val="20"/>
                <w:szCs w:val="20"/>
                <w:color w:val="auto"/>
              </w:rPr>
            </w:pPr>
            <w:r>
              <w:rPr>
                <w:rFonts w:ascii="Arial" w:cs="Arial" w:eastAsia="Arial" w:hAnsi="Arial"/>
                <w:sz w:val="14"/>
                <w:szCs w:val="14"/>
                <w:b w:val="1"/>
                <w:bCs w:val="1"/>
                <w:color w:val="FFFFFF"/>
                <w:w w:val="99"/>
              </w:rPr>
              <w:t>Incentive Plan</w:t>
            </w:r>
          </w:p>
        </w:tc>
        <w:tc>
          <w:tcPr>
            <w:tcW w:w="840" w:type="dxa"/>
            <w:vAlign w:val="bottom"/>
            <w:shd w:val="clear" w:color="auto" w:fill="153A57"/>
          </w:tcPr>
          <w:p>
            <w:pPr>
              <w:jc w:val="center"/>
              <w:spacing w:after="0"/>
              <w:rPr>
                <w:sz w:val="20"/>
                <w:szCs w:val="20"/>
                <w:color w:val="auto"/>
              </w:rPr>
            </w:pPr>
            <w:r>
              <w:rPr>
                <w:rFonts w:ascii="Arial" w:cs="Arial" w:eastAsia="Arial" w:hAnsi="Arial"/>
                <w:sz w:val="14"/>
                <w:szCs w:val="14"/>
                <w:b w:val="1"/>
                <w:bCs w:val="1"/>
                <w:color w:val="FFFFFF"/>
              </w:rPr>
              <w:t>Pension</w:t>
            </w:r>
          </w:p>
        </w:tc>
        <w:tc>
          <w:tcPr>
            <w:tcW w:w="1240" w:type="dxa"/>
            <w:vAlign w:val="bottom"/>
            <w:shd w:val="clear" w:color="auto" w:fill="153A57"/>
          </w:tcPr>
          <w:p>
            <w:pPr>
              <w:jc w:val="center"/>
              <w:spacing w:after="0"/>
              <w:rPr>
                <w:sz w:val="20"/>
                <w:szCs w:val="20"/>
                <w:color w:val="auto"/>
              </w:rPr>
            </w:pPr>
            <w:r>
              <w:rPr>
                <w:rFonts w:ascii="Arial" w:cs="Arial" w:eastAsia="Arial" w:hAnsi="Arial"/>
                <w:sz w:val="14"/>
                <w:szCs w:val="14"/>
                <w:b w:val="1"/>
                <w:bCs w:val="1"/>
                <w:color w:val="FFFFFF"/>
              </w:rPr>
              <w:t>All Other</w:t>
            </w:r>
          </w:p>
        </w:tc>
        <w:tc>
          <w:tcPr>
            <w:tcW w:w="540" w:type="dxa"/>
            <w:vAlign w:val="bottom"/>
            <w:shd w:val="clear" w:color="auto" w:fill="153A57"/>
          </w:tcPr>
          <w:p>
            <w:pPr>
              <w:spacing w:after="0"/>
              <w:rPr>
                <w:sz w:val="18"/>
                <w:szCs w:val="18"/>
                <w:color w:val="auto"/>
              </w:rPr>
            </w:pPr>
          </w:p>
        </w:tc>
      </w:tr>
      <w:tr>
        <w:trPr>
          <w:trHeight w:val="211"/>
        </w:trPr>
        <w:tc>
          <w:tcPr>
            <w:tcW w:w="2460" w:type="dxa"/>
            <w:vAlign w:val="bottom"/>
            <w:shd w:val="clear" w:color="auto" w:fill="153A57"/>
          </w:tcPr>
          <w:p>
            <w:pPr>
              <w:spacing w:after="0"/>
              <w:rPr>
                <w:sz w:val="18"/>
                <w:szCs w:val="18"/>
                <w:color w:val="auto"/>
              </w:rPr>
            </w:pPr>
          </w:p>
        </w:tc>
        <w:tc>
          <w:tcPr>
            <w:tcW w:w="1320" w:type="dxa"/>
            <w:vAlign w:val="bottom"/>
            <w:shd w:val="clear" w:color="auto" w:fill="153A57"/>
          </w:tcPr>
          <w:p>
            <w:pPr>
              <w:jc w:val="center"/>
              <w:ind w:left="240"/>
              <w:spacing w:after="0"/>
              <w:rPr>
                <w:sz w:val="20"/>
                <w:szCs w:val="20"/>
                <w:color w:val="auto"/>
              </w:rPr>
            </w:pPr>
            <w:r>
              <w:rPr>
                <w:rFonts w:ascii="Arial" w:cs="Arial" w:eastAsia="Arial" w:hAnsi="Arial"/>
                <w:sz w:val="14"/>
                <w:szCs w:val="14"/>
                <w:b w:val="1"/>
                <w:bCs w:val="1"/>
                <w:color w:val="FFFFFF"/>
              </w:rPr>
              <w:t>Fees Earned</w:t>
            </w:r>
          </w:p>
        </w:tc>
        <w:tc>
          <w:tcPr>
            <w:tcW w:w="1080" w:type="dxa"/>
            <w:vAlign w:val="bottom"/>
            <w:shd w:val="clear" w:color="auto" w:fill="153A57"/>
          </w:tcPr>
          <w:p>
            <w:pPr>
              <w:jc w:val="center"/>
              <w:ind w:right="2"/>
              <w:spacing w:after="0"/>
              <w:rPr>
                <w:sz w:val="20"/>
                <w:szCs w:val="20"/>
                <w:color w:val="auto"/>
              </w:rPr>
            </w:pPr>
            <w:r>
              <w:rPr>
                <w:rFonts w:ascii="Arial" w:cs="Arial" w:eastAsia="Arial" w:hAnsi="Arial"/>
                <w:sz w:val="14"/>
                <w:szCs w:val="14"/>
                <w:b w:val="1"/>
                <w:bCs w:val="1"/>
                <w:color w:val="FFFFFF"/>
              </w:rPr>
              <w:t>Awards</w:t>
            </w:r>
          </w:p>
        </w:tc>
        <w:tc>
          <w:tcPr>
            <w:tcW w:w="820" w:type="dxa"/>
            <w:vAlign w:val="bottom"/>
            <w:shd w:val="clear" w:color="auto" w:fill="153A57"/>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1260" w:type="dxa"/>
            <w:vAlign w:val="bottom"/>
            <w:shd w:val="clear" w:color="auto" w:fill="153A57"/>
          </w:tcPr>
          <w:p>
            <w:pPr>
              <w:jc w:val="center"/>
              <w:spacing w:after="0"/>
              <w:rPr>
                <w:sz w:val="20"/>
                <w:szCs w:val="20"/>
                <w:color w:val="auto"/>
              </w:rPr>
            </w:pPr>
            <w:r>
              <w:rPr>
                <w:rFonts w:ascii="Arial" w:cs="Arial" w:eastAsia="Arial" w:hAnsi="Arial"/>
                <w:sz w:val="14"/>
                <w:szCs w:val="14"/>
                <w:b w:val="1"/>
                <w:bCs w:val="1"/>
                <w:color w:val="FFFFFF"/>
                <w:w w:val="98"/>
              </w:rPr>
              <w:t>Compensation</w:t>
            </w:r>
          </w:p>
        </w:tc>
        <w:tc>
          <w:tcPr>
            <w:tcW w:w="840" w:type="dxa"/>
            <w:vAlign w:val="bottom"/>
            <w:shd w:val="clear" w:color="auto" w:fill="153A57"/>
          </w:tcPr>
          <w:p>
            <w:pPr>
              <w:jc w:val="center"/>
              <w:spacing w:after="0"/>
              <w:rPr>
                <w:sz w:val="20"/>
                <w:szCs w:val="20"/>
                <w:color w:val="auto"/>
              </w:rPr>
            </w:pPr>
            <w:r>
              <w:rPr>
                <w:rFonts w:ascii="Arial" w:cs="Arial" w:eastAsia="Arial" w:hAnsi="Arial"/>
                <w:sz w:val="14"/>
                <w:szCs w:val="14"/>
                <w:b w:val="1"/>
                <w:bCs w:val="1"/>
                <w:color w:val="FFFFFF"/>
                <w:w w:val="96"/>
              </w:rPr>
              <w:t>Value</w:t>
            </w:r>
          </w:p>
        </w:tc>
        <w:tc>
          <w:tcPr>
            <w:tcW w:w="1240" w:type="dxa"/>
            <w:vAlign w:val="bottom"/>
            <w:shd w:val="clear" w:color="auto" w:fill="153A57"/>
          </w:tcPr>
          <w:p>
            <w:pPr>
              <w:jc w:val="center"/>
              <w:spacing w:after="0"/>
              <w:rPr>
                <w:sz w:val="20"/>
                <w:szCs w:val="20"/>
                <w:color w:val="auto"/>
              </w:rPr>
            </w:pPr>
            <w:r>
              <w:rPr>
                <w:rFonts w:ascii="Arial" w:cs="Arial" w:eastAsia="Arial" w:hAnsi="Arial"/>
                <w:sz w:val="14"/>
                <w:szCs w:val="14"/>
                <w:b w:val="1"/>
                <w:bCs w:val="1"/>
                <w:color w:val="FFFFFF"/>
              </w:rPr>
              <w:t>Compensation</w:t>
            </w:r>
          </w:p>
        </w:tc>
        <w:tc>
          <w:tcPr>
            <w:tcW w:w="540" w:type="dxa"/>
            <w:vAlign w:val="bottom"/>
            <w:shd w:val="clear" w:color="auto" w:fill="153A57"/>
          </w:tcPr>
          <w:p>
            <w:pPr>
              <w:jc w:val="right"/>
              <w:spacing w:after="0"/>
              <w:rPr>
                <w:sz w:val="20"/>
                <w:szCs w:val="20"/>
                <w:color w:val="auto"/>
              </w:rPr>
            </w:pPr>
            <w:r>
              <w:rPr>
                <w:rFonts w:ascii="Arial" w:cs="Arial" w:eastAsia="Arial" w:hAnsi="Arial"/>
                <w:sz w:val="14"/>
                <w:szCs w:val="14"/>
                <w:b w:val="1"/>
                <w:bCs w:val="1"/>
                <w:color w:val="FFFFFF"/>
              </w:rPr>
              <w:t>Tot</w:t>
            </w:r>
          </w:p>
        </w:tc>
      </w:tr>
      <w:tr>
        <w:trPr>
          <w:trHeight w:val="241"/>
        </w:trPr>
        <w:tc>
          <w:tcPr>
            <w:tcW w:w="2460" w:type="dxa"/>
            <w:vAlign w:val="bottom"/>
            <w:shd w:val="clear" w:color="auto" w:fill="153A57"/>
          </w:tcPr>
          <w:p>
            <w:pPr>
              <w:ind w:left="100"/>
              <w:spacing w:after="0"/>
              <w:rPr>
                <w:sz w:val="20"/>
                <w:szCs w:val="20"/>
                <w:color w:val="auto"/>
              </w:rPr>
            </w:pPr>
            <w:r>
              <w:rPr>
                <w:rFonts w:ascii="Arial" w:cs="Arial" w:eastAsia="Arial" w:hAnsi="Arial"/>
                <w:sz w:val="14"/>
                <w:szCs w:val="14"/>
                <w:b w:val="1"/>
                <w:bCs w:val="1"/>
                <w:color w:val="FFFFFF"/>
              </w:rPr>
              <w:t>Director Name</w:t>
            </w:r>
          </w:p>
        </w:tc>
        <w:tc>
          <w:tcPr>
            <w:tcW w:w="1320" w:type="dxa"/>
            <w:vAlign w:val="bottom"/>
            <w:shd w:val="clear" w:color="auto" w:fill="153A57"/>
          </w:tcPr>
          <w:p>
            <w:pPr>
              <w:jc w:val="center"/>
              <w:ind w:left="240"/>
              <w:spacing w:after="0"/>
              <w:rPr>
                <w:sz w:val="20"/>
                <w:szCs w:val="20"/>
                <w:color w:val="auto"/>
              </w:rPr>
            </w:pPr>
            <w:r>
              <w:rPr>
                <w:rFonts w:ascii="Arial" w:cs="Arial" w:eastAsia="Arial" w:hAnsi="Arial"/>
                <w:sz w:val="14"/>
                <w:szCs w:val="14"/>
                <w:b w:val="1"/>
                <w:bCs w:val="1"/>
                <w:color w:val="FFFFFF"/>
                <w:w w:val="94"/>
              </w:rPr>
              <w:t xml:space="preserve">(US$) </w:t>
            </w:r>
            <w:r>
              <w:rPr>
                <w:rFonts w:ascii="Arial" w:cs="Arial" w:eastAsia="Arial" w:hAnsi="Arial"/>
                <w:sz w:val="18"/>
                <w:szCs w:val="18"/>
                <w:b w:val="1"/>
                <w:bCs w:val="1"/>
                <w:color w:val="FFFFFF"/>
                <w:w w:val="94"/>
                <w:vertAlign w:val="superscript"/>
              </w:rPr>
              <w:t>(1)</w:t>
            </w:r>
          </w:p>
        </w:tc>
        <w:tc>
          <w:tcPr>
            <w:tcW w:w="1080" w:type="dxa"/>
            <w:vAlign w:val="bottom"/>
            <w:shd w:val="clear" w:color="auto" w:fill="153A57"/>
          </w:tcPr>
          <w:p>
            <w:pPr>
              <w:jc w:val="center"/>
              <w:ind w:right="2"/>
              <w:spacing w:after="0"/>
              <w:rPr>
                <w:sz w:val="20"/>
                <w:szCs w:val="20"/>
                <w:color w:val="auto"/>
              </w:rPr>
            </w:pPr>
            <w:r>
              <w:rPr>
                <w:rFonts w:ascii="Arial" w:cs="Arial" w:eastAsia="Arial" w:hAnsi="Arial"/>
                <w:sz w:val="14"/>
                <w:szCs w:val="14"/>
                <w:b w:val="1"/>
                <w:bCs w:val="1"/>
                <w:color w:val="FFFFFF"/>
                <w:w w:val="94"/>
              </w:rPr>
              <w:t xml:space="preserve">(US$) </w:t>
            </w:r>
            <w:r>
              <w:rPr>
                <w:rFonts w:ascii="Arial" w:cs="Arial" w:eastAsia="Arial" w:hAnsi="Arial"/>
                <w:sz w:val="18"/>
                <w:szCs w:val="18"/>
                <w:b w:val="1"/>
                <w:bCs w:val="1"/>
                <w:color w:val="FFFFFF"/>
                <w:w w:val="94"/>
                <w:vertAlign w:val="superscript"/>
              </w:rPr>
              <w:t>(2)</w:t>
            </w:r>
          </w:p>
        </w:tc>
        <w:tc>
          <w:tcPr>
            <w:tcW w:w="820" w:type="dxa"/>
            <w:vAlign w:val="bottom"/>
            <w:shd w:val="clear" w:color="auto" w:fill="153A57"/>
          </w:tcPr>
          <w:p>
            <w:pPr>
              <w:jc w:val="center"/>
              <w:spacing w:after="0"/>
              <w:rPr>
                <w:sz w:val="20"/>
                <w:szCs w:val="20"/>
                <w:color w:val="auto"/>
              </w:rPr>
            </w:pPr>
            <w:r>
              <w:rPr>
                <w:rFonts w:ascii="Arial" w:cs="Arial" w:eastAsia="Arial" w:hAnsi="Arial"/>
                <w:sz w:val="14"/>
                <w:szCs w:val="14"/>
                <w:b w:val="1"/>
                <w:bCs w:val="1"/>
                <w:color w:val="FFFFFF"/>
                <w:w w:val="98"/>
              </w:rPr>
              <w:t>(US$)</w:t>
            </w:r>
          </w:p>
        </w:tc>
        <w:tc>
          <w:tcPr>
            <w:tcW w:w="1260" w:type="dxa"/>
            <w:vAlign w:val="bottom"/>
            <w:shd w:val="clear" w:color="auto" w:fill="153A57"/>
          </w:tcPr>
          <w:p>
            <w:pPr>
              <w:jc w:val="center"/>
              <w:spacing w:after="0"/>
              <w:rPr>
                <w:sz w:val="20"/>
                <w:szCs w:val="20"/>
                <w:color w:val="auto"/>
              </w:rPr>
            </w:pPr>
            <w:r>
              <w:rPr>
                <w:rFonts w:ascii="Arial" w:cs="Arial" w:eastAsia="Arial" w:hAnsi="Arial"/>
                <w:sz w:val="14"/>
                <w:szCs w:val="14"/>
                <w:b w:val="1"/>
                <w:bCs w:val="1"/>
                <w:color w:val="FFFFFF"/>
                <w:w w:val="98"/>
              </w:rPr>
              <w:t>(US$)</w:t>
            </w:r>
          </w:p>
        </w:tc>
        <w:tc>
          <w:tcPr>
            <w:tcW w:w="840" w:type="dxa"/>
            <w:vAlign w:val="bottom"/>
            <w:shd w:val="clear" w:color="auto" w:fill="153A57"/>
          </w:tcPr>
          <w:p>
            <w:pPr>
              <w:jc w:val="center"/>
              <w:spacing w:after="0"/>
              <w:rPr>
                <w:sz w:val="20"/>
                <w:szCs w:val="20"/>
                <w:color w:val="auto"/>
              </w:rPr>
            </w:pPr>
            <w:r>
              <w:rPr>
                <w:rFonts w:ascii="Arial" w:cs="Arial" w:eastAsia="Arial" w:hAnsi="Arial"/>
                <w:sz w:val="14"/>
                <w:szCs w:val="14"/>
                <w:b w:val="1"/>
                <w:bCs w:val="1"/>
                <w:color w:val="FFFFFF"/>
                <w:w w:val="98"/>
              </w:rPr>
              <w:t>(US$)</w:t>
            </w:r>
          </w:p>
        </w:tc>
        <w:tc>
          <w:tcPr>
            <w:tcW w:w="1240" w:type="dxa"/>
            <w:vAlign w:val="bottom"/>
            <w:shd w:val="clear" w:color="auto" w:fill="153A57"/>
          </w:tcPr>
          <w:p>
            <w:pPr>
              <w:jc w:val="center"/>
              <w:spacing w:after="0"/>
              <w:rPr>
                <w:sz w:val="20"/>
                <w:szCs w:val="20"/>
                <w:color w:val="auto"/>
              </w:rPr>
            </w:pPr>
            <w:r>
              <w:rPr>
                <w:rFonts w:ascii="Arial" w:cs="Arial" w:eastAsia="Arial" w:hAnsi="Arial"/>
                <w:sz w:val="14"/>
                <w:szCs w:val="14"/>
                <w:b w:val="1"/>
                <w:bCs w:val="1"/>
                <w:color w:val="FFFFFF"/>
                <w:w w:val="98"/>
              </w:rPr>
              <w:t>(US$)</w:t>
            </w:r>
          </w:p>
        </w:tc>
        <w:tc>
          <w:tcPr>
            <w:tcW w:w="540" w:type="dxa"/>
            <w:vAlign w:val="bottom"/>
            <w:shd w:val="clear" w:color="auto" w:fill="153A57"/>
          </w:tcPr>
          <w:p>
            <w:pPr>
              <w:jc w:val="right"/>
              <w:spacing w:after="0"/>
              <w:rPr>
                <w:sz w:val="20"/>
                <w:szCs w:val="20"/>
                <w:color w:val="auto"/>
              </w:rPr>
            </w:pPr>
            <w:r>
              <w:rPr>
                <w:rFonts w:ascii="Arial" w:cs="Arial" w:eastAsia="Arial" w:hAnsi="Arial"/>
                <w:sz w:val="14"/>
                <w:szCs w:val="14"/>
                <w:b w:val="1"/>
                <w:bCs w:val="1"/>
                <w:color w:val="FFFFFF"/>
              </w:rPr>
              <w:t>(US</w:t>
            </w:r>
          </w:p>
        </w:tc>
      </w:tr>
      <w:tr>
        <w:trPr>
          <w:trHeight w:val="250"/>
        </w:trPr>
        <w:tc>
          <w:tcPr>
            <w:tcW w:w="2460" w:type="dxa"/>
            <w:vAlign w:val="bottom"/>
          </w:tcPr>
          <w:p>
            <w:pPr>
              <w:ind w:left="100"/>
              <w:spacing w:after="0"/>
              <w:rPr>
                <w:sz w:val="20"/>
                <w:szCs w:val="20"/>
                <w:color w:val="auto"/>
              </w:rPr>
            </w:pPr>
            <w:r>
              <w:rPr>
                <w:rFonts w:ascii="Arial" w:cs="Arial" w:eastAsia="Arial" w:hAnsi="Arial"/>
                <w:sz w:val="18"/>
                <w:szCs w:val="18"/>
                <w:b w:val="1"/>
                <w:bCs w:val="1"/>
                <w:color w:val="auto"/>
              </w:rPr>
              <w:t>George Ireland</w:t>
            </w:r>
          </w:p>
        </w:tc>
        <w:tc>
          <w:tcPr>
            <w:tcW w:w="1320" w:type="dxa"/>
            <w:vAlign w:val="bottom"/>
          </w:tcPr>
          <w:p>
            <w:pPr>
              <w:jc w:val="center"/>
              <w:ind w:left="240"/>
              <w:spacing w:after="0"/>
              <w:rPr>
                <w:sz w:val="20"/>
                <w:szCs w:val="20"/>
                <w:color w:val="auto"/>
              </w:rPr>
            </w:pPr>
            <w:r>
              <w:rPr>
                <w:rFonts w:ascii="Arial" w:cs="Arial" w:eastAsia="Arial" w:hAnsi="Arial"/>
                <w:sz w:val="18"/>
                <w:szCs w:val="18"/>
                <w:color w:val="auto"/>
                <w:w w:val="98"/>
              </w:rPr>
              <w:t>$70,000</w:t>
            </w:r>
          </w:p>
        </w:tc>
        <w:tc>
          <w:tcPr>
            <w:tcW w:w="1080" w:type="dxa"/>
            <w:vAlign w:val="bottom"/>
          </w:tcPr>
          <w:p>
            <w:pPr>
              <w:jc w:val="center"/>
              <w:spacing w:after="0"/>
              <w:rPr>
                <w:sz w:val="20"/>
                <w:szCs w:val="20"/>
                <w:color w:val="auto"/>
              </w:rPr>
            </w:pPr>
            <w:r>
              <w:rPr>
                <w:rFonts w:ascii="Arial" w:cs="Arial" w:eastAsia="Arial" w:hAnsi="Arial"/>
                <w:sz w:val="18"/>
                <w:szCs w:val="18"/>
                <w:color w:val="auto"/>
                <w:w w:val="98"/>
              </w:rPr>
              <w:t>$150,000</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96"/>
        </w:trPr>
        <w:tc>
          <w:tcPr>
            <w:tcW w:w="2460" w:type="dxa"/>
            <w:vAlign w:val="bottom"/>
          </w:tcPr>
          <w:p>
            <w:pPr>
              <w:ind w:left="100"/>
              <w:spacing w:after="0"/>
              <w:rPr>
                <w:sz w:val="20"/>
                <w:szCs w:val="20"/>
                <w:color w:val="auto"/>
              </w:rPr>
            </w:pPr>
            <w:r>
              <w:rPr>
                <w:rFonts w:ascii="Arial" w:cs="Arial" w:eastAsia="Arial" w:hAnsi="Arial"/>
                <w:sz w:val="18"/>
                <w:szCs w:val="18"/>
                <w:b w:val="1"/>
                <w:bCs w:val="1"/>
                <w:color w:val="auto"/>
              </w:rPr>
              <w:t>Diego Lopez Casanello</w:t>
            </w:r>
          </w:p>
        </w:tc>
        <w:tc>
          <w:tcPr>
            <w:tcW w:w="1320" w:type="dxa"/>
            <w:vAlign w:val="bottom"/>
          </w:tcPr>
          <w:p>
            <w:pPr>
              <w:jc w:val="center"/>
              <w:ind w:left="240"/>
              <w:spacing w:after="0"/>
              <w:rPr>
                <w:sz w:val="20"/>
                <w:szCs w:val="20"/>
                <w:color w:val="auto"/>
              </w:rPr>
            </w:pPr>
            <w:r>
              <w:rPr>
                <w:rFonts w:ascii="Arial" w:cs="Arial" w:eastAsia="Arial" w:hAnsi="Arial"/>
                <w:sz w:val="18"/>
                <w:szCs w:val="18"/>
                <w:color w:val="auto"/>
                <w:w w:val="98"/>
              </w:rPr>
              <w:t>$60,000</w:t>
            </w:r>
          </w:p>
        </w:tc>
        <w:tc>
          <w:tcPr>
            <w:tcW w:w="1080" w:type="dxa"/>
            <w:vAlign w:val="bottom"/>
          </w:tcPr>
          <w:p>
            <w:pPr>
              <w:jc w:val="center"/>
              <w:spacing w:after="0"/>
              <w:rPr>
                <w:sz w:val="20"/>
                <w:szCs w:val="20"/>
                <w:color w:val="auto"/>
              </w:rPr>
            </w:pPr>
            <w:r>
              <w:rPr>
                <w:rFonts w:ascii="Arial" w:cs="Arial" w:eastAsia="Arial" w:hAnsi="Arial"/>
                <w:sz w:val="18"/>
                <w:szCs w:val="18"/>
                <w:color w:val="auto"/>
                <w:w w:val="98"/>
              </w:rPr>
              <w:t>$150,000</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-164465</wp:posOffset>
            </wp:positionV>
            <wp:extent cx="6078220" cy="6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0">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22860</wp:posOffset>
            </wp:positionV>
            <wp:extent cx="6078220"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1">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12 / 59</w:t>
      </w:r>
    </w:p>
    <w:p>
      <w:pPr>
        <w:sectPr>
          <w:pgSz w:w="11900" w:h="16838" w:orient="portrait"/>
          <w:cols w:equalWidth="0" w:num="1">
            <w:col w:w="10460"/>
          </w:cols>
          <w:pgMar w:left="1440" w:top="1440" w:right="6" w:bottom="0" w:gutter="0" w:footer="0" w:header="0"/>
          <w:type w:val="continuous"/>
        </w:sectPr>
      </w:pPr>
    </w:p>
    <w:bookmarkStart w:id="182" w:name="page183"/>
    <w:bookmarkEnd w:id="182"/>
    <w:tbl>
      <w:tblPr>
        <w:tblLayout w:type="fixed"/>
        <w:tblInd w:w="1000" w:type="dxa"/>
        <w:tblCellMar>
          <w:top w:w="0" w:type="dxa"/>
          <w:left w:w="0" w:type="dxa"/>
          <w:bottom w:w="0" w:type="dxa"/>
          <w:right w:w="0" w:type="dxa"/>
        </w:tblCellMar>
      </w:tblPr>
      <w:tr>
        <w:trPr>
          <w:trHeight w:val="207"/>
        </w:trPr>
        <w:tc>
          <w:tcPr>
            <w:tcW w:w="2160" w:type="dxa"/>
            <w:vAlign w:val="bottom"/>
          </w:tcPr>
          <w:p>
            <w:pPr>
              <w:spacing w:after="0"/>
              <w:rPr>
                <w:sz w:val="20"/>
                <w:szCs w:val="20"/>
                <w:color w:val="auto"/>
              </w:rPr>
            </w:pPr>
            <w:r>
              <w:rPr>
                <w:rFonts w:ascii="Arial" w:cs="Arial" w:eastAsia="Arial" w:hAnsi="Arial"/>
                <w:sz w:val="18"/>
                <w:szCs w:val="18"/>
                <w:b w:val="1"/>
                <w:bCs w:val="1"/>
                <w:color w:val="auto"/>
              </w:rPr>
              <w:t>Robert Doyle</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$70,000</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$150,000</w:t>
            </w:r>
          </w:p>
        </w:tc>
        <w:tc>
          <w:tcPr>
            <w:tcW w:w="8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96"/>
        </w:trPr>
        <w:tc>
          <w:tcPr>
            <w:tcW w:w="2160" w:type="dxa"/>
            <w:vAlign w:val="bottom"/>
          </w:tcPr>
          <w:p>
            <w:pPr>
              <w:spacing w:after="0"/>
              <w:rPr>
                <w:sz w:val="20"/>
                <w:szCs w:val="20"/>
                <w:color w:val="auto"/>
              </w:rPr>
            </w:pPr>
            <w:r>
              <w:rPr>
                <w:rFonts w:ascii="Arial" w:cs="Arial" w:eastAsia="Arial" w:hAnsi="Arial"/>
                <w:sz w:val="18"/>
                <w:szCs w:val="18"/>
                <w:b w:val="1"/>
                <w:bCs w:val="1"/>
                <w:color w:val="auto"/>
              </w:rPr>
              <w:t>Monica Moretto</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$50,000</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$150,000</w:t>
            </w:r>
          </w:p>
        </w:tc>
        <w:tc>
          <w:tcPr>
            <w:tcW w:w="8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96"/>
        </w:trPr>
        <w:tc>
          <w:tcPr>
            <w:tcW w:w="2160" w:type="dxa"/>
            <w:vAlign w:val="bottom"/>
          </w:tcPr>
          <w:p>
            <w:pPr>
              <w:spacing w:after="0"/>
              <w:rPr>
                <w:sz w:val="20"/>
                <w:szCs w:val="20"/>
                <w:color w:val="auto"/>
              </w:rPr>
            </w:pPr>
            <w:r>
              <w:rPr>
                <w:rFonts w:ascii="Arial" w:cs="Arial" w:eastAsia="Arial" w:hAnsi="Arial"/>
                <w:sz w:val="18"/>
                <w:szCs w:val="18"/>
                <w:b w:val="1"/>
                <w:bCs w:val="1"/>
                <w:color w:val="auto"/>
              </w:rPr>
              <w:t>Calum Morrison</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$65,000</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$150,000</w:t>
            </w:r>
          </w:p>
        </w:tc>
        <w:tc>
          <w:tcPr>
            <w:tcW w:w="8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96"/>
        </w:trPr>
        <w:tc>
          <w:tcPr>
            <w:tcW w:w="2160" w:type="dxa"/>
            <w:vAlign w:val="bottom"/>
          </w:tcPr>
          <w:p>
            <w:pPr>
              <w:spacing w:after="0"/>
              <w:rPr>
                <w:sz w:val="20"/>
                <w:szCs w:val="20"/>
                <w:color w:val="auto"/>
              </w:rPr>
            </w:pPr>
            <w:r>
              <w:rPr>
                <w:rFonts w:ascii="Arial" w:cs="Arial" w:eastAsia="Arial" w:hAnsi="Arial"/>
                <w:sz w:val="18"/>
                <w:szCs w:val="18"/>
                <w:b w:val="1"/>
                <w:bCs w:val="1"/>
                <w:color w:val="auto"/>
              </w:rPr>
              <w:t>Franco Mignacco</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$90,000</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$150,000</w:t>
            </w:r>
          </w:p>
        </w:tc>
        <w:tc>
          <w:tcPr>
            <w:tcW w:w="8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-540385</wp:posOffset>
            </wp:positionV>
            <wp:extent cx="6078220"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2">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-352425</wp:posOffset>
            </wp:positionV>
            <wp:extent cx="6078220"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3">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-164465</wp:posOffset>
            </wp:positionV>
            <wp:extent cx="6078220"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4">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22860</wp:posOffset>
            </wp:positionV>
            <wp:extent cx="6078220"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5">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359"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Notes:</w:t>
      </w:r>
    </w:p>
    <w:p>
      <w:pPr>
        <w:spacing w:after="0" w:line="116" w:lineRule="exact"/>
        <w:rPr>
          <w:sz w:val="20"/>
          <w:szCs w:val="20"/>
          <w:color w:val="auto"/>
        </w:rPr>
      </w:pPr>
    </w:p>
    <w:p>
      <w:pPr>
        <w:ind w:left="1620" w:hanging="366"/>
        <w:spacing w:after="0"/>
        <w:tabs>
          <w:tab w:leader="none" w:pos="16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Cash portion of fees paid to each director.</w:t>
      </w:r>
    </w:p>
    <w:p>
      <w:pPr>
        <w:spacing w:after="0" w:line="137"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DSU portion of fees paid to each director. Amounts presented are based on the estimated grant dat value of the DSUs being US$2.78 per DSU awarded in Q1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1063625</wp:posOffset>
            </wp:positionV>
            <wp:extent cx="6764020" cy="190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6"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13 / 59</w:t>
      </w:r>
    </w:p>
    <w:p>
      <w:pPr>
        <w:sectPr>
          <w:pgSz w:w="11900" w:h="16838" w:orient="portrait"/>
          <w:cols w:equalWidth="0" w:num="1">
            <w:col w:w="10460"/>
          </w:cols>
          <w:pgMar w:left="1440" w:top="1176" w:right="6" w:bottom="0" w:gutter="0" w:footer="0" w:header="0"/>
          <w:type w:val="continuous"/>
        </w:sectPr>
      </w:pPr>
    </w:p>
    <w:bookmarkStart w:id="183" w:name="page184"/>
    <w:bookmarkEnd w:id="1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following table provides a breakdown of the fees earned by non-employee directors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3950335</wp:posOffset>
            </wp:positionH>
            <wp:positionV relativeFrom="paragraph">
              <wp:posOffset>236220</wp:posOffset>
            </wp:positionV>
            <wp:extent cx="6350" cy="5264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7">
                      <a:extLst>
                        <a:ext uri="{28A0092B-C50C-407E-A947-70E740481C1C}"/>
                      </a:extLst>
                    </a:blip>
                    <a:srcRect/>
                    <a:stretch>
                      <a:fillRect/>
                    </a:stretch>
                  </pic:blipFill>
                  <pic:spPr bwMode="auto">
                    <a:xfrm>
                      <a:off x="0" y="0"/>
                      <a:ext cx="6350" cy="52641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236220</wp:posOffset>
            </wp:positionV>
            <wp:extent cx="6350" cy="5264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08">
                      <a:extLst>
                        <a:ext uri="{28A0092B-C50C-407E-A947-70E740481C1C}"/>
                      </a:extLst>
                    </a:blip>
                    <a:srcRect/>
                    <a:stretch>
                      <a:fillRect/>
                    </a:stretch>
                  </pic:blipFill>
                  <pic:spPr bwMode="auto">
                    <a:xfrm>
                      <a:off x="0" y="0"/>
                      <a:ext cx="6350" cy="526415"/>
                    </a:xfrm>
                    <a:prstGeom prst="rect">
                      <a:avLst/>
                    </a:prstGeom>
                    <a:noFill/>
                  </pic:spPr>
                </pic:pic>
              </a:graphicData>
            </a:graphic>
          </wp:anchor>
        </w:drawing>
        <w:drawing>
          <wp:anchor simplePos="0" relativeHeight="251657728" behindDoc="1" locked="0" layoutInCell="0" allowOverlap="1">
            <wp:simplePos x="0" y="0"/>
            <wp:positionH relativeFrom="column">
              <wp:posOffset>5456555</wp:posOffset>
            </wp:positionH>
            <wp:positionV relativeFrom="paragraph">
              <wp:posOffset>236220</wp:posOffset>
            </wp:positionV>
            <wp:extent cx="6350" cy="5264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09">
                      <a:extLst>
                        <a:ext uri="{28A0092B-C50C-407E-A947-70E740481C1C}"/>
                      </a:extLst>
                    </a:blip>
                    <a:srcRect/>
                    <a:stretch>
                      <a:fillRect/>
                    </a:stretch>
                  </pic:blipFill>
                  <pic:spPr bwMode="auto">
                    <a:xfrm>
                      <a:off x="0" y="0"/>
                      <a:ext cx="6350" cy="526415"/>
                    </a:xfrm>
                    <a:prstGeom prst="rect">
                      <a:avLst/>
                    </a:prstGeom>
                    <a:noFill/>
                  </pic:spPr>
                </pic:pic>
              </a:graphicData>
            </a:graphic>
          </wp:anchor>
        </w:drawing>
        <w:drawing>
          <wp:anchor simplePos="0" relativeHeight="251657728" behindDoc="1" locked="0" layoutInCell="0" allowOverlap="1">
            <wp:simplePos x="0" y="0"/>
            <wp:positionH relativeFrom="column">
              <wp:posOffset>6209030</wp:posOffset>
            </wp:positionH>
            <wp:positionV relativeFrom="paragraph">
              <wp:posOffset>236220</wp:posOffset>
            </wp:positionV>
            <wp:extent cx="6350" cy="5264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0">
                      <a:extLst>
                        <a:ext uri="{28A0092B-C50C-407E-A947-70E740481C1C}"/>
                      </a:extLst>
                    </a:blip>
                    <a:srcRect/>
                    <a:stretch>
                      <a:fillRect/>
                    </a:stretch>
                  </pic:blipFill>
                  <pic:spPr bwMode="auto">
                    <a:xfrm>
                      <a:off x="0" y="0"/>
                      <a:ext cx="6350" cy="526415"/>
                    </a:xfrm>
                    <a:prstGeom prst="rect">
                      <a:avLst/>
                    </a:prstGeom>
                    <a:noFill/>
                  </pic:spPr>
                </pic:pic>
              </a:graphicData>
            </a:graphic>
          </wp:anchor>
        </w:drawing>
      </w:r>
    </w:p>
    <w:p>
      <w:pPr>
        <w:spacing w:after="0" w:line="352" w:lineRule="exact"/>
        <w:rPr>
          <w:sz w:val="20"/>
          <w:szCs w:val="20"/>
          <w:color w:val="auto"/>
        </w:rPr>
      </w:pPr>
    </w:p>
    <w:tbl>
      <w:tblPr>
        <w:tblLayout w:type="fixed"/>
        <w:tblInd w:w="900" w:type="dxa"/>
        <w:tblCellMar>
          <w:top w:w="0" w:type="dxa"/>
          <w:left w:w="0" w:type="dxa"/>
          <w:bottom w:w="0" w:type="dxa"/>
          <w:right w:w="0" w:type="dxa"/>
        </w:tblCellMar>
      </w:tblPr>
      <w:tr>
        <w:trPr>
          <w:trHeight w:val="250"/>
        </w:trPr>
        <w:tc>
          <w:tcPr>
            <w:tcW w:w="3840" w:type="dxa"/>
            <w:vAlign w:val="bottom"/>
            <w:shd w:val="clear" w:color="auto" w:fill="153A57"/>
          </w:tcPr>
          <w:p>
            <w:pPr>
              <w:spacing w:after="0"/>
              <w:rPr>
                <w:sz w:val="21"/>
                <w:szCs w:val="21"/>
                <w:color w:val="auto"/>
              </w:rPr>
            </w:pPr>
          </w:p>
        </w:tc>
        <w:tc>
          <w:tcPr>
            <w:tcW w:w="2740" w:type="dxa"/>
            <w:vAlign w:val="bottom"/>
            <w:shd w:val="clear" w:color="auto" w:fill="153A57"/>
          </w:tcPr>
          <w:p>
            <w:pPr>
              <w:spacing w:after="0"/>
              <w:rPr>
                <w:sz w:val="21"/>
                <w:szCs w:val="21"/>
                <w:color w:val="auto"/>
              </w:rPr>
            </w:pPr>
          </w:p>
        </w:tc>
        <w:tc>
          <w:tcPr>
            <w:tcW w:w="1240" w:type="dxa"/>
            <w:vAlign w:val="bottom"/>
            <w:shd w:val="clear" w:color="auto" w:fill="153A57"/>
          </w:tcPr>
          <w:p>
            <w:pPr>
              <w:jc w:val="right"/>
              <w:ind w:right="110"/>
              <w:spacing w:after="0"/>
              <w:rPr>
                <w:sz w:val="20"/>
                <w:szCs w:val="20"/>
                <w:color w:val="auto"/>
              </w:rPr>
            </w:pPr>
            <w:r>
              <w:rPr>
                <w:rFonts w:ascii="Arial" w:cs="Arial" w:eastAsia="Arial" w:hAnsi="Arial"/>
                <w:sz w:val="18"/>
                <w:szCs w:val="18"/>
                <w:b w:val="1"/>
                <w:bCs w:val="1"/>
                <w:color w:val="FFFFFF"/>
              </w:rPr>
              <w:t>Board</w:t>
            </w:r>
          </w:p>
        </w:tc>
        <w:tc>
          <w:tcPr>
            <w:tcW w:w="1280" w:type="dxa"/>
            <w:vAlign w:val="bottom"/>
            <w:shd w:val="clear" w:color="auto" w:fill="153A57"/>
          </w:tcPr>
          <w:p>
            <w:pPr>
              <w:jc w:val="right"/>
              <w:ind w:right="150"/>
              <w:spacing w:after="0"/>
              <w:rPr>
                <w:sz w:val="20"/>
                <w:szCs w:val="20"/>
                <w:color w:val="auto"/>
              </w:rPr>
            </w:pPr>
            <w:r>
              <w:rPr>
                <w:rFonts w:ascii="Arial" w:cs="Arial" w:eastAsia="Arial" w:hAnsi="Arial"/>
                <w:sz w:val="18"/>
                <w:szCs w:val="18"/>
                <w:b w:val="1"/>
                <w:bCs w:val="1"/>
                <w:color w:val="FFFFFF"/>
              </w:rPr>
              <w:t>Committee</w:t>
            </w:r>
          </w:p>
        </w:tc>
        <w:tc>
          <w:tcPr>
            <w:tcW w:w="460" w:type="dxa"/>
            <w:vAlign w:val="bottom"/>
            <w:shd w:val="clear" w:color="auto" w:fill="153A57"/>
          </w:tcPr>
          <w:p>
            <w:pPr>
              <w:spacing w:after="0"/>
              <w:rPr>
                <w:sz w:val="21"/>
                <w:szCs w:val="21"/>
                <w:color w:val="auto"/>
              </w:rPr>
            </w:pPr>
          </w:p>
        </w:tc>
      </w:tr>
      <w:tr>
        <w:trPr>
          <w:trHeight w:val="272"/>
        </w:trPr>
        <w:tc>
          <w:tcPr>
            <w:tcW w:w="3840" w:type="dxa"/>
            <w:vAlign w:val="bottom"/>
            <w:shd w:val="clear" w:color="auto" w:fill="153A57"/>
          </w:tcPr>
          <w:p>
            <w:pPr>
              <w:spacing w:after="0"/>
              <w:rPr>
                <w:sz w:val="23"/>
                <w:szCs w:val="23"/>
                <w:color w:val="auto"/>
              </w:rPr>
            </w:pPr>
          </w:p>
        </w:tc>
        <w:tc>
          <w:tcPr>
            <w:tcW w:w="2740" w:type="dxa"/>
            <w:vAlign w:val="bottom"/>
            <w:shd w:val="clear" w:color="auto" w:fill="153A57"/>
          </w:tcPr>
          <w:p>
            <w:pPr>
              <w:spacing w:after="0"/>
              <w:rPr>
                <w:sz w:val="23"/>
                <w:szCs w:val="23"/>
                <w:color w:val="auto"/>
              </w:rPr>
            </w:pPr>
          </w:p>
        </w:tc>
        <w:tc>
          <w:tcPr>
            <w:tcW w:w="1240" w:type="dxa"/>
            <w:vAlign w:val="bottom"/>
            <w:shd w:val="clear" w:color="auto" w:fill="153A57"/>
          </w:tcPr>
          <w:p>
            <w:pPr>
              <w:jc w:val="right"/>
              <w:ind w:right="50"/>
              <w:spacing w:after="0"/>
              <w:rPr>
                <w:sz w:val="20"/>
                <w:szCs w:val="20"/>
                <w:color w:val="auto"/>
              </w:rPr>
            </w:pPr>
            <w:r>
              <w:rPr>
                <w:rFonts w:ascii="Arial" w:cs="Arial" w:eastAsia="Arial" w:hAnsi="Arial"/>
                <w:sz w:val="18"/>
                <w:szCs w:val="18"/>
                <w:b w:val="1"/>
                <w:bCs w:val="1"/>
                <w:color w:val="FFFFFF"/>
              </w:rPr>
              <w:t>Retainer</w:t>
            </w:r>
          </w:p>
        </w:tc>
        <w:tc>
          <w:tcPr>
            <w:tcW w:w="1280" w:type="dxa"/>
            <w:vAlign w:val="bottom"/>
            <w:shd w:val="clear" w:color="auto" w:fill="153A57"/>
          </w:tcPr>
          <w:p>
            <w:pPr>
              <w:jc w:val="right"/>
              <w:ind w:right="150"/>
              <w:spacing w:after="0"/>
              <w:rPr>
                <w:sz w:val="20"/>
                <w:szCs w:val="20"/>
                <w:color w:val="auto"/>
              </w:rPr>
            </w:pPr>
            <w:r>
              <w:rPr>
                <w:rFonts w:ascii="Arial" w:cs="Arial" w:eastAsia="Arial" w:hAnsi="Arial"/>
                <w:sz w:val="18"/>
                <w:szCs w:val="18"/>
                <w:b w:val="1"/>
                <w:bCs w:val="1"/>
                <w:color w:val="FFFFFF"/>
              </w:rPr>
              <w:t>Retainer</w:t>
            </w:r>
          </w:p>
        </w:tc>
        <w:tc>
          <w:tcPr>
            <w:tcW w:w="460" w:type="dxa"/>
            <w:vAlign w:val="bottom"/>
            <w:shd w:val="clear" w:color="auto" w:fill="153A57"/>
          </w:tcPr>
          <w:p>
            <w:pPr>
              <w:spacing w:after="0"/>
              <w:rPr>
                <w:sz w:val="23"/>
                <w:szCs w:val="23"/>
                <w:color w:val="auto"/>
              </w:rPr>
            </w:pPr>
          </w:p>
        </w:tc>
      </w:tr>
      <w:tr>
        <w:trPr>
          <w:trHeight w:val="288"/>
        </w:trPr>
        <w:tc>
          <w:tcPr>
            <w:tcW w:w="3840" w:type="dxa"/>
            <w:vAlign w:val="bottom"/>
            <w:tcBorders>
              <w:bottom w:val="single" w:sz="8" w:color="153A57"/>
            </w:tcBorders>
            <w:shd w:val="clear" w:color="auto" w:fill="153A57"/>
          </w:tcPr>
          <w:p>
            <w:pPr>
              <w:ind w:left="100"/>
              <w:spacing w:after="0"/>
              <w:rPr>
                <w:sz w:val="20"/>
                <w:szCs w:val="20"/>
                <w:color w:val="auto"/>
              </w:rPr>
            </w:pPr>
            <w:r>
              <w:rPr>
                <w:rFonts w:ascii="Arial" w:cs="Arial" w:eastAsia="Arial" w:hAnsi="Arial"/>
                <w:sz w:val="18"/>
                <w:szCs w:val="18"/>
                <w:b w:val="1"/>
                <w:bCs w:val="1"/>
                <w:color w:val="FFFFFF"/>
              </w:rPr>
              <w:t>Director Name</w:t>
            </w:r>
          </w:p>
        </w:tc>
        <w:tc>
          <w:tcPr>
            <w:tcW w:w="2740" w:type="dxa"/>
            <w:vAlign w:val="bottom"/>
            <w:tcBorders>
              <w:bottom w:val="single" w:sz="8" w:color="153A57"/>
            </w:tcBorders>
            <w:shd w:val="clear" w:color="auto" w:fill="153A57"/>
          </w:tcPr>
          <w:p>
            <w:pPr>
              <w:spacing w:after="0"/>
              <w:rPr>
                <w:sz w:val="24"/>
                <w:szCs w:val="24"/>
                <w:color w:val="auto"/>
              </w:rPr>
            </w:pPr>
          </w:p>
        </w:tc>
        <w:tc>
          <w:tcPr>
            <w:tcW w:w="1240" w:type="dxa"/>
            <w:vAlign w:val="bottom"/>
            <w:tcBorders>
              <w:bottom w:val="single" w:sz="8" w:color="153A57"/>
            </w:tcBorders>
            <w:shd w:val="clear" w:color="auto" w:fill="153A57"/>
          </w:tcPr>
          <w:p>
            <w:pPr>
              <w:jc w:val="right"/>
              <w:ind w:right="50"/>
              <w:spacing w:after="0"/>
              <w:rPr>
                <w:sz w:val="20"/>
                <w:szCs w:val="20"/>
                <w:color w:val="auto"/>
              </w:rPr>
            </w:pPr>
            <w:r>
              <w:rPr>
                <w:rFonts w:ascii="Arial" w:cs="Arial" w:eastAsia="Arial" w:hAnsi="Arial"/>
                <w:sz w:val="18"/>
                <w:szCs w:val="18"/>
                <w:b w:val="1"/>
                <w:bCs w:val="1"/>
                <w:color w:val="FFFFFF"/>
              </w:rPr>
              <w:t>(US$)</w:t>
            </w:r>
          </w:p>
        </w:tc>
        <w:tc>
          <w:tcPr>
            <w:tcW w:w="1280" w:type="dxa"/>
            <w:vAlign w:val="bottom"/>
            <w:tcBorders>
              <w:bottom w:val="single" w:sz="8" w:color="153A57"/>
            </w:tcBorders>
            <w:shd w:val="clear" w:color="auto" w:fill="153A57"/>
          </w:tcPr>
          <w:p>
            <w:pPr>
              <w:jc w:val="right"/>
              <w:ind w:right="150"/>
              <w:spacing w:after="0"/>
              <w:rPr>
                <w:sz w:val="20"/>
                <w:szCs w:val="20"/>
                <w:color w:val="auto"/>
              </w:rPr>
            </w:pPr>
            <w:r>
              <w:rPr>
                <w:rFonts w:ascii="Arial" w:cs="Arial" w:eastAsia="Arial" w:hAnsi="Arial"/>
                <w:sz w:val="18"/>
                <w:szCs w:val="18"/>
                <w:b w:val="1"/>
                <w:bCs w:val="1"/>
                <w:color w:val="FFFFFF"/>
              </w:rPr>
              <w:t>(US$)</w:t>
            </w:r>
          </w:p>
        </w:tc>
        <w:tc>
          <w:tcPr>
            <w:tcW w:w="460" w:type="dxa"/>
            <w:vAlign w:val="bottom"/>
            <w:tcBorders>
              <w:bottom w:val="single" w:sz="8" w:color="153A57"/>
            </w:tcBorders>
            <w:shd w:val="clear" w:color="auto" w:fill="153A57"/>
          </w:tcPr>
          <w:p>
            <w:pPr>
              <w:spacing w:after="0"/>
              <w:rPr>
                <w:sz w:val="24"/>
                <w:szCs w:val="24"/>
                <w:color w:val="auto"/>
              </w:rPr>
            </w:pPr>
          </w:p>
        </w:tc>
      </w:tr>
      <w:tr>
        <w:trPr>
          <w:trHeight w:val="250"/>
        </w:trPr>
        <w:tc>
          <w:tcPr>
            <w:tcW w:w="3840" w:type="dxa"/>
            <w:vAlign w:val="bottom"/>
          </w:tcPr>
          <w:p>
            <w:pPr>
              <w:spacing w:after="0"/>
              <w:rPr>
                <w:sz w:val="21"/>
                <w:szCs w:val="21"/>
                <w:color w:val="auto"/>
              </w:rPr>
            </w:pPr>
          </w:p>
        </w:tc>
        <w:tc>
          <w:tcPr>
            <w:tcW w:w="2740" w:type="dxa"/>
            <w:vAlign w:val="bottom"/>
          </w:tcPr>
          <w:p>
            <w:pPr>
              <w:jc w:val="center"/>
              <w:ind w:left="1310"/>
              <w:spacing w:after="0"/>
              <w:rPr>
                <w:sz w:val="20"/>
                <w:szCs w:val="20"/>
                <w:color w:val="auto"/>
              </w:rPr>
            </w:pPr>
            <w:r>
              <w:rPr>
                <w:rFonts w:ascii="Arial" w:cs="Arial" w:eastAsia="Arial" w:hAnsi="Arial"/>
                <w:sz w:val="18"/>
                <w:szCs w:val="18"/>
                <w:color w:val="auto"/>
                <w:w w:val="99"/>
              </w:rPr>
              <w:t>Cash</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$50,000</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$20,000</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86"/>
        </w:trPr>
        <w:tc>
          <w:tcPr>
            <w:tcW w:w="3840" w:type="dxa"/>
            <w:vAlign w:val="bottom"/>
          </w:tcPr>
          <w:p>
            <w:pPr>
              <w:spacing w:after="0"/>
              <w:rPr>
                <w:sz w:val="24"/>
                <w:szCs w:val="24"/>
                <w:color w:val="auto"/>
              </w:rPr>
            </w:pPr>
          </w:p>
        </w:tc>
        <w:tc>
          <w:tcPr>
            <w:tcW w:w="2740" w:type="dxa"/>
            <w:vAlign w:val="bottom"/>
          </w:tcPr>
          <w:p>
            <w:pPr>
              <w:jc w:val="center"/>
              <w:ind w:left="1330"/>
              <w:spacing w:after="0"/>
              <w:rPr>
                <w:sz w:val="20"/>
                <w:szCs w:val="20"/>
                <w:color w:val="auto"/>
              </w:rPr>
            </w:pPr>
            <w:r>
              <w:rPr>
                <w:rFonts w:ascii="Arial" w:cs="Arial" w:eastAsia="Arial" w:hAnsi="Arial"/>
                <w:sz w:val="18"/>
                <w:szCs w:val="18"/>
                <w:color w:val="auto"/>
              </w:rPr>
              <w:t>DSUs</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$150,000</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6"/>
        </w:trPr>
        <w:tc>
          <w:tcPr>
            <w:tcW w:w="3840" w:type="dxa"/>
            <w:vAlign w:val="bottom"/>
          </w:tcPr>
          <w:p>
            <w:pPr>
              <w:ind w:left="100"/>
              <w:spacing w:after="0"/>
              <w:rPr>
                <w:sz w:val="20"/>
                <w:szCs w:val="20"/>
                <w:color w:val="auto"/>
              </w:rPr>
            </w:pPr>
            <w:r>
              <w:rPr>
                <w:rFonts w:ascii="Arial" w:cs="Arial" w:eastAsia="Arial" w:hAnsi="Arial"/>
                <w:sz w:val="18"/>
                <w:szCs w:val="18"/>
                <w:b w:val="1"/>
                <w:bCs w:val="1"/>
                <w:color w:val="auto"/>
              </w:rPr>
              <w:t>George Ireland</w:t>
            </w:r>
          </w:p>
        </w:tc>
        <w:tc>
          <w:tcPr>
            <w:tcW w:w="2740" w:type="dxa"/>
            <w:vAlign w:val="bottom"/>
          </w:tcPr>
          <w:p>
            <w:pPr>
              <w:jc w:val="center"/>
              <w:ind w:left="1310"/>
              <w:spacing w:after="0"/>
              <w:rPr>
                <w:sz w:val="20"/>
                <w:szCs w:val="20"/>
                <w:color w:val="auto"/>
              </w:rPr>
            </w:pPr>
            <w:r>
              <w:rPr>
                <w:rFonts w:ascii="Arial" w:cs="Arial" w:eastAsia="Arial" w:hAnsi="Arial"/>
                <w:sz w:val="18"/>
                <w:szCs w:val="18"/>
                <w:color w:val="auto"/>
                <w:w w:val="99"/>
              </w:rPr>
              <w:t>Options</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r>
      <w:tr>
        <w:trPr>
          <w:trHeight w:val="296"/>
        </w:trPr>
        <w:tc>
          <w:tcPr>
            <w:tcW w:w="3840" w:type="dxa"/>
            <w:vAlign w:val="bottom"/>
          </w:tcPr>
          <w:p>
            <w:pPr>
              <w:spacing w:after="0"/>
              <w:rPr>
                <w:sz w:val="24"/>
                <w:szCs w:val="24"/>
                <w:color w:val="auto"/>
              </w:rPr>
            </w:pPr>
          </w:p>
        </w:tc>
        <w:tc>
          <w:tcPr>
            <w:tcW w:w="2740" w:type="dxa"/>
            <w:vAlign w:val="bottom"/>
          </w:tcPr>
          <w:p>
            <w:pPr>
              <w:jc w:val="center"/>
              <w:ind w:left="1310"/>
              <w:spacing w:after="0"/>
              <w:rPr>
                <w:sz w:val="20"/>
                <w:szCs w:val="20"/>
                <w:color w:val="auto"/>
              </w:rPr>
            </w:pPr>
            <w:r>
              <w:rPr>
                <w:rFonts w:ascii="Arial" w:cs="Arial" w:eastAsia="Arial" w:hAnsi="Arial"/>
                <w:sz w:val="18"/>
                <w:szCs w:val="18"/>
                <w:color w:val="auto"/>
                <w:w w:val="99"/>
              </w:rPr>
              <w:t>Cash</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$50,000</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$10,000</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86"/>
        </w:trPr>
        <w:tc>
          <w:tcPr>
            <w:tcW w:w="3840" w:type="dxa"/>
            <w:vAlign w:val="bottom"/>
          </w:tcPr>
          <w:p>
            <w:pPr>
              <w:spacing w:after="0"/>
              <w:rPr>
                <w:sz w:val="24"/>
                <w:szCs w:val="24"/>
                <w:color w:val="auto"/>
              </w:rPr>
            </w:pPr>
          </w:p>
        </w:tc>
        <w:tc>
          <w:tcPr>
            <w:tcW w:w="2740" w:type="dxa"/>
            <w:vAlign w:val="bottom"/>
          </w:tcPr>
          <w:p>
            <w:pPr>
              <w:jc w:val="center"/>
              <w:ind w:left="1330"/>
              <w:spacing w:after="0"/>
              <w:rPr>
                <w:sz w:val="20"/>
                <w:szCs w:val="20"/>
                <w:color w:val="auto"/>
              </w:rPr>
            </w:pPr>
            <w:r>
              <w:rPr>
                <w:rFonts w:ascii="Arial" w:cs="Arial" w:eastAsia="Arial" w:hAnsi="Arial"/>
                <w:sz w:val="18"/>
                <w:szCs w:val="18"/>
                <w:color w:val="auto"/>
              </w:rPr>
              <w:t>DSUs</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$150,000</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6"/>
        </w:trPr>
        <w:tc>
          <w:tcPr>
            <w:tcW w:w="3840" w:type="dxa"/>
            <w:vAlign w:val="bottom"/>
          </w:tcPr>
          <w:p>
            <w:pPr>
              <w:ind w:left="100"/>
              <w:spacing w:after="0"/>
              <w:rPr>
                <w:sz w:val="20"/>
                <w:szCs w:val="20"/>
                <w:color w:val="auto"/>
              </w:rPr>
            </w:pPr>
            <w:r>
              <w:rPr>
                <w:rFonts w:ascii="Arial" w:cs="Arial" w:eastAsia="Arial" w:hAnsi="Arial"/>
                <w:sz w:val="18"/>
                <w:szCs w:val="18"/>
                <w:b w:val="1"/>
                <w:bCs w:val="1"/>
                <w:color w:val="auto"/>
              </w:rPr>
              <w:t>Diego Lopez Casanello</w:t>
            </w:r>
          </w:p>
        </w:tc>
        <w:tc>
          <w:tcPr>
            <w:tcW w:w="2740" w:type="dxa"/>
            <w:vAlign w:val="bottom"/>
          </w:tcPr>
          <w:p>
            <w:pPr>
              <w:jc w:val="center"/>
              <w:ind w:left="1310"/>
              <w:spacing w:after="0"/>
              <w:rPr>
                <w:sz w:val="20"/>
                <w:szCs w:val="20"/>
                <w:color w:val="auto"/>
              </w:rPr>
            </w:pPr>
            <w:r>
              <w:rPr>
                <w:rFonts w:ascii="Arial" w:cs="Arial" w:eastAsia="Arial" w:hAnsi="Arial"/>
                <w:sz w:val="18"/>
                <w:szCs w:val="18"/>
                <w:color w:val="auto"/>
                <w:w w:val="99"/>
              </w:rPr>
              <w:t>Options</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r>
      <w:tr>
        <w:trPr>
          <w:trHeight w:val="296"/>
        </w:trPr>
        <w:tc>
          <w:tcPr>
            <w:tcW w:w="3840" w:type="dxa"/>
            <w:vAlign w:val="bottom"/>
          </w:tcPr>
          <w:p>
            <w:pPr>
              <w:spacing w:after="0"/>
              <w:rPr>
                <w:sz w:val="24"/>
                <w:szCs w:val="24"/>
                <w:color w:val="auto"/>
              </w:rPr>
            </w:pPr>
          </w:p>
        </w:tc>
        <w:tc>
          <w:tcPr>
            <w:tcW w:w="2740" w:type="dxa"/>
            <w:vAlign w:val="bottom"/>
          </w:tcPr>
          <w:p>
            <w:pPr>
              <w:jc w:val="center"/>
              <w:ind w:left="1310"/>
              <w:spacing w:after="0"/>
              <w:rPr>
                <w:sz w:val="20"/>
                <w:szCs w:val="20"/>
                <w:color w:val="auto"/>
              </w:rPr>
            </w:pPr>
            <w:r>
              <w:rPr>
                <w:rFonts w:ascii="Arial" w:cs="Arial" w:eastAsia="Arial" w:hAnsi="Arial"/>
                <w:sz w:val="18"/>
                <w:szCs w:val="18"/>
                <w:color w:val="auto"/>
                <w:w w:val="99"/>
              </w:rPr>
              <w:t>Cash</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$50,000</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$20,000</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86"/>
        </w:trPr>
        <w:tc>
          <w:tcPr>
            <w:tcW w:w="3840" w:type="dxa"/>
            <w:vAlign w:val="bottom"/>
          </w:tcPr>
          <w:p>
            <w:pPr>
              <w:spacing w:after="0"/>
              <w:rPr>
                <w:sz w:val="24"/>
                <w:szCs w:val="24"/>
                <w:color w:val="auto"/>
              </w:rPr>
            </w:pPr>
          </w:p>
        </w:tc>
        <w:tc>
          <w:tcPr>
            <w:tcW w:w="2740" w:type="dxa"/>
            <w:vAlign w:val="bottom"/>
          </w:tcPr>
          <w:p>
            <w:pPr>
              <w:jc w:val="center"/>
              <w:ind w:left="1330"/>
              <w:spacing w:after="0"/>
              <w:rPr>
                <w:sz w:val="20"/>
                <w:szCs w:val="20"/>
                <w:color w:val="auto"/>
              </w:rPr>
            </w:pPr>
            <w:r>
              <w:rPr>
                <w:rFonts w:ascii="Arial" w:cs="Arial" w:eastAsia="Arial" w:hAnsi="Arial"/>
                <w:sz w:val="18"/>
                <w:szCs w:val="18"/>
                <w:color w:val="auto"/>
              </w:rPr>
              <w:t>DSUs</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$150,000</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6"/>
        </w:trPr>
        <w:tc>
          <w:tcPr>
            <w:tcW w:w="3840" w:type="dxa"/>
            <w:vAlign w:val="bottom"/>
          </w:tcPr>
          <w:p>
            <w:pPr>
              <w:ind w:left="100"/>
              <w:spacing w:after="0"/>
              <w:rPr>
                <w:sz w:val="20"/>
                <w:szCs w:val="20"/>
                <w:color w:val="auto"/>
              </w:rPr>
            </w:pPr>
            <w:r>
              <w:rPr>
                <w:rFonts w:ascii="Arial" w:cs="Arial" w:eastAsia="Arial" w:hAnsi="Arial"/>
                <w:sz w:val="18"/>
                <w:szCs w:val="18"/>
                <w:b w:val="1"/>
                <w:bCs w:val="1"/>
                <w:color w:val="auto"/>
              </w:rPr>
              <w:t>Robert Doyle</w:t>
            </w:r>
          </w:p>
        </w:tc>
        <w:tc>
          <w:tcPr>
            <w:tcW w:w="2740" w:type="dxa"/>
            <w:vAlign w:val="bottom"/>
          </w:tcPr>
          <w:p>
            <w:pPr>
              <w:jc w:val="center"/>
              <w:ind w:left="1310"/>
              <w:spacing w:after="0"/>
              <w:rPr>
                <w:sz w:val="20"/>
                <w:szCs w:val="20"/>
                <w:color w:val="auto"/>
              </w:rPr>
            </w:pPr>
            <w:r>
              <w:rPr>
                <w:rFonts w:ascii="Arial" w:cs="Arial" w:eastAsia="Arial" w:hAnsi="Arial"/>
                <w:sz w:val="18"/>
                <w:szCs w:val="18"/>
                <w:color w:val="auto"/>
                <w:w w:val="99"/>
              </w:rPr>
              <w:t>Options</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r>
      <w:tr>
        <w:trPr>
          <w:trHeight w:val="296"/>
        </w:trPr>
        <w:tc>
          <w:tcPr>
            <w:tcW w:w="3840" w:type="dxa"/>
            <w:vAlign w:val="bottom"/>
          </w:tcPr>
          <w:p>
            <w:pPr>
              <w:spacing w:after="0"/>
              <w:rPr>
                <w:sz w:val="24"/>
                <w:szCs w:val="24"/>
                <w:color w:val="auto"/>
              </w:rPr>
            </w:pPr>
          </w:p>
        </w:tc>
        <w:tc>
          <w:tcPr>
            <w:tcW w:w="2740" w:type="dxa"/>
            <w:vAlign w:val="bottom"/>
          </w:tcPr>
          <w:p>
            <w:pPr>
              <w:jc w:val="center"/>
              <w:ind w:left="1310"/>
              <w:spacing w:after="0"/>
              <w:rPr>
                <w:sz w:val="20"/>
                <w:szCs w:val="20"/>
                <w:color w:val="auto"/>
              </w:rPr>
            </w:pPr>
            <w:r>
              <w:rPr>
                <w:rFonts w:ascii="Arial" w:cs="Arial" w:eastAsia="Arial" w:hAnsi="Arial"/>
                <w:sz w:val="18"/>
                <w:szCs w:val="18"/>
                <w:color w:val="auto"/>
                <w:w w:val="99"/>
              </w:rPr>
              <w:t>Cash</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$50,000</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86"/>
        </w:trPr>
        <w:tc>
          <w:tcPr>
            <w:tcW w:w="3840" w:type="dxa"/>
            <w:vAlign w:val="bottom"/>
          </w:tcPr>
          <w:p>
            <w:pPr>
              <w:spacing w:after="0"/>
              <w:rPr>
                <w:sz w:val="24"/>
                <w:szCs w:val="24"/>
                <w:color w:val="auto"/>
              </w:rPr>
            </w:pPr>
          </w:p>
        </w:tc>
        <w:tc>
          <w:tcPr>
            <w:tcW w:w="2740" w:type="dxa"/>
            <w:vAlign w:val="bottom"/>
          </w:tcPr>
          <w:p>
            <w:pPr>
              <w:jc w:val="center"/>
              <w:ind w:left="1330"/>
              <w:spacing w:after="0"/>
              <w:rPr>
                <w:sz w:val="20"/>
                <w:szCs w:val="20"/>
                <w:color w:val="auto"/>
              </w:rPr>
            </w:pPr>
            <w:r>
              <w:rPr>
                <w:rFonts w:ascii="Arial" w:cs="Arial" w:eastAsia="Arial" w:hAnsi="Arial"/>
                <w:sz w:val="18"/>
                <w:szCs w:val="18"/>
                <w:color w:val="auto"/>
              </w:rPr>
              <w:t>DSUs</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$150,000</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6"/>
        </w:trPr>
        <w:tc>
          <w:tcPr>
            <w:tcW w:w="3840" w:type="dxa"/>
            <w:vAlign w:val="bottom"/>
          </w:tcPr>
          <w:p>
            <w:pPr>
              <w:ind w:left="100"/>
              <w:spacing w:after="0"/>
              <w:rPr>
                <w:sz w:val="20"/>
                <w:szCs w:val="20"/>
                <w:color w:val="auto"/>
              </w:rPr>
            </w:pPr>
            <w:r>
              <w:rPr>
                <w:rFonts w:ascii="Arial" w:cs="Arial" w:eastAsia="Arial" w:hAnsi="Arial"/>
                <w:sz w:val="18"/>
                <w:szCs w:val="18"/>
                <w:b w:val="1"/>
                <w:bCs w:val="1"/>
                <w:color w:val="auto"/>
              </w:rPr>
              <w:t>Monica Moretto</w:t>
            </w:r>
          </w:p>
        </w:tc>
        <w:tc>
          <w:tcPr>
            <w:tcW w:w="2740" w:type="dxa"/>
            <w:vAlign w:val="bottom"/>
          </w:tcPr>
          <w:p>
            <w:pPr>
              <w:jc w:val="center"/>
              <w:ind w:left="1310"/>
              <w:spacing w:after="0"/>
              <w:rPr>
                <w:sz w:val="20"/>
                <w:szCs w:val="20"/>
                <w:color w:val="auto"/>
              </w:rPr>
            </w:pPr>
            <w:r>
              <w:rPr>
                <w:rFonts w:ascii="Arial" w:cs="Arial" w:eastAsia="Arial" w:hAnsi="Arial"/>
                <w:sz w:val="18"/>
                <w:szCs w:val="18"/>
                <w:color w:val="auto"/>
                <w:w w:val="99"/>
              </w:rPr>
              <w:t>Options</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r>
      <w:tr>
        <w:trPr>
          <w:trHeight w:val="296"/>
        </w:trPr>
        <w:tc>
          <w:tcPr>
            <w:tcW w:w="3840" w:type="dxa"/>
            <w:vAlign w:val="bottom"/>
          </w:tcPr>
          <w:p>
            <w:pPr>
              <w:spacing w:after="0"/>
              <w:rPr>
                <w:sz w:val="24"/>
                <w:szCs w:val="24"/>
                <w:color w:val="auto"/>
              </w:rPr>
            </w:pPr>
          </w:p>
        </w:tc>
        <w:tc>
          <w:tcPr>
            <w:tcW w:w="2740" w:type="dxa"/>
            <w:vAlign w:val="bottom"/>
          </w:tcPr>
          <w:p>
            <w:pPr>
              <w:jc w:val="center"/>
              <w:ind w:left="1310"/>
              <w:spacing w:after="0"/>
              <w:rPr>
                <w:sz w:val="20"/>
                <w:szCs w:val="20"/>
                <w:color w:val="auto"/>
              </w:rPr>
            </w:pPr>
            <w:r>
              <w:rPr>
                <w:rFonts w:ascii="Arial" w:cs="Arial" w:eastAsia="Arial" w:hAnsi="Arial"/>
                <w:sz w:val="18"/>
                <w:szCs w:val="18"/>
                <w:color w:val="auto"/>
                <w:w w:val="99"/>
              </w:rPr>
              <w:t>Cash</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$50,000</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$15,000</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86"/>
        </w:trPr>
        <w:tc>
          <w:tcPr>
            <w:tcW w:w="3840" w:type="dxa"/>
            <w:vAlign w:val="bottom"/>
          </w:tcPr>
          <w:p>
            <w:pPr>
              <w:spacing w:after="0"/>
              <w:rPr>
                <w:sz w:val="24"/>
                <w:szCs w:val="24"/>
                <w:color w:val="auto"/>
              </w:rPr>
            </w:pPr>
          </w:p>
        </w:tc>
        <w:tc>
          <w:tcPr>
            <w:tcW w:w="2740" w:type="dxa"/>
            <w:vAlign w:val="bottom"/>
          </w:tcPr>
          <w:p>
            <w:pPr>
              <w:jc w:val="center"/>
              <w:ind w:left="1330"/>
              <w:spacing w:after="0"/>
              <w:rPr>
                <w:sz w:val="20"/>
                <w:szCs w:val="20"/>
                <w:color w:val="auto"/>
              </w:rPr>
            </w:pPr>
            <w:r>
              <w:rPr>
                <w:rFonts w:ascii="Arial" w:cs="Arial" w:eastAsia="Arial" w:hAnsi="Arial"/>
                <w:sz w:val="18"/>
                <w:szCs w:val="18"/>
                <w:color w:val="auto"/>
              </w:rPr>
              <w:t>DSUs</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$150,000</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6"/>
        </w:trPr>
        <w:tc>
          <w:tcPr>
            <w:tcW w:w="3840" w:type="dxa"/>
            <w:vAlign w:val="bottom"/>
          </w:tcPr>
          <w:p>
            <w:pPr>
              <w:ind w:left="100"/>
              <w:spacing w:after="0"/>
              <w:rPr>
                <w:sz w:val="20"/>
                <w:szCs w:val="20"/>
                <w:color w:val="auto"/>
              </w:rPr>
            </w:pPr>
            <w:r>
              <w:rPr>
                <w:rFonts w:ascii="Arial" w:cs="Arial" w:eastAsia="Arial" w:hAnsi="Arial"/>
                <w:sz w:val="18"/>
                <w:szCs w:val="18"/>
                <w:b w:val="1"/>
                <w:bCs w:val="1"/>
                <w:color w:val="auto"/>
              </w:rPr>
              <w:t>Calum Morrison</w:t>
            </w:r>
          </w:p>
        </w:tc>
        <w:tc>
          <w:tcPr>
            <w:tcW w:w="2740" w:type="dxa"/>
            <w:vAlign w:val="bottom"/>
          </w:tcPr>
          <w:p>
            <w:pPr>
              <w:jc w:val="center"/>
              <w:ind w:left="1310"/>
              <w:spacing w:after="0"/>
              <w:rPr>
                <w:sz w:val="20"/>
                <w:szCs w:val="20"/>
                <w:color w:val="auto"/>
              </w:rPr>
            </w:pPr>
            <w:r>
              <w:rPr>
                <w:rFonts w:ascii="Arial" w:cs="Arial" w:eastAsia="Arial" w:hAnsi="Arial"/>
                <w:sz w:val="18"/>
                <w:szCs w:val="18"/>
                <w:color w:val="auto"/>
                <w:w w:val="99"/>
              </w:rPr>
              <w:t>Options</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r>
      <w:tr>
        <w:trPr>
          <w:trHeight w:val="296"/>
        </w:trPr>
        <w:tc>
          <w:tcPr>
            <w:tcW w:w="3840" w:type="dxa"/>
            <w:vAlign w:val="bottom"/>
          </w:tcPr>
          <w:p>
            <w:pPr>
              <w:spacing w:after="0"/>
              <w:rPr>
                <w:sz w:val="24"/>
                <w:szCs w:val="24"/>
                <w:color w:val="auto"/>
              </w:rPr>
            </w:pPr>
          </w:p>
        </w:tc>
        <w:tc>
          <w:tcPr>
            <w:tcW w:w="2740" w:type="dxa"/>
            <w:vAlign w:val="bottom"/>
          </w:tcPr>
          <w:p>
            <w:pPr>
              <w:jc w:val="center"/>
              <w:ind w:left="1310"/>
              <w:spacing w:after="0"/>
              <w:rPr>
                <w:sz w:val="20"/>
                <w:szCs w:val="20"/>
                <w:color w:val="auto"/>
              </w:rPr>
            </w:pPr>
            <w:r>
              <w:rPr>
                <w:rFonts w:ascii="Arial" w:cs="Arial" w:eastAsia="Arial" w:hAnsi="Arial"/>
                <w:sz w:val="18"/>
                <w:szCs w:val="18"/>
                <w:color w:val="auto"/>
                <w:w w:val="99"/>
              </w:rPr>
              <w:t>Cash</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$50,000</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$40,000</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86"/>
        </w:trPr>
        <w:tc>
          <w:tcPr>
            <w:tcW w:w="3840" w:type="dxa"/>
            <w:vAlign w:val="bottom"/>
          </w:tcPr>
          <w:p>
            <w:pPr>
              <w:spacing w:after="0"/>
              <w:rPr>
                <w:sz w:val="24"/>
                <w:szCs w:val="24"/>
                <w:color w:val="auto"/>
              </w:rPr>
            </w:pPr>
          </w:p>
        </w:tc>
        <w:tc>
          <w:tcPr>
            <w:tcW w:w="2740" w:type="dxa"/>
            <w:vAlign w:val="bottom"/>
          </w:tcPr>
          <w:p>
            <w:pPr>
              <w:jc w:val="center"/>
              <w:ind w:left="1330"/>
              <w:spacing w:after="0"/>
              <w:rPr>
                <w:sz w:val="20"/>
                <w:szCs w:val="20"/>
                <w:color w:val="auto"/>
              </w:rPr>
            </w:pPr>
            <w:r>
              <w:rPr>
                <w:rFonts w:ascii="Arial" w:cs="Arial" w:eastAsia="Arial" w:hAnsi="Arial"/>
                <w:sz w:val="18"/>
                <w:szCs w:val="18"/>
                <w:color w:val="auto"/>
              </w:rPr>
              <w:t>RSUs</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$150,000</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6"/>
        </w:trPr>
        <w:tc>
          <w:tcPr>
            <w:tcW w:w="3840" w:type="dxa"/>
            <w:vAlign w:val="bottom"/>
          </w:tcPr>
          <w:p>
            <w:pPr>
              <w:ind w:left="100"/>
              <w:spacing w:after="0"/>
              <w:rPr>
                <w:sz w:val="20"/>
                <w:szCs w:val="20"/>
                <w:color w:val="auto"/>
              </w:rPr>
            </w:pPr>
            <w:r>
              <w:rPr>
                <w:rFonts w:ascii="Arial" w:cs="Arial" w:eastAsia="Arial" w:hAnsi="Arial"/>
                <w:sz w:val="18"/>
                <w:szCs w:val="18"/>
                <w:b w:val="1"/>
                <w:bCs w:val="1"/>
                <w:color w:val="auto"/>
              </w:rPr>
              <w:t>Franco Mignacco</w:t>
            </w:r>
          </w:p>
        </w:tc>
        <w:tc>
          <w:tcPr>
            <w:tcW w:w="2740" w:type="dxa"/>
            <w:vAlign w:val="bottom"/>
          </w:tcPr>
          <w:p>
            <w:pPr>
              <w:jc w:val="center"/>
              <w:ind w:left="1310"/>
              <w:spacing w:after="0"/>
              <w:rPr>
                <w:sz w:val="20"/>
                <w:szCs w:val="20"/>
                <w:color w:val="auto"/>
              </w:rPr>
            </w:pPr>
            <w:r>
              <w:rPr>
                <w:rFonts w:ascii="Arial" w:cs="Arial" w:eastAsia="Arial" w:hAnsi="Arial"/>
                <w:sz w:val="18"/>
                <w:szCs w:val="18"/>
                <w:color w:val="auto"/>
                <w:w w:val="99"/>
              </w:rPr>
              <w:t>Options</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-2733040</wp:posOffset>
            </wp:positionV>
            <wp:extent cx="6078220"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1">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-2181860</wp:posOffset>
            </wp:positionV>
            <wp:extent cx="6078220"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2">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-1630045</wp:posOffset>
            </wp:positionV>
            <wp:extent cx="6078220"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3">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-1078865</wp:posOffset>
            </wp:positionV>
            <wp:extent cx="6078220"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4">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-527685</wp:posOffset>
            </wp:positionV>
            <wp:extent cx="6078220"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5">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22860</wp:posOffset>
            </wp:positionV>
            <wp:extent cx="6078220"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6">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Arial" w:cs="Arial" w:eastAsia="Arial" w:hAnsi="Arial"/>
          <w:sz w:val="28"/>
          <w:szCs w:val="28"/>
          <w:b w:val="1"/>
          <w:bCs w:val="1"/>
          <w:i w:val="1"/>
          <w:iCs w:val="1"/>
          <w:color w:val="auto"/>
        </w:rPr>
        <w:t>Outstanding Share-Based Awards and Option-Based Awards</w:t>
      </w:r>
    </w:p>
    <w:p>
      <w:pPr>
        <w:spacing w:after="0" w:line="293"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Set out below is the value of all outstanding equity incentive awards under our incentive plans as of Decemb 2025, held by directors other than directors who are also disclosed as Named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2010410</wp:posOffset>
            </wp:positionH>
            <wp:positionV relativeFrom="paragraph">
              <wp:posOffset>196215</wp:posOffset>
            </wp:positionV>
            <wp:extent cx="6350" cy="1498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7">
                      <a:extLst>
                        <a:ext uri="{28A0092B-C50C-407E-A947-70E740481C1C}"/>
                      </a:extLst>
                    </a:blip>
                    <a:srcRect/>
                    <a:stretch>
                      <a:fillRect/>
                    </a:stretch>
                  </pic:blipFill>
                  <pic:spPr bwMode="auto">
                    <a:xfrm>
                      <a:off x="0" y="0"/>
                      <a:ext cx="6350" cy="149860"/>
                    </a:xfrm>
                    <a:prstGeom prst="rect">
                      <a:avLst/>
                    </a:prstGeom>
                    <a:noFill/>
                  </pic:spPr>
                </pic:pic>
              </a:graphicData>
            </a:graphic>
          </wp:anchor>
        </w:drawing>
        <w:drawing>
          <wp:anchor simplePos="0" relativeHeight="251657728" behindDoc="1" locked="0" layoutInCell="0" allowOverlap="1">
            <wp:simplePos x="0" y="0"/>
            <wp:positionH relativeFrom="column">
              <wp:posOffset>4575175</wp:posOffset>
            </wp:positionH>
            <wp:positionV relativeFrom="paragraph">
              <wp:posOffset>196215</wp:posOffset>
            </wp:positionV>
            <wp:extent cx="63500" cy="1498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18">
                      <a:extLst>
                        <a:ext uri="{28A0092B-C50C-407E-A947-70E740481C1C}"/>
                      </a:extLst>
                    </a:blip>
                    <a:srcRect/>
                    <a:stretch>
                      <a:fillRect/>
                    </a:stretch>
                  </pic:blipFill>
                  <pic:spPr bwMode="auto">
                    <a:xfrm>
                      <a:off x="0" y="0"/>
                      <a:ext cx="63500" cy="149860"/>
                    </a:xfrm>
                    <a:prstGeom prst="rect">
                      <a:avLst/>
                    </a:prstGeom>
                    <a:noFill/>
                  </pic:spPr>
                </pic:pic>
              </a:graphicData>
            </a:graphic>
          </wp:anchor>
        </w:drawing>
      </w:r>
    </w:p>
    <w:p>
      <w:pPr>
        <w:spacing w:after="0" w:line="289" w:lineRule="exact"/>
        <w:rPr>
          <w:sz w:val="20"/>
          <w:szCs w:val="20"/>
          <w:color w:val="auto"/>
        </w:rPr>
      </w:pPr>
    </w:p>
    <w:tbl>
      <w:tblPr>
        <w:tblLayout w:type="fixed"/>
        <w:tblInd w:w="900" w:type="dxa"/>
        <w:tblCellMar>
          <w:top w:w="0" w:type="dxa"/>
          <w:left w:w="0" w:type="dxa"/>
          <w:bottom w:w="0" w:type="dxa"/>
          <w:right w:w="0" w:type="dxa"/>
        </w:tblCellMar>
      </w:tblPr>
      <w:tr>
        <w:trPr>
          <w:trHeight w:val="196"/>
        </w:trPr>
        <w:tc>
          <w:tcPr>
            <w:tcW w:w="1980" w:type="dxa"/>
            <w:vAlign w:val="bottom"/>
            <w:shd w:val="clear" w:color="auto" w:fill="153A57"/>
          </w:tcPr>
          <w:p>
            <w:pPr>
              <w:spacing w:after="0"/>
              <w:rPr>
                <w:sz w:val="17"/>
                <w:szCs w:val="17"/>
                <w:color w:val="auto"/>
              </w:rPr>
            </w:pPr>
          </w:p>
        </w:tc>
        <w:tc>
          <w:tcPr>
            <w:tcW w:w="1340" w:type="dxa"/>
            <w:vAlign w:val="bottom"/>
            <w:shd w:val="clear" w:color="auto" w:fill="153A57"/>
          </w:tcPr>
          <w:p>
            <w:pPr>
              <w:spacing w:after="0"/>
              <w:rPr>
                <w:sz w:val="17"/>
                <w:szCs w:val="17"/>
                <w:color w:val="auto"/>
              </w:rPr>
            </w:pPr>
          </w:p>
        </w:tc>
        <w:tc>
          <w:tcPr>
            <w:tcW w:w="220" w:type="dxa"/>
            <w:vAlign w:val="bottom"/>
            <w:shd w:val="clear" w:color="auto" w:fill="153A57"/>
          </w:tcPr>
          <w:p>
            <w:pPr>
              <w:spacing w:after="0"/>
              <w:rPr>
                <w:sz w:val="17"/>
                <w:szCs w:val="17"/>
                <w:color w:val="auto"/>
              </w:rPr>
            </w:pPr>
          </w:p>
        </w:tc>
        <w:tc>
          <w:tcPr>
            <w:tcW w:w="1620" w:type="dxa"/>
            <w:vAlign w:val="bottom"/>
            <w:gridSpan w:val="2"/>
            <w:shd w:val="clear" w:color="auto" w:fill="153A57"/>
          </w:tcPr>
          <w:p>
            <w:pPr>
              <w:ind w:left="100"/>
              <w:spacing w:after="0"/>
              <w:rPr>
                <w:sz w:val="20"/>
                <w:szCs w:val="20"/>
                <w:color w:val="auto"/>
              </w:rPr>
            </w:pPr>
            <w:r>
              <w:rPr>
                <w:rFonts w:ascii="Arial" w:cs="Arial" w:eastAsia="Arial" w:hAnsi="Arial"/>
                <w:sz w:val="14"/>
                <w:szCs w:val="14"/>
                <w:b w:val="1"/>
                <w:bCs w:val="1"/>
                <w:color w:val="FFFFFF"/>
              </w:rPr>
              <w:t>Option-based Awards</w:t>
            </w:r>
          </w:p>
        </w:tc>
        <w:tc>
          <w:tcPr>
            <w:tcW w:w="280" w:type="dxa"/>
            <w:vAlign w:val="bottom"/>
            <w:shd w:val="clear" w:color="auto" w:fill="153A57"/>
          </w:tcPr>
          <w:p>
            <w:pPr>
              <w:spacing w:after="0"/>
              <w:rPr>
                <w:sz w:val="17"/>
                <w:szCs w:val="17"/>
                <w:color w:val="auto"/>
              </w:rPr>
            </w:pPr>
          </w:p>
        </w:tc>
        <w:tc>
          <w:tcPr>
            <w:tcW w:w="940" w:type="dxa"/>
            <w:vAlign w:val="bottom"/>
            <w:shd w:val="clear" w:color="auto" w:fill="153A57"/>
          </w:tcPr>
          <w:p>
            <w:pPr>
              <w:spacing w:after="0"/>
              <w:rPr>
                <w:sz w:val="17"/>
                <w:szCs w:val="17"/>
                <w:color w:val="auto"/>
              </w:rPr>
            </w:pPr>
          </w:p>
        </w:tc>
        <w:tc>
          <w:tcPr>
            <w:tcW w:w="3180" w:type="dxa"/>
            <w:vAlign w:val="bottom"/>
            <w:gridSpan w:val="4"/>
            <w:shd w:val="clear" w:color="auto" w:fill="153A57"/>
          </w:tcPr>
          <w:p>
            <w:pPr>
              <w:jc w:val="right"/>
              <w:spacing w:after="0"/>
              <w:rPr>
                <w:sz w:val="20"/>
                <w:szCs w:val="20"/>
                <w:color w:val="auto"/>
              </w:rPr>
            </w:pPr>
            <w:r>
              <w:rPr>
                <w:rFonts w:ascii="Arial" w:cs="Arial" w:eastAsia="Arial" w:hAnsi="Arial"/>
                <w:sz w:val="14"/>
                <w:szCs w:val="14"/>
                <w:b w:val="1"/>
                <w:bCs w:val="1"/>
                <w:color w:val="FFFFFF"/>
              </w:rPr>
              <w:t>Share-based Awards, DSUs and RSUs</w:t>
            </w:r>
          </w:p>
        </w:tc>
      </w:tr>
      <w:tr>
        <w:trPr>
          <w:trHeight w:val="236"/>
        </w:trPr>
        <w:tc>
          <w:tcPr>
            <w:tcW w:w="1980" w:type="dxa"/>
            <w:vAlign w:val="bottom"/>
            <w:shd w:val="clear" w:color="auto" w:fill="153A57"/>
          </w:tcPr>
          <w:p>
            <w:pPr>
              <w:spacing w:after="0"/>
              <w:rPr>
                <w:sz w:val="20"/>
                <w:szCs w:val="20"/>
                <w:color w:val="auto"/>
              </w:rPr>
            </w:pPr>
          </w:p>
        </w:tc>
        <w:tc>
          <w:tcPr>
            <w:tcW w:w="1340" w:type="dxa"/>
            <w:vAlign w:val="bottom"/>
            <w:shd w:val="clear" w:color="auto" w:fill="153A57"/>
          </w:tcPr>
          <w:p>
            <w:pPr>
              <w:spacing w:after="0"/>
              <w:rPr>
                <w:sz w:val="20"/>
                <w:szCs w:val="20"/>
                <w:color w:val="auto"/>
              </w:rPr>
            </w:pPr>
          </w:p>
        </w:tc>
        <w:tc>
          <w:tcPr>
            <w:tcW w:w="220" w:type="dxa"/>
            <w:vAlign w:val="bottom"/>
            <w:shd w:val="clear" w:color="auto" w:fill="153A57"/>
          </w:tcPr>
          <w:p>
            <w:pPr>
              <w:spacing w:after="0"/>
              <w:rPr>
                <w:sz w:val="20"/>
                <w:szCs w:val="20"/>
                <w:color w:val="auto"/>
              </w:rPr>
            </w:pPr>
          </w:p>
        </w:tc>
        <w:tc>
          <w:tcPr>
            <w:tcW w:w="720" w:type="dxa"/>
            <w:vAlign w:val="bottom"/>
            <w:shd w:val="clear" w:color="auto" w:fill="153A57"/>
          </w:tcPr>
          <w:p>
            <w:pPr>
              <w:spacing w:after="0"/>
              <w:rPr>
                <w:sz w:val="20"/>
                <w:szCs w:val="20"/>
                <w:color w:val="auto"/>
              </w:rPr>
            </w:pPr>
          </w:p>
        </w:tc>
        <w:tc>
          <w:tcPr>
            <w:tcW w:w="900" w:type="dxa"/>
            <w:vAlign w:val="bottom"/>
            <w:shd w:val="clear" w:color="auto" w:fill="153A57"/>
          </w:tcPr>
          <w:p>
            <w:pPr>
              <w:spacing w:after="0"/>
              <w:rPr>
                <w:sz w:val="20"/>
                <w:szCs w:val="20"/>
                <w:color w:val="auto"/>
              </w:rPr>
            </w:pPr>
          </w:p>
        </w:tc>
        <w:tc>
          <w:tcPr>
            <w:tcW w:w="280" w:type="dxa"/>
            <w:vAlign w:val="bottom"/>
            <w:shd w:val="clear" w:color="auto" w:fill="153A57"/>
          </w:tcPr>
          <w:p>
            <w:pPr>
              <w:spacing w:after="0"/>
              <w:rPr>
                <w:sz w:val="20"/>
                <w:szCs w:val="20"/>
                <w:color w:val="auto"/>
              </w:rPr>
            </w:pPr>
          </w:p>
        </w:tc>
        <w:tc>
          <w:tcPr>
            <w:tcW w:w="940" w:type="dxa"/>
            <w:vAlign w:val="bottom"/>
            <w:shd w:val="clear" w:color="auto" w:fill="153A57"/>
          </w:tcPr>
          <w:p>
            <w:pPr>
              <w:spacing w:after="0"/>
              <w:rPr>
                <w:sz w:val="20"/>
                <w:szCs w:val="20"/>
                <w:color w:val="auto"/>
              </w:rPr>
            </w:pPr>
          </w:p>
        </w:tc>
        <w:tc>
          <w:tcPr>
            <w:tcW w:w="1020" w:type="dxa"/>
            <w:vAlign w:val="bottom"/>
            <w:shd w:val="clear" w:color="auto" w:fill="153A57"/>
          </w:tcPr>
          <w:p>
            <w:pPr>
              <w:spacing w:after="0"/>
              <w:rPr>
                <w:sz w:val="20"/>
                <w:szCs w:val="20"/>
                <w:color w:val="auto"/>
              </w:rPr>
            </w:pPr>
          </w:p>
        </w:tc>
        <w:tc>
          <w:tcPr>
            <w:tcW w:w="200" w:type="dxa"/>
            <w:vAlign w:val="bottom"/>
            <w:shd w:val="clear" w:color="auto" w:fill="153A57"/>
          </w:tcPr>
          <w:p>
            <w:pPr>
              <w:spacing w:after="0"/>
              <w:rPr>
                <w:sz w:val="20"/>
                <w:szCs w:val="20"/>
                <w:color w:val="auto"/>
              </w:rPr>
            </w:pPr>
          </w:p>
        </w:tc>
        <w:tc>
          <w:tcPr>
            <w:tcW w:w="1120" w:type="dxa"/>
            <w:vAlign w:val="bottom"/>
            <w:shd w:val="clear" w:color="auto" w:fill="153A57"/>
          </w:tcPr>
          <w:p>
            <w:pPr>
              <w:spacing w:after="0"/>
              <w:rPr>
                <w:sz w:val="20"/>
                <w:szCs w:val="20"/>
                <w:color w:val="auto"/>
              </w:rPr>
            </w:pPr>
          </w:p>
        </w:tc>
        <w:tc>
          <w:tcPr>
            <w:tcW w:w="840" w:type="dxa"/>
            <w:vAlign w:val="bottom"/>
            <w:shd w:val="clear" w:color="auto" w:fill="153A57"/>
          </w:tcPr>
          <w:p>
            <w:pPr>
              <w:jc w:val="right"/>
              <w:spacing w:after="0"/>
              <w:rPr>
                <w:sz w:val="20"/>
                <w:szCs w:val="20"/>
                <w:color w:val="auto"/>
              </w:rPr>
            </w:pPr>
            <w:r>
              <w:rPr>
                <w:rFonts w:ascii="Arial" w:cs="Arial" w:eastAsia="Arial" w:hAnsi="Arial"/>
                <w:sz w:val="14"/>
                <w:szCs w:val="14"/>
                <w:b w:val="1"/>
                <w:bCs w:val="1"/>
                <w:color w:val="FFFFFF"/>
              </w:rPr>
              <w:t>Market</w:t>
            </w:r>
          </w:p>
        </w:tc>
      </w:tr>
      <w:tr>
        <w:trPr>
          <w:trHeight w:val="211"/>
        </w:trPr>
        <w:tc>
          <w:tcPr>
            <w:tcW w:w="1980" w:type="dxa"/>
            <w:vAlign w:val="bottom"/>
            <w:shd w:val="clear" w:color="auto" w:fill="153A57"/>
          </w:tcPr>
          <w:p>
            <w:pPr>
              <w:spacing w:after="0"/>
              <w:rPr>
                <w:sz w:val="18"/>
                <w:szCs w:val="18"/>
                <w:color w:val="auto"/>
              </w:rPr>
            </w:pPr>
          </w:p>
        </w:tc>
        <w:tc>
          <w:tcPr>
            <w:tcW w:w="1340" w:type="dxa"/>
            <w:vAlign w:val="bottom"/>
            <w:shd w:val="clear" w:color="auto" w:fill="153A57"/>
          </w:tcPr>
          <w:p>
            <w:pPr>
              <w:spacing w:after="0"/>
              <w:rPr>
                <w:sz w:val="18"/>
                <w:szCs w:val="18"/>
                <w:color w:val="auto"/>
              </w:rPr>
            </w:pPr>
          </w:p>
        </w:tc>
        <w:tc>
          <w:tcPr>
            <w:tcW w:w="220" w:type="dxa"/>
            <w:vAlign w:val="bottom"/>
            <w:shd w:val="clear" w:color="auto" w:fill="153A57"/>
          </w:tcPr>
          <w:p>
            <w:pPr>
              <w:spacing w:after="0"/>
              <w:rPr>
                <w:sz w:val="18"/>
                <w:szCs w:val="18"/>
                <w:color w:val="auto"/>
              </w:rPr>
            </w:pPr>
          </w:p>
        </w:tc>
        <w:tc>
          <w:tcPr>
            <w:tcW w:w="720" w:type="dxa"/>
            <w:vAlign w:val="bottom"/>
            <w:shd w:val="clear" w:color="auto" w:fill="153A57"/>
          </w:tcPr>
          <w:p>
            <w:pPr>
              <w:spacing w:after="0"/>
              <w:rPr>
                <w:sz w:val="18"/>
                <w:szCs w:val="18"/>
                <w:color w:val="auto"/>
              </w:rPr>
            </w:pPr>
          </w:p>
        </w:tc>
        <w:tc>
          <w:tcPr>
            <w:tcW w:w="900" w:type="dxa"/>
            <w:vAlign w:val="bottom"/>
            <w:shd w:val="clear" w:color="auto" w:fill="153A57"/>
          </w:tcPr>
          <w:p>
            <w:pPr>
              <w:spacing w:after="0"/>
              <w:rPr>
                <w:sz w:val="18"/>
                <w:szCs w:val="18"/>
                <w:color w:val="auto"/>
              </w:rPr>
            </w:pPr>
          </w:p>
        </w:tc>
        <w:tc>
          <w:tcPr>
            <w:tcW w:w="280" w:type="dxa"/>
            <w:vAlign w:val="bottom"/>
            <w:shd w:val="clear" w:color="auto" w:fill="153A57"/>
          </w:tcPr>
          <w:p>
            <w:pPr>
              <w:spacing w:after="0"/>
              <w:rPr>
                <w:sz w:val="18"/>
                <w:szCs w:val="18"/>
                <w:color w:val="auto"/>
              </w:rPr>
            </w:pPr>
          </w:p>
        </w:tc>
        <w:tc>
          <w:tcPr>
            <w:tcW w:w="940" w:type="dxa"/>
            <w:vAlign w:val="bottom"/>
            <w:shd w:val="clear" w:color="auto" w:fill="153A57"/>
          </w:tcPr>
          <w:p>
            <w:pPr>
              <w:spacing w:after="0"/>
              <w:rPr>
                <w:sz w:val="18"/>
                <w:szCs w:val="18"/>
                <w:color w:val="auto"/>
              </w:rPr>
            </w:pPr>
          </w:p>
        </w:tc>
        <w:tc>
          <w:tcPr>
            <w:tcW w:w="1020" w:type="dxa"/>
            <w:vAlign w:val="bottom"/>
            <w:shd w:val="clear" w:color="auto" w:fill="153A57"/>
          </w:tcPr>
          <w:p>
            <w:pPr>
              <w:jc w:val="center"/>
              <w:ind w:right="10"/>
              <w:spacing w:after="0"/>
              <w:rPr>
                <w:sz w:val="20"/>
                <w:szCs w:val="20"/>
                <w:color w:val="auto"/>
              </w:rPr>
            </w:pPr>
            <w:r>
              <w:rPr>
                <w:rFonts w:ascii="Arial" w:cs="Arial" w:eastAsia="Arial" w:hAnsi="Arial"/>
                <w:sz w:val="14"/>
                <w:szCs w:val="14"/>
                <w:b w:val="1"/>
                <w:bCs w:val="1"/>
                <w:color w:val="FFFFFF"/>
                <w:w w:val="99"/>
              </w:rPr>
              <w:t>Number of</w:t>
            </w:r>
          </w:p>
        </w:tc>
        <w:tc>
          <w:tcPr>
            <w:tcW w:w="200" w:type="dxa"/>
            <w:vAlign w:val="bottom"/>
            <w:shd w:val="clear" w:color="auto" w:fill="153A57"/>
          </w:tcPr>
          <w:p>
            <w:pPr>
              <w:spacing w:after="0"/>
              <w:rPr>
                <w:sz w:val="18"/>
                <w:szCs w:val="18"/>
                <w:color w:val="auto"/>
              </w:rPr>
            </w:pPr>
          </w:p>
        </w:tc>
        <w:tc>
          <w:tcPr>
            <w:tcW w:w="1120" w:type="dxa"/>
            <w:vAlign w:val="bottom"/>
            <w:shd w:val="clear" w:color="auto" w:fill="153A57"/>
          </w:tcPr>
          <w:p>
            <w:pPr>
              <w:jc w:val="center"/>
              <w:ind w:right="230"/>
              <w:spacing w:after="0"/>
              <w:rPr>
                <w:sz w:val="20"/>
                <w:szCs w:val="20"/>
                <w:color w:val="auto"/>
              </w:rPr>
            </w:pPr>
            <w:r>
              <w:rPr>
                <w:rFonts w:ascii="Arial" w:cs="Arial" w:eastAsia="Arial" w:hAnsi="Arial"/>
                <w:sz w:val="14"/>
                <w:szCs w:val="14"/>
                <w:b w:val="1"/>
                <w:bCs w:val="1"/>
                <w:color w:val="FFFFFF"/>
                <w:w w:val="98"/>
              </w:rPr>
              <w:t>Market or</w:t>
            </w:r>
          </w:p>
        </w:tc>
        <w:tc>
          <w:tcPr>
            <w:tcW w:w="840" w:type="dxa"/>
            <w:vAlign w:val="bottom"/>
            <w:shd w:val="clear" w:color="auto" w:fill="153A57"/>
          </w:tcPr>
          <w:p>
            <w:pPr>
              <w:jc w:val="right"/>
              <w:spacing w:after="0"/>
              <w:rPr>
                <w:sz w:val="20"/>
                <w:szCs w:val="20"/>
                <w:color w:val="auto"/>
              </w:rPr>
            </w:pPr>
            <w:r>
              <w:rPr>
                <w:rFonts w:ascii="Arial" w:cs="Arial" w:eastAsia="Arial" w:hAnsi="Arial"/>
                <w:sz w:val="14"/>
                <w:szCs w:val="14"/>
                <w:b w:val="1"/>
                <w:bCs w:val="1"/>
                <w:color w:val="FFFFFF"/>
              </w:rPr>
              <w:t>payout v</w:t>
            </w:r>
          </w:p>
        </w:tc>
      </w:tr>
      <w:tr>
        <w:trPr>
          <w:trHeight w:val="213"/>
        </w:trPr>
        <w:tc>
          <w:tcPr>
            <w:tcW w:w="1980" w:type="dxa"/>
            <w:vAlign w:val="bottom"/>
            <w:shd w:val="clear" w:color="auto" w:fill="153A57"/>
          </w:tcPr>
          <w:p>
            <w:pPr>
              <w:spacing w:after="0"/>
              <w:rPr>
                <w:sz w:val="18"/>
                <w:szCs w:val="18"/>
                <w:color w:val="auto"/>
              </w:rPr>
            </w:pPr>
          </w:p>
        </w:tc>
        <w:tc>
          <w:tcPr>
            <w:tcW w:w="1340" w:type="dxa"/>
            <w:vAlign w:val="bottom"/>
            <w:shd w:val="clear" w:color="auto" w:fill="153A57"/>
          </w:tcPr>
          <w:p>
            <w:pPr>
              <w:jc w:val="center"/>
              <w:ind w:left="130"/>
              <w:spacing w:after="0"/>
              <w:rPr>
                <w:sz w:val="20"/>
                <w:szCs w:val="20"/>
                <w:color w:val="auto"/>
              </w:rPr>
            </w:pPr>
            <w:r>
              <w:rPr>
                <w:rFonts w:ascii="Arial" w:cs="Arial" w:eastAsia="Arial" w:hAnsi="Arial"/>
                <w:sz w:val="14"/>
                <w:szCs w:val="14"/>
                <w:b w:val="1"/>
                <w:bCs w:val="1"/>
                <w:color w:val="FFFFFF"/>
                <w:w w:val="99"/>
              </w:rPr>
              <w:t>Number of</w:t>
            </w:r>
          </w:p>
        </w:tc>
        <w:tc>
          <w:tcPr>
            <w:tcW w:w="220" w:type="dxa"/>
            <w:vAlign w:val="bottom"/>
            <w:shd w:val="clear" w:color="auto" w:fill="153A57"/>
          </w:tcPr>
          <w:p>
            <w:pPr>
              <w:spacing w:after="0"/>
              <w:rPr>
                <w:sz w:val="18"/>
                <w:szCs w:val="18"/>
                <w:color w:val="auto"/>
              </w:rPr>
            </w:pPr>
          </w:p>
        </w:tc>
        <w:tc>
          <w:tcPr>
            <w:tcW w:w="720" w:type="dxa"/>
            <w:vAlign w:val="bottom"/>
            <w:shd w:val="clear" w:color="auto" w:fill="153A57"/>
          </w:tcPr>
          <w:p>
            <w:pPr>
              <w:spacing w:after="0"/>
              <w:rPr>
                <w:sz w:val="18"/>
                <w:szCs w:val="18"/>
                <w:color w:val="auto"/>
              </w:rPr>
            </w:pPr>
          </w:p>
        </w:tc>
        <w:tc>
          <w:tcPr>
            <w:tcW w:w="900" w:type="dxa"/>
            <w:vAlign w:val="bottom"/>
            <w:shd w:val="clear" w:color="auto" w:fill="153A57"/>
          </w:tcPr>
          <w:p>
            <w:pPr>
              <w:spacing w:after="0"/>
              <w:rPr>
                <w:sz w:val="18"/>
                <w:szCs w:val="18"/>
                <w:color w:val="auto"/>
              </w:rPr>
            </w:pPr>
          </w:p>
        </w:tc>
        <w:tc>
          <w:tcPr>
            <w:tcW w:w="280" w:type="dxa"/>
            <w:vAlign w:val="bottom"/>
            <w:shd w:val="clear" w:color="auto" w:fill="153A57"/>
          </w:tcPr>
          <w:p>
            <w:pPr>
              <w:spacing w:after="0"/>
              <w:rPr>
                <w:sz w:val="18"/>
                <w:szCs w:val="18"/>
                <w:color w:val="auto"/>
              </w:rPr>
            </w:pPr>
          </w:p>
        </w:tc>
        <w:tc>
          <w:tcPr>
            <w:tcW w:w="940" w:type="dxa"/>
            <w:vAlign w:val="bottom"/>
            <w:shd w:val="clear" w:color="auto" w:fill="153A57"/>
          </w:tcPr>
          <w:p>
            <w:pPr>
              <w:jc w:val="center"/>
              <w:ind w:right="253"/>
              <w:spacing w:after="0"/>
              <w:rPr>
                <w:sz w:val="20"/>
                <w:szCs w:val="20"/>
                <w:color w:val="auto"/>
              </w:rPr>
            </w:pPr>
            <w:r>
              <w:rPr>
                <w:rFonts w:ascii="Arial" w:cs="Arial" w:eastAsia="Arial" w:hAnsi="Arial"/>
                <w:sz w:val="14"/>
                <w:szCs w:val="14"/>
                <w:b w:val="1"/>
                <w:bCs w:val="1"/>
                <w:color w:val="FFFFFF"/>
                <w:w w:val="99"/>
              </w:rPr>
              <w:t>Value of</w:t>
            </w:r>
          </w:p>
        </w:tc>
        <w:tc>
          <w:tcPr>
            <w:tcW w:w="1020" w:type="dxa"/>
            <w:vAlign w:val="bottom"/>
            <w:shd w:val="clear" w:color="auto" w:fill="153A57"/>
          </w:tcPr>
          <w:p>
            <w:pPr>
              <w:jc w:val="center"/>
              <w:spacing w:after="0"/>
              <w:rPr>
                <w:sz w:val="20"/>
                <w:szCs w:val="20"/>
                <w:color w:val="auto"/>
              </w:rPr>
            </w:pPr>
            <w:r>
              <w:rPr>
                <w:rFonts w:ascii="Arial" w:cs="Arial" w:eastAsia="Arial" w:hAnsi="Arial"/>
                <w:sz w:val="14"/>
                <w:szCs w:val="14"/>
                <w:b w:val="1"/>
                <w:bCs w:val="1"/>
                <w:color w:val="FFFFFF"/>
              </w:rPr>
              <w:t>shares or</w:t>
            </w:r>
          </w:p>
        </w:tc>
        <w:tc>
          <w:tcPr>
            <w:tcW w:w="1320" w:type="dxa"/>
            <w:vAlign w:val="bottom"/>
            <w:gridSpan w:val="2"/>
            <w:shd w:val="clear" w:color="auto" w:fill="153A57"/>
          </w:tcPr>
          <w:p>
            <w:pPr>
              <w:jc w:val="center"/>
              <w:ind w:right="30"/>
              <w:spacing w:after="0"/>
              <w:rPr>
                <w:sz w:val="20"/>
                <w:szCs w:val="20"/>
                <w:color w:val="auto"/>
              </w:rPr>
            </w:pPr>
            <w:r>
              <w:rPr>
                <w:rFonts w:ascii="Arial" w:cs="Arial" w:eastAsia="Arial" w:hAnsi="Arial"/>
                <w:sz w:val="14"/>
                <w:szCs w:val="14"/>
                <w:b w:val="1"/>
                <w:bCs w:val="1"/>
                <w:color w:val="FFFFFF"/>
                <w:w w:val="99"/>
              </w:rPr>
              <w:t>payout value of</w:t>
            </w:r>
          </w:p>
        </w:tc>
        <w:tc>
          <w:tcPr>
            <w:tcW w:w="840" w:type="dxa"/>
            <w:vAlign w:val="bottom"/>
            <w:shd w:val="clear" w:color="auto" w:fill="153A57"/>
          </w:tcPr>
          <w:p>
            <w:pPr>
              <w:jc w:val="right"/>
              <w:spacing w:after="0"/>
              <w:rPr>
                <w:sz w:val="20"/>
                <w:szCs w:val="20"/>
                <w:color w:val="auto"/>
              </w:rPr>
            </w:pPr>
            <w:r>
              <w:rPr>
                <w:rFonts w:ascii="Arial" w:cs="Arial" w:eastAsia="Arial" w:hAnsi="Arial"/>
                <w:sz w:val="14"/>
                <w:szCs w:val="14"/>
                <w:b w:val="1"/>
                <w:bCs w:val="1"/>
                <w:color w:val="FFFFFF"/>
              </w:rPr>
              <w:t>of vested s</w:t>
            </w:r>
          </w:p>
        </w:tc>
      </w:tr>
      <w:tr>
        <w:trPr>
          <w:trHeight w:val="211"/>
        </w:trPr>
        <w:tc>
          <w:tcPr>
            <w:tcW w:w="1980" w:type="dxa"/>
            <w:vAlign w:val="bottom"/>
            <w:shd w:val="clear" w:color="auto" w:fill="153A57"/>
          </w:tcPr>
          <w:p>
            <w:pPr>
              <w:spacing w:after="0"/>
              <w:rPr>
                <w:sz w:val="18"/>
                <w:szCs w:val="18"/>
                <w:color w:val="auto"/>
              </w:rPr>
            </w:pPr>
          </w:p>
        </w:tc>
        <w:tc>
          <w:tcPr>
            <w:tcW w:w="1340" w:type="dxa"/>
            <w:vAlign w:val="bottom"/>
            <w:shd w:val="clear" w:color="auto" w:fill="153A57"/>
          </w:tcPr>
          <w:p>
            <w:pPr>
              <w:jc w:val="center"/>
              <w:ind w:left="130"/>
              <w:spacing w:after="0"/>
              <w:rPr>
                <w:sz w:val="20"/>
                <w:szCs w:val="20"/>
                <w:color w:val="auto"/>
              </w:rPr>
            </w:pPr>
            <w:r>
              <w:rPr>
                <w:rFonts w:ascii="Arial" w:cs="Arial" w:eastAsia="Arial" w:hAnsi="Arial"/>
                <w:sz w:val="14"/>
                <w:szCs w:val="14"/>
                <w:b w:val="1"/>
                <w:bCs w:val="1"/>
                <w:color w:val="FFFFFF"/>
              </w:rPr>
              <w:t>securities</w:t>
            </w:r>
          </w:p>
        </w:tc>
        <w:tc>
          <w:tcPr>
            <w:tcW w:w="940" w:type="dxa"/>
            <w:vAlign w:val="bottom"/>
            <w:gridSpan w:val="2"/>
            <w:shd w:val="clear" w:color="auto" w:fill="153A57"/>
          </w:tcPr>
          <w:p>
            <w:pPr>
              <w:jc w:val="center"/>
              <w:ind w:right="30"/>
              <w:spacing w:after="0"/>
              <w:rPr>
                <w:sz w:val="20"/>
                <w:szCs w:val="20"/>
                <w:color w:val="auto"/>
              </w:rPr>
            </w:pPr>
            <w:r>
              <w:rPr>
                <w:rFonts w:ascii="Arial" w:cs="Arial" w:eastAsia="Arial" w:hAnsi="Arial"/>
                <w:sz w:val="14"/>
                <w:szCs w:val="14"/>
                <w:b w:val="1"/>
                <w:bCs w:val="1"/>
                <w:color w:val="FFFFFF"/>
                <w:w w:val="98"/>
              </w:rPr>
              <w:t>Options</w:t>
            </w:r>
          </w:p>
        </w:tc>
        <w:tc>
          <w:tcPr>
            <w:tcW w:w="900" w:type="dxa"/>
            <w:vAlign w:val="bottom"/>
            <w:shd w:val="clear" w:color="auto" w:fill="153A57"/>
          </w:tcPr>
          <w:p>
            <w:pPr>
              <w:spacing w:after="0"/>
              <w:rPr>
                <w:sz w:val="18"/>
                <w:szCs w:val="18"/>
                <w:color w:val="auto"/>
              </w:rPr>
            </w:pPr>
          </w:p>
        </w:tc>
        <w:tc>
          <w:tcPr>
            <w:tcW w:w="1220" w:type="dxa"/>
            <w:vAlign w:val="bottom"/>
            <w:gridSpan w:val="2"/>
            <w:shd w:val="clear" w:color="auto" w:fill="153A57"/>
          </w:tcPr>
          <w:p>
            <w:pPr>
              <w:jc w:val="center"/>
              <w:spacing w:after="0"/>
              <w:rPr>
                <w:sz w:val="20"/>
                <w:szCs w:val="20"/>
                <w:color w:val="auto"/>
              </w:rPr>
            </w:pPr>
            <w:r>
              <w:rPr>
                <w:rFonts w:ascii="Arial" w:cs="Arial" w:eastAsia="Arial" w:hAnsi="Arial"/>
                <w:sz w:val="14"/>
                <w:szCs w:val="14"/>
                <w:b w:val="1"/>
                <w:bCs w:val="1"/>
                <w:color w:val="FFFFFF"/>
                <w:w w:val="99"/>
              </w:rPr>
              <w:t>unexercised in-</w:t>
            </w:r>
          </w:p>
        </w:tc>
        <w:tc>
          <w:tcPr>
            <w:tcW w:w="1020" w:type="dxa"/>
            <w:vAlign w:val="bottom"/>
            <w:shd w:val="clear" w:color="auto" w:fill="153A57"/>
          </w:tcPr>
          <w:p>
            <w:pPr>
              <w:jc w:val="center"/>
              <w:spacing w:after="0"/>
              <w:rPr>
                <w:sz w:val="20"/>
                <w:szCs w:val="20"/>
                <w:color w:val="auto"/>
              </w:rPr>
            </w:pPr>
            <w:r>
              <w:rPr>
                <w:rFonts w:ascii="Arial" w:cs="Arial" w:eastAsia="Arial" w:hAnsi="Arial"/>
                <w:sz w:val="14"/>
                <w:szCs w:val="14"/>
                <w:b w:val="1"/>
                <w:bCs w:val="1"/>
                <w:color w:val="FFFFFF"/>
              </w:rPr>
              <w:t>units of</w:t>
            </w:r>
          </w:p>
        </w:tc>
        <w:tc>
          <w:tcPr>
            <w:tcW w:w="200" w:type="dxa"/>
            <w:vAlign w:val="bottom"/>
            <w:shd w:val="clear" w:color="auto" w:fill="153A57"/>
          </w:tcPr>
          <w:p>
            <w:pPr>
              <w:spacing w:after="0"/>
              <w:rPr>
                <w:sz w:val="18"/>
                <w:szCs w:val="18"/>
                <w:color w:val="auto"/>
              </w:rPr>
            </w:pPr>
          </w:p>
        </w:tc>
        <w:tc>
          <w:tcPr>
            <w:tcW w:w="1120" w:type="dxa"/>
            <w:vAlign w:val="bottom"/>
            <w:shd w:val="clear" w:color="auto" w:fill="153A57"/>
          </w:tcPr>
          <w:p>
            <w:pPr>
              <w:jc w:val="center"/>
              <w:ind w:right="230"/>
              <w:spacing w:after="0"/>
              <w:rPr>
                <w:sz w:val="20"/>
                <w:szCs w:val="20"/>
                <w:color w:val="auto"/>
              </w:rPr>
            </w:pPr>
            <w:r>
              <w:rPr>
                <w:rFonts w:ascii="Arial" w:cs="Arial" w:eastAsia="Arial" w:hAnsi="Arial"/>
                <w:sz w:val="14"/>
                <w:szCs w:val="14"/>
                <w:b w:val="1"/>
                <w:bCs w:val="1"/>
                <w:color w:val="FFFFFF"/>
                <w:w w:val="99"/>
              </w:rPr>
              <w:t>share-based</w:t>
            </w:r>
          </w:p>
        </w:tc>
        <w:tc>
          <w:tcPr>
            <w:tcW w:w="840" w:type="dxa"/>
            <w:vAlign w:val="bottom"/>
            <w:shd w:val="clear" w:color="auto" w:fill="153A57"/>
          </w:tcPr>
          <w:p>
            <w:pPr>
              <w:jc w:val="right"/>
              <w:spacing w:after="0"/>
              <w:rPr>
                <w:sz w:val="20"/>
                <w:szCs w:val="20"/>
                <w:color w:val="auto"/>
              </w:rPr>
            </w:pPr>
            <w:r>
              <w:rPr>
                <w:rFonts w:ascii="Arial" w:cs="Arial" w:eastAsia="Arial" w:hAnsi="Arial"/>
                <w:sz w:val="14"/>
                <w:szCs w:val="14"/>
                <w:b w:val="1"/>
                <w:bCs w:val="1"/>
                <w:color w:val="FFFFFF"/>
              </w:rPr>
              <w:t>based aw</w:t>
            </w:r>
          </w:p>
        </w:tc>
      </w:tr>
      <w:tr>
        <w:trPr>
          <w:trHeight w:val="211"/>
        </w:trPr>
        <w:tc>
          <w:tcPr>
            <w:tcW w:w="1980" w:type="dxa"/>
            <w:vAlign w:val="bottom"/>
            <w:shd w:val="clear" w:color="auto" w:fill="153A57"/>
          </w:tcPr>
          <w:p>
            <w:pPr>
              <w:spacing w:after="0"/>
              <w:rPr>
                <w:sz w:val="18"/>
                <w:szCs w:val="18"/>
                <w:color w:val="auto"/>
              </w:rPr>
            </w:pPr>
          </w:p>
        </w:tc>
        <w:tc>
          <w:tcPr>
            <w:tcW w:w="1340" w:type="dxa"/>
            <w:vAlign w:val="bottom"/>
            <w:shd w:val="clear" w:color="auto" w:fill="153A57"/>
          </w:tcPr>
          <w:p>
            <w:pPr>
              <w:jc w:val="center"/>
              <w:ind w:left="130"/>
              <w:spacing w:after="0"/>
              <w:rPr>
                <w:sz w:val="20"/>
                <w:szCs w:val="20"/>
                <w:color w:val="auto"/>
              </w:rPr>
            </w:pPr>
            <w:r>
              <w:rPr>
                <w:rFonts w:ascii="Arial" w:cs="Arial" w:eastAsia="Arial" w:hAnsi="Arial"/>
                <w:sz w:val="14"/>
                <w:szCs w:val="14"/>
                <w:b w:val="1"/>
                <w:bCs w:val="1"/>
                <w:color w:val="FFFFFF"/>
                <w:w w:val="97"/>
              </w:rPr>
              <w:t>underlying</w:t>
            </w:r>
          </w:p>
        </w:tc>
        <w:tc>
          <w:tcPr>
            <w:tcW w:w="940" w:type="dxa"/>
            <w:vAlign w:val="bottom"/>
            <w:gridSpan w:val="2"/>
            <w:shd w:val="clear" w:color="auto" w:fill="153A57"/>
          </w:tcPr>
          <w:p>
            <w:pPr>
              <w:ind w:left="120"/>
              <w:spacing w:after="0"/>
              <w:rPr>
                <w:sz w:val="20"/>
                <w:szCs w:val="20"/>
                <w:color w:val="auto"/>
              </w:rPr>
            </w:pPr>
            <w:r>
              <w:rPr>
                <w:rFonts w:ascii="Arial" w:cs="Arial" w:eastAsia="Arial" w:hAnsi="Arial"/>
                <w:sz w:val="14"/>
                <w:szCs w:val="14"/>
                <w:b w:val="1"/>
                <w:bCs w:val="1"/>
                <w:color w:val="FFFFFF"/>
              </w:rPr>
              <w:t>exercise</w:t>
            </w:r>
          </w:p>
        </w:tc>
        <w:tc>
          <w:tcPr>
            <w:tcW w:w="900" w:type="dxa"/>
            <w:vAlign w:val="bottom"/>
            <w:shd w:val="clear" w:color="auto" w:fill="153A57"/>
          </w:tcPr>
          <w:p>
            <w:pPr>
              <w:jc w:val="center"/>
              <w:spacing w:after="0"/>
              <w:rPr>
                <w:sz w:val="20"/>
                <w:szCs w:val="20"/>
                <w:color w:val="auto"/>
              </w:rPr>
            </w:pPr>
            <w:r>
              <w:rPr>
                <w:rFonts w:ascii="Arial" w:cs="Arial" w:eastAsia="Arial" w:hAnsi="Arial"/>
                <w:sz w:val="14"/>
                <w:szCs w:val="14"/>
                <w:b w:val="1"/>
                <w:bCs w:val="1"/>
                <w:color w:val="FFFFFF"/>
                <w:w w:val="98"/>
              </w:rPr>
              <w:t>Options</w:t>
            </w:r>
          </w:p>
        </w:tc>
        <w:tc>
          <w:tcPr>
            <w:tcW w:w="1220" w:type="dxa"/>
            <w:vAlign w:val="bottom"/>
            <w:gridSpan w:val="2"/>
            <w:shd w:val="clear" w:color="auto" w:fill="153A57"/>
          </w:tcPr>
          <w:p>
            <w:pPr>
              <w:jc w:val="center"/>
              <w:ind w:right="13"/>
              <w:spacing w:after="0"/>
              <w:rPr>
                <w:sz w:val="20"/>
                <w:szCs w:val="20"/>
                <w:color w:val="auto"/>
              </w:rPr>
            </w:pPr>
            <w:r>
              <w:rPr>
                <w:rFonts w:ascii="Arial" w:cs="Arial" w:eastAsia="Arial" w:hAnsi="Arial"/>
                <w:sz w:val="14"/>
                <w:szCs w:val="14"/>
                <w:b w:val="1"/>
                <w:bCs w:val="1"/>
                <w:color w:val="FFFFFF"/>
                <w:w w:val="98"/>
              </w:rPr>
              <w:t>the-money</w:t>
            </w:r>
          </w:p>
        </w:tc>
        <w:tc>
          <w:tcPr>
            <w:tcW w:w="1020" w:type="dxa"/>
            <w:vAlign w:val="bottom"/>
            <w:shd w:val="clear" w:color="auto" w:fill="153A57"/>
          </w:tcPr>
          <w:p>
            <w:pPr>
              <w:jc w:val="center"/>
              <w:spacing w:after="0"/>
              <w:rPr>
                <w:sz w:val="20"/>
                <w:szCs w:val="20"/>
                <w:color w:val="auto"/>
              </w:rPr>
            </w:pPr>
            <w:r>
              <w:rPr>
                <w:rFonts w:ascii="Arial" w:cs="Arial" w:eastAsia="Arial" w:hAnsi="Arial"/>
                <w:sz w:val="14"/>
                <w:szCs w:val="14"/>
                <w:b w:val="1"/>
                <w:bCs w:val="1"/>
                <w:color w:val="FFFFFF"/>
              </w:rPr>
              <w:t>shares that</w:t>
            </w:r>
          </w:p>
        </w:tc>
        <w:tc>
          <w:tcPr>
            <w:tcW w:w="200" w:type="dxa"/>
            <w:vAlign w:val="bottom"/>
            <w:shd w:val="clear" w:color="auto" w:fill="153A57"/>
          </w:tcPr>
          <w:p>
            <w:pPr>
              <w:spacing w:after="0"/>
              <w:rPr>
                <w:sz w:val="18"/>
                <w:szCs w:val="18"/>
                <w:color w:val="auto"/>
              </w:rPr>
            </w:pPr>
          </w:p>
        </w:tc>
        <w:tc>
          <w:tcPr>
            <w:tcW w:w="1120" w:type="dxa"/>
            <w:vAlign w:val="bottom"/>
            <w:shd w:val="clear" w:color="auto" w:fill="153A57"/>
          </w:tcPr>
          <w:p>
            <w:pPr>
              <w:jc w:val="center"/>
              <w:ind w:right="230"/>
              <w:spacing w:after="0"/>
              <w:rPr>
                <w:sz w:val="20"/>
                <w:szCs w:val="20"/>
                <w:color w:val="auto"/>
              </w:rPr>
            </w:pPr>
            <w:r>
              <w:rPr>
                <w:rFonts w:ascii="Arial" w:cs="Arial" w:eastAsia="Arial" w:hAnsi="Arial"/>
                <w:sz w:val="14"/>
                <w:szCs w:val="14"/>
                <w:b w:val="1"/>
                <w:bCs w:val="1"/>
                <w:color w:val="FFFFFF"/>
              </w:rPr>
              <w:t>awards that</w:t>
            </w:r>
          </w:p>
        </w:tc>
        <w:tc>
          <w:tcPr>
            <w:tcW w:w="840" w:type="dxa"/>
            <w:vAlign w:val="bottom"/>
            <w:shd w:val="clear" w:color="auto" w:fill="153A57"/>
          </w:tcPr>
          <w:p>
            <w:pPr>
              <w:jc w:val="right"/>
              <w:spacing w:after="0"/>
              <w:rPr>
                <w:sz w:val="20"/>
                <w:szCs w:val="20"/>
                <w:color w:val="auto"/>
              </w:rPr>
            </w:pPr>
            <w:r>
              <w:rPr>
                <w:rFonts w:ascii="Arial" w:cs="Arial" w:eastAsia="Arial" w:hAnsi="Arial"/>
                <w:sz w:val="14"/>
                <w:szCs w:val="14"/>
                <w:b w:val="1"/>
                <w:bCs w:val="1"/>
                <w:color w:val="FFFFFF"/>
              </w:rPr>
              <w:t>not paid o</w:t>
            </w:r>
          </w:p>
        </w:tc>
      </w:tr>
      <w:tr>
        <w:trPr>
          <w:trHeight w:val="211"/>
        </w:trPr>
        <w:tc>
          <w:tcPr>
            <w:tcW w:w="1980" w:type="dxa"/>
            <w:vAlign w:val="bottom"/>
            <w:shd w:val="clear" w:color="auto" w:fill="153A57"/>
          </w:tcPr>
          <w:p>
            <w:pPr>
              <w:spacing w:after="0"/>
              <w:rPr>
                <w:sz w:val="18"/>
                <w:szCs w:val="18"/>
                <w:color w:val="auto"/>
              </w:rPr>
            </w:pPr>
          </w:p>
        </w:tc>
        <w:tc>
          <w:tcPr>
            <w:tcW w:w="1340" w:type="dxa"/>
            <w:vAlign w:val="bottom"/>
            <w:shd w:val="clear" w:color="auto" w:fill="153A57"/>
          </w:tcPr>
          <w:p>
            <w:pPr>
              <w:jc w:val="center"/>
              <w:ind w:left="130"/>
              <w:spacing w:after="0"/>
              <w:rPr>
                <w:sz w:val="20"/>
                <w:szCs w:val="20"/>
                <w:color w:val="auto"/>
              </w:rPr>
            </w:pPr>
            <w:r>
              <w:rPr>
                <w:rFonts w:ascii="Arial" w:cs="Arial" w:eastAsia="Arial" w:hAnsi="Arial"/>
                <w:sz w:val="14"/>
                <w:szCs w:val="14"/>
                <w:b w:val="1"/>
                <w:bCs w:val="1"/>
                <w:color w:val="FFFFFF"/>
              </w:rPr>
              <w:t>unexercised</w:t>
            </w:r>
          </w:p>
        </w:tc>
        <w:tc>
          <w:tcPr>
            <w:tcW w:w="220" w:type="dxa"/>
            <w:vAlign w:val="bottom"/>
            <w:shd w:val="clear" w:color="auto" w:fill="153A57"/>
          </w:tcPr>
          <w:p>
            <w:pPr>
              <w:spacing w:after="0"/>
              <w:rPr>
                <w:sz w:val="18"/>
                <w:szCs w:val="18"/>
                <w:color w:val="auto"/>
              </w:rPr>
            </w:pPr>
          </w:p>
        </w:tc>
        <w:tc>
          <w:tcPr>
            <w:tcW w:w="720" w:type="dxa"/>
            <w:vAlign w:val="bottom"/>
            <w:shd w:val="clear" w:color="auto" w:fill="153A57"/>
          </w:tcPr>
          <w:p>
            <w:pPr>
              <w:jc w:val="center"/>
              <w:ind w:right="250"/>
              <w:spacing w:after="0"/>
              <w:rPr>
                <w:sz w:val="20"/>
                <w:szCs w:val="20"/>
                <w:color w:val="auto"/>
              </w:rPr>
            </w:pPr>
            <w:r>
              <w:rPr>
                <w:rFonts w:ascii="Arial" w:cs="Arial" w:eastAsia="Arial" w:hAnsi="Arial"/>
                <w:sz w:val="14"/>
                <w:szCs w:val="14"/>
                <w:b w:val="1"/>
                <w:bCs w:val="1"/>
                <w:color w:val="FFFFFF"/>
                <w:w w:val="95"/>
              </w:rPr>
              <w:t>price</w:t>
            </w:r>
          </w:p>
        </w:tc>
        <w:tc>
          <w:tcPr>
            <w:tcW w:w="900" w:type="dxa"/>
            <w:vAlign w:val="bottom"/>
            <w:shd w:val="clear" w:color="auto" w:fill="153A57"/>
          </w:tcPr>
          <w:p>
            <w:pPr>
              <w:jc w:val="center"/>
              <w:spacing w:after="0"/>
              <w:rPr>
                <w:sz w:val="20"/>
                <w:szCs w:val="20"/>
                <w:color w:val="auto"/>
              </w:rPr>
            </w:pPr>
            <w:r>
              <w:rPr>
                <w:rFonts w:ascii="Arial" w:cs="Arial" w:eastAsia="Arial" w:hAnsi="Arial"/>
                <w:sz w:val="14"/>
                <w:szCs w:val="14"/>
                <w:b w:val="1"/>
                <w:bCs w:val="1"/>
                <w:color w:val="FFFFFF"/>
              </w:rPr>
              <w:t>expiration</w:t>
            </w:r>
          </w:p>
        </w:tc>
        <w:tc>
          <w:tcPr>
            <w:tcW w:w="1220" w:type="dxa"/>
            <w:vAlign w:val="bottom"/>
            <w:gridSpan w:val="2"/>
            <w:shd w:val="clear" w:color="auto" w:fill="153A57"/>
          </w:tcPr>
          <w:p>
            <w:pPr>
              <w:jc w:val="center"/>
              <w:ind w:right="13"/>
              <w:spacing w:after="0"/>
              <w:rPr>
                <w:sz w:val="20"/>
                <w:szCs w:val="20"/>
                <w:color w:val="auto"/>
              </w:rPr>
            </w:pPr>
            <w:r>
              <w:rPr>
                <w:rFonts w:ascii="Arial" w:cs="Arial" w:eastAsia="Arial" w:hAnsi="Arial"/>
                <w:sz w:val="14"/>
                <w:szCs w:val="14"/>
                <w:b w:val="1"/>
                <w:bCs w:val="1"/>
                <w:color w:val="FFFFFF"/>
              </w:rPr>
              <w:t>Options (US$)</w:t>
            </w:r>
          </w:p>
        </w:tc>
        <w:tc>
          <w:tcPr>
            <w:tcW w:w="1020" w:type="dxa"/>
            <w:vAlign w:val="bottom"/>
            <w:shd w:val="clear" w:color="auto" w:fill="153A57"/>
          </w:tcPr>
          <w:p>
            <w:pPr>
              <w:jc w:val="center"/>
              <w:ind w:right="10"/>
              <w:spacing w:after="0"/>
              <w:rPr>
                <w:sz w:val="20"/>
                <w:szCs w:val="20"/>
                <w:color w:val="auto"/>
              </w:rPr>
            </w:pPr>
            <w:r>
              <w:rPr>
                <w:rFonts w:ascii="Arial" w:cs="Arial" w:eastAsia="Arial" w:hAnsi="Arial"/>
                <w:sz w:val="14"/>
                <w:szCs w:val="14"/>
                <w:b w:val="1"/>
                <w:bCs w:val="1"/>
                <w:color w:val="FFFFFF"/>
              </w:rPr>
              <w:t>have not</w:t>
            </w:r>
          </w:p>
        </w:tc>
        <w:tc>
          <w:tcPr>
            <w:tcW w:w="200" w:type="dxa"/>
            <w:vAlign w:val="bottom"/>
            <w:shd w:val="clear" w:color="auto" w:fill="153A57"/>
          </w:tcPr>
          <w:p>
            <w:pPr>
              <w:spacing w:after="0"/>
              <w:rPr>
                <w:sz w:val="18"/>
                <w:szCs w:val="18"/>
                <w:color w:val="auto"/>
              </w:rPr>
            </w:pPr>
          </w:p>
        </w:tc>
        <w:tc>
          <w:tcPr>
            <w:tcW w:w="1120" w:type="dxa"/>
            <w:vAlign w:val="bottom"/>
            <w:shd w:val="clear" w:color="auto" w:fill="153A57"/>
          </w:tcPr>
          <w:p>
            <w:pPr>
              <w:jc w:val="center"/>
              <w:ind w:right="230"/>
              <w:spacing w:after="0"/>
              <w:rPr>
                <w:sz w:val="20"/>
                <w:szCs w:val="20"/>
                <w:color w:val="auto"/>
              </w:rPr>
            </w:pPr>
            <w:r>
              <w:rPr>
                <w:rFonts w:ascii="Arial" w:cs="Arial" w:eastAsia="Arial" w:hAnsi="Arial"/>
                <w:sz w:val="14"/>
                <w:szCs w:val="14"/>
                <w:b w:val="1"/>
                <w:bCs w:val="1"/>
                <w:color w:val="FFFFFF"/>
              </w:rPr>
              <w:t>have not</w:t>
            </w:r>
          </w:p>
        </w:tc>
        <w:tc>
          <w:tcPr>
            <w:tcW w:w="840" w:type="dxa"/>
            <w:vAlign w:val="bottom"/>
            <w:shd w:val="clear" w:color="auto" w:fill="153A57"/>
          </w:tcPr>
          <w:p>
            <w:pPr>
              <w:jc w:val="right"/>
              <w:spacing w:after="0"/>
              <w:rPr>
                <w:sz w:val="20"/>
                <w:szCs w:val="20"/>
                <w:color w:val="auto"/>
              </w:rPr>
            </w:pPr>
            <w:r>
              <w:rPr>
                <w:rFonts w:ascii="Arial" w:cs="Arial" w:eastAsia="Arial" w:hAnsi="Arial"/>
                <w:sz w:val="14"/>
                <w:szCs w:val="14"/>
                <w:b w:val="1"/>
                <w:bCs w:val="1"/>
                <w:color w:val="FFFFFF"/>
              </w:rPr>
              <w:t>distribut</w:t>
            </w:r>
          </w:p>
        </w:tc>
      </w:tr>
      <w:tr>
        <w:trPr>
          <w:trHeight w:val="240"/>
        </w:trPr>
        <w:tc>
          <w:tcPr>
            <w:tcW w:w="1980" w:type="dxa"/>
            <w:vAlign w:val="bottom"/>
            <w:shd w:val="clear" w:color="auto" w:fill="153A57"/>
          </w:tcPr>
          <w:p>
            <w:pPr>
              <w:ind w:left="100"/>
              <w:spacing w:after="0"/>
              <w:rPr>
                <w:sz w:val="20"/>
                <w:szCs w:val="20"/>
                <w:color w:val="auto"/>
              </w:rPr>
            </w:pPr>
            <w:r>
              <w:rPr>
                <w:rFonts w:ascii="Arial" w:cs="Arial" w:eastAsia="Arial" w:hAnsi="Arial"/>
                <w:sz w:val="14"/>
                <w:szCs w:val="14"/>
                <w:b w:val="1"/>
                <w:bCs w:val="1"/>
                <w:color w:val="FFFFFF"/>
              </w:rPr>
              <w:t>Name</w:t>
            </w:r>
          </w:p>
        </w:tc>
        <w:tc>
          <w:tcPr>
            <w:tcW w:w="1340" w:type="dxa"/>
            <w:vAlign w:val="bottom"/>
            <w:shd w:val="clear" w:color="auto" w:fill="153A57"/>
          </w:tcPr>
          <w:p>
            <w:pPr>
              <w:jc w:val="center"/>
              <w:ind w:left="130"/>
              <w:spacing w:after="0"/>
              <w:rPr>
                <w:sz w:val="20"/>
                <w:szCs w:val="20"/>
                <w:color w:val="auto"/>
              </w:rPr>
            </w:pPr>
            <w:r>
              <w:rPr>
                <w:rFonts w:ascii="Arial" w:cs="Arial" w:eastAsia="Arial" w:hAnsi="Arial"/>
                <w:sz w:val="14"/>
                <w:szCs w:val="14"/>
                <w:b w:val="1"/>
                <w:bCs w:val="1"/>
                <w:color w:val="FFFFFF"/>
              </w:rPr>
              <w:t>Options (#)</w:t>
            </w:r>
          </w:p>
        </w:tc>
        <w:tc>
          <w:tcPr>
            <w:tcW w:w="220" w:type="dxa"/>
            <w:vAlign w:val="bottom"/>
            <w:shd w:val="clear" w:color="auto" w:fill="153A57"/>
          </w:tcPr>
          <w:p>
            <w:pPr>
              <w:spacing w:after="0"/>
              <w:rPr>
                <w:sz w:val="20"/>
                <w:szCs w:val="20"/>
                <w:color w:val="auto"/>
              </w:rPr>
            </w:pPr>
          </w:p>
        </w:tc>
        <w:tc>
          <w:tcPr>
            <w:tcW w:w="720" w:type="dxa"/>
            <w:vAlign w:val="bottom"/>
            <w:shd w:val="clear" w:color="auto" w:fill="153A57"/>
          </w:tcPr>
          <w:p>
            <w:pPr>
              <w:jc w:val="center"/>
              <w:ind w:right="250"/>
              <w:spacing w:after="0"/>
              <w:rPr>
                <w:sz w:val="20"/>
                <w:szCs w:val="20"/>
                <w:color w:val="auto"/>
              </w:rPr>
            </w:pPr>
            <w:r>
              <w:rPr>
                <w:rFonts w:ascii="Arial" w:cs="Arial" w:eastAsia="Arial" w:hAnsi="Arial"/>
                <w:sz w:val="14"/>
                <w:szCs w:val="14"/>
                <w:b w:val="1"/>
                <w:bCs w:val="1"/>
                <w:color w:val="FFFFFF"/>
                <w:w w:val="98"/>
              </w:rPr>
              <w:t>(US$)</w:t>
            </w:r>
          </w:p>
        </w:tc>
        <w:tc>
          <w:tcPr>
            <w:tcW w:w="900" w:type="dxa"/>
            <w:vAlign w:val="bottom"/>
            <w:shd w:val="clear" w:color="auto" w:fill="153A57"/>
          </w:tcPr>
          <w:p>
            <w:pPr>
              <w:jc w:val="center"/>
              <w:spacing w:after="0"/>
              <w:rPr>
                <w:sz w:val="20"/>
                <w:szCs w:val="20"/>
                <w:color w:val="auto"/>
              </w:rPr>
            </w:pPr>
            <w:r>
              <w:rPr>
                <w:rFonts w:ascii="Arial" w:cs="Arial" w:eastAsia="Arial" w:hAnsi="Arial"/>
                <w:sz w:val="14"/>
                <w:szCs w:val="14"/>
                <w:b w:val="1"/>
                <w:bCs w:val="1"/>
                <w:color w:val="FFFFFF"/>
                <w:w w:val="97"/>
              </w:rPr>
              <w:t>date</w:t>
            </w:r>
          </w:p>
        </w:tc>
        <w:tc>
          <w:tcPr>
            <w:tcW w:w="280" w:type="dxa"/>
            <w:vAlign w:val="bottom"/>
            <w:shd w:val="clear" w:color="auto" w:fill="153A57"/>
          </w:tcPr>
          <w:p>
            <w:pPr>
              <w:spacing w:after="0"/>
              <w:rPr>
                <w:sz w:val="20"/>
                <w:szCs w:val="20"/>
                <w:color w:val="auto"/>
              </w:rPr>
            </w:pPr>
          </w:p>
        </w:tc>
        <w:tc>
          <w:tcPr>
            <w:tcW w:w="940" w:type="dxa"/>
            <w:vAlign w:val="bottom"/>
            <w:shd w:val="clear" w:color="auto" w:fill="153A57"/>
          </w:tcPr>
          <w:p>
            <w:pPr>
              <w:jc w:val="center"/>
              <w:ind w:right="233"/>
              <w:spacing w:after="0"/>
              <w:rPr>
                <w:sz w:val="20"/>
                <w:szCs w:val="20"/>
                <w:color w:val="auto"/>
              </w:rPr>
            </w:pPr>
            <w:r>
              <w:rPr>
                <w:rFonts w:ascii="Arial" w:cs="Arial" w:eastAsia="Arial" w:hAnsi="Arial"/>
                <w:sz w:val="9"/>
                <w:szCs w:val="9"/>
                <w:b w:val="1"/>
                <w:bCs w:val="1"/>
                <w:color w:val="FFFFFF"/>
              </w:rPr>
              <w:t>(1)</w:t>
            </w:r>
          </w:p>
        </w:tc>
        <w:tc>
          <w:tcPr>
            <w:tcW w:w="1020" w:type="dxa"/>
            <w:vAlign w:val="bottom"/>
            <w:shd w:val="clear" w:color="auto" w:fill="153A57"/>
          </w:tcPr>
          <w:p>
            <w:pPr>
              <w:jc w:val="center"/>
              <w:spacing w:after="0"/>
              <w:rPr>
                <w:sz w:val="20"/>
                <w:szCs w:val="20"/>
                <w:color w:val="auto"/>
              </w:rPr>
            </w:pPr>
            <w:r>
              <w:rPr>
                <w:rFonts w:ascii="Arial" w:cs="Arial" w:eastAsia="Arial" w:hAnsi="Arial"/>
                <w:sz w:val="14"/>
                <w:szCs w:val="14"/>
                <w:b w:val="1"/>
                <w:bCs w:val="1"/>
                <w:color w:val="FFFFFF"/>
                <w:w w:val="97"/>
              </w:rPr>
              <w:t>vested (#)</w:t>
            </w:r>
          </w:p>
        </w:tc>
        <w:tc>
          <w:tcPr>
            <w:tcW w:w="1320" w:type="dxa"/>
            <w:vAlign w:val="bottom"/>
            <w:gridSpan w:val="2"/>
            <w:shd w:val="clear" w:color="auto" w:fill="153A57"/>
          </w:tcPr>
          <w:p>
            <w:pPr>
              <w:ind w:left="120"/>
              <w:spacing w:after="0"/>
              <w:rPr>
                <w:sz w:val="20"/>
                <w:szCs w:val="20"/>
                <w:color w:val="auto"/>
              </w:rPr>
            </w:pPr>
            <w:r>
              <w:rPr>
                <w:rFonts w:ascii="Arial" w:cs="Arial" w:eastAsia="Arial" w:hAnsi="Arial"/>
                <w:sz w:val="14"/>
                <w:szCs w:val="14"/>
                <w:b w:val="1"/>
                <w:bCs w:val="1"/>
                <w:color w:val="FFFFFF"/>
              </w:rPr>
              <w:t xml:space="preserve">vested (US$) </w:t>
            </w:r>
            <w:r>
              <w:rPr>
                <w:rFonts w:ascii="Arial" w:cs="Arial" w:eastAsia="Arial" w:hAnsi="Arial"/>
                <w:sz w:val="18"/>
                <w:szCs w:val="18"/>
                <w:b w:val="1"/>
                <w:bCs w:val="1"/>
                <w:color w:val="FFFFFF"/>
                <w:vertAlign w:val="superscript"/>
              </w:rPr>
              <w:t>(2)</w:t>
            </w:r>
          </w:p>
        </w:tc>
        <w:tc>
          <w:tcPr>
            <w:tcW w:w="840" w:type="dxa"/>
            <w:vAlign w:val="bottom"/>
            <w:shd w:val="clear" w:color="auto" w:fill="153A57"/>
          </w:tcPr>
          <w:p>
            <w:pPr>
              <w:jc w:val="center"/>
              <w:ind w:left="410"/>
              <w:spacing w:after="0"/>
              <w:rPr>
                <w:sz w:val="20"/>
                <w:szCs w:val="20"/>
                <w:color w:val="auto"/>
              </w:rPr>
            </w:pPr>
            <w:r>
              <w:rPr>
                <w:rFonts w:ascii="Arial" w:cs="Arial" w:eastAsia="Arial" w:hAnsi="Arial"/>
                <w:sz w:val="14"/>
                <w:szCs w:val="14"/>
                <w:b w:val="1"/>
                <w:bCs w:val="1"/>
                <w:color w:val="FFFFFF"/>
                <w:w w:val="98"/>
              </w:rPr>
              <w:t>(US$)</w:t>
            </w:r>
          </w:p>
        </w:tc>
      </w:tr>
      <w:tr>
        <w:trPr>
          <w:trHeight w:val="196"/>
        </w:trPr>
        <w:tc>
          <w:tcPr>
            <w:tcW w:w="1980" w:type="dxa"/>
            <w:vAlign w:val="bottom"/>
          </w:tcPr>
          <w:p>
            <w:pPr>
              <w:ind w:left="100"/>
              <w:spacing w:after="0"/>
              <w:rPr>
                <w:sz w:val="20"/>
                <w:szCs w:val="20"/>
                <w:color w:val="auto"/>
              </w:rPr>
            </w:pPr>
            <w:r>
              <w:rPr>
                <w:rFonts w:ascii="Arial" w:cs="Arial" w:eastAsia="Arial" w:hAnsi="Arial"/>
                <w:sz w:val="14"/>
                <w:szCs w:val="14"/>
                <w:b w:val="1"/>
                <w:bCs w:val="1"/>
                <w:color w:val="auto"/>
              </w:rPr>
              <w:t>George Ireland</w:t>
            </w: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150,000</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5.56</w:t>
            </w:r>
          </w:p>
        </w:tc>
        <w:tc>
          <w:tcPr>
            <w:tcW w:w="900" w:type="dxa"/>
            <w:vAlign w:val="bottom"/>
          </w:tcPr>
          <w:p>
            <w:pPr>
              <w:jc w:val="center"/>
              <w:ind w:left="70"/>
              <w:spacing w:after="0"/>
              <w:rPr>
                <w:sz w:val="20"/>
                <w:szCs w:val="20"/>
                <w:color w:val="auto"/>
              </w:rPr>
            </w:pPr>
            <w:r>
              <w:rPr>
                <w:rFonts w:ascii="Arial" w:cs="Arial" w:eastAsia="Arial" w:hAnsi="Arial"/>
                <w:sz w:val="14"/>
                <w:szCs w:val="14"/>
                <w:color w:val="auto"/>
                <w:w w:val="97"/>
              </w:rPr>
              <w:t>3-Dec-30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3"/>
              <w:spacing w:after="0"/>
              <w:rPr>
                <w:sz w:val="20"/>
                <w:szCs w:val="20"/>
                <w:color w:val="auto"/>
              </w:rPr>
            </w:pPr>
            <w:r>
              <w:rPr>
                <w:rFonts w:ascii="Arial" w:cs="Arial" w:eastAsia="Arial" w:hAnsi="Arial"/>
                <w:sz w:val="14"/>
                <w:szCs w:val="14"/>
                <w:color w:val="auto"/>
              </w:rPr>
              <w:t>3,000</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305,817</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1,706,459</w:t>
            </w:r>
          </w:p>
        </w:tc>
        <w:tc>
          <w:tcPr>
            <w:tcW w:w="840" w:type="dxa"/>
            <w:vAlign w:val="bottom"/>
          </w:tcPr>
          <w:p>
            <w:pPr>
              <w:jc w:val="center"/>
              <w:ind w:left="430"/>
              <w:spacing w:after="0"/>
              <w:rPr>
                <w:sz w:val="20"/>
                <w:szCs w:val="20"/>
                <w:color w:val="auto"/>
              </w:rPr>
            </w:pPr>
            <w:r>
              <w:rPr>
                <w:rFonts w:ascii="Arial" w:cs="Arial" w:eastAsia="Arial" w:hAnsi="Arial"/>
                <w:sz w:val="14"/>
                <w:szCs w:val="14"/>
                <w:color w:val="auto"/>
              </w:rPr>
              <w:t>-</w:t>
            </w:r>
          </w:p>
        </w:tc>
      </w:tr>
      <w:tr>
        <w:trPr>
          <w:trHeight w:val="236"/>
        </w:trPr>
        <w:tc>
          <w:tcPr>
            <w:tcW w:w="1980" w:type="dxa"/>
            <w:vAlign w:val="bottom"/>
          </w:tcPr>
          <w:p>
            <w:pPr>
              <w:ind w:left="100"/>
              <w:spacing w:after="0"/>
              <w:rPr>
                <w:sz w:val="20"/>
                <w:szCs w:val="20"/>
                <w:color w:val="auto"/>
              </w:rPr>
            </w:pPr>
            <w:r>
              <w:rPr>
                <w:rFonts w:ascii="Arial" w:cs="Arial" w:eastAsia="Arial" w:hAnsi="Arial"/>
                <w:sz w:val="14"/>
                <w:szCs w:val="14"/>
                <w:b w:val="1"/>
                <w:bCs w:val="1"/>
                <w:color w:val="auto"/>
              </w:rPr>
              <w:t>Diego Lopez Casanello</w:t>
            </w: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150,000</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5.56</w:t>
            </w:r>
          </w:p>
        </w:tc>
        <w:tc>
          <w:tcPr>
            <w:tcW w:w="900" w:type="dxa"/>
            <w:vAlign w:val="bottom"/>
          </w:tcPr>
          <w:p>
            <w:pPr>
              <w:jc w:val="center"/>
              <w:ind w:left="70"/>
              <w:spacing w:after="0"/>
              <w:rPr>
                <w:sz w:val="20"/>
                <w:szCs w:val="20"/>
                <w:color w:val="auto"/>
              </w:rPr>
            </w:pPr>
            <w:r>
              <w:rPr>
                <w:rFonts w:ascii="Arial" w:cs="Arial" w:eastAsia="Arial" w:hAnsi="Arial"/>
                <w:sz w:val="14"/>
                <w:szCs w:val="14"/>
                <w:color w:val="auto"/>
                <w:w w:val="97"/>
              </w:rPr>
              <w:t>3-Dec-30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3"/>
              <w:spacing w:after="0"/>
              <w:rPr>
                <w:sz w:val="20"/>
                <w:szCs w:val="20"/>
                <w:color w:val="auto"/>
              </w:rPr>
            </w:pPr>
            <w:r>
              <w:rPr>
                <w:rFonts w:ascii="Arial" w:cs="Arial" w:eastAsia="Arial" w:hAnsi="Arial"/>
                <w:sz w:val="14"/>
                <w:szCs w:val="14"/>
                <w:color w:val="auto"/>
              </w:rPr>
              <w:t>3,000</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167,917</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936,977</w:t>
            </w:r>
          </w:p>
        </w:tc>
        <w:tc>
          <w:tcPr>
            <w:tcW w:w="840" w:type="dxa"/>
            <w:vAlign w:val="bottom"/>
          </w:tcPr>
          <w:p>
            <w:pPr>
              <w:jc w:val="center"/>
              <w:ind w:left="430"/>
              <w:spacing w:after="0"/>
              <w:rPr>
                <w:sz w:val="20"/>
                <w:szCs w:val="20"/>
                <w:color w:val="auto"/>
              </w:rPr>
            </w:pPr>
            <w:r>
              <w:rPr>
                <w:rFonts w:ascii="Arial" w:cs="Arial" w:eastAsia="Arial" w:hAnsi="Arial"/>
                <w:sz w:val="14"/>
                <w:szCs w:val="14"/>
                <w:color w:val="auto"/>
              </w:rPr>
              <w:t>-</w:t>
            </w:r>
          </w:p>
        </w:tc>
      </w:tr>
      <w:tr>
        <w:trPr>
          <w:trHeight w:val="236"/>
        </w:trPr>
        <w:tc>
          <w:tcPr>
            <w:tcW w:w="1980" w:type="dxa"/>
            <w:vAlign w:val="bottom"/>
          </w:tcPr>
          <w:p>
            <w:pPr>
              <w:ind w:left="100"/>
              <w:spacing w:after="0"/>
              <w:rPr>
                <w:sz w:val="20"/>
                <w:szCs w:val="20"/>
                <w:color w:val="auto"/>
              </w:rPr>
            </w:pPr>
            <w:r>
              <w:rPr>
                <w:rFonts w:ascii="Arial" w:cs="Arial" w:eastAsia="Arial" w:hAnsi="Arial"/>
                <w:sz w:val="14"/>
                <w:szCs w:val="14"/>
                <w:b w:val="1"/>
                <w:bCs w:val="1"/>
                <w:color w:val="auto"/>
              </w:rPr>
              <w:t>Robert Doyle</w:t>
            </w: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150,000</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5.4</w:t>
            </w:r>
          </w:p>
        </w:tc>
        <w:tc>
          <w:tcPr>
            <w:tcW w:w="900" w:type="dxa"/>
            <w:vAlign w:val="bottom"/>
          </w:tcPr>
          <w:p>
            <w:pPr>
              <w:jc w:val="center"/>
              <w:ind w:left="70"/>
              <w:spacing w:after="0"/>
              <w:rPr>
                <w:sz w:val="20"/>
                <w:szCs w:val="20"/>
                <w:color w:val="auto"/>
              </w:rPr>
            </w:pPr>
            <w:r>
              <w:rPr>
                <w:rFonts w:ascii="Arial" w:cs="Arial" w:eastAsia="Arial" w:hAnsi="Arial"/>
                <w:sz w:val="14"/>
                <w:szCs w:val="14"/>
                <w:color w:val="auto"/>
                <w:w w:val="97"/>
              </w:rPr>
              <w:t>3-Dec-30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3"/>
              <w:spacing w:after="0"/>
              <w:rPr>
                <w:sz w:val="20"/>
                <w:szCs w:val="20"/>
                <w:color w:val="auto"/>
              </w:rPr>
            </w:pPr>
            <w:r>
              <w:rPr>
                <w:rFonts w:ascii="Arial" w:cs="Arial" w:eastAsia="Arial" w:hAnsi="Arial"/>
                <w:sz w:val="14"/>
                <w:szCs w:val="14"/>
                <w:color w:val="auto"/>
              </w:rPr>
              <w:t>27,000</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167,917</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936,977</w:t>
            </w:r>
          </w:p>
        </w:tc>
        <w:tc>
          <w:tcPr>
            <w:tcW w:w="840" w:type="dxa"/>
            <w:vAlign w:val="bottom"/>
          </w:tcPr>
          <w:p>
            <w:pPr>
              <w:jc w:val="center"/>
              <w:ind w:left="430"/>
              <w:spacing w:after="0"/>
              <w:rPr>
                <w:sz w:val="20"/>
                <w:szCs w:val="20"/>
                <w:color w:val="auto"/>
              </w:rPr>
            </w:pPr>
            <w:r>
              <w:rPr>
                <w:rFonts w:ascii="Arial" w:cs="Arial" w:eastAsia="Arial" w:hAnsi="Arial"/>
                <w:sz w:val="14"/>
                <w:szCs w:val="14"/>
                <w:color w:val="auto"/>
              </w:rPr>
              <w:t>-</w:t>
            </w:r>
          </w:p>
        </w:tc>
      </w:tr>
      <w:tr>
        <w:trPr>
          <w:trHeight w:val="287"/>
        </w:trPr>
        <w:tc>
          <w:tcPr>
            <w:tcW w:w="1980" w:type="dxa"/>
            <w:vAlign w:val="bottom"/>
          </w:tcPr>
          <w:p>
            <w:pPr>
              <w:ind w:left="100"/>
              <w:spacing w:after="0"/>
              <w:rPr>
                <w:sz w:val="20"/>
                <w:szCs w:val="20"/>
                <w:color w:val="auto"/>
              </w:rPr>
            </w:pPr>
            <w:r>
              <w:rPr>
                <w:rFonts w:ascii="Arial" w:cs="Arial" w:eastAsia="Arial" w:hAnsi="Arial"/>
                <w:sz w:val="14"/>
                <w:szCs w:val="14"/>
                <w:b w:val="1"/>
                <w:bCs w:val="1"/>
                <w:color w:val="auto"/>
              </w:rPr>
              <w:t xml:space="preserve">Monica Moretto </w:t>
            </w:r>
            <w:r>
              <w:rPr>
                <w:rFonts w:ascii="Arial" w:cs="Arial" w:eastAsia="Arial" w:hAnsi="Arial"/>
                <w:sz w:val="18"/>
                <w:szCs w:val="18"/>
                <w:b w:val="1"/>
                <w:bCs w:val="1"/>
                <w:color w:val="auto"/>
                <w:vertAlign w:val="superscript"/>
              </w:rPr>
              <w:t>(3)</w:t>
            </w:r>
          </w:p>
        </w:tc>
        <w:tc>
          <w:tcPr>
            <w:tcW w:w="1340" w:type="dxa"/>
            <w:vAlign w:val="bottom"/>
          </w:tcPr>
          <w:p>
            <w:pPr>
              <w:jc w:val="right"/>
              <w:ind w:right="3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left="70"/>
              <w:spacing w:after="0"/>
              <w:rPr>
                <w:sz w:val="20"/>
                <w:szCs w:val="20"/>
                <w:color w:val="auto"/>
              </w:rPr>
            </w:pPr>
            <w:r>
              <w:rPr>
                <w:rFonts w:ascii="Arial" w:cs="Arial" w:eastAsia="Arial" w:hAnsi="Arial"/>
                <w:sz w:val="14"/>
                <w:szCs w:val="14"/>
                <w:color w:val="auto"/>
                <w:w w:val="84"/>
              </w:rPr>
              <w:t>-</w:t>
            </w:r>
          </w:p>
        </w:tc>
        <w:tc>
          <w:tcPr>
            <w:tcW w:w="280" w:type="dxa"/>
            <w:vAlign w:val="bottom"/>
          </w:tcPr>
          <w:p>
            <w:pPr>
              <w:spacing w:after="0"/>
              <w:rPr>
                <w:sz w:val="24"/>
                <w:szCs w:val="24"/>
                <w:color w:val="auto"/>
              </w:rPr>
            </w:pPr>
          </w:p>
        </w:tc>
        <w:tc>
          <w:tcPr>
            <w:tcW w:w="940" w:type="dxa"/>
            <w:vAlign w:val="bottom"/>
          </w:tcPr>
          <w:p>
            <w:pPr>
              <w:jc w:val="right"/>
              <w:ind w:right="493"/>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100,639</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561,566</w:t>
            </w:r>
          </w:p>
        </w:tc>
        <w:tc>
          <w:tcPr>
            <w:tcW w:w="840" w:type="dxa"/>
            <w:vAlign w:val="bottom"/>
          </w:tcPr>
          <w:p>
            <w:pPr>
              <w:jc w:val="center"/>
              <w:ind w:left="430"/>
              <w:spacing w:after="0"/>
              <w:rPr>
                <w:sz w:val="20"/>
                <w:szCs w:val="20"/>
                <w:color w:val="auto"/>
              </w:rPr>
            </w:pPr>
            <w:r>
              <w:rPr>
                <w:rFonts w:ascii="Arial" w:cs="Arial" w:eastAsia="Arial" w:hAnsi="Arial"/>
                <w:sz w:val="14"/>
                <w:szCs w:val="14"/>
                <w:color w:val="auto"/>
              </w:rPr>
              <w:t>-</w:t>
            </w:r>
          </w:p>
        </w:tc>
      </w:tr>
      <w:tr>
        <w:trPr>
          <w:trHeight w:val="184"/>
        </w:trPr>
        <w:tc>
          <w:tcPr>
            <w:tcW w:w="1980" w:type="dxa"/>
            <w:vAlign w:val="bottom"/>
          </w:tcPr>
          <w:p>
            <w:pPr>
              <w:ind w:left="100"/>
              <w:spacing w:after="0"/>
              <w:rPr>
                <w:sz w:val="20"/>
                <w:szCs w:val="20"/>
                <w:color w:val="auto"/>
              </w:rPr>
            </w:pPr>
            <w:r>
              <w:rPr>
                <w:rFonts w:ascii="Arial" w:cs="Arial" w:eastAsia="Arial" w:hAnsi="Arial"/>
                <w:sz w:val="14"/>
                <w:szCs w:val="14"/>
                <w:b w:val="1"/>
                <w:bCs w:val="1"/>
                <w:color w:val="auto"/>
              </w:rPr>
              <w:t>Calum Morrison</w:t>
            </w: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150,000</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5.4</w:t>
            </w:r>
          </w:p>
        </w:tc>
        <w:tc>
          <w:tcPr>
            <w:tcW w:w="900" w:type="dxa"/>
            <w:vAlign w:val="bottom"/>
          </w:tcPr>
          <w:p>
            <w:pPr>
              <w:jc w:val="center"/>
              <w:ind w:left="70"/>
              <w:spacing w:after="0"/>
              <w:rPr>
                <w:sz w:val="20"/>
                <w:szCs w:val="20"/>
                <w:color w:val="auto"/>
              </w:rPr>
            </w:pPr>
            <w:r>
              <w:rPr>
                <w:rFonts w:ascii="Arial" w:cs="Arial" w:eastAsia="Arial" w:hAnsi="Arial"/>
                <w:sz w:val="14"/>
                <w:szCs w:val="14"/>
                <w:color w:val="auto"/>
                <w:w w:val="97"/>
              </w:rPr>
              <w:t>3-Dec-30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3"/>
              <w:spacing w:after="0"/>
              <w:rPr>
                <w:sz w:val="20"/>
                <w:szCs w:val="20"/>
                <w:color w:val="auto"/>
              </w:rPr>
            </w:pPr>
            <w:r>
              <w:rPr>
                <w:rFonts w:ascii="Arial" w:cs="Arial" w:eastAsia="Arial" w:hAnsi="Arial"/>
                <w:sz w:val="14"/>
                <w:szCs w:val="14"/>
                <w:color w:val="auto"/>
              </w:rPr>
              <w:t>27,000</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167,917</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936,977</w:t>
            </w:r>
          </w:p>
        </w:tc>
        <w:tc>
          <w:tcPr>
            <w:tcW w:w="840" w:type="dxa"/>
            <w:vAlign w:val="bottom"/>
          </w:tcPr>
          <w:p>
            <w:pPr>
              <w:jc w:val="center"/>
              <w:ind w:left="430"/>
              <w:spacing w:after="0"/>
              <w:rPr>
                <w:sz w:val="20"/>
                <w:szCs w:val="20"/>
                <w:color w:val="auto"/>
              </w:rPr>
            </w:pPr>
            <w:r>
              <w:rPr>
                <w:rFonts w:ascii="Arial" w:cs="Arial" w:eastAsia="Arial" w:hAnsi="Arial"/>
                <w:sz w:val="14"/>
                <w:szCs w:val="14"/>
                <w:color w:val="auto"/>
              </w:rPr>
              <w:t>-</w:t>
            </w:r>
          </w:p>
        </w:tc>
      </w:tr>
      <w:tr>
        <w:trPr>
          <w:trHeight w:val="287"/>
        </w:trPr>
        <w:tc>
          <w:tcPr>
            <w:tcW w:w="1980" w:type="dxa"/>
            <w:vAlign w:val="bottom"/>
          </w:tcPr>
          <w:p>
            <w:pPr>
              <w:ind w:left="100"/>
              <w:spacing w:after="0"/>
              <w:rPr>
                <w:sz w:val="20"/>
                <w:szCs w:val="20"/>
                <w:color w:val="auto"/>
              </w:rPr>
            </w:pPr>
            <w:r>
              <w:rPr>
                <w:rFonts w:ascii="Arial" w:cs="Arial" w:eastAsia="Arial" w:hAnsi="Arial"/>
                <w:sz w:val="14"/>
                <w:szCs w:val="14"/>
                <w:b w:val="1"/>
                <w:bCs w:val="1"/>
                <w:color w:val="auto"/>
              </w:rPr>
              <w:t xml:space="preserve">Franco Mignacco </w:t>
            </w:r>
            <w:r>
              <w:rPr>
                <w:rFonts w:ascii="Arial" w:cs="Arial" w:eastAsia="Arial" w:hAnsi="Arial"/>
                <w:sz w:val="18"/>
                <w:szCs w:val="18"/>
                <w:b w:val="1"/>
                <w:bCs w:val="1"/>
                <w:color w:val="auto"/>
                <w:vertAlign w:val="superscript"/>
              </w:rPr>
              <w:t>(4)</w:t>
            </w: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150,000</w:t>
            </w:r>
          </w:p>
        </w:tc>
        <w:tc>
          <w:tcPr>
            <w:tcW w:w="22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5.4</w:t>
            </w:r>
          </w:p>
        </w:tc>
        <w:tc>
          <w:tcPr>
            <w:tcW w:w="900" w:type="dxa"/>
            <w:vAlign w:val="bottom"/>
          </w:tcPr>
          <w:p>
            <w:pPr>
              <w:jc w:val="center"/>
              <w:ind w:left="70"/>
              <w:spacing w:after="0"/>
              <w:rPr>
                <w:sz w:val="20"/>
                <w:szCs w:val="20"/>
                <w:color w:val="auto"/>
              </w:rPr>
            </w:pPr>
            <w:r>
              <w:rPr>
                <w:rFonts w:ascii="Arial" w:cs="Arial" w:eastAsia="Arial" w:hAnsi="Arial"/>
                <w:sz w:val="14"/>
                <w:szCs w:val="14"/>
                <w:color w:val="auto"/>
                <w:w w:val="97"/>
              </w:rPr>
              <w:t>3-Dec-30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3"/>
              <w:spacing w:after="0"/>
              <w:rPr>
                <w:sz w:val="20"/>
                <w:szCs w:val="20"/>
                <w:color w:val="auto"/>
              </w:rPr>
            </w:pPr>
            <w:r>
              <w:rPr>
                <w:rFonts w:ascii="Arial" w:cs="Arial" w:eastAsia="Arial" w:hAnsi="Arial"/>
                <w:sz w:val="14"/>
                <w:szCs w:val="14"/>
                <w:color w:val="auto"/>
              </w:rPr>
              <w:t>27,000</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410,524</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2,290,724</w:t>
            </w:r>
          </w:p>
        </w:tc>
        <w:tc>
          <w:tcPr>
            <w:tcW w:w="840" w:type="dxa"/>
            <w:vAlign w:val="bottom"/>
          </w:tcPr>
          <w:p>
            <w:pPr>
              <w:jc w:val="center"/>
              <w:ind w:left="430"/>
              <w:spacing w:after="0"/>
              <w:rPr>
                <w:sz w:val="20"/>
                <w:szCs w:val="20"/>
                <w:color w:val="auto"/>
              </w:rPr>
            </w:pPr>
            <w:r>
              <w:rPr>
                <w:rFonts w:ascii="Arial" w:cs="Arial" w:eastAsia="Arial" w:hAnsi="Arial"/>
                <w:sz w:val="14"/>
                <w:szCs w:val="14"/>
                <w:color w:val="auto"/>
              </w:rPr>
              <w:t>-</w:t>
            </w:r>
          </w:p>
        </w:tc>
      </w:tr>
      <w:tr>
        <w:trPr>
          <w:trHeight w:val="174"/>
        </w:trPr>
        <w:tc>
          <w:tcPr>
            <w:tcW w:w="1980" w:type="dxa"/>
            <w:vAlign w:val="bottom"/>
          </w:tcPr>
          <w:p>
            <w:pPr>
              <w:spacing w:after="0"/>
              <w:rPr>
                <w:sz w:val="15"/>
                <w:szCs w:val="15"/>
                <w:color w:val="auto"/>
              </w:rPr>
            </w:pP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60,000</w:t>
            </w:r>
          </w:p>
        </w:tc>
        <w:tc>
          <w:tcPr>
            <w:tcW w:w="220" w:type="dxa"/>
            <w:vAlign w:val="bottom"/>
          </w:tcPr>
          <w:p>
            <w:pPr>
              <w:spacing w:after="0"/>
              <w:rPr>
                <w:sz w:val="15"/>
                <w:szCs w:val="15"/>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3.85</w:t>
            </w:r>
          </w:p>
        </w:tc>
        <w:tc>
          <w:tcPr>
            <w:tcW w:w="900" w:type="dxa"/>
            <w:vAlign w:val="bottom"/>
          </w:tcPr>
          <w:p>
            <w:pPr>
              <w:jc w:val="center"/>
              <w:ind w:left="70"/>
              <w:spacing w:after="0"/>
              <w:rPr>
                <w:sz w:val="20"/>
                <w:szCs w:val="20"/>
                <w:color w:val="auto"/>
              </w:rPr>
            </w:pPr>
            <w:r>
              <w:rPr>
                <w:rFonts w:ascii="Arial" w:cs="Arial" w:eastAsia="Arial" w:hAnsi="Arial"/>
                <w:sz w:val="14"/>
                <w:szCs w:val="14"/>
                <w:color w:val="auto"/>
              </w:rPr>
              <w:t>20-Jun-29</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3"/>
              <w:spacing w:after="0"/>
              <w:rPr>
                <w:sz w:val="20"/>
                <w:szCs w:val="20"/>
                <w:color w:val="auto"/>
              </w:rPr>
            </w:pPr>
            <w:r>
              <w:rPr>
                <w:rFonts w:ascii="Arial" w:cs="Arial" w:eastAsia="Arial" w:hAnsi="Arial"/>
                <w:sz w:val="14"/>
                <w:szCs w:val="14"/>
                <w:color w:val="auto"/>
              </w:rPr>
              <w:t>103,800</w:t>
            </w:r>
          </w:p>
        </w:tc>
        <w:tc>
          <w:tcPr>
            <w:tcW w:w="1020" w:type="dxa"/>
            <w:vAlign w:val="bottom"/>
          </w:tcPr>
          <w:p>
            <w:pPr>
              <w:jc w:val="right"/>
              <w:ind w:right="3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20" w:type="dxa"/>
            <w:vAlign w:val="bottom"/>
          </w:tcPr>
          <w:p>
            <w:pPr>
              <w:jc w:val="right"/>
              <w:ind w:right="570"/>
              <w:spacing w:after="0"/>
              <w:rPr>
                <w:sz w:val="20"/>
                <w:szCs w:val="20"/>
                <w:color w:val="auto"/>
              </w:rPr>
            </w:pPr>
            <w:r>
              <w:rPr>
                <w:rFonts w:ascii="Arial" w:cs="Arial" w:eastAsia="Arial" w:hAnsi="Arial"/>
                <w:sz w:val="14"/>
                <w:szCs w:val="14"/>
                <w:color w:val="auto"/>
              </w:rPr>
              <w:t>-</w:t>
            </w:r>
          </w:p>
        </w:tc>
        <w:tc>
          <w:tcPr>
            <w:tcW w:w="840" w:type="dxa"/>
            <w:vAlign w:val="bottom"/>
          </w:tcPr>
          <w:p>
            <w:pPr>
              <w:jc w:val="center"/>
              <w:ind w:left="43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2010410</wp:posOffset>
            </wp:positionH>
            <wp:positionV relativeFrom="paragraph">
              <wp:posOffset>-1970405</wp:posOffset>
            </wp:positionV>
            <wp:extent cx="4634865" cy="9550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19">
                      <a:extLst>
                        <a:ext uri="{28A0092B-C50C-407E-A947-70E740481C1C}"/>
                      </a:extLst>
                    </a:blip>
                    <a:srcRect/>
                    <a:stretch>
                      <a:fillRect/>
                    </a:stretch>
                  </pic:blipFill>
                  <pic:spPr bwMode="auto">
                    <a:xfrm>
                      <a:off x="0" y="0"/>
                      <a:ext cx="4634865" cy="955040"/>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-1970405</wp:posOffset>
            </wp:positionV>
            <wp:extent cx="4634865" cy="9550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0">
                      <a:extLst>
                        <a:ext uri="{28A0092B-C50C-407E-A947-70E740481C1C}"/>
                      </a:extLst>
                    </a:blip>
                    <a:srcRect/>
                    <a:stretch>
                      <a:fillRect/>
                    </a:stretch>
                  </pic:blipFill>
                  <pic:spPr bwMode="auto">
                    <a:xfrm>
                      <a:off x="0" y="0"/>
                      <a:ext cx="4634865" cy="95504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-871855</wp:posOffset>
            </wp:positionV>
            <wp:extent cx="6078220"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1">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-722630</wp:posOffset>
            </wp:positionV>
            <wp:extent cx="6078220"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2">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-572770</wp:posOffset>
            </wp:positionV>
            <wp:extent cx="6078220"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3">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-422910</wp:posOffset>
            </wp:positionV>
            <wp:extent cx="6078220"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4">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-273685</wp:posOffset>
            </wp:positionV>
            <wp:extent cx="6078220"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5">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19050</wp:posOffset>
            </wp:positionV>
            <wp:extent cx="6078220"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6">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353"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Notes: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14 / 59</w:t>
      </w:r>
    </w:p>
    <w:p>
      <w:pPr>
        <w:sectPr>
          <w:pgSz w:w="11900" w:h="16838" w:orient="portrait"/>
          <w:cols w:equalWidth="0" w:num="1">
            <w:col w:w="10460"/>
          </w:cols>
          <w:pgMar w:left="1440" w:top="1440" w:right="6" w:bottom="0" w:gutter="0" w:footer="0" w:header="0"/>
          <w:type w:val="continuous"/>
        </w:sectPr>
      </w:pPr>
    </w:p>
    <w:bookmarkStart w:id="184" w:name="page185"/>
    <w:bookmarkEnd w:id="184"/>
    <w:p>
      <w:pPr>
        <w:jc w:val="both"/>
        <w:ind w:left="1620" w:hanging="366"/>
        <w:spacing w:after="0" w:line="372" w:lineRule="auto"/>
        <w:tabs>
          <w:tab w:leader="none" w:pos="16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value of unexercised “in-the-money options” is calculated on the basis of the difference betwee closing price of the Shares on the NYSE on December 31, 2025, of US$5.58 and the exercise price Options.</w:t>
      </w:r>
    </w:p>
    <w:p>
      <w:pPr>
        <w:spacing w:after="0" w:line="10"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market value of unexercised share-based awards is calculated on the basis of the closing price Common Shares on the NYSE on December 31, 2025, of US$5.58. DSUs cannot be redeemed until the director ceases to hold a position with the Company.</w:t>
      </w:r>
    </w:p>
    <w:p>
      <w:pPr>
        <w:spacing w:after="0" w:line="3" w:lineRule="exact"/>
        <w:rPr>
          <w:rFonts w:ascii="Arial" w:cs="Arial" w:eastAsia="Arial" w:hAnsi="Arial"/>
          <w:sz w:val="20"/>
          <w:szCs w:val="20"/>
          <w:color w:val="auto"/>
        </w:rPr>
      </w:pPr>
    </w:p>
    <w:p>
      <w:pPr>
        <w:ind w:left="1620" w:hanging="366"/>
        <w:spacing w:after="0"/>
        <w:tabs>
          <w:tab w:leader="none" w:pos="16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Ms. Moretto joined the Board in March 2024.</w:t>
      </w:r>
    </w:p>
    <w:p>
      <w:pPr>
        <w:spacing w:after="0" w:line="137"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Mr. Mignacco retired from his role as President of Minera Exar on December 6, 2024, however, cont to serve as a director of the Company and as Chair of the Shareholder Committee of Minera Exar.</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20"/>
          <w:szCs w:val="20"/>
          <w:color w:val="auto"/>
        </w:rPr>
        <w:t>Anti-hedging requirements are set out in our Securities Trading Policy and apply to all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1131570</wp:posOffset>
            </wp:positionV>
            <wp:extent cx="6764020" cy="190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21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15 / 59</w:t>
      </w:r>
    </w:p>
    <w:p>
      <w:pPr>
        <w:sectPr>
          <w:pgSz w:w="11900" w:h="16838" w:orient="portrait"/>
          <w:cols w:equalWidth="0" w:num="1">
            <w:col w:w="10460"/>
          </w:cols>
          <w:pgMar w:left="1440" w:top="1215" w:right="6" w:bottom="0" w:gutter="0" w:footer="0" w:header="0"/>
          <w:type w:val="continuous"/>
        </w:sectPr>
      </w:pPr>
    </w:p>
    <w:bookmarkStart w:id="185" w:name="page186"/>
    <w:bookmarkEnd w:id="1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00"/>
        <w:spacing w:after="0"/>
        <w:rPr>
          <w:sz w:val="20"/>
          <w:szCs w:val="20"/>
          <w:color w:val="auto"/>
        </w:rPr>
      </w:pPr>
      <w:r>
        <w:rPr>
          <w:rFonts w:ascii="Arial" w:cs="Arial" w:eastAsia="Arial" w:hAnsi="Arial"/>
          <w:sz w:val="28"/>
          <w:szCs w:val="28"/>
          <w:b w:val="1"/>
          <w:bCs w:val="1"/>
          <w:i w:val="1"/>
          <w:iCs w:val="1"/>
          <w:color w:val="auto"/>
        </w:rPr>
        <w:t>Incentive Plan Awards-Value Vested or Earned During the Year</w:t>
      </w:r>
    </w:p>
    <w:p>
      <w:pPr>
        <w:spacing w:after="0" w:line="293" w:lineRule="exact"/>
        <w:rPr>
          <w:sz w:val="20"/>
          <w:szCs w:val="20"/>
          <w:color w:val="auto"/>
        </w:rPr>
      </w:pPr>
    </w:p>
    <w:p>
      <w:pPr>
        <w:ind w:left="900" w:right="20"/>
        <w:spacing w:after="0" w:line="307" w:lineRule="auto"/>
        <w:rPr>
          <w:sz w:val="20"/>
          <w:szCs w:val="20"/>
          <w:color w:val="auto"/>
        </w:rPr>
      </w:pPr>
      <w:r>
        <w:rPr>
          <w:rFonts w:ascii="Arial" w:cs="Arial" w:eastAsia="Arial" w:hAnsi="Arial"/>
          <w:sz w:val="20"/>
          <w:szCs w:val="20"/>
          <w:color w:val="auto"/>
        </w:rPr>
        <w:t>The following table sets out the value vested or earned under incentive plans during the year ended Dece 31, 2025, for all directors other than directors who are also disclosed as Named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3242945</wp:posOffset>
            </wp:positionH>
            <wp:positionV relativeFrom="paragraph">
              <wp:posOffset>196215</wp:posOffset>
            </wp:positionV>
            <wp:extent cx="6350" cy="6991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28">
                      <a:extLst>
                        <a:ext uri="{28A0092B-C50C-407E-A947-70E740481C1C}"/>
                      </a:extLst>
                    </a:blip>
                    <a:srcRect/>
                    <a:stretch>
                      <a:fillRect/>
                    </a:stretch>
                  </pic:blipFill>
                  <pic:spPr bwMode="auto">
                    <a:xfrm>
                      <a:off x="0" y="0"/>
                      <a:ext cx="6350" cy="699135"/>
                    </a:xfrm>
                    <a:prstGeom prst="rect">
                      <a:avLst/>
                    </a:prstGeom>
                    <a:noFill/>
                  </pic:spPr>
                </pic:pic>
              </a:graphicData>
            </a:graphic>
          </wp:anchor>
        </w:drawing>
        <w:drawing>
          <wp:anchor simplePos="0" relativeHeight="251657728" behindDoc="1" locked="0" layoutInCell="0" allowOverlap="1">
            <wp:simplePos x="0" y="0"/>
            <wp:positionH relativeFrom="column">
              <wp:posOffset>4491355</wp:posOffset>
            </wp:positionH>
            <wp:positionV relativeFrom="paragraph">
              <wp:posOffset>196215</wp:posOffset>
            </wp:positionV>
            <wp:extent cx="6350" cy="6991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29">
                      <a:extLst>
                        <a:ext uri="{28A0092B-C50C-407E-A947-70E740481C1C}"/>
                      </a:extLst>
                    </a:blip>
                    <a:srcRect/>
                    <a:stretch>
                      <a:fillRect/>
                    </a:stretch>
                  </pic:blipFill>
                  <pic:spPr bwMode="auto">
                    <a:xfrm>
                      <a:off x="0" y="0"/>
                      <a:ext cx="6350" cy="69913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196215</wp:posOffset>
            </wp:positionV>
            <wp:extent cx="6350" cy="6991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0">
                      <a:extLst>
                        <a:ext uri="{28A0092B-C50C-407E-A947-70E740481C1C}"/>
                      </a:extLst>
                    </a:blip>
                    <a:srcRect/>
                    <a:stretch>
                      <a:fillRect/>
                    </a:stretch>
                  </pic:blipFill>
                  <pic:spPr bwMode="auto">
                    <a:xfrm>
                      <a:off x="0" y="0"/>
                      <a:ext cx="6350" cy="699135"/>
                    </a:xfrm>
                    <a:prstGeom prst="rect">
                      <a:avLst/>
                    </a:prstGeom>
                    <a:noFill/>
                  </pic:spPr>
                </pic:pic>
              </a:graphicData>
            </a:graphic>
          </wp:anchor>
        </w:drawing>
      </w:r>
    </w:p>
    <w:p>
      <w:pPr>
        <w:spacing w:after="0" w:line="289" w:lineRule="exact"/>
        <w:rPr>
          <w:sz w:val="20"/>
          <w:szCs w:val="20"/>
          <w:color w:val="auto"/>
        </w:rPr>
      </w:pPr>
    </w:p>
    <w:tbl>
      <w:tblPr>
        <w:tblLayout w:type="fixed"/>
        <w:tblInd w:w="900" w:type="dxa"/>
        <w:tblCellMar>
          <w:top w:w="0" w:type="dxa"/>
          <w:left w:w="0" w:type="dxa"/>
          <w:bottom w:w="0" w:type="dxa"/>
          <w:right w:w="0" w:type="dxa"/>
        </w:tblCellMar>
      </w:tblPr>
      <w:tr>
        <w:trPr>
          <w:trHeight w:val="250"/>
        </w:trPr>
        <w:tc>
          <w:tcPr>
            <w:tcW w:w="3140" w:type="dxa"/>
            <w:vAlign w:val="bottom"/>
            <w:shd w:val="clear" w:color="auto" w:fill="153A57"/>
          </w:tcPr>
          <w:p>
            <w:pPr>
              <w:spacing w:after="0"/>
              <w:rPr>
                <w:sz w:val="21"/>
                <w:szCs w:val="21"/>
                <w:color w:val="auto"/>
              </w:rPr>
            </w:pPr>
          </w:p>
        </w:tc>
        <w:tc>
          <w:tcPr>
            <w:tcW w:w="1280" w:type="dxa"/>
            <w:vAlign w:val="bottom"/>
            <w:shd w:val="clear" w:color="auto" w:fill="153A57"/>
          </w:tcPr>
          <w:p>
            <w:pPr>
              <w:spacing w:after="0"/>
              <w:rPr>
                <w:sz w:val="21"/>
                <w:szCs w:val="21"/>
                <w:color w:val="auto"/>
              </w:rPr>
            </w:pPr>
          </w:p>
        </w:tc>
        <w:tc>
          <w:tcPr>
            <w:tcW w:w="1700" w:type="dxa"/>
            <w:vAlign w:val="bottom"/>
            <w:shd w:val="clear" w:color="auto" w:fill="153A57"/>
          </w:tcPr>
          <w:p>
            <w:pPr>
              <w:spacing w:after="0"/>
              <w:rPr>
                <w:sz w:val="21"/>
                <w:szCs w:val="21"/>
                <w:color w:val="auto"/>
              </w:rPr>
            </w:pPr>
          </w:p>
        </w:tc>
        <w:tc>
          <w:tcPr>
            <w:tcW w:w="220" w:type="dxa"/>
            <w:vAlign w:val="bottom"/>
            <w:shd w:val="clear" w:color="auto" w:fill="153A57"/>
          </w:tcPr>
          <w:p>
            <w:pPr>
              <w:spacing w:after="0"/>
              <w:rPr>
                <w:sz w:val="21"/>
                <w:szCs w:val="21"/>
                <w:color w:val="auto"/>
              </w:rPr>
            </w:pPr>
          </w:p>
        </w:tc>
        <w:tc>
          <w:tcPr>
            <w:tcW w:w="1780" w:type="dxa"/>
            <w:vAlign w:val="bottom"/>
            <w:shd w:val="clear" w:color="auto" w:fill="153A57"/>
          </w:tcPr>
          <w:p>
            <w:pPr>
              <w:spacing w:after="0"/>
              <w:rPr>
                <w:sz w:val="21"/>
                <w:szCs w:val="21"/>
                <w:color w:val="auto"/>
              </w:rPr>
            </w:pPr>
          </w:p>
        </w:tc>
        <w:tc>
          <w:tcPr>
            <w:tcW w:w="1440" w:type="dxa"/>
            <w:vAlign w:val="bottom"/>
            <w:shd w:val="clear" w:color="auto" w:fill="153A57"/>
          </w:tcPr>
          <w:p>
            <w:pPr>
              <w:jc w:val="right"/>
              <w:spacing w:after="0"/>
              <w:rPr>
                <w:sz w:val="20"/>
                <w:szCs w:val="20"/>
                <w:color w:val="auto"/>
              </w:rPr>
            </w:pPr>
            <w:r>
              <w:rPr>
                <w:rFonts w:ascii="Arial" w:cs="Arial" w:eastAsia="Arial" w:hAnsi="Arial"/>
                <w:sz w:val="18"/>
                <w:szCs w:val="18"/>
                <w:b w:val="1"/>
                <w:bCs w:val="1"/>
                <w:color w:val="FFFFFF"/>
              </w:rPr>
              <w:t>Non-equity ince</w:t>
            </w:r>
          </w:p>
        </w:tc>
      </w:tr>
      <w:tr>
        <w:trPr>
          <w:trHeight w:val="272"/>
        </w:trPr>
        <w:tc>
          <w:tcPr>
            <w:tcW w:w="3140" w:type="dxa"/>
            <w:vAlign w:val="bottom"/>
            <w:shd w:val="clear" w:color="auto" w:fill="153A57"/>
          </w:tcPr>
          <w:p>
            <w:pPr>
              <w:spacing w:after="0"/>
              <w:rPr>
                <w:sz w:val="23"/>
                <w:szCs w:val="23"/>
                <w:color w:val="auto"/>
              </w:rPr>
            </w:pPr>
          </w:p>
        </w:tc>
        <w:tc>
          <w:tcPr>
            <w:tcW w:w="2980" w:type="dxa"/>
            <w:vAlign w:val="bottom"/>
            <w:gridSpan w:val="2"/>
            <w:shd w:val="clear" w:color="auto" w:fill="153A57"/>
          </w:tcPr>
          <w:p>
            <w:pPr>
              <w:ind w:left="1080"/>
              <w:spacing w:after="0"/>
              <w:rPr>
                <w:sz w:val="20"/>
                <w:szCs w:val="20"/>
                <w:color w:val="auto"/>
              </w:rPr>
            </w:pPr>
            <w:r>
              <w:rPr>
                <w:rFonts w:ascii="Arial" w:cs="Arial" w:eastAsia="Arial" w:hAnsi="Arial"/>
                <w:sz w:val="18"/>
                <w:szCs w:val="18"/>
                <w:b w:val="1"/>
                <w:bCs w:val="1"/>
                <w:color w:val="FFFFFF"/>
              </w:rPr>
              <w:t>Option-based awards</w:t>
            </w:r>
          </w:p>
        </w:tc>
        <w:tc>
          <w:tcPr>
            <w:tcW w:w="2000" w:type="dxa"/>
            <w:vAlign w:val="bottom"/>
            <w:gridSpan w:val="2"/>
            <w:shd w:val="clear" w:color="auto" w:fill="153A57"/>
          </w:tcPr>
          <w:p>
            <w:pPr>
              <w:jc w:val="center"/>
              <w:spacing w:after="0"/>
              <w:rPr>
                <w:sz w:val="20"/>
                <w:szCs w:val="20"/>
                <w:color w:val="auto"/>
              </w:rPr>
            </w:pPr>
            <w:r>
              <w:rPr>
                <w:rFonts w:ascii="Arial" w:cs="Arial" w:eastAsia="Arial" w:hAnsi="Arial"/>
                <w:sz w:val="18"/>
                <w:szCs w:val="18"/>
                <w:b w:val="1"/>
                <w:bCs w:val="1"/>
                <w:color w:val="FFFFFF"/>
              </w:rPr>
              <w:t>Share-based awards</w:t>
            </w:r>
          </w:p>
        </w:tc>
        <w:tc>
          <w:tcPr>
            <w:tcW w:w="1440" w:type="dxa"/>
            <w:vAlign w:val="bottom"/>
            <w:shd w:val="clear" w:color="auto" w:fill="153A57"/>
          </w:tcPr>
          <w:p>
            <w:pPr>
              <w:jc w:val="right"/>
              <w:spacing w:after="0"/>
              <w:rPr>
                <w:sz w:val="20"/>
                <w:szCs w:val="20"/>
                <w:color w:val="auto"/>
              </w:rPr>
            </w:pPr>
            <w:r>
              <w:rPr>
                <w:rFonts w:ascii="Arial" w:cs="Arial" w:eastAsia="Arial" w:hAnsi="Arial"/>
                <w:sz w:val="18"/>
                <w:szCs w:val="18"/>
                <w:b w:val="1"/>
                <w:bCs w:val="1"/>
                <w:color w:val="FFFFFF"/>
              </w:rPr>
              <w:t>plan compensa</w:t>
            </w:r>
          </w:p>
        </w:tc>
      </w:tr>
      <w:tr>
        <w:trPr>
          <w:trHeight w:val="272"/>
        </w:trPr>
        <w:tc>
          <w:tcPr>
            <w:tcW w:w="3140" w:type="dxa"/>
            <w:vAlign w:val="bottom"/>
            <w:shd w:val="clear" w:color="auto" w:fill="153A57"/>
          </w:tcPr>
          <w:p>
            <w:pPr>
              <w:spacing w:after="0"/>
              <w:rPr>
                <w:sz w:val="23"/>
                <w:szCs w:val="23"/>
                <w:color w:val="auto"/>
              </w:rPr>
            </w:pPr>
          </w:p>
        </w:tc>
        <w:tc>
          <w:tcPr>
            <w:tcW w:w="2980" w:type="dxa"/>
            <w:vAlign w:val="bottom"/>
            <w:gridSpan w:val="2"/>
            <w:shd w:val="clear" w:color="auto" w:fill="153A57"/>
          </w:tcPr>
          <w:p>
            <w:pPr>
              <w:jc w:val="right"/>
              <w:ind w:right="50"/>
              <w:spacing w:after="0"/>
              <w:rPr>
                <w:sz w:val="20"/>
                <w:szCs w:val="20"/>
                <w:color w:val="auto"/>
              </w:rPr>
            </w:pPr>
            <w:r>
              <w:rPr>
                <w:rFonts w:ascii="Arial" w:cs="Arial" w:eastAsia="Arial" w:hAnsi="Arial"/>
                <w:sz w:val="18"/>
                <w:szCs w:val="18"/>
                <w:b w:val="1"/>
                <w:bCs w:val="1"/>
                <w:color w:val="FFFFFF"/>
              </w:rPr>
              <w:t>value vested during</w:t>
            </w:r>
          </w:p>
        </w:tc>
        <w:tc>
          <w:tcPr>
            <w:tcW w:w="2000" w:type="dxa"/>
            <w:vAlign w:val="bottom"/>
            <w:gridSpan w:val="2"/>
            <w:shd w:val="clear" w:color="auto" w:fill="153A57"/>
          </w:tcPr>
          <w:p>
            <w:pPr>
              <w:jc w:val="center"/>
              <w:spacing w:after="0"/>
              <w:rPr>
                <w:sz w:val="20"/>
                <w:szCs w:val="20"/>
                <w:color w:val="auto"/>
              </w:rPr>
            </w:pPr>
            <w:r>
              <w:rPr>
                <w:rFonts w:ascii="Arial" w:cs="Arial" w:eastAsia="Arial" w:hAnsi="Arial"/>
                <w:sz w:val="18"/>
                <w:szCs w:val="18"/>
                <w:b w:val="1"/>
                <w:bCs w:val="1"/>
                <w:color w:val="FFFFFF"/>
                <w:w w:val="99"/>
              </w:rPr>
              <w:t>value vested during</w:t>
            </w:r>
          </w:p>
        </w:tc>
        <w:tc>
          <w:tcPr>
            <w:tcW w:w="1440" w:type="dxa"/>
            <w:vAlign w:val="bottom"/>
            <w:shd w:val="clear" w:color="auto" w:fill="153A57"/>
          </w:tcPr>
          <w:p>
            <w:pPr>
              <w:jc w:val="right"/>
              <w:spacing w:after="0"/>
              <w:rPr>
                <w:sz w:val="20"/>
                <w:szCs w:val="20"/>
                <w:color w:val="auto"/>
              </w:rPr>
            </w:pPr>
            <w:r>
              <w:rPr>
                <w:rFonts w:ascii="Arial" w:cs="Arial" w:eastAsia="Arial" w:hAnsi="Arial"/>
                <w:sz w:val="18"/>
                <w:szCs w:val="18"/>
                <w:b w:val="1"/>
                <w:bCs w:val="1"/>
                <w:color w:val="FFFFFF"/>
              </w:rPr>
              <w:t>value earned du</w:t>
            </w:r>
          </w:p>
        </w:tc>
      </w:tr>
      <w:tr>
        <w:trPr>
          <w:trHeight w:val="308"/>
        </w:trPr>
        <w:tc>
          <w:tcPr>
            <w:tcW w:w="3140" w:type="dxa"/>
            <w:vAlign w:val="bottom"/>
            <w:shd w:val="clear" w:color="auto" w:fill="153A57"/>
          </w:tcPr>
          <w:p>
            <w:pPr>
              <w:ind w:left="100"/>
              <w:spacing w:after="0"/>
              <w:rPr>
                <w:sz w:val="20"/>
                <w:szCs w:val="20"/>
                <w:color w:val="auto"/>
              </w:rPr>
            </w:pPr>
            <w:r>
              <w:rPr>
                <w:rFonts w:ascii="Arial" w:cs="Arial" w:eastAsia="Arial" w:hAnsi="Arial"/>
                <w:sz w:val="18"/>
                <w:szCs w:val="18"/>
                <w:b w:val="1"/>
                <w:bCs w:val="1"/>
                <w:color w:val="FFFFFF"/>
              </w:rPr>
              <w:t>Name</w:t>
            </w:r>
          </w:p>
        </w:tc>
        <w:tc>
          <w:tcPr>
            <w:tcW w:w="1280" w:type="dxa"/>
            <w:vAlign w:val="bottom"/>
            <w:shd w:val="clear" w:color="auto" w:fill="153A57"/>
          </w:tcPr>
          <w:p>
            <w:pPr>
              <w:spacing w:after="0"/>
              <w:rPr>
                <w:sz w:val="24"/>
                <w:szCs w:val="24"/>
                <w:color w:val="auto"/>
              </w:rPr>
            </w:pPr>
          </w:p>
        </w:tc>
        <w:tc>
          <w:tcPr>
            <w:tcW w:w="1700" w:type="dxa"/>
            <w:vAlign w:val="bottom"/>
            <w:shd w:val="clear" w:color="auto" w:fill="153A57"/>
          </w:tcPr>
          <w:p>
            <w:pPr>
              <w:jc w:val="right"/>
              <w:ind w:right="290"/>
              <w:spacing w:after="0"/>
              <w:rPr>
                <w:sz w:val="20"/>
                <w:szCs w:val="20"/>
                <w:color w:val="auto"/>
              </w:rPr>
            </w:pPr>
            <w:r>
              <w:rPr>
                <w:rFonts w:ascii="Arial" w:cs="Arial" w:eastAsia="Arial" w:hAnsi="Arial"/>
                <w:sz w:val="18"/>
                <w:szCs w:val="18"/>
                <w:b w:val="1"/>
                <w:bCs w:val="1"/>
                <w:color w:val="FFFFFF"/>
              </w:rPr>
              <w:t>the year (US$)</w:t>
            </w:r>
          </w:p>
        </w:tc>
        <w:tc>
          <w:tcPr>
            <w:tcW w:w="220" w:type="dxa"/>
            <w:vAlign w:val="bottom"/>
            <w:shd w:val="clear" w:color="auto" w:fill="153A57"/>
          </w:tcPr>
          <w:p>
            <w:pPr>
              <w:spacing w:after="0"/>
              <w:rPr>
                <w:sz w:val="24"/>
                <w:szCs w:val="24"/>
                <w:color w:val="auto"/>
              </w:rPr>
            </w:pPr>
          </w:p>
        </w:tc>
        <w:tc>
          <w:tcPr>
            <w:tcW w:w="1780" w:type="dxa"/>
            <w:vAlign w:val="bottom"/>
            <w:shd w:val="clear" w:color="auto" w:fill="153A57"/>
          </w:tcPr>
          <w:p>
            <w:pPr>
              <w:jc w:val="center"/>
              <w:ind w:right="170"/>
              <w:spacing w:after="0"/>
              <w:rPr>
                <w:sz w:val="20"/>
                <w:szCs w:val="20"/>
                <w:color w:val="auto"/>
              </w:rPr>
            </w:pPr>
            <w:r>
              <w:rPr>
                <w:rFonts w:ascii="Arial" w:cs="Arial" w:eastAsia="Arial" w:hAnsi="Arial"/>
                <w:sz w:val="18"/>
                <w:szCs w:val="18"/>
                <w:b w:val="1"/>
                <w:bCs w:val="1"/>
                <w:color w:val="FFFFFF"/>
                <w:w w:val="96"/>
              </w:rPr>
              <w:t xml:space="preserve">the year (US$) </w:t>
            </w:r>
            <w:r>
              <w:rPr>
                <w:rFonts w:ascii="Arial" w:cs="Arial" w:eastAsia="Arial" w:hAnsi="Arial"/>
                <w:sz w:val="24"/>
                <w:szCs w:val="24"/>
                <w:b w:val="1"/>
                <w:bCs w:val="1"/>
                <w:color w:val="FFFFFF"/>
                <w:w w:val="96"/>
                <w:vertAlign w:val="superscript"/>
              </w:rPr>
              <w:t>(1)</w:t>
            </w:r>
          </w:p>
        </w:tc>
        <w:tc>
          <w:tcPr>
            <w:tcW w:w="1440" w:type="dxa"/>
            <w:vAlign w:val="bottom"/>
            <w:shd w:val="clear" w:color="auto" w:fill="153A57"/>
          </w:tcPr>
          <w:p>
            <w:pPr>
              <w:jc w:val="right"/>
              <w:spacing w:after="0"/>
              <w:rPr>
                <w:sz w:val="20"/>
                <w:szCs w:val="20"/>
                <w:color w:val="auto"/>
              </w:rPr>
            </w:pPr>
            <w:r>
              <w:rPr>
                <w:rFonts w:ascii="Arial" w:cs="Arial" w:eastAsia="Arial" w:hAnsi="Arial"/>
                <w:sz w:val="18"/>
                <w:szCs w:val="18"/>
                <w:b w:val="1"/>
                <w:bCs w:val="1"/>
                <w:color w:val="FFFFFF"/>
              </w:rPr>
              <w:t>the year (US</w:t>
            </w:r>
          </w:p>
        </w:tc>
      </w:tr>
      <w:tr>
        <w:trPr>
          <w:trHeight w:val="250"/>
        </w:trPr>
        <w:tc>
          <w:tcPr>
            <w:tcW w:w="3140" w:type="dxa"/>
            <w:vAlign w:val="bottom"/>
          </w:tcPr>
          <w:p>
            <w:pPr>
              <w:ind w:left="100"/>
              <w:spacing w:after="0"/>
              <w:rPr>
                <w:sz w:val="20"/>
                <w:szCs w:val="20"/>
                <w:color w:val="auto"/>
              </w:rPr>
            </w:pPr>
            <w:r>
              <w:rPr>
                <w:rFonts w:ascii="Arial" w:cs="Arial" w:eastAsia="Arial" w:hAnsi="Arial"/>
                <w:sz w:val="18"/>
                <w:szCs w:val="18"/>
                <w:b w:val="1"/>
                <w:bCs w:val="1"/>
                <w:color w:val="auto"/>
              </w:rPr>
              <w:t>George Ireland</w:t>
            </w:r>
          </w:p>
        </w:tc>
        <w:tc>
          <w:tcPr>
            <w:tcW w:w="1280" w:type="dxa"/>
            <w:vAlign w:val="bottom"/>
          </w:tcPr>
          <w:p>
            <w:pPr>
              <w:ind w:left="108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r>
      <w:tr>
        <w:trPr>
          <w:trHeight w:val="286"/>
        </w:trPr>
        <w:tc>
          <w:tcPr>
            <w:tcW w:w="3140" w:type="dxa"/>
            <w:vAlign w:val="bottom"/>
          </w:tcPr>
          <w:p>
            <w:pPr>
              <w:ind w:left="100"/>
              <w:spacing w:after="0"/>
              <w:rPr>
                <w:sz w:val="20"/>
                <w:szCs w:val="20"/>
                <w:color w:val="auto"/>
              </w:rPr>
            </w:pPr>
            <w:r>
              <w:rPr>
                <w:rFonts w:ascii="Arial" w:cs="Arial" w:eastAsia="Arial" w:hAnsi="Arial"/>
                <w:sz w:val="18"/>
                <w:szCs w:val="18"/>
                <w:b w:val="1"/>
                <w:bCs w:val="1"/>
                <w:color w:val="auto"/>
              </w:rPr>
              <w:t>Diego Lopez Casanello</w:t>
            </w:r>
          </w:p>
        </w:tc>
        <w:tc>
          <w:tcPr>
            <w:tcW w:w="1280" w:type="dxa"/>
            <w:vAlign w:val="bottom"/>
          </w:tcPr>
          <w:p>
            <w:pPr>
              <w:ind w:left="108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24"/>
                <w:szCs w:val="24"/>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4"/>
                <w:szCs w:val="24"/>
                <w:color w:val="auto"/>
              </w:rPr>
            </w:pPr>
          </w:p>
        </w:tc>
      </w:tr>
      <w:tr>
        <w:trPr>
          <w:trHeight w:val="286"/>
        </w:trPr>
        <w:tc>
          <w:tcPr>
            <w:tcW w:w="3140" w:type="dxa"/>
            <w:vAlign w:val="bottom"/>
          </w:tcPr>
          <w:p>
            <w:pPr>
              <w:ind w:left="100"/>
              <w:spacing w:after="0"/>
              <w:rPr>
                <w:sz w:val="20"/>
                <w:szCs w:val="20"/>
                <w:color w:val="auto"/>
              </w:rPr>
            </w:pPr>
            <w:r>
              <w:rPr>
                <w:rFonts w:ascii="Arial" w:cs="Arial" w:eastAsia="Arial" w:hAnsi="Arial"/>
                <w:sz w:val="18"/>
                <w:szCs w:val="18"/>
                <w:b w:val="1"/>
                <w:bCs w:val="1"/>
                <w:color w:val="auto"/>
              </w:rPr>
              <w:t>Robert Doyle</w:t>
            </w:r>
          </w:p>
        </w:tc>
        <w:tc>
          <w:tcPr>
            <w:tcW w:w="1280" w:type="dxa"/>
            <w:vAlign w:val="bottom"/>
          </w:tcPr>
          <w:p>
            <w:pPr>
              <w:ind w:left="108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13,500</w:t>
            </w:r>
          </w:p>
        </w:tc>
        <w:tc>
          <w:tcPr>
            <w:tcW w:w="220" w:type="dxa"/>
            <w:vAlign w:val="bottom"/>
          </w:tcPr>
          <w:p>
            <w:pPr>
              <w:spacing w:after="0"/>
              <w:rPr>
                <w:sz w:val="24"/>
                <w:szCs w:val="24"/>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4"/>
                <w:szCs w:val="24"/>
                <w:color w:val="auto"/>
              </w:rPr>
            </w:pPr>
          </w:p>
        </w:tc>
      </w:tr>
      <w:tr>
        <w:trPr>
          <w:trHeight w:val="351"/>
        </w:trPr>
        <w:tc>
          <w:tcPr>
            <w:tcW w:w="3140" w:type="dxa"/>
            <w:vAlign w:val="bottom"/>
          </w:tcPr>
          <w:p>
            <w:pPr>
              <w:ind w:left="100"/>
              <w:spacing w:after="0"/>
              <w:rPr>
                <w:sz w:val="20"/>
                <w:szCs w:val="20"/>
                <w:color w:val="auto"/>
              </w:rPr>
            </w:pPr>
            <w:r>
              <w:rPr>
                <w:rFonts w:ascii="Arial" w:cs="Arial" w:eastAsia="Arial" w:hAnsi="Arial"/>
                <w:sz w:val="18"/>
                <w:szCs w:val="18"/>
                <w:b w:val="1"/>
                <w:bCs w:val="1"/>
                <w:color w:val="auto"/>
              </w:rPr>
              <w:t xml:space="preserve">Monica Moretto </w:t>
            </w:r>
            <w:r>
              <w:rPr>
                <w:rFonts w:ascii="Arial" w:cs="Arial" w:eastAsia="Arial" w:hAnsi="Arial"/>
                <w:sz w:val="24"/>
                <w:szCs w:val="24"/>
                <w:b w:val="1"/>
                <w:bCs w:val="1"/>
                <w:color w:val="auto"/>
                <w:vertAlign w:val="superscript"/>
              </w:rPr>
              <w:t>(2)</w:t>
            </w:r>
          </w:p>
        </w:tc>
        <w:tc>
          <w:tcPr>
            <w:tcW w:w="12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4"/>
                <w:szCs w:val="24"/>
                <w:color w:val="auto"/>
              </w:rPr>
            </w:pPr>
          </w:p>
        </w:tc>
      </w:tr>
      <w:tr>
        <w:trPr>
          <w:trHeight w:val="221"/>
        </w:trPr>
        <w:tc>
          <w:tcPr>
            <w:tcW w:w="3140" w:type="dxa"/>
            <w:vAlign w:val="bottom"/>
          </w:tcPr>
          <w:p>
            <w:pPr>
              <w:ind w:left="100"/>
              <w:spacing w:after="0"/>
              <w:rPr>
                <w:sz w:val="20"/>
                <w:szCs w:val="20"/>
                <w:color w:val="auto"/>
              </w:rPr>
            </w:pPr>
            <w:r>
              <w:rPr>
                <w:rFonts w:ascii="Arial" w:cs="Arial" w:eastAsia="Arial" w:hAnsi="Arial"/>
                <w:sz w:val="18"/>
                <w:szCs w:val="18"/>
                <w:b w:val="1"/>
                <w:bCs w:val="1"/>
                <w:color w:val="auto"/>
              </w:rPr>
              <w:t>Calum Morrison</w:t>
            </w:r>
          </w:p>
        </w:tc>
        <w:tc>
          <w:tcPr>
            <w:tcW w:w="1280" w:type="dxa"/>
            <w:vAlign w:val="bottom"/>
          </w:tcPr>
          <w:p>
            <w:pPr>
              <w:ind w:left="108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13,500</w:t>
            </w:r>
          </w:p>
        </w:tc>
        <w:tc>
          <w:tcPr>
            <w:tcW w:w="220" w:type="dxa"/>
            <w:vAlign w:val="bottom"/>
          </w:tcPr>
          <w:p>
            <w:pPr>
              <w:spacing w:after="0"/>
              <w:rPr>
                <w:sz w:val="19"/>
                <w:szCs w:val="19"/>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r>
      <w:tr>
        <w:trPr>
          <w:trHeight w:val="351"/>
        </w:trPr>
        <w:tc>
          <w:tcPr>
            <w:tcW w:w="3140" w:type="dxa"/>
            <w:vAlign w:val="bottom"/>
          </w:tcPr>
          <w:p>
            <w:pPr>
              <w:ind w:left="100"/>
              <w:spacing w:after="0"/>
              <w:rPr>
                <w:sz w:val="20"/>
                <w:szCs w:val="20"/>
                <w:color w:val="auto"/>
              </w:rPr>
            </w:pPr>
            <w:r>
              <w:rPr>
                <w:rFonts w:ascii="Arial" w:cs="Arial" w:eastAsia="Arial" w:hAnsi="Arial"/>
                <w:sz w:val="18"/>
                <w:szCs w:val="18"/>
                <w:b w:val="1"/>
                <w:bCs w:val="1"/>
                <w:color w:val="auto"/>
              </w:rPr>
              <w:t xml:space="preserve">Franco Mignacco </w:t>
            </w:r>
            <w:r>
              <w:rPr>
                <w:rFonts w:ascii="Arial" w:cs="Arial" w:eastAsia="Arial" w:hAnsi="Arial"/>
                <w:sz w:val="24"/>
                <w:szCs w:val="24"/>
                <w:b w:val="1"/>
                <w:bCs w:val="1"/>
                <w:color w:val="auto"/>
                <w:vertAlign w:val="superscript"/>
              </w:rPr>
              <w:t>(3)</w:t>
            </w:r>
          </w:p>
        </w:tc>
        <w:tc>
          <w:tcPr>
            <w:tcW w:w="1280" w:type="dxa"/>
            <w:vAlign w:val="bottom"/>
          </w:tcPr>
          <w:p>
            <w:pPr>
              <w:ind w:left="108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48,100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110,593</w:t>
            </w:r>
          </w:p>
        </w:tc>
        <w:tc>
          <w:tcPr>
            <w:tcW w:w="1440" w:type="dxa"/>
            <w:vAlign w:val="bottom"/>
          </w:tcPr>
          <w:p>
            <w:pPr>
              <w:spacing w:after="0"/>
              <w:rPr>
                <w:sz w:val="24"/>
                <w:szCs w:val="24"/>
                <w:color w:val="auto"/>
              </w:rPr>
            </w:pPr>
          </w:p>
        </w:tc>
      </w:tr>
    </w:tbl>
    <w:p>
      <w:pPr>
        <w:spacing w:after="0" w:line="304"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Notes:</w:t>
      </w:r>
    </w:p>
    <w:p>
      <w:pPr>
        <w:spacing w:after="0" w:line="123" w:lineRule="exact"/>
        <w:rPr>
          <w:sz w:val="20"/>
          <w:szCs w:val="20"/>
          <w:color w:val="auto"/>
        </w:rPr>
      </w:pPr>
    </w:p>
    <w:p>
      <w:pPr>
        <w:ind w:left="1620" w:hanging="366"/>
        <w:spacing w:after="0" w:line="373" w:lineRule="auto"/>
        <w:tabs>
          <w:tab w:leader="none" w:pos="16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value of option-based awards value vested during the year is calculated on the basis of difference between the closing market price of the Common Shares on December 31, 2025, an exercise price of the vested Options during the year ended December 31, 2025. No options exercised during the year ended December 31, 2025</w:t>
      </w:r>
    </w:p>
    <w:p>
      <w:pPr>
        <w:spacing w:after="0" w:line="10" w:lineRule="exact"/>
        <w:rPr>
          <w:rFonts w:ascii="Arial" w:cs="Arial" w:eastAsia="Arial" w:hAnsi="Arial"/>
          <w:sz w:val="20"/>
          <w:szCs w:val="20"/>
          <w:color w:val="auto"/>
        </w:rPr>
      </w:pPr>
    </w:p>
    <w:p>
      <w:pPr>
        <w:jc w:val="both"/>
        <w:ind w:left="1620" w:hanging="366"/>
        <w:spacing w:after="0" w:line="395" w:lineRule="auto"/>
        <w:tabs>
          <w:tab w:leader="none" w:pos="1620" w:val="left"/>
        </w:tabs>
        <w:numPr>
          <w:ilvl w:val="0"/>
          <w:numId w:val="69"/>
        </w:numPr>
        <w:rPr>
          <w:rFonts w:ascii="Arial" w:cs="Arial" w:eastAsia="Arial" w:hAnsi="Arial"/>
          <w:sz w:val="19"/>
          <w:szCs w:val="19"/>
          <w:color w:val="auto"/>
        </w:rPr>
      </w:pPr>
      <w:r>
        <w:rPr>
          <w:rFonts w:ascii="Arial" w:cs="Arial" w:eastAsia="Arial" w:hAnsi="Arial"/>
          <w:sz w:val="19"/>
          <w:szCs w:val="19"/>
          <w:color w:val="auto"/>
        </w:rPr>
        <w:t>Value vested during the year” means the aggregate dollar value of the Common Shares that are is on the vesting of DSUs and RSUs. This amount is calculated using the closing market price o Common Shares on the dates on which the DSUs and RSUs vested during the year ended Decemb 2025. DSUs cannot be redeemed until after the director ceases to hold a position with the Company.</w:t>
      </w:r>
    </w:p>
    <w:p>
      <w:pPr>
        <w:ind w:left="1620" w:hanging="366"/>
        <w:spacing w:after="0"/>
        <w:tabs>
          <w:tab w:leader="none" w:pos="16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Ms. Moretto joined the Board in March 2024.</w:t>
      </w:r>
    </w:p>
    <w:p>
      <w:pPr>
        <w:spacing w:after="0" w:line="137" w:lineRule="exact"/>
        <w:rPr>
          <w:rFonts w:ascii="Arial" w:cs="Arial" w:eastAsia="Arial" w:hAnsi="Arial"/>
          <w:sz w:val="20"/>
          <w:szCs w:val="20"/>
          <w:color w:val="auto"/>
        </w:rPr>
      </w:pPr>
    </w:p>
    <w:p>
      <w:pPr>
        <w:ind w:left="1620" w:right="20" w:hanging="366"/>
        <w:spacing w:after="0" w:line="368" w:lineRule="auto"/>
        <w:tabs>
          <w:tab w:leader="none" w:pos="16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Franco Mignacco retired from the position of President of Minera Exar on December 6, 2024, continued being a director of the Company.</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Indebtedness of Directors and Executive Officers</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None of the current or former directors, executive officers, employees of the Company or its subsidiaries or respective associates or affiliates, are or have been indebted to the Company or its subsidiaries since beginning of the last completed financial year of the Company.</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Executive Compensation</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information set out below relating to the compensation earned by each Named Executive (as defined b is for the fiscal period ended December 31, 2025, and the two prior fiscal years. The executive management was reconstituted in October 2023 to be comprised, among others, of John Kanellitsas, Executive C President and Interim CEO, and Alex Shulga, Vice President and CFO. On March 18, 2024, Sam Pigott joine Company as President and CEO with Mr. Kanellitsas (the Company’s former President and Interim</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16 / 59</w:t>
      </w:r>
    </w:p>
    <w:p>
      <w:pPr>
        <w:sectPr>
          <w:pgSz w:w="11900" w:h="16838" w:orient="portrait"/>
          <w:cols w:equalWidth="0" w:num="1">
            <w:col w:w="10460"/>
          </w:cols>
          <w:pgMar w:left="1440" w:top="1440" w:right="6" w:bottom="0" w:gutter="0" w:footer="0" w:header="0"/>
          <w:type w:val="continuous"/>
        </w:sectPr>
      </w:pPr>
    </w:p>
    <w:bookmarkStart w:id="186" w:name="page187"/>
    <w:bookmarkEnd w:id="186"/>
    <w:p>
      <w:pPr>
        <w:jc w:val="both"/>
        <w:ind w:left="900" w:right="20"/>
        <w:spacing w:after="0" w:line="311" w:lineRule="auto"/>
        <w:rPr>
          <w:sz w:val="20"/>
          <w:szCs w:val="20"/>
          <w:color w:val="auto"/>
        </w:rPr>
      </w:pPr>
      <w:r>
        <w:rPr>
          <w:rFonts w:ascii="Arial" w:cs="Arial" w:eastAsia="Arial" w:hAnsi="Arial"/>
          <w:sz w:val="20"/>
          <w:szCs w:val="20"/>
          <w:color w:val="auto"/>
        </w:rPr>
        <w:t>Executive Officer) continuing in his role as Executive Chair Effective as of March 31, 2026, Mr. Kanellitsa transition from Executive Chair to non-Executive Chair, and on January 1, 2026 Alec Meikle was promot President of the Company.</w:t>
      </w:r>
    </w:p>
    <w:p>
      <w:pPr>
        <w:spacing w:after="0" w:line="212" w:lineRule="exact"/>
        <w:rPr>
          <w:sz w:val="20"/>
          <w:szCs w:val="20"/>
          <w:color w:val="auto"/>
        </w:rPr>
      </w:pPr>
    </w:p>
    <w:p>
      <w:pPr>
        <w:jc w:val="both"/>
        <w:ind w:left="900" w:right="20"/>
        <w:spacing w:after="0" w:line="307" w:lineRule="auto"/>
        <w:rPr>
          <w:sz w:val="20"/>
          <w:szCs w:val="20"/>
          <w:color w:val="auto"/>
        </w:rPr>
      </w:pPr>
      <w:r>
        <w:rPr>
          <w:rFonts w:ascii="Arial" w:cs="Arial" w:eastAsia="Arial" w:hAnsi="Arial"/>
          <w:sz w:val="20"/>
          <w:szCs w:val="20"/>
          <w:color w:val="auto"/>
        </w:rPr>
        <w:t>The GNCLC, on behalf of the Board, is responsible for overseeing the Company’s executive compens program.</w:t>
      </w:r>
    </w:p>
    <w:p>
      <w:pPr>
        <w:spacing w:after="0" w:line="2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In 2023, the Board adopted an Incentive Compensation Recovery Policy, which provides for the recove erroneously awarded incentive compensation from covered executives in the event that the Company is req to prepare an accounting restatement due to material non-compliance of the Company with any financial rep requirements under U.S. securities laws and NYSE requirements. A copy of the Incentive Compens Recovery Policy can be found on the Company’s website at www.lithium-argentina.com.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1087755</wp:posOffset>
            </wp:positionV>
            <wp:extent cx="6764020" cy="190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17 / 59</w:t>
      </w:r>
    </w:p>
    <w:p>
      <w:pPr>
        <w:sectPr>
          <w:pgSz w:w="11900" w:h="16838" w:orient="portrait"/>
          <w:cols w:equalWidth="0" w:num="1">
            <w:col w:w="10460"/>
          </w:cols>
          <w:pgMar w:left="1440" w:top="1172" w:right="6" w:bottom="0" w:gutter="0" w:footer="0" w:header="0"/>
          <w:type w:val="continuous"/>
        </w:sectPr>
      </w:pPr>
    </w:p>
    <w:bookmarkStart w:id="187" w:name="page188"/>
    <w:bookmarkEnd w:id="1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Executive Compensation Philosophy</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Company’s goal is to offer a compensation program that is competitive within the median range of a s group of industry peers for executive compensation comparison purposes, with the overall focus of the pro being to offer competitive base compensation to executives and pay for strong performance through an an performance management program, with a particular emphasis on compensating executives through e securities to better align executives’ financial interests with the interests of shareholders. The goals of Company’s executive compensation program are:</w:t>
      </w:r>
    </w:p>
    <w:p>
      <w:pPr>
        <w:spacing w:after="0" w:line="175" w:lineRule="exact"/>
        <w:rPr>
          <w:sz w:val="20"/>
          <w:szCs w:val="20"/>
          <w:color w:val="auto"/>
        </w:rPr>
      </w:pPr>
    </w:p>
    <w:p>
      <w:pPr>
        <w:ind w:left="1620" w:hanging="366"/>
        <w:spacing w:after="0" w:line="368" w:lineRule="auto"/>
        <w:tabs>
          <w:tab w:leader="none" w:pos="162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To attract, motivate and retain high performing executives through market competitive base salaries employee benefits, which are offered throughout the organization;</w:t>
      </w:r>
    </w:p>
    <w:p>
      <w:pPr>
        <w:spacing w:after="0" w:line="134" w:lineRule="exact"/>
        <w:rPr>
          <w:rFonts w:ascii="Arial" w:cs="Arial" w:eastAsia="Arial" w:hAnsi="Arial"/>
          <w:sz w:val="20"/>
          <w:szCs w:val="20"/>
          <w:color w:val="auto"/>
        </w:rPr>
      </w:pPr>
    </w:p>
    <w:p>
      <w:pPr>
        <w:jc w:val="both"/>
        <w:ind w:left="1620" w:hanging="366"/>
        <w:spacing w:after="0" w:line="373" w:lineRule="auto"/>
        <w:tabs>
          <w:tab w:leader="none" w:pos="162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To pay for performance of its executives through the performance management program, which incl performance reviews and awards based on a combination of individual performance and the attainm corporate and individual goals and objective each year, thereby furthering the interests of the Com and adding an at-risk component to executive compensation;</w:t>
      </w:r>
    </w:p>
    <w:p>
      <w:pPr>
        <w:spacing w:after="0" w:line="130"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To recognize the contribution of its executives to the Company’s profitability and long-term growth th the award of short-term and long-term equity incentives based on executive and corporate perform and</w:t>
      </w:r>
    </w:p>
    <w:p>
      <w:pPr>
        <w:spacing w:after="0" w:line="130"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To align the financial interests of executives with the interests of Shareholders and the Company’s o performance through the award of equity incentives that expose executives to the risks and rewar ownership of the Company’s equity securities.</w:t>
      </w:r>
    </w:p>
    <w:p>
      <w:pPr>
        <w:spacing w:after="0" w:line="167"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As an operational stage lithium mining and processing company that recently commenced production of ba grade lithium products, Lithium Argentina is dependent on individuals with specialized skills and knowl related to mining exploration, development and operations, capital projects management, chemical proce for lithium products, corporate finance, legal, human resources, and other areas of business or manage expertise. The Company operates in regions where competition for talent is increasingly strong, the numb opportunities for job seekers is growing and where it is increasingly important for companies to have compe compensation programs and practices in place to retain and attract talent.</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20"/>
          <w:szCs w:val="20"/>
          <w:color w:val="auto"/>
        </w:rPr>
        <w:t>For the year ended December 31, 2025, the compensation program  included the following components:</w:t>
      </w:r>
    </w:p>
    <w:p>
      <w:pPr>
        <w:spacing w:after="0" w:line="72" w:lineRule="exact"/>
        <w:rPr>
          <w:sz w:val="20"/>
          <w:szCs w:val="20"/>
          <w:color w:val="auto"/>
        </w:rPr>
      </w:pPr>
    </w:p>
    <w:p>
      <w:pPr>
        <w:ind w:left="900"/>
        <w:spacing w:after="0"/>
        <w:tabs>
          <w:tab w:leader="none" w:pos="4060" w:val="left"/>
          <w:tab w:leader="none" w:pos="7560" w:val="left"/>
        </w:tabs>
        <w:rPr>
          <w:sz w:val="20"/>
          <w:szCs w:val="20"/>
          <w:color w:val="auto"/>
        </w:rPr>
      </w:pPr>
      <w:r>
        <w:rPr>
          <w:rFonts w:ascii="Arial" w:cs="Arial" w:eastAsia="Arial" w:hAnsi="Arial"/>
          <w:sz w:val="20"/>
          <w:szCs w:val="20"/>
          <w:color w:val="auto"/>
        </w:rPr>
        <w:t>salary,</w:t>
      </w:r>
      <w:r>
        <w:rPr>
          <w:sz w:val="20"/>
          <w:szCs w:val="20"/>
          <w:color w:val="auto"/>
        </w:rPr>
        <w:tab/>
      </w:r>
      <w:r>
        <w:rPr>
          <w:rFonts w:ascii="Arial" w:cs="Arial" w:eastAsia="Arial" w:hAnsi="Arial"/>
          <w:sz w:val="20"/>
          <w:szCs w:val="20"/>
          <w:color w:val="auto"/>
        </w:rPr>
        <w:t>short-term</w:t>
      </w:r>
      <w:r>
        <w:rPr>
          <w:sz w:val="20"/>
          <w:szCs w:val="20"/>
          <w:color w:val="auto"/>
        </w:rPr>
        <w:tab/>
      </w:r>
      <w:r>
        <w:rPr>
          <w:rFonts w:ascii="Arial" w:cs="Arial" w:eastAsia="Arial" w:hAnsi="Arial"/>
          <w:sz w:val="20"/>
          <w:szCs w:val="20"/>
          <w:color w:val="auto"/>
        </w:rPr>
        <w:t>incentive</w:t>
      </w:r>
    </w:p>
    <w:p>
      <w:pPr>
        <w:spacing w:after="0" w:line="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STI</w:t>
      </w:r>
      <w:r>
        <w:rPr>
          <w:rFonts w:ascii="Arial" w:cs="Arial" w:eastAsia="Arial" w:hAnsi="Arial"/>
          <w:sz w:val="20"/>
          <w:szCs w:val="20"/>
          <w:color w:val="auto"/>
        </w:rPr>
        <w:t>”) annual performance award payable in cash and/or short-term vesting RSUs (in such proportio determined by the GNCLC), long-term incentive (“</w:t>
      </w:r>
      <w:r>
        <w:rPr>
          <w:rFonts w:ascii="Arial" w:cs="Arial" w:eastAsia="Arial" w:hAnsi="Arial"/>
          <w:sz w:val="20"/>
          <w:szCs w:val="20"/>
          <w:b w:val="1"/>
          <w:bCs w:val="1"/>
          <w:color w:val="auto"/>
        </w:rPr>
        <w:t>LTI</w:t>
      </w:r>
      <w:r>
        <w:rPr>
          <w:rFonts w:ascii="Arial" w:cs="Arial" w:eastAsia="Arial" w:hAnsi="Arial"/>
          <w:sz w:val="20"/>
          <w:szCs w:val="20"/>
          <w:color w:val="auto"/>
        </w:rPr>
        <w:t>”) performance award payable 100% in three year ve RSUs, and employee benefits such as retirement savings plan contributions, extended health, dental, life disability insurance, and a health and wellness benefit to encourage a healthy lifestyle for the Compa executives and staff generally. For the portion of STI paid in RSUs instead of cash, executives receive additional 25% in STI.</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18 / 59</w:t>
      </w:r>
    </w:p>
    <w:p>
      <w:pPr>
        <w:sectPr>
          <w:pgSz w:w="11900" w:h="16838" w:orient="portrait"/>
          <w:cols w:equalWidth="0" w:num="1">
            <w:col w:w="10460"/>
          </w:cols>
          <w:pgMar w:left="1440" w:top="1440" w:right="6" w:bottom="0" w:gutter="0" w:footer="0" w:header="0"/>
          <w:type w:val="continuous"/>
        </w:sectPr>
      </w:pPr>
    </w:p>
    <w:bookmarkStart w:id="188" w:name="page189"/>
    <w:bookmarkEnd w:id="188"/>
    <w:p>
      <w:pPr>
        <w:jc w:val="both"/>
        <w:ind w:left="900"/>
        <w:spacing w:after="0" w:line="286" w:lineRule="exact"/>
        <w:rPr>
          <w:sz w:val="20"/>
          <w:szCs w:val="20"/>
          <w:color w:val="auto"/>
        </w:rPr>
      </w:pPr>
      <w:r>
        <w:rPr>
          <w:rFonts w:ascii="Arial" w:cs="Arial" w:eastAsia="Arial" w:hAnsi="Arial"/>
          <w:sz w:val="20"/>
          <w:szCs w:val="20"/>
          <w:color w:val="auto"/>
        </w:rPr>
        <w:t>Lithium Argentina maintains a performance</w:t>
      </w:r>
      <w:r>
        <w:rPr>
          <w:rFonts w:ascii="MS PMincho" w:cs="MS PMincho" w:eastAsia="MS PMincho" w:hAnsi="MS PMincho"/>
          <w:sz w:val="20"/>
          <w:szCs w:val="20"/>
          <w:color w:val="auto"/>
        </w:rPr>
        <w:t>‐</w:t>
      </w:r>
      <w:r>
        <w:rPr>
          <w:rFonts w:ascii="Arial" w:cs="Arial" w:eastAsia="Arial" w:hAnsi="Arial"/>
          <w:sz w:val="20"/>
          <w:szCs w:val="20"/>
          <w:color w:val="auto"/>
        </w:rPr>
        <w:t>based compensation framework that is designed to drive performance by providing substantial upside for outstanding results while maintaining a strong accounta mechanism. By linking executive rewards to corporate achievements, individual contributions, and bro strategic and operational considerations, Lithium Argentina reinforces a pay</w:t>
      </w:r>
      <w:r>
        <w:rPr>
          <w:rFonts w:ascii="MS PMincho" w:cs="MS PMincho" w:eastAsia="MS PMincho" w:hAnsi="MS PMincho"/>
          <w:sz w:val="20"/>
          <w:szCs w:val="20"/>
          <w:color w:val="auto"/>
        </w:rPr>
        <w:t>‐</w:t>
      </w:r>
      <w:r>
        <w:rPr>
          <w:rFonts w:ascii="Arial" w:cs="Arial" w:eastAsia="Arial" w:hAnsi="Arial"/>
          <w:sz w:val="20"/>
          <w:szCs w:val="20"/>
          <w:color w:val="auto"/>
        </w:rPr>
        <w:t>for</w:t>
      </w:r>
      <w:r>
        <w:rPr>
          <w:rFonts w:ascii="MS PMincho" w:cs="MS PMincho" w:eastAsia="MS PMincho" w:hAnsi="MS PMincho"/>
          <w:sz w:val="20"/>
          <w:szCs w:val="20"/>
          <w:color w:val="auto"/>
        </w:rPr>
        <w:t>‐</w:t>
      </w:r>
      <w:r>
        <w:rPr>
          <w:rFonts w:ascii="Arial" w:cs="Arial" w:eastAsia="Arial" w:hAnsi="Arial"/>
          <w:sz w:val="20"/>
          <w:szCs w:val="20"/>
          <w:color w:val="auto"/>
        </w:rPr>
        <w:t>performance culture incentivizes sustained value creation.</w:t>
      </w:r>
    </w:p>
    <w:p>
      <w:pPr>
        <w:spacing w:after="0" w:line="28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In determining the actual annual bonus awards, the GNCLC and the Board carefully considered the follo corporate highlights, as well as other qualitative and quantitative factors, including market conditions, stra priorities, and leadership effectiveness:</w:t>
      </w:r>
    </w:p>
    <w:p>
      <w:pPr>
        <w:spacing w:after="0" w:line="168" w:lineRule="exact"/>
        <w:rPr>
          <w:sz w:val="20"/>
          <w:szCs w:val="20"/>
          <w:color w:val="auto"/>
        </w:rPr>
      </w:pPr>
    </w:p>
    <w:p>
      <w:pPr>
        <w:ind w:left="1620" w:hanging="366"/>
        <w:spacing w:after="0"/>
        <w:tabs>
          <w:tab w:leader="none" w:pos="162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continued ramp-up and operational execution at Cauchari-Olaroz;</w:t>
      </w:r>
    </w:p>
    <w:p>
      <w:pPr>
        <w:spacing w:after="0" w:line="257"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advancement of a scalable regional growth platform through the announced definitive agreemen consolidate the Pozuelos-Pastos Grandes Basin pursuant to a new joint venture with Ganfeng Lithiu Group Co., Ltd.;</w:t>
      </w:r>
    </w:p>
    <w:p>
      <w:pPr>
        <w:spacing w:after="0" w:line="123" w:lineRule="exact"/>
        <w:rPr>
          <w:rFonts w:ascii="Arial" w:cs="Arial" w:eastAsia="Arial" w:hAnsi="Arial"/>
          <w:sz w:val="20"/>
          <w:szCs w:val="20"/>
          <w:color w:val="auto"/>
        </w:rPr>
      </w:pPr>
    </w:p>
    <w:p>
      <w:pPr>
        <w:ind w:left="1620" w:hanging="366"/>
        <w:spacing w:after="0"/>
        <w:tabs>
          <w:tab w:leader="none" w:pos="1620" w:val="left"/>
        </w:tabs>
        <w:numPr>
          <w:ilvl w:val="0"/>
          <w:numId w:val="71"/>
        </w:numPr>
        <w:rPr>
          <w:rFonts w:ascii="Arial" w:cs="Arial" w:eastAsia="Arial" w:hAnsi="Arial"/>
          <w:sz w:val="20"/>
          <w:szCs w:val="20"/>
          <w:color w:val="auto"/>
        </w:rPr>
      </w:pPr>
      <w:r>
        <w:rPr>
          <w:rFonts w:ascii="Arial" w:cs="Arial" w:eastAsia="Arial" w:hAnsi="Arial"/>
          <w:sz w:val="20"/>
          <w:szCs w:val="20"/>
          <w:color w:val="auto"/>
        </w:rPr>
        <w:t>a related $130 million corporate debt facility;</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completion of the corporate domicile migration to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1141095</wp:posOffset>
            </wp:positionV>
            <wp:extent cx="6764020" cy="190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19 / 59</w:t>
      </w:r>
    </w:p>
    <w:p>
      <w:pPr>
        <w:sectPr>
          <w:pgSz w:w="11900" w:h="16838" w:orient="portrait"/>
          <w:cols w:equalWidth="0" w:num="1">
            <w:col w:w="10460"/>
          </w:cols>
          <w:pgMar w:left="1440" w:top="1172" w:right="6" w:bottom="0" w:gutter="0" w:footer="0" w:header="0"/>
          <w:type w:val="continuous"/>
        </w:sectPr>
      </w:pPr>
    </w:p>
    <w:bookmarkStart w:id="189" w:name="page190"/>
    <w:bookmarkEnd w:id="1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20" w:hanging="366"/>
        <w:spacing w:after="0"/>
        <w:tabs>
          <w:tab w:leader="none" w:pos="16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refinancing of project level debts; and</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reduction of corporate overhead costs.</w:t>
      </w:r>
    </w:p>
    <w:p>
      <w:pPr>
        <w:spacing w:after="0" w:line="293" w:lineRule="exact"/>
        <w:rPr>
          <w:sz w:val="20"/>
          <w:szCs w:val="20"/>
          <w:color w:val="auto"/>
        </w:rPr>
      </w:pPr>
    </w:p>
    <w:p>
      <w:pPr>
        <w:ind w:left="900" w:right="60"/>
        <w:spacing w:after="0" w:line="307" w:lineRule="auto"/>
        <w:rPr>
          <w:sz w:val="20"/>
          <w:szCs w:val="20"/>
          <w:color w:val="auto"/>
        </w:rPr>
      </w:pPr>
      <w:r>
        <w:rPr>
          <w:rFonts w:ascii="Arial" w:cs="Arial" w:eastAsia="Arial" w:hAnsi="Arial"/>
          <w:sz w:val="20"/>
          <w:szCs w:val="20"/>
          <w:color w:val="auto"/>
        </w:rPr>
        <w:t>These milestones, together with continued progress on permitting, development planning, liquidity initiatives ESG priorities, required significant time, leadership and execution by the Company’s executives.</w:t>
      </w:r>
    </w:p>
    <w:p>
      <w:pPr>
        <w:spacing w:after="0" w:line="215"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These accomplishments highlight Lithium Argentina’s strategic focus on continuous improvement of opera and enhancing shareholder value through disciplined growth and operational efficiency.</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Compensation Governance</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Compensation matters are overseen by the GNCLC. The members of the GNCLC are Calum Morisson (C George Ireland and Robert Doyle. All members of the committee are current or former executive officers/dire of public or private companies, providing them with an understanding of executive compensation policies practices, along with practical experience as to the workings of such programs and policies. The committee has the ability to engage external advisors to support committee members in fulfilling the mandate of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20 / 59</w:t>
      </w:r>
    </w:p>
    <w:p>
      <w:pPr>
        <w:sectPr>
          <w:pgSz w:w="11900" w:h="16838" w:orient="portrait"/>
          <w:cols w:equalWidth="0" w:num="1">
            <w:col w:w="10460"/>
          </w:cols>
          <w:pgMar w:left="1440" w:top="1440" w:right="6" w:bottom="0" w:gutter="0" w:footer="0" w:header="0"/>
          <w:type w:val="continuous"/>
        </w:sectPr>
      </w:pPr>
    </w:p>
    <w:bookmarkStart w:id="190" w:name="page191"/>
    <w:bookmarkEnd w:id="1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900"/>
        <w:spacing w:after="0"/>
        <w:rPr>
          <w:sz w:val="20"/>
          <w:szCs w:val="20"/>
          <w:color w:val="auto"/>
        </w:rPr>
      </w:pPr>
      <w:r>
        <w:rPr>
          <w:rFonts w:ascii="Arial" w:cs="Arial" w:eastAsia="Arial" w:hAnsi="Arial"/>
          <w:sz w:val="19"/>
          <w:szCs w:val="19"/>
          <w:color w:val="auto"/>
        </w:rPr>
        <w:t>Please see the flowchart below for an overview of the Company’s compensation governance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187325</wp:posOffset>
            </wp:positionV>
            <wp:extent cx="6090920" cy="38500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4">
                      <a:extLst>
                        <a:ext uri="{28A0092B-C50C-407E-A947-70E740481C1C}"/>
                      </a:extLst>
                    </a:blip>
                    <a:srcRect/>
                    <a:stretch>
                      <a:fillRect/>
                    </a:stretch>
                  </pic:blipFill>
                  <pic:spPr bwMode="auto">
                    <a:xfrm>
                      <a:off x="0" y="0"/>
                      <a:ext cx="6090920" cy="385000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349" w:lineRule="exact"/>
        <w:rPr>
          <w:sz w:val="20"/>
          <w:szCs w:val="20"/>
          <w:color w:val="auto"/>
        </w:rPr>
      </w:pPr>
    </w:p>
    <w:p>
      <w:pPr>
        <w:ind w:left="2420"/>
        <w:spacing w:after="0"/>
        <w:rPr>
          <w:sz w:val="20"/>
          <w:szCs w:val="20"/>
          <w:color w:val="auto"/>
        </w:rPr>
      </w:pPr>
      <w:r>
        <w:rPr>
          <w:rFonts w:ascii="Arial" w:cs="Arial" w:eastAsia="Arial" w:hAnsi="Arial"/>
          <w:sz w:val="16"/>
          <w:szCs w:val="16"/>
          <w:b w:val="1"/>
          <w:bCs w:val="1"/>
          <w:color w:val="auto"/>
        </w:rPr>
        <w:t>CEO &amp; Executive Chair</w:t>
      </w:r>
    </w:p>
    <w:p>
      <w:pPr>
        <w:spacing w:after="0" w:line="387" w:lineRule="exact"/>
        <w:rPr>
          <w:sz w:val="20"/>
          <w:szCs w:val="20"/>
          <w:color w:val="auto"/>
        </w:rPr>
      </w:pPr>
    </w:p>
    <w:p>
      <w:pPr>
        <w:ind w:left="1240" w:hanging="221"/>
        <w:spacing w:after="0"/>
        <w:tabs>
          <w:tab w:leader="none" w:pos="12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Reviews and analyzes current compensation strategy.</w:t>
      </w:r>
    </w:p>
    <w:p>
      <w:pPr>
        <w:spacing w:after="0" w:line="243" w:lineRule="exact"/>
        <w:rPr>
          <w:rFonts w:ascii="Arial" w:cs="Arial" w:eastAsia="Arial" w:hAnsi="Arial"/>
          <w:sz w:val="16"/>
          <w:szCs w:val="16"/>
          <w:color w:val="auto"/>
        </w:rPr>
      </w:pPr>
    </w:p>
    <w:p>
      <w:pPr>
        <w:ind w:left="1240" w:hanging="221"/>
        <w:spacing w:after="0" w:line="460" w:lineRule="auto"/>
        <w:tabs>
          <w:tab w:leader="none" w:pos="12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Reviews input from the independent compensation advisor to the GNCLC.</w:t>
      </w:r>
    </w:p>
    <w:p>
      <w:pPr>
        <w:spacing w:after="0" w:line="74" w:lineRule="exact"/>
        <w:rPr>
          <w:rFonts w:ascii="Arial" w:cs="Arial" w:eastAsia="Arial" w:hAnsi="Arial"/>
          <w:sz w:val="16"/>
          <w:szCs w:val="16"/>
          <w:color w:val="auto"/>
        </w:rPr>
      </w:pPr>
    </w:p>
    <w:p>
      <w:pPr>
        <w:ind w:left="1240" w:right="760" w:hanging="221"/>
        <w:spacing w:after="0" w:line="460" w:lineRule="auto"/>
        <w:tabs>
          <w:tab w:leader="none" w:pos="12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Reviews performance and compensation of senior executives.</w:t>
      </w:r>
    </w:p>
    <w:p>
      <w:pPr>
        <w:spacing w:after="0" w:line="67" w:lineRule="exact"/>
        <w:rPr>
          <w:rFonts w:ascii="Arial" w:cs="Arial" w:eastAsia="Arial" w:hAnsi="Arial"/>
          <w:sz w:val="16"/>
          <w:szCs w:val="16"/>
          <w:color w:val="auto"/>
        </w:rPr>
      </w:pPr>
    </w:p>
    <w:p>
      <w:pPr>
        <w:ind w:left="1240" w:hanging="221"/>
        <w:spacing w:after="0"/>
        <w:tabs>
          <w:tab w:leader="none" w:pos="12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Recommends compensation strategies and compensation.</w:t>
      </w:r>
    </w:p>
    <w:p>
      <w:pPr>
        <w:spacing w:after="0" w:line="236" w:lineRule="exact"/>
        <w:rPr>
          <w:rFonts w:ascii="Arial" w:cs="Arial" w:eastAsia="Arial" w:hAnsi="Arial"/>
          <w:sz w:val="16"/>
          <w:szCs w:val="16"/>
          <w:color w:val="auto"/>
        </w:rPr>
      </w:pPr>
    </w:p>
    <w:p>
      <w:pPr>
        <w:ind w:left="1240" w:hanging="221"/>
        <w:spacing w:after="0"/>
        <w:tabs>
          <w:tab w:leader="none" w:pos="12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Assists the GNCLC in discharging its duties by:</w:t>
      </w:r>
    </w:p>
    <w:p>
      <w:pPr>
        <w:spacing w:after="0" w:line="243" w:lineRule="exact"/>
        <w:rPr>
          <w:rFonts w:ascii="Arial" w:cs="Arial" w:eastAsia="Arial" w:hAnsi="Arial"/>
          <w:sz w:val="16"/>
          <w:szCs w:val="16"/>
          <w:color w:val="auto"/>
        </w:rPr>
      </w:pPr>
    </w:p>
    <w:p>
      <w:pPr>
        <w:ind w:left="1460" w:right="320" w:hanging="214"/>
        <w:spacing w:after="0" w:line="506" w:lineRule="auto"/>
        <w:tabs>
          <w:tab w:leader="none" w:pos="1460" w:val="left"/>
        </w:tabs>
        <w:numPr>
          <w:ilvl w:val="1"/>
          <w:numId w:val="73"/>
        </w:numPr>
        <w:rPr>
          <w:rFonts w:ascii="Arial" w:cs="Arial" w:eastAsia="Arial" w:hAnsi="Arial"/>
          <w:sz w:val="15"/>
          <w:szCs w:val="15"/>
          <w:color w:val="auto"/>
        </w:rPr>
      </w:pPr>
      <w:r>
        <w:rPr>
          <w:rFonts w:ascii="Arial" w:cs="Arial" w:eastAsia="Arial" w:hAnsi="Arial"/>
          <w:sz w:val="15"/>
          <w:szCs w:val="15"/>
          <w:color w:val="auto"/>
        </w:rPr>
        <w:t>Reporting on succession planning and other retention related risks associated with senior executives;</w:t>
      </w:r>
    </w:p>
    <w:p>
      <w:pPr>
        <w:spacing w:after="0" w:line="52" w:lineRule="exact"/>
        <w:rPr>
          <w:rFonts w:ascii="Arial" w:cs="Arial" w:eastAsia="Arial" w:hAnsi="Arial"/>
          <w:sz w:val="15"/>
          <w:szCs w:val="15"/>
          <w:color w:val="auto"/>
        </w:rPr>
      </w:pPr>
    </w:p>
    <w:p>
      <w:pPr>
        <w:ind w:left="1460" w:right="80" w:hanging="214"/>
        <w:spacing w:after="0" w:line="464" w:lineRule="auto"/>
        <w:tabs>
          <w:tab w:leader="none" w:pos="14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Proposing and evaluating near-term corporate objectives and associated targets as part of the Company’s STI program; and</w:t>
      </w:r>
    </w:p>
    <w:p>
      <w:pPr>
        <w:spacing w:after="0" w:line="72" w:lineRule="exact"/>
        <w:rPr>
          <w:rFonts w:ascii="Arial" w:cs="Arial" w:eastAsia="Arial" w:hAnsi="Arial"/>
          <w:sz w:val="16"/>
          <w:szCs w:val="16"/>
          <w:color w:val="auto"/>
        </w:rPr>
      </w:pPr>
    </w:p>
    <w:p>
      <w:pPr>
        <w:ind w:left="1460" w:right="120" w:hanging="214"/>
        <w:spacing w:after="0" w:line="460" w:lineRule="auto"/>
        <w:tabs>
          <w:tab w:leader="none" w:pos="14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Proposing changes to the Company's LTI compensation programs.</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left="906"/>
        <w:spacing w:after="0"/>
        <w:rPr>
          <w:sz w:val="20"/>
          <w:szCs w:val="20"/>
          <w:color w:val="auto"/>
        </w:rPr>
      </w:pPr>
      <w:r>
        <w:rPr>
          <w:rFonts w:ascii="Arial" w:cs="Arial" w:eastAsia="Arial" w:hAnsi="Arial"/>
          <w:sz w:val="16"/>
          <w:szCs w:val="16"/>
          <w:b w:val="1"/>
          <w:bCs w:val="1"/>
          <w:color w:val="auto"/>
        </w:rPr>
        <w:t>Independent Compensation Advisor</w:t>
      </w:r>
    </w:p>
    <w:p>
      <w:pPr>
        <w:spacing w:after="0" w:line="394" w:lineRule="exact"/>
        <w:rPr>
          <w:sz w:val="20"/>
          <w:szCs w:val="20"/>
          <w:color w:val="auto"/>
        </w:rPr>
      </w:pPr>
    </w:p>
    <w:p>
      <w:pPr>
        <w:ind w:left="206" w:right="500" w:hanging="206"/>
        <w:spacing w:after="0" w:line="460" w:lineRule="auto"/>
        <w:tabs>
          <w:tab w:leader="none" w:pos="206" w:val="left"/>
        </w:tabs>
        <w:numPr>
          <w:ilvl w:val="0"/>
          <w:numId w:val="74"/>
        </w:numPr>
        <w:rPr>
          <w:rFonts w:ascii="Arial" w:cs="Arial" w:eastAsia="Arial" w:hAnsi="Arial"/>
          <w:sz w:val="16"/>
          <w:szCs w:val="16"/>
          <w:color w:val="auto"/>
        </w:rPr>
      </w:pPr>
      <w:r>
        <w:rPr>
          <w:rFonts w:ascii="Arial" w:cs="Arial" w:eastAsia="Arial" w:hAnsi="Arial"/>
          <w:sz w:val="16"/>
          <w:szCs w:val="16"/>
          <w:color w:val="auto"/>
        </w:rPr>
        <w:t>Provides the GNCLC with independent advice on compensation matters, including:</w:t>
      </w:r>
    </w:p>
    <w:p>
      <w:pPr>
        <w:spacing w:after="0" w:line="67" w:lineRule="exact"/>
        <w:rPr>
          <w:rFonts w:ascii="Arial" w:cs="Arial" w:eastAsia="Arial" w:hAnsi="Arial"/>
          <w:sz w:val="16"/>
          <w:szCs w:val="16"/>
          <w:color w:val="auto"/>
        </w:rPr>
      </w:pPr>
    </w:p>
    <w:p>
      <w:pPr>
        <w:ind w:left="446" w:hanging="219"/>
        <w:spacing w:after="0"/>
        <w:tabs>
          <w:tab w:leader="none" w:pos="446" w:val="left"/>
        </w:tabs>
        <w:numPr>
          <w:ilvl w:val="1"/>
          <w:numId w:val="74"/>
        </w:numPr>
        <w:rPr>
          <w:rFonts w:ascii="Arial" w:cs="Arial" w:eastAsia="Arial" w:hAnsi="Arial"/>
          <w:sz w:val="16"/>
          <w:szCs w:val="16"/>
          <w:color w:val="auto"/>
        </w:rPr>
      </w:pPr>
      <w:r>
        <w:rPr>
          <w:rFonts w:ascii="Arial" w:cs="Arial" w:eastAsia="Arial" w:hAnsi="Arial"/>
          <w:sz w:val="16"/>
          <w:szCs w:val="16"/>
          <w:color w:val="auto"/>
        </w:rPr>
        <w:t>Compensation philosophy and strategy;</w:t>
      </w:r>
    </w:p>
    <w:p>
      <w:pPr>
        <w:spacing w:after="0" w:line="243" w:lineRule="exact"/>
        <w:rPr>
          <w:rFonts w:ascii="Arial" w:cs="Arial" w:eastAsia="Arial" w:hAnsi="Arial"/>
          <w:sz w:val="16"/>
          <w:szCs w:val="16"/>
          <w:color w:val="auto"/>
        </w:rPr>
      </w:pPr>
    </w:p>
    <w:p>
      <w:pPr>
        <w:jc w:val="both"/>
        <w:ind w:left="446" w:hanging="219"/>
        <w:spacing w:after="0" w:line="464" w:lineRule="auto"/>
        <w:tabs>
          <w:tab w:leader="none" w:pos="446" w:val="left"/>
        </w:tabs>
        <w:numPr>
          <w:ilvl w:val="1"/>
          <w:numId w:val="74"/>
        </w:numPr>
        <w:rPr>
          <w:rFonts w:ascii="Arial" w:cs="Arial" w:eastAsia="Arial" w:hAnsi="Arial"/>
          <w:sz w:val="16"/>
          <w:szCs w:val="16"/>
          <w:color w:val="auto"/>
        </w:rPr>
      </w:pPr>
      <w:r>
        <w:rPr>
          <w:rFonts w:ascii="Arial" w:cs="Arial" w:eastAsia="Arial" w:hAnsi="Arial"/>
          <w:sz w:val="16"/>
          <w:szCs w:val="16"/>
          <w:color w:val="auto"/>
        </w:rPr>
        <w:t>Development of a peer group of companies that refle the Company's current size and stage of operation an development;</w:t>
      </w:r>
    </w:p>
    <w:p>
      <w:pPr>
        <w:spacing w:after="0" w:line="72" w:lineRule="exact"/>
        <w:rPr>
          <w:rFonts w:ascii="Arial" w:cs="Arial" w:eastAsia="Arial" w:hAnsi="Arial"/>
          <w:sz w:val="16"/>
          <w:szCs w:val="16"/>
          <w:color w:val="auto"/>
        </w:rPr>
      </w:pPr>
    </w:p>
    <w:p>
      <w:pPr>
        <w:ind w:left="446" w:right="20" w:hanging="219"/>
        <w:spacing w:after="0" w:line="460" w:lineRule="auto"/>
        <w:tabs>
          <w:tab w:leader="none" w:pos="446" w:val="left"/>
        </w:tabs>
        <w:numPr>
          <w:ilvl w:val="1"/>
          <w:numId w:val="74"/>
        </w:numPr>
        <w:rPr>
          <w:rFonts w:ascii="Arial" w:cs="Arial" w:eastAsia="Arial" w:hAnsi="Arial"/>
          <w:sz w:val="16"/>
          <w:szCs w:val="16"/>
          <w:color w:val="auto"/>
        </w:rPr>
      </w:pPr>
      <w:r>
        <w:rPr>
          <w:rFonts w:ascii="Arial" w:cs="Arial" w:eastAsia="Arial" w:hAnsi="Arial"/>
          <w:sz w:val="16"/>
          <w:szCs w:val="16"/>
          <w:color w:val="auto"/>
        </w:rPr>
        <w:t>Compensation levels of executives and non-executiv directors relative to the peer group;</w:t>
      </w:r>
    </w:p>
    <w:p>
      <w:pPr>
        <w:spacing w:after="0" w:line="74" w:lineRule="exact"/>
        <w:rPr>
          <w:rFonts w:ascii="Arial" w:cs="Arial" w:eastAsia="Arial" w:hAnsi="Arial"/>
          <w:sz w:val="16"/>
          <w:szCs w:val="16"/>
          <w:color w:val="auto"/>
        </w:rPr>
      </w:pPr>
    </w:p>
    <w:p>
      <w:pPr>
        <w:ind w:left="446" w:right="20" w:hanging="219"/>
        <w:spacing w:after="0" w:line="460" w:lineRule="auto"/>
        <w:tabs>
          <w:tab w:leader="none" w:pos="446" w:val="left"/>
        </w:tabs>
        <w:numPr>
          <w:ilvl w:val="1"/>
          <w:numId w:val="74"/>
        </w:numPr>
        <w:rPr>
          <w:rFonts w:ascii="Arial" w:cs="Arial" w:eastAsia="Arial" w:hAnsi="Arial"/>
          <w:sz w:val="16"/>
          <w:szCs w:val="16"/>
          <w:color w:val="auto"/>
        </w:rPr>
      </w:pPr>
      <w:r>
        <w:rPr>
          <w:rFonts w:ascii="Arial" w:cs="Arial" w:eastAsia="Arial" w:hAnsi="Arial"/>
          <w:sz w:val="16"/>
          <w:szCs w:val="16"/>
          <w:color w:val="auto"/>
        </w:rPr>
        <w:t>Industry practices regarding STI and LTI compensati programs;</w:t>
      </w:r>
    </w:p>
    <w:p>
      <w:pPr>
        <w:spacing w:after="0" w:line="74" w:lineRule="exact"/>
        <w:rPr>
          <w:rFonts w:ascii="Arial" w:cs="Arial" w:eastAsia="Arial" w:hAnsi="Arial"/>
          <w:sz w:val="16"/>
          <w:szCs w:val="16"/>
          <w:color w:val="auto"/>
        </w:rPr>
      </w:pPr>
    </w:p>
    <w:p>
      <w:pPr>
        <w:ind w:left="446" w:right="20" w:hanging="219"/>
        <w:spacing w:after="0" w:line="460" w:lineRule="auto"/>
        <w:tabs>
          <w:tab w:leader="none" w:pos="446" w:val="left"/>
        </w:tabs>
        <w:numPr>
          <w:ilvl w:val="1"/>
          <w:numId w:val="74"/>
        </w:numPr>
        <w:rPr>
          <w:rFonts w:ascii="Arial" w:cs="Arial" w:eastAsia="Arial" w:hAnsi="Arial"/>
          <w:sz w:val="16"/>
          <w:szCs w:val="16"/>
          <w:color w:val="auto"/>
        </w:rPr>
      </w:pPr>
      <w:r>
        <w:rPr>
          <w:rFonts w:ascii="Arial" w:cs="Arial" w:eastAsia="Arial" w:hAnsi="Arial"/>
          <w:sz w:val="16"/>
          <w:szCs w:val="16"/>
          <w:color w:val="auto"/>
        </w:rPr>
        <w:t>Review and advise on management-prepared materi and recommendations; and</w:t>
      </w:r>
    </w:p>
    <w:p>
      <w:pPr>
        <w:spacing w:after="0" w:line="74" w:lineRule="exact"/>
        <w:rPr>
          <w:rFonts w:ascii="Arial" w:cs="Arial" w:eastAsia="Arial" w:hAnsi="Arial"/>
          <w:sz w:val="16"/>
          <w:szCs w:val="16"/>
          <w:color w:val="auto"/>
        </w:rPr>
      </w:pPr>
    </w:p>
    <w:p>
      <w:pPr>
        <w:ind w:left="446" w:hanging="219"/>
        <w:spacing w:after="0"/>
        <w:tabs>
          <w:tab w:leader="none" w:pos="446" w:val="left"/>
        </w:tabs>
        <w:numPr>
          <w:ilvl w:val="1"/>
          <w:numId w:val="74"/>
        </w:numPr>
        <w:rPr>
          <w:rFonts w:ascii="Arial" w:cs="Arial" w:eastAsia="Arial" w:hAnsi="Arial"/>
          <w:sz w:val="15"/>
          <w:szCs w:val="15"/>
          <w:color w:val="auto"/>
        </w:rPr>
      </w:pPr>
      <w:r>
        <w:rPr>
          <w:rFonts w:ascii="Arial" w:cs="Arial" w:eastAsia="Arial" w:hAnsi="Arial"/>
          <w:sz w:val="15"/>
          <w:szCs w:val="15"/>
          <w:color w:val="auto"/>
        </w:rPr>
        <w:t>Compensation governance matters and best practice</w:t>
      </w:r>
    </w:p>
    <w:p>
      <w:pPr>
        <w:spacing w:after="0" w:line="627" w:lineRule="exact"/>
        <w:rPr>
          <w:sz w:val="20"/>
          <w:szCs w:val="20"/>
          <w:color w:val="auto"/>
        </w:rPr>
      </w:pPr>
    </w:p>
    <w:p>
      <w:pPr>
        <w:sectPr>
          <w:pgSz w:w="11900" w:h="16838" w:orient="portrait"/>
          <w:cols w:equalWidth="0" w:num="2">
            <w:col w:w="5560" w:space="714"/>
            <w:col w:w="4186"/>
          </w:cols>
          <w:pgMar w:left="1440" w:top="1440" w:right="6" w:bottom="0" w:gutter="0" w:footer="0" w:header="0"/>
          <w:type w:val="continuous"/>
        </w:sectPr>
      </w:pPr>
    </w:p>
    <w:p>
      <w:pPr>
        <w:ind w:left="3200"/>
        <w:spacing w:after="0"/>
        <w:tabs>
          <w:tab w:leader="none" w:pos="8440" w:val="left"/>
        </w:tabs>
        <w:rPr>
          <w:sz w:val="20"/>
          <w:szCs w:val="20"/>
          <w:color w:val="auto"/>
        </w:rPr>
      </w:pPr>
      <w:r>
        <w:rPr>
          <w:rFonts w:ascii="Arial" w:cs="Arial" w:eastAsia="Arial" w:hAnsi="Arial"/>
          <w:sz w:val="44"/>
          <w:szCs w:val="44"/>
          <w:color w:val="auto"/>
        </w:rPr>
        <w:t>↓</w:t>
      </w:r>
      <w:r>
        <w:rPr>
          <w:sz w:val="20"/>
          <w:szCs w:val="20"/>
          <w:color w:val="auto"/>
        </w:rPr>
        <w:tab/>
      </w:r>
      <w:r>
        <w:rPr>
          <w:rFonts w:ascii="Arial" w:cs="Arial" w:eastAsia="Arial" w:hAnsi="Arial"/>
          <w:sz w:val="44"/>
          <w:szCs w:val="4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95250</wp:posOffset>
            </wp:positionV>
            <wp:extent cx="278765"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5">
                      <a:extLst>
                        <a:ext uri="{28A0092B-C50C-407E-A947-70E740481C1C}"/>
                      </a:extLst>
                    </a:blip>
                    <a:srcRect/>
                    <a:stretch>
                      <a:fillRect/>
                    </a:stretch>
                  </pic:blipFill>
                  <pic:spPr bwMode="auto">
                    <a:xfrm>
                      <a:off x="0" y="0"/>
                      <a:ext cx="278765" cy="63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21 / 59</w:t>
      </w:r>
    </w:p>
    <w:p>
      <w:pPr>
        <w:sectPr>
          <w:pgSz w:w="11900" w:h="16838" w:orient="portrait"/>
          <w:cols w:equalWidth="0" w:num="1">
            <w:col w:w="10460"/>
          </w:cols>
          <w:pgMar w:left="1440" w:top="1440" w:right="6" w:bottom="0" w:gutter="0" w:footer="0" w:header="0"/>
          <w:type w:val="continuous"/>
        </w:sectPr>
      </w:pPr>
    </w:p>
    <w:bookmarkStart w:id="191" w:name="page192"/>
    <w:bookmarkEnd w:id="191"/>
    <w:p>
      <w:pPr>
        <w:ind w:left="52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2038350</wp:posOffset>
            </wp:positionH>
            <wp:positionV relativeFrom="page">
              <wp:posOffset>720090</wp:posOffset>
            </wp:positionV>
            <wp:extent cx="5287645" cy="45421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6">
                      <a:extLst>
                        <a:ext uri="{28A0092B-C50C-407E-A947-70E740481C1C}"/>
                      </a:extLst>
                    </a:blip>
                    <a:srcRect/>
                    <a:stretch>
                      <a:fillRect/>
                    </a:stretch>
                  </pic:blipFill>
                  <pic:spPr bwMode="auto">
                    <a:xfrm>
                      <a:off x="0" y="0"/>
                      <a:ext cx="5287645" cy="4542155"/>
                    </a:xfrm>
                    <a:prstGeom prst="rect">
                      <a:avLst/>
                    </a:prstGeom>
                    <a:noFill/>
                  </pic:spPr>
                </pic:pic>
              </a:graphicData>
            </a:graphic>
          </wp:anchor>
        </w:drawing>
        <w:t>GNCL Committee</w:t>
      </w:r>
    </w:p>
    <w:p>
      <w:pPr>
        <w:spacing w:after="0" w:line="394" w:lineRule="exact"/>
        <w:rPr>
          <w:sz w:val="20"/>
          <w:szCs w:val="20"/>
          <w:color w:val="auto"/>
        </w:rPr>
      </w:pPr>
    </w:p>
    <w:p>
      <w:pPr>
        <w:ind w:left="2120" w:right="640" w:hanging="225"/>
        <w:spacing w:after="0" w:line="460" w:lineRule="auto"/>
        <w:tabs>
          <w:tab w:leader="none" w:pos="21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Reviews, assesses and makes recommendations to the Board with respect to compensation-related matters, including:</w:t>
      </w:r>
    </w:p>
    <w:p>
      <w:pPr>
        <w:spacing w:after="0" w:line="74" w:lineRule="exact"/>
        <w:rPr>
          <w:rFonts w:ascii="Arial" w:cs="Arial" w:eastAsia="Arial" w:hAnsi="Arial"/>
          <w:sz w:val="16"/>
          <w:szCs w:val="16"/>
          <w:color w:val="auto"/>
        </w:rPr>
      </w:pPr>
    </w:p>
    <w:p>
      <w:pPr>
        <w:ind w:left="2340" w:right="660" w:hanging="218"/>
        <w:spacing w:after="0" w:line="466" w:lineRule="auto"/>
        <w:tabs>
          <w:tab w:leader="none" w:pos="234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compensation philosophy, strategy, policies and programs, equity-based and other incentive compensation plans and security ownership targets for executives and non-executive directors of the Company, to ensure continued alignment with the Company’s strategic objectives, shareholders and peer group;</w:t>
      </w:r>
    </w:p>
    <w:p>
      <w:pPr>
        <w:spacing w:after="0" w:line="71" w:lineRule="exact"/>
        <w:rPr>
          <w:rFonts w:ascii="Arial" w:cs="Arial" w:eastAsia="Arial" w:hAnsi="Arial"/>
          <w:sz w:val="16"/>
          <w:szCs w:val="16"/>
          <w:color w:val="auto"/>
        </w:rPr>
      </w:pPr>
    </w:p>
    <w:p>
      <w:pPr>
        <w:ind w:left="2340" w:right="660" w:hanging="218"/>
        <w:spacing w:after="0" w:line="460" w:lineRule="auto"/>
        <w:tabs>
          <w:tab w:leader="none" w:pos="234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goals and objectives of the CEO and his compensation level based on the GNCLC's evaluation of his performance relative to such goals and objectives;</w:t>
      </w:r>
    </w:p>
    <w:p>
      <w:pPr>
        <w:spacing w:after="0" w:line="67" w:lineRule="exact"/>
        <w:rPr>
          <w:rFonts w:ascii="Arial" w:cs="Arial" w:eastAsia="Arial" w:hAnsi="Arial"/>
          <w:sz w:val="16"/>
          <w:szCs w:val="16"/>
          <w:color w:val="auto"/>
        </w:rPr>
      </w:pPr>
    </w:p>
    <w:p>
      <w:pPr>
        <w:ind w:left="2340" w:hanging="218"/>
        <w:spacing w:after="0"/>
        <w:tabs>
          <w:tab w:leader="none" w:pos="234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compensation of senior executives of the Company based on recommendations from the CEO;</w:t>
      </w:r>
    </w:p>
    <w:p>
      <w:pPr>
        <w:spacing w:after="0" w:line="236" w:lineRule="exact"/>
        <w:rPr>
          <w:rFonts w:ascii="Arial" w:cs="Arial" w:eastAsia="Arial" w:hAnsi="Arial"/>
          <w:sz w:val="16"/>
          <w:szCs w:val="16"/>
          <w:color w:val="auto"/>
        </w:rPr>
      </w:pPr>
    </w:p>
    <w:p>
      <w:pPr>
        <w:ind w:left="2340" w:hanging="218"/>
        <w:spacing w:after="0"/>
        <w:tabs>
          <w:tab w:leader="none" w:pos="234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compensation of non-executive directors; and</w:t>
      </w:r>
    </w:p>
    <w:p>
      <w:pPr>
        <w:spacing w:after="0" w:line="236" w:lineRule="exact"/>
        <w:rPr>
          <w:rFonts w:ascii="Arial" w:cs="Arial" w:eastAsia="Arial" w:hAnsi="Arial"/>
          <w:sz w:val="16"/>
          <w:szCs w:val="16"/>
          <w:color w:val="auto"/>
        </w:rPr>
      </w:pPr>
    </w:p>
    <w:p>
      <w:pPr>
        <w:ind w:left="2340" w:hanging="218"/>
        <w:spacing w:after="0"/>
        <w:tabs>
          <w:tab w:leader="none" w:pos="234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compensation disclosure in the Company's annual filings.</w:t>
      </w:r>
    </w:p>
    <w:p>
      <w:pPr>
        <w:spacing w:after="0" w:line="236" w:lineRule="exact"/>
        <w:rPr>
          <w:rFonts w:ascii="Arial" w:cs="Arial" w:eastAsia="Arial" w:hAnsi="Arial"/>
          <w:sz w:val="16"/>
          <w:szCs w:val="16"/>
          <w:color w:val="auto"/>
        </w:rPr>
      </w:pPr>
    </w:p>
    <w:p>
      <w:pPr>
        <w:ind w:left="2120" w:hanging="225"/>
        <w:spacing w:after="0"/>
        <w:tabs>
          <w:tab w:leader="none" w:pos="21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Compensation governance matters and best practices.</w:t>
      </w:r>
    </w:p>
    <w:p>
      <w:pPr>
        <w:spacing w:after="0" w:line="243" w:lineRule="exact"/>
        <w:rPr>
          <w:rFonts w:ascii="Arial" w:cs="Arial" w:eastAsia="Arial" w:hAnsi="Arial"/>
          <w:sz w:val="16"/>
          <w:szCs w:val="16"/>
          <w:color w:val="auto"/>
        </w:rPr>
      </w:pPr>
    </w:p>
    <w:p>
      <w:pPr>
        <w:ind w:left="2120" w:right="700" w:hanging="225"/>
        <w:spacing w:after="0" w:line="460" w:lineRule="auto"/>
        <w:tabs>
          <w:tab w:leader="none" w:pos="21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Considers comparative data, benchmarking, the advice of its independent compensation advisor and results from advisory “Say on Pay” votes and binding Swiss statutory compensation votes.</w:t>
      </w:r>
    </w:p>
    <w:p>
      <w:pPr>
        <w:spacing w:after="0" w:line="67" w:lineRule="exact"/>
        <w:rPr>
          <w:rFonts w:ascii="Arial" w:cs="Arial" w:eastAsia="Arial" w:hAnsi="Arial"/>
          <w:sz w:val="16"/>
          <w:szCs w:val="16"/>
          <w:color w:val="auto"/>
        </w:rPr>
      </w:pPr>
    </w:p>
    <w:p>
      <w:pPr>
        <w:ind w:left="2120" w:hanging="225"/>
        <w:spacing w:after="0"/>
        <w:tabs>
          <w:tab w:leader="none" w:pos="21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Administers and interprets the Equity Incentive Plan.</w:t>
      </w:r>
    </w:p>
    <w:p>
      <w:pPr>
        <w:spacing w:after="0" w:line="183" w:lineRule="exact"/>
        <w:rPr>
          <w:rFonts w:ascii="Arial" w:cs="Arial" w:eastAsia="Arial" w:hAnsi="Arial"/>
          <w:sz w:val="16"/>
          <w:szCs w:val="16"/>
          <w:color w:val="auto"/>
        </w:rPr>
      </w:pPr>
    </w:p>
    <w:p>
      <w:pPr>
        <w:ind w:left="2120" w:right="800" w:hanging="225"/>
        <w:spacing w:after="0" w:line="460" w:lineRule="auto"/>
        <w:tabs>
          <w:tab w:leader="none" w:pos="21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Assesses and provides oversight to senior management regarding material risks relating to the Company’s compensation programs.</w:t>
      </w:r>
    </w:p>
    <w:p>
      <w:pPr>
        <w:spacing w:after="0" w:line="35" w:lineRule="exact"/>
        <w:rPr>
          <w:sz w:val="20"/>
          <w:szCs w:val="20"/>
          <w:color w:val="auto"/>
        </w:rPr>
      </w:pPr>
    </w:p>
    <w:p>
      <w:pPr>
        <w:jc w:val="center"/>
        <w:ind w:left="2840"/>
        <w:spacing w:after="0"/>
        <w:rPr>
          <w:sz w:val="20"/>
          <w:szCs w:val="20"/>
          <w:color w:val="auto"/>
        </w:rPr>
      </w:pPr>
      <w:r>
        <w:rPr>
          <w:rFonts w:ascii="Arial" w:cs="Arial" w:eastAsia="Arial" w:hAnsi="Arial"/>
          <w:sz w:val="44"/>
          <w:szCs w:val="4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95250</wp:posOffset>
            </wp:positionV>
            <wp:extent cx="2789555" cy="28340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7">
                      <a:extLst>
                        <a:ext uri="{28A0092B-C50C-407E-A947-70E740481C1C}"/>
                      </a:extLst>
                    </a:blip>
                    <a:srcRect/>
                    <a:stretch>
                      <a:fillRect/>
                    </a:stretch>
                  </pic:blipFill>
                  <pic:spPr bwMode="auto">
                    <a:xfrm>
                      <a:off x="0" y="0"/>
                      <a:ext cx="2789555" cy="2834005"/>
                    </a:xfrm>
                    <a:prstGeom prst="rect">
                      <a:avLst/>
                    </a:prstGeom>
                    <a:noFill/>
                  </pic:spPr>
                </pic:pic>
              </a:graphicData>
            </a:graphic>
          </wp:anchor>
        </w:drawing>
      </w:r>
    </w:p>
    <w:p>
      <w:pPr>
        <w:spacing w:after="0" w:line="163"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Board of Directors</w:t>
      </w:r>
    </w:p>
    <w:p>
      <w:pPr>
        <w:spacing w:after="0" w:line="387" w:lineRule="exact"/>
        <w:rPr>
          <w:sz w:val="20"/>
          <w:szCs w:val="20"/>
          <w:color w:val="auto"/>
        </w:rPr>
      </w:pPr>
    </w:p>
    <w:p>
      <w:pPr>
        <w:ind w:left="4200" w:hanging="345"/>
        <w:spacing w:after="0"/>
        <w:tabs>
          <w:tab w:leader="none" w:pos="42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Reviews recommendations from the GNCLC.</w:t>
      </w:r>
    </w:p>
    <w:p>
      <w:pPr>
        <w:spacing w:after="0" w:line="183" w:lineRule="exact"/>
        <w:rPr>
          <w:rFonts w:ascii="Arial" w:cs="Arial" w:eastAsia="Arial" w:hAnsi="Arial"/>
          <w:sz w:val="16"/>
          <w:szCs w:val="16"/>
          <w:color w:val="auto"/>
        </w:rPr>
      </w:pPr>
    </w:p>
    <w:p>
      <w:pPr>
        <w:ind w:left="4200" w:right="2540" w:hanging="345"/>
        <w:spacing w:after="0" w:line="466" w:lineRule="auto"/>
        <w:tabs>
          <w:tab w:leader="none" w:pos="42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Considers the Company's objectives, strategy, peer group, results from advisory "Say on Pay” votes, and binding Swiss statutory compensation votes and other relevant factors.</w:t>
      </w:r>
    </w:p>
    <w:p>
      <w:pPr>
        <w:spacing w:after="0" w:line="11" w:lineRule="exact"/>
        <w:rPr>
          <w:rFonts w:ascii="Arial" w:cs="Arial" w:eastAsia="Arial" w:hAnsi="Arial"/>
          <w:sz w:val="16"/>
          <w:szCs w:val="16"/>
          <w:color w:val="auto"/>
        </w:rPr>
      </w:pPr>
    </w:p>
    <w:p>
      <w:pPr>
        <w:ind w:left="4200" w:right="2600" w:hanging="345"/>
        <w:spacing w:after="0" w:line="467" w:lineRule="auto"/>
        <w:tabs>
          <w:tab w:leader="none" w:pos="42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Approves compensation philosophy, strategy, policies and programs, equity-based and other incentive compensation plans, corporate objectives, executive compensation, non-executive director compensation, security ownership targets, and related matters.</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Compensation Advisor and Peer Group Benchmarking Review</w:t>
      </w:r>
    </w:p>
    <w:p>
      <w:pPr>
        <w:spacing w:after="0" w:line="279" w:lineRule="exact"/>
        <w:rPr>
          <w:sz w:val="20"/>
          <w:szCs w:val="20"/>
          <w:color w:val="auto"/>
        </w:rPr>
      </w:pPr>
    </w:p>
    <w:p>
      <w:pPr>
        <w:ind w:left="900"/>
        <w:spacing w:after="0" w:line="336" w:lineRule="auto"/>
        <w:rPr>
          <w:sz w:val="20"/>
          <w:szCs w:val="20"/>
          <w:color w:val="auto"/>
        </w:rPr>
      </w:pPr>
      <w:r>
        <w:rPr>
          <w:rFonts w:ascii="Arial" w:cs="Arial" w:eastAsia="Arial" w:hAnsi="Arial"/>
          <w:sz w:val="19"/>
          <w:szCs w:val="19"/>
          <w:color w:val="auto"/>
        </w:rPr>
        <w:t>Following the Separation Transaction, the Company engaged Lane Caputo to assist with developing a ne schedule for independent directors based on a benchmarking exercise to a revised peer group. Lane Caputo</w:t>
      </w:r>
    </w:p>
    <w:p>
      <w:pPr>
        <w:sectPr>
          <w:pgSz w:w="11900" w:h="16838" w:orient="portrait"/>
          <w:cols w:equalWidth="0" w:num="1">
            <w:col w:w="10460"/>
          </w:cols>
          <w:pgMar w:left="1440" w:top="1157"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22 / 59</w:t>
      </w:r>
    </w:p>
    <w:p>
      <w:pPr>
        <w:sectPr>
          <w:pgSz w:w="11900" w:h="16838" w:orient="portrait"/>
          <w:cols w:equalWidth="0" w:num="1">
            <w:col w:w="10460"/>
          </w:cols>
          <w:pgMar w:left="1440" w:top="1157" w:right="6" w:bottom="0" w:gutter="0" w:footer="0" w:header="0"/>
          <w:type w:val="continuous"/>
        </w:sectPr>
      </w:pPr>
    </w:p>
    <w:bookmarkStart w:id="192" w:name="page193"/>
    <w:bookmarkEnd w:id="1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1826260</wp:posOffset>
            </wp:positionV>
            <wp:extent cx="6764020" cy="19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3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23 / 59</w:t>
      </w:r>
    </w:p>
    <w:p>
      <w:pPr>
        <w:sectPr>
          <w:pgSz w:w="11900" w:h="16838" w:orient="portrait"/>
          <w:cols w:equalWidth="0" w:num="1">
            <w:col w:w="9026"/>
          </w:cols>
          <w:pgMar w:left="1440" w:top="1440" w:right="1440" w:bottom="0" w:gutter="0" w:footer="0" w:header="0"/>
        </w:sectPr>
      </w:pPr>
    </w:p>
    <w:bookmarkStart w:id="193" w:name="page194"/>
    <w:bookmarkEnd w:id="1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assisted in developing a new executive compensation program for 2024 in line with the new attributes speci the Company post-reorganization as described below.</w:t>
      </w:r>
    </w:p>
    <w:p>
      <w:pPr>
        <w:spacing w:after="0" w:line="215"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There is a requirement for the GNCLC to pre-approve other services the independent compensation advis any of its affiliates provides to the Company at the request of management.</w:t>
      </w:r>
    </w:p>
    <w:p>
      <w:pPr>
        <w:spacing w:after="0" w:line="215"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Fees paid to the independent compensation advisor, Lane Caputo for the 2025 the 2024 fiscal years are se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196215</wp:posOffset>
            </wp:positionV>
            <wp:extent cx="6350" cy="1879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39">
                      <a:extLst>
                        <a:ext uri="{28A0092B-C50C-407E-A947-70E740481C1C}"/>
                      </a:extLst>
                    </a:blip>
                    <a:srcRect/>
                    <a:stretch>
                      <a:fillRect/>
                    </a:stretch>
                  </pic:blipFill>
                  <pic:spPr bwMode="auto">
                    <a:xfrm>
                      <a:off x="0" y="0"/>
                      <a:ext cx="6350" cy="187960"/>
                    </a:xfrm>
                    <a:prstGeom prst="rect">
                      <a:avLst/>
                    </a:prstGeom>
                    <a:noFill/>
                  </pic:spPr>
                </pic:pic>
              </a:graphicData>
            </a:graphic>
          </wp:anchor>
        </w:drawing>
      </w:r>
    </w:p>
    <w:p>
      <w:pPr>
        <w:spacing w:after="0" w:line="289" w:lineRule="exact"/>
        <w:rPr>
          <w:sz w:val="20"/>
          <w:szCs w:val="20"/>
          <w:color w:val="auto"/>
        </w:rPr>
      </w:pPr>
    </w:p>
    <w:tbl>
      <w:tblPr>
        <w:tblLayout w:type="fixed"/>
        <w:tblInd w:w="900" w:type="dxa"/>
        <w:tblCellMar>
          <w:top w:w="0" w:type="dxa"/>
          <w:left w:w="0" w:type="dxa"/>
          <w:bottom w:w="0" w:type="dxa"/>
          <w:right w:w="0" w:type="dxa"/>
        </w:tblCellMar>
      </w:tblPr>
      <w:tr>
        <w:trPr>
          <w:trHeight w:val="255"/>
        </w:trPr>
        <w:tc>
          <w:tcPr>
            <w:tcW w:w="5380" w:type="dxa"/>
            <w:vAlign w:val="bottom"/>
            <w:shd w:val="clear" w:color="auto" w:fill="153A57"/>
          </w:tcPr>
          <w:p>
            <w:pPr>
              <w:ind w:left="1880"/>
              <w:spacing w:after="0"/>
              <w:rPr>
                <w:sz w:val="20"/>
                <w:szCs w:val="20"/>
                <w:color w:val="auto"/>
              </w:rPr>
            </w:pPr>
            <w:r>
              <w:rPr>
                <w:rFonts w:ascii="Arial" w:cs="Arial" w:eastAsia="Arial" w:hAnsi="Arial"/>
                <w:sz w:val="18"/>
                <w:szCs w:val="18"/>
                <w:b w:val="1"/>
                <w:bCs w:val="1"/>
                <w:color w:val="FFFFFF"/>
              </w:rPr>
              <w:t>Compensation Advisory Fees</w:t>
            </w:r>
          </w:p>
        </w:tc>
        <w:tc>
          <w:tcPr>
            <w:tcW w:w="1180" w:type="dxa"/>
            <w:vAlign w:val="bottom"/>
            <w:shd w:val="clear" w:color="auto" w:fill="153A57"/>
          </w:tcPr>
          <w:p>
            <w:pPr>
              <w:spacing w:after="0"/>
              <w:rPr>
                <w:sz w:val="22"/>
                <w:szCs w:val="22"/>
                <w:color w:val="auto"/>
              </w:rPr>
            </w:pPr>
          </w:p>
        </w:tc>
        <w:tc>
          <w:tcPr>
            <w:tcW w:w="3000" w:type="dxa"/>
            <w:vAlign w:val="bottom"/>
            <w:gridSpan w:val="3"/>
            <w:shd w:val="clear" w:color="auto" w:fill="153A57"/>
          </w:tcPr>
          <w:p>
            <w:pPr>
              <w:ind w:left="120"/>
              <w:spacing w:after="0"/>
              <w:rPr>
                <w:sz w:val="20"/>
                <w:szCs w:val="20"/>
                <w:color w:val="auto"/>
              </w:rPr>
            </w:pPr>
            <w:r>
              <w:rPr>
                <w:rFonts w:ascii="Arial" w:cs="Arial" w:eastAsia="Arial" w:hAnsi="Arial"/>
                <w:sz w:val="18"/>
                <w:szCs w:val="18"/>
                <w:b w:val="1"/>
                <w:bCs w:val="1"/>
                <w:color w:val="FFFFFF"/>
                <w:w w:val="99"/>
              </w:rPr>
              <w:t>For the years ended December 31</w:t>
            </w:r>
          </w:p>
        </w:tc>
      </w:tr>
      <w:tr>
        <w:trPr>
          <w:trHeight w:val="307"/>
        </w:trPr>
        <w:tc>
          <w:tcPr>
            <w:tcW w:w="5380" w:type="dxa"/>
            <w:vAlign w:val="bottom"/>
            <w:tcBorders>
              <w:bottom w:val="single" w:sz="8" w:color="153A57"/>
            </w:tcBorders>
            <w:shd w:val="clear" w:color="auto" w:fill="153A57"/>
          </w:tcPr>
          <w:p>
            <w:pPr>
              <w:spacing w:after="0"/>
              <w:rPr>
                <w:sz w:val="24"/>
                <w:szCs w:val="24"/>
                <w:color w:val="auto"/>
              </w:rPr>
            </w:pPr>
          </w:p>
        </w:tc>
        <w:tc>
          <w:tcPr>
            <w:tcW w:w="1180" w:type="dxa"/>
            <w:vAlign w:val="bottom"/>
            <w:tcBorders>
              <w:bottom w:val="single" w:sz="8" w:color="153A57"/>
            </w:tcBorders>
            <w:shd w:val="clear" w:color="auto" w:fill="153A57"/>
          </w:tcPr>
          <w:p>
            <w:pPr>
              <w:spacing w:after="0"/>
              <w:rPr>
                <w:sz w:val="24"/>
                <w:szCs w:val="24"/>
                <w:color w:val="auto"/>
              </w:rPr>
            </w:pPr>
          </w:p>
        </w:tc>
        <w:tc>
          <w:tcPr>
            <w:tcW w:w="1580" w:type="dxa"/>
            <w:vAlign w:val="bottom"/>
            <w:tcBorders>
              <w:bottom w:val="single" w:sz="8" w:color="153A57"/>
            </w:tcBorders>
            <w:shd w:val="clear" w:color="auto" w:fill="153A57"/>
          </w:tcPr>
          <w:p>
            <w:pPr>
              <w:ind w:left="120"/>
              <w:spacing w:after="0"/>
              <w:rPr>
                <w:sz w:val="20"/>
                <w:szCs w:val="20"/>
                <w:color w:val="auto"/>
              </w:rPr>
            </w:pPr>
            <w:r>
              <w:rPr>
                <w:rFonts w:ascii="Arial" w:cs="Arial" w:eastAsia="Arial" w:hAnsi="Arial"/>
                <w:sz w:val="18"/>
                <w:szCs w:val="18"/>
                <w:b w:val="1"/>
                <w:bCs w:val="1"/>
                <w:color w:val="FFFFFF"/>
              </w:rPr>
              <w:t>2025 (CAD$)</w:t>
            </w:r>
          </w:p>
        </w:tc>
        <w:tc>
          <w:tcPr>
            <w:tcW w:w="280" w:type="dxa"/>
            <w:vAlign w:val="bottom"/>
            <w:tcBorders>
              <w:bottom w:val="single" w:sz="8" w:color="153A57"/>
            </w:tcBorders>
            <w:shd w:val="clear" w:color="auto" w:fill="153A57"/>
          </w:tcPr>
          <w:p>
            <w:pPr>
              <w:spacing w:after="0"/>
              <w:rPr>
                <w:sz w:val="24"/>
                <w:szCs w:val="24"/>
                <w:color w:val="auto"/>
              </w:rPr>
            </w:pPr>
          </w:p>
        </w:tc>
        <w:tc>
          <w:tcPr>
            <w:tcW w:w="1140" w:type="dxa"/>
            <w:vAlign w:val="bottom"/>
            <w:tcBorders>
              <w:bottom w:val="single" w:sz="8" w:color="153A57"/>
            </w:tcBorders>
            <w:shd w:val="clear" w:color="auto" w:fill="153A57"/>
          </w:tcPr>
          <w:p>
            <w:pPr>
              <w:jc w:val="right"/>
              <w:spacing w:after="0"/>
              <w:rPr>
                <w:sz w:val="20"/>
                <w:szCs w:val="20"/>
                <w:color w:val="auto"/>
              </w:rPr>
            </w:pPr>
            <w:r>
              <w:rPr>
                <w:rFonts w:ascii="Arial" w:cs="Arial" w:eastAsia="Arial" w:hAnsi="Arial"/>
                <w:sz w:val="18"/>
                <w:szCs w:val="18"/>
                <w:b w:val="1"/>
                <w:bCs w:val="1"/>
                <w:color w:val="FFFFFF"/>
              </w:rPr>
              <w:t>2024 (CAD$</w:t>
            </w:r>
          </w:p>
        </w:tc>
      </w:tr>
      <w:tr>
        <w:trPr>
          <w:trHeight w:val="250"/>
        </w:trPr>
        <w:tc>
          <w:tcPr>
            <w:tcW w:w="5380" w:type="dxa"/>
            <w:vAlign w:val="bottom"/>
          </w:tcPr>
          <w:p>
            <w:pPr>
              <w:ind w:left="100"/>
              <w:spacing w:after="0"/>
              <w:rPr>
                <w:sz w:val="20"/>
                <w:szCs w:val="20"/>
                <w:color w:val="auto"/>
              </w:rPr>
            </w:pPr>
            <w:r>
              <w:rPr>
                <w:rFonts w:ascii="Arial" w:cs="Arial" w:eastAsia="Arial" w:hAnsi="Arial"/>
                <w:sz w:val="18"/>
                <w:szCs w:val="18"/>
                <w:color w:val="auto"/>
              </w:rPr>
              <w:t>Executive compensation related-fees</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14,173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86"/>
        </w:trPr>
        <w:tc>
          <w:tcPr>
            <w:tcW w:w="5380" w:type="dxa"/>
            <w:vAlign w:val="bottom"/>
          </w:tcPr>
          <w:p>
            <w:pPr>
              <w:ind w:left="100"/>
              <w:spacing w:after="0"/>
              <w:rPr>
                <w:sz w:val="20"/>
                <w:szCs w:val="20"/>
                <w:color w:val="auto"/>
              </w:rPr>
            </w:pPr>
            <w:r>
              <w:rPr>
                <w:rFonts w:ascii="Arial" w:cs="Arial" w:eastAsia="Arial" w:hAnsi="Arial"/>
                <w:sz w:val="18"/>
                <w:szCs w:val="18"/>
                <w:color w:val="auto"/>
              </w:rPr>
              <w:t>All other fees</w:t>
            </w:r>
          </w:p>
        </w:tc>
        <w:tc>
          <w:tcPr>
            <w:tcW w:w="11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86"/>
        </w:trPr>
        <w:tc>
          <w:tcPr>
            <w:tcW w:w="5380" w:type="dxa"/>
            <w:vAlign w:val="bottom"/>
          </w:tcPr>
          <w:p>
            <w:pPr>
              <w:ind w:left="100"/>
              <w:spacing w:after="0"/>
              <w:rPr>
                <w:sz w:val="20"/>
                <w:szCs w:val="20"/>
                <w:color w:val="auto"/>
              </w:rPr>
            </w:pPr>
            <w:r>
              <w:rPr>
                <w:rFonts w:ascii="Arial" w:cs="Arial" w:eastAsia="Arial" w:hAnsi="Arial"/>
                <w:sz w:val="18"/>
                <w:szCs w:val="18"/>
                <w:color w:val="auto"/>
              </w:rPr>
              <w:t>Total fees</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14,173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-709295</wp:posOffset>
            </wp:positionV>
            <wp:extent cx="2059305" cy="1879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0">
                      <a:extLst>
                        <a:ext uri="{28A0092B-C50C-407E-A947-70E740481C1C}"/>
                      </a:extLst>
                    </a:blip>
                    <a:srcRect/>
                    <a:stretch>
                      <a:fillRect/>
                    </a:stretch>
                  </pic:blipFill>
                  <pic:spPr bwMode="auto">
                    <a:xfrm>
                      <a:off x="0" y="0"/>
                      <a:ext cx="2059305" cy="187960"/>
                    </a:xfrm>
                    <a:prstGeom prst="rect">
                      <a:avLst/>
                    </a:prstGeom>
                    <a:noFill/>
                  </pic:spPr>
                </pic:pic>
              </a:graphicData>
            </a:graphic>
          </wp:anchor>
        </w:drawing>
        <w:drawing>
          <wp:anchor simplePos="0" relativeHeight="251657728" behindDoc="1" locked="0" layoutInCell="0" allowOverlap="1">
            <wp:simplePos x="0" y="0"/>
            <wp:positionH relativeFrom="column">
              <wp:posOffset>4586605</wp:posOffset>
            </wp:positionH>
            <wp:positionV relativeFrom="paragraph">
              <wp:posOffset>-709295</wp:posOffset>
            </wp:positionV>
            <wp:extent cx="2059305" cy="1879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1">
                      <a:extLst>
                        <a:ext uri="{28A0092B-C50C-407E-A947-70E740481C1C}"/>
                      </a:extLst>
                    </a:blip>
                    <a:srcRect/>
                    <a:stretch>
                      <a:fillRect/>
                    </a:stretch>
                  </pic:blipFill>
                  <pic:spPr bwMode="auto">
                    <a:xfrm>
                      <a:off x="0" y="0"/>
                      <a:ext cx="2059305" cy="187960"/>
                    </a:xfrm>
                    <a:prstGeom prst="rect">
                      <a:avLst/>
                    </a:prstGeom>
                    <a:noFill/>
                  </pic:spPr>
                </pic:pic>
              </a:graphicData>
            </a:graphic>
          </wp:anchor>
        </w:drawing>
      </w:r>
    </w:p>
    <w:p>
      <w:pPr>
        <w:spacing w:after="0" w:line="349"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Performance Evaluation and Compensation Process</w:t>
      </w:r>
    </w:p>
    <w:p>
      <w:pPr>
        <w:spacing w:after="0" w:line="279"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The Company follows an internal compensation planning process. Parties participating in the process inc management, the GNCLC and an independent compensation advisor as engaged from time to time. Exec compensation decisions and recommendations by management are made by the CEO and Executive Chai “</w:t>
      </w:r>
      <w:r>
        <w:rPr>
          <w:rFonts w:ascii="Arial" w:cs="Arial" w:eastAsia="Arial" w:hAnsi="Arial"/>
          <w:sz w:val="20"/>
          <w:szCs w:val="20"/>
          <w:b w:val="1"/>
          <w:bCs w:val="1"/>
          <w:color w:val="auto"/>
        </w:rPr>
        <w:t>Management Compensation Committee</w:t>
      </w:r>
      <w:r>
        <w:rPr>
          <w:rFonts w:ascii="Arial" w:cs="Arial" w:eastAsia="Arial" w:hAnsi="Arial"/>
          <w:sz w:val="20"/>
          <w:szCs w:val="20"/>
          <w:color w:val="auto"/>
        </w:rPr>
        <w:t>”). The Management Compensation Committee evaluates an performance reviews and makes recommendations to the GNCLC on performance awards for executives than the CEO and Executive Chair. The GNCLC then reviews the recommendations in light of the Comp compensation and retention strategy to ensure proposed awards are aligned with the overall design o compensation program and the Company’s business needs and seeks input from the independent compens consultant as needed. Annual performance evaluations for the CEO and Executive Chair are assessed b GNCLC, which as a committee determines performance awards for these executives. Once the GNCLC an Management Compensation Committee have agreed on final performance awards and any changes to exec compensation, these are submitted by the GNCLC with a committee recommendation for Board considera Board approval is required for items such as equity compensation grants, including STI and LTI equity aw and salary changes for the CEO, Executive Chair and other senior officers of the Company.</w:t>
      </w:r>
    </w:p>
    <w:p>
      <w:pPr>
        <w:spacing w:after="0" w:line="214"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Company historically engaged an independent compensation consultant to conduct a bi-annual revie executive compensation, benchmarked for compensation of a selected peer group. This process is oversee the GNCLC, which receives recommendations from the consultant and determines if any changes are need the executive compensation program and levels of compensation. In non-review years, the Manage Compensation Committee will consider cost-of-living adjustments to base salary for executives along with staff and provide a recommendation for consideration by the GNCLC based on changes to indices meas inflationary conditions in the regions where the executives and staff work.</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24 / 59</w:t>
      </w:r>
    </w:p>
    <w:p>
      <w:pPr>
        <w:sectPr>
          <w:pgSz w:w="11900" w:h="16838" w:orient="portrait"/>
          <w:cols w:equalWidth="0" w:num="1">
            <w:col w:w="10460"/>
          </w:cols>
          <w:pgMar w:left="1440" w:top="1440" w:right="6" w:bottom="0" w:gutter="0" w:footer="0" w:header="0"/>
          <w:type w:val="continuous"/>
        </w:sectPr>
      </w:pPr>
    </w:p>
    <w:bookmarkStart w:id="194" w:name="page195"/>
    <w:bookmarkEnd w:id="1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6764020" cy="190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25 / 59</w:t>
      </w:r>
    </w:p>
    <w:p>
      <w:pPr>
        <w:sectPr>
          <w:pgSz w:w="11900" w:h="16838" w:orient="portrait"/>
          <w:cols w:equalWidth="0" w:num="1">
            <w:col w:w="9026"/>
          </w:cols>
          <w:pgMar w:left="1440" w:top="1440" w:right="1440" w:bottom="0" w:gutter="0" w:footer="0" w:header="0"/>
        </w:sectPr>
      </w:pPr>
    </w:p>
    <w:bookmarkStart w:id="195" w:name="page196"/>
    <w:bookmarkEnd w:id="1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Compensation Benchmarking</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Benchmarking of executive compensation compares actual and target compensation against a peer grou benchmark for the position, organizational role and scope of responsibility. The peer group for 2025 recommended by Lane Caputo and selected based on the criteria set out below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193675</wp:posOffset>
            </wp:positionV>
            <wp:extent cx="6078220" cy="2863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3">
                      <a:extLst>
                        <a:ext uri="{28A0092B-C50C-407E-A947-70E740481C1C}"/>
                      </a:extLst>
                    </a:blip>
                    <a:srcRect/>
                    <a:stretch>
                      <a:fillRect/>
                    </a:stretch>
                  </pic:blipFill>
                  <pic:spPr bwMode="auto">
                    <a:xfrm>
                      <a:off x="0" y="0"/>
                      <a:ext cx="6078220" cy="286385"/>
                    </a:xfrm>
                    <a:prstGeom prst="rect">
                      <a:avLst/>
                    </a:prstGeom>
                    <a:noFill/>
                  </pic:spPr>
                </pic:pic>
              </a:graphicData>
            </a:graphic>
          </wp:anchor>
        </w:drawing>
      </w:r>
    </w:p>
    <w:p>
      <w:pPr>
        <w:spacing w:after="0" w:line="391" w:lineRule="exact"/>
        <w:rPr>
          <w:sz w:val="20"/>
          <w:szCs w:val="20"/>
          <w:color w:val="auto"/>
        </w:rPr>
      </w:pPr>
    </w:p>
    <w:p>
      <w:pPr>
        <w:ind w:left="1000"/>
        <w:spacing w:after="0"/>
        <w:rPr>
          <w:sz w:val="20"/>
          <w:szCs w:val="20"/>
          <w:color w:val="auto"/>
        </w:rPr>
      </w:pPr>
      <w:r>
        <w:rPr>
          <w:rFonts w:ascii="Arial" w:cs="Arial" w:eastAsia="Arial" w:hAnsi="Arial"/>
          <w:sz w:val="20"/>
          <w:szCs w:val="20"/>
          <w:b w:val="1"/>
          <w:bCs w:val="1"/>
          <w:color w:val="FFFFFF"/>
        </w:rPr>
        <w:t>Criteria for Selection as Compensation Peers in 2025</w:t>
      </w:r>
    </w:p>
    <w:p>
      <w:pPr>
        <w:spacing w:after="0" w:line="228" w:lineRule="exact"/>
        <w:rPr>
          <w:sz w:val="20"/>
          <w:szCs w:val="20"/>
          <w:color w:val="auto"/>
        </w:rPr>
      </w:pPr>
    </w:p>
    <w:p>
      <w:pPr>
        <w:ind w:left="1000"/>
        <w:spacing w:after="0"/>
        <w:tabs>
          <w:tab w:leader="none" w:pos="2800" w:val="left"/>
        </w:tabs>
        <w:rPr>
          <w:sz w:val="20"/>
          <w:szCs w:val="20"/>
          <w:color w:val="auto"/>
        </w:rPr>
      </w:pPr>
      <w:r>
        <w:rPr>
          <w:rFonts w:ascii="Arial" w:cs="Arial" w:eastAsia="Arial" w:hAnsi="Arial"/>
          <w:sz w:val="19"/>
          <w:szCs w:val="19"/>
          <w:b w:val="1"/>
          <w:bCs w:val="1"/>
          <w:color w:val="auto"/>
        </w:rPr>
        <w:t>Industry</w:t>
      </w:r>
      <w:r>
        <w:rPr>
          <w:sz w:val="20"/>
          <w:szCs w:val="20"/>
          <w:color w:val="auto"/>
        </w:rPr>
        <w:tab/>
      </w:r>
      <w:r>
        <w:rPr>
          <w:rFonts w:ascii="Arial" w:cs="Arial" w:eastAsia="Arial" w:hAnsi="Arial"/>
          <w:sz w:val="19"/>
          <w:szCs w:val="19"/>
          <w:color w:val="auto"/>
        </w:rPr>
        <w:t>Companies operating in industries that will overlap with the Company’s business target</w:t>
      </w:r>
    </w:p>
    <w:p>
      <w:pPr>
        <w:spacing w:after="0" w:line="83" w:lineRule="exact"/>
        <w:rPr>
          <w:sz w:val="20"/>
          <w:szCs w:val="20"/>
          <w:color w:val="auto"/>
        </w:rPr>
      </w:pPr>
    </w:p>
    <w:p>
      <w:pPr>
        <w:ind w:left="2820"/>
        <w:spacing w:after="0" w:line="307" w:lineRule="auto"/>
        <w:rPr>
          <w:sz w:val="20"/>
          <w:szCs w:val="20"/>
          <w:color w:val="auto"/>
        </w:rPr>
      </w:pPr>
      <w:r>
        <w:rPr>
          <w:rFonts w:ascii="Arial" w:cs="Arial" w:eastAsia="Arial" w:hAnsi="Arial"/>
          <w:sz w:val="20"/>
          <w:szCs w:val="20"/>
          <w:color w:val="auto"/>
        </w:rPr>
        <w:t>battery-grade lithium products, being the diversified metals and mining industry (includi lithium)</w:t>
      </w:r>
    </w:p>
    <w:p>
      <w:pPr>
        <w:spacing w:after="0" w:line="164" w:lineRule="exact"/>
        <w:rPr>
          <w:sz w:val="20"/>
          <w:szCs w:val="20"/>
          <w:color w:val="auto"/>
        </w:rPr>
      </w:pPr>
    </w:p>
    <w:p>
      <w:pPr>
        <w:ind w:left="1000"/>
        <w:spacing w:after="0"/>
        <w:tabs>
          <w:tab w:leader="none" w:pos="2800" w:val="left"/>
        </w:tabs>
        <w:rPr>
          <w:sz w:val="20"/>
          <w:szCs w:val="20"/>
          <w:color w:val="auto"/>
        </w:rPr>
      </w:pPr>
      <w:r>
        <w:rPr>
          <w:rFonts w:ascii="Arial" w:cs="Arial" w:eastAsia="Arial" w:hAnsi="Arial"/>
          <w:sz w:val="19"/>
          <w:szCs w:val="19"/>
          <w:b w:val="1"/>
          <w:bCs w:val="1"/>
          <w:color w:val="auto"/>
        </w:rPr>
        <w:t>Geographic</w:t>
      </w:r>
      <w:r>
        <w:rPr>
          <w:sz w:val="20"/>
          <w:szCs w:val="20"/>
          <w:color w:val="auto"/>
        </w:rPr>
        <w:tab/>
      </w:r>
      <w:r>
        <w:rPr>
          <w:rFonts w:ascii="Arial" w:cs="Arial" w:eastAsia="Arial" w:hAnsi="Arial"/>
          <w:sz w:val="19"/>
          <w:szCs w:val="19"/>
          <w:color w:val="auto"/>
        </w:rPr>
        <w:t>Publicly traded companies headquartered in North America were selected as many of t</w:t>
      </w:r>
    </w:p>
    <w:p>
      <w:pPr>
        <w:spacing w:after="0" w:line="76" w:lineRule="exact"/>
        <w:rPr>
          <w:sz w:val="20"/>
          <w:szCs w:val="20"/>
          <w:color w:val="auto"/>
        </w:rPr>
      </w:pPr>
    </w:p>
    <w:p>
      <w:pPr>
        <w:ind w:left="1000"/>
        <w:spacing w:after="0"/>
        <w:tabs>
          <w:tab w:leader="none" w:pos="2800" w:val="left"/>
        </w:tabs>
        <w:rPr>
          <w:sz w:val="20"/>
          <w:szCs w:val="20"/>
          <w:color w:val="auto"/>
        </w:rPr>
      </w:pPr>
      <w:r>
        <w:rPr>
          <w:rFonts w:ascii="Arial" w:cs="Arial" w:eastAsia="Arial" w:hAnsi="Arial"/>
          <w:sz w:val="20"/>
          <w:szCs w:val="20"/>
          <w:b w:val="1"/>
          <w:bCs w:val="1"/>
          <w:color w:val="auto"/>
        </w:rPr>
        <w:t>Location</w:t>
      </w:r>
      <w:r>
        <w:rPr>
          <w:sz w:val="20"/>
          <w:szCs w:val="20"/>
          <w:color w:val="auto"/>
        </w:rPr>
        <w:tab/>
      </w:r>
      <w:r>
        <w:rPr>
          <w:rFonts w:ascii="Arial" w:cs="Arial" w:eastAsia="Arial" w:hAnsi="Arial"/>
          <w:sz w:val="20"/>
          <w:szCs w:val="20"/>
          <w:color w:val="auto"/>
        </w:rPr>
        <w:t>Company’s executives are based there and the Company is listed on the NYSE and T</w:t>
      </w:r>
    </w:p>
    <w:p>
      <w:pPr>
        <w:spacing w:after="0" w:line="72"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along with Australia where many global, public lithium companies are headquartered</w:t>
      </w:r>
    </w:p>
    <w:p>
      <w:pPr>
        <w:spacing w:after="0" w:line="228" w:lineRule="exact"/>
        <w:rPr>
          <w:sz w:val="20"/>
          <w:szCs w:val="20"/>
          <w:color w:val="auto"/>
        </w:rPr>
      </w:pPr>
    </w:p>
    <w:p>
      <w:pPr>
        <w:ind w:left="1000"/>
        <w:spacing w:after="0"/>
        <w:tabs>
          <w:tab w:leader="none" w:pos="2800" w:val="left"/>
        </w:tabs>
        <w:rPr>
          <w:sz w:val="20"/>
          <w:szCs w:val="20"/>
          <w:color w:val="auto"/>
        </w:rPr>
      </w:pPr>
      <w:r>
        <w:rPr>
          <w:rFonts w:ascii="Arial" w:cs="Arial" w:eastAsia="Arial" w:hAnsi="Arial"/>
          <w:sz w:val="19"/>
          <w:szCs w:val="19"/>
          <w:b w:val="1"/>
          <w:bCs w:val="1"/>
          <w:color w:val="auto"/>
        </w:rPr>
        <w:t>Size</w:t>
      </w:r>
      <w:r>
        <w:rPr>
          <w:sz w:val="20"/>
          <w:szCs w:val="20"/>
          <w:color w:val="auto"/>
        </w:rPr>
        <w:tab/>
      </w:r>
      <w:r>
        <w:rPr>
          <w:rFonts w:ascii="Arial" w:cs="Arial" w:eastAsia="Arial" w:hAnsi="Arial"/>
          <w:sz w:val="19"/>
          <w:szCs w:val="19"/>
          <w:color w:val="auto"/>
        </w:rPr>
        <w:t>Comparable size to the Company based on market capitalization, enterprise value and</w:t>
      </w:r>
    </w:p>
    <w:p>
      <w:pPr>
        <w:spacing w:after="0" w:line="76"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projected revenues, with the Company falling near the median point compared to peer</w:t>
      </w:r>
    </w:p>
    <w:p>
      <w:pPr>
        <w:spacing w:after="0" w:line="200" w:lineRule="exact"/>
        <w:rPr>
          <w:sz w:val="20"/>
          <w:szCs w:val="20"/>
          <w:color w:val="auto"/>
        </w:rPr>
      </w:pPr>
    </w:p>
    <w:p>
      <w:pPr>
        <w:spacing w:after="0" w:line="24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Compensation Peer Group</w:t>
      </w:r>
    </w:p>
    <w:p>
      <w:pPr>
        <w:spacing w:after="0" w:line="279" w:lineRule="exact"/>
        <w:rPr>
          <w:sz w:val="20"/>
          <w:szCs w:val="20"/>
          <w:color w:val="auto"/>
        </w:rPr>
      </w:pPr>
    </w:p>
    <w:p>
      <w:pPr>
        <w:jc w:val="both"/>
        <w:ind w:left="900" w:right="20"/>
        <w:spacing w:after="0" w:line="307" w:lineRule="auto"/>
        <w:rPr>
          <w:sz w:val="20"/>
          <w:szCs w:val="20"/>
          <w:color w:val="auto"/>
        </w:rPr>
      </w:pPr>
      <w:r>
        <w:rPr>
          <w:rFonts w:ascii="Arial" w:cs="Arial" w:eastAsia="Arial" w:hAnsi="Arial"/>
          <w:sz w:val="20"/>
          <w:szCs w:val="20"/>
          <w:color w:val="auto"/>
        </w:rPr>
        <w:t>The criteria set out above were applied to develop the Peer Group, recommended by Lane Caputo the GN and approved by the Board.</w:t>
      </w:r>
    </w:p>
    <w:p>
      <w:pPr>
        <w:spacing w:after="0" w:line="24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Named Executive Officers</w:t>
      </w:r>
    </w:p>
    <w:p>
      <w:pPr>
        <w:spacing w:after="0" w:line="27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named executive officers ("</w:t>
      </w:r>
      <w:r>
        <w:rPr>
          <w:rFonts w:ascii="Arial" w:cs="Arial" w:eastAsia="Arial" w:hAnsi="Arial"/>
          <w:sz w:val="20"/>
          <w:szCs w:val="20"/>
          <w:b w:val="1"/>
          <w:bCs w:val="1"/>
          <w:color w:val="auto"/>
        </w:rPr>
        <w:t>Named Executives</w:t>
      </w:r>
      <w:r>
        <w:rPr>
          <w:rFonts w:ascii="Arial" w:cs="Arial" w:eastAsia="Arial" w:hAnsi="Arial"/>
          <w:sz w:val="20"/>
          <w:szCs w:val="20"/>
          <w:color w:val="auto"/>
        </w:rPr>
        <w:t>") set out below are the Company's CEO, CFO, Exec Chair and the two other highest paid executive officers for the 2025 fiscal year.</w:t>
      </w:r>
    </w:p>
    <w:p>
      <w:pPr>
        <w:spacing w:after="0" w:line="309" w:lineRule="exact"/>
        <w:rPr>
          <w:sz w:val="20"/>
          <w:szCs w:val="20"/>
          <w:color w:val="auto"/>
        </w:rPr>
      </w:pPr>
    </w:p>
    <w:tbl>
      <w:tblPr>
        <w:tblLayout w:type="fixed"/>
        <w:tblInd w:w="900" w:type="dxa"/>
        <w:tblCellMar>
          <w:top w:w="0" w:type="dxa"/>
          <w:left w:w="0" w:type="dxa"/>
          <w:bottom w:w="0" w:type="dxa"/>
          <w:right w:w="0" w:type="dxa"/>
        </w:tblCellMar>
      </w:tblPr>
      <w:tr>
        <w:trPr>
          <w:trHeight w:val="276"/>
        </w:trPr>
        <w:tc>
          <w:tcPr>
            <w:tcW w:w="2000" w:type="dxa"/>
            <w:vAlign w:val="bottom"/>
            <w:shd w:val="clear" w:color="auto" w:fill="153A57"/>
          </w:tcPr>
          <w:p>
            <w:pPr>
              <w:spacing w:after="0"/>
              <w:rPr>
                <w:sz w:val="20"/>
                <w:szCs w:val="20"/>
                <w:color w:val="auto"/>
              </w:rPr>
            </w:pPr>
            <w:r>
              <w:rPr>
                <w:rFonts w:ascii="Arial" w:cs="Arial" w:eastAsia="Arial" w:hAnsi="Arial"/>
                <w:sz w:val="20"/>
                <w:szCs w:val="20"/>
                <w:b w:val="1"/>
                <w:bCs w:val="1"/>
                <w:color w:val="FFFFFF"/>
              </w:rPr>
              <w:t>Named Executive</w:t>
            </w:r>
          </w:p>
        </w:tc>
        <w:tc>
          <w:tcPr>
            <w:tcW w:w="7560" w:type="dxa"/>
            <w:vAlign w:val="bottom"/>
            <w:shd w:val="clear" w:color="auto" w:fill="153A57"/>
          </w:tcPr>
          <w:p>
            <w:pPr>
              <w:ind w:left="360"/>
              <w:spacing w:after="0"/>
              <w:rPr>
                <w:sz w:val="20"/>
                <w:szCs w:val="20"/>
                <w:color w:val="auto"/>
              </w:rPr>
            </w:pPr>
            <w:r>
              <w:rPr>
                <w:rFonts w:ascii="Arial" w:cs="Arial" w:eastAsia="Arial" w:hAnsi="Arial"/>
                <w:sz w:val="20"/>
                <w:szCs w:val="20"/>
                <w:b w:val="1"/>
                <w:bCs w:val="1"/>
                <w:color w:val="FFFFFF"/>
              </w:rPr>
              <w:t>Officer's Title</w:t>
            </w:r>
          </w:p>
        </w:tc>
      </w:tr>
      <w:tr>
        <w:trPr>
          <w:trHeight w:val="65"/>
        </w:trPr>
        <w:tc>
          <w:tcPr>
            <w:tcW w:w="2000" w:type="dxa"/>
            <w:vAlign w:val="bottom"/>
            <w:shd w:val="clear" w:color="auto" w:fill="153A57"/>
          </w:tcPr>
          <w:p>
            <w:pPr>
              <w:spacing w:after="0"/>
              <w:rPr>
                <w:sz w:val="5"/>
                <w:szCs w:val="5"/>
                <w:color w:val="auto"/>
              </w:rPr>
            </w:pPr>
          </w:p>
        </w:tc>
        <w:tc>
          <w:tcPr>
            <w:tcW w:w="7560" w:type="dxa"/>
            <w:vAlign w:val="bottom"/>
            <w:shd w:val="clear" w:color="auto" w:fill="153A57"/>
          </w:tcPr>
          <w:p>
            <w:pPr>
              <w:spacing w:after="0"/>
              <w:rPr>
                <w:sz w:val="5"/>
                <w:szCs w:val="5"/>
                <w:color w:val="auto"/>
              </w:rPr>
            </w:pPr>
          </w:p>
        </w:tc>
      </w:tr>
      <w:tr>
        <w:trPr>
          <w:trHeight w:val="349"/>
        </w:trPr>
        <w:tc>
          <w:tcPr>
            <w:tcW w:w="2000" w:type="dxa"/>
            <w:vAlign w:val="bottom"/>
          </w:tcPr>
          <w:p>
            <w:pPr>
              <w:spacing w:after="0"/>
              <w:rPr>
                <w:sz w:val="20"/>
                <w:szCs w:val="20"/>
                <w:color w:val="auto"/>
              </w:rPr>
            </w:pPr>
            <w:r>
              <w:rPr>
                <w:rFonts w:ascii="Arial" w:cs="Arial" w:eastAsia="Arial" w:hAnsi="Arial"/>
                <w:sz w:val="20"/>
                <w:szCs w:val="20"/>
                <w:color w:val="auto"/>
              </w:rPr>
              <w:t>John Kanellitsas</w:t>
            </w:r>
            <w:r>
              <w:rPr>
                <w:rFonts w:ascii="Arial" w:cs="Arial" w:eastAsia="Arial" w:hAnsi="Arial"/>
                <w:sz w:val="26"/>
                <w:szCs w:val="26"/>
                <w:color w:val="auto"/>
                <w:vertAlign w:val="superscript"/>
              </w:rPr>
              <w:t>(1)</w:t>
            </w:r>
          </w:p>
        </w:tc>
        <w:tc>
          <w:tcPr>
            <w:tcW w:w="7560" w:type="dxa"/>
            <w:vAlign w:val="bottom"/>
          </w:tcPr>
          <w:p>
            <w:pPr>
              <w:ind w:left="360"/>
              <w:spacing w:after="0"/>
              <w:rPr>
                <w:sz w:val="20"/>
                <w:szCs w:val="20"/>
                <w:color w:val="auto"/>
              </w:rPr>
            </w:pPr>
            <w:r>
              <w:rPr>
                <w:rFonts w:ascii="Arial" w:cs="Arial" w:eastAsia="Arial" w:hAnsi="Arial"/>
                <w:sz w:val="20"/>
                <w:szCs w:val="20"/>
                <w:color w:val="auto"/>
              </w:rPr>
              <w:t>Executive Chair</w:t>
            </w:r>
          </w:p>
        </w:tc>
      </w:tr>
      <w:tr>
        <w:trPr>
          <w:trHeight w:val="331"/>
        </w:trPr>
        <w:tc>
          <w:tcPr>
            <w:tcW w:w="2000" w:type="dxa"/>
            <w:vAlign w:val="bottom"/>
          </w:tcPr>
          <w:p>
            <w:pPr>
              <w:spacing w:after="0"/>
              <w:rPr>
                <w:sz w:val="20"/>
                <w:szCs w:val="20"/>
                <w:color w:val="auto"/>
              </w:rPr>
            </w:pPr>
            <w:r>
              <w:rPr>
                <w:rFonts w:ascii="Arial" w:cs="Arial" w:eastAsia="Arial" w:hAnsi="Arial"/>
                <w:sz w:val="20"/>
                <w:szCs w:val="20"/>
                <w:color w:val="auto"/>
              </w:rPr>
              <w:t>Sam Pigott</w:t>
            </w:r>
            <w:r>
              <w:rPr>
                <w:rFonts w:ascii="Arial" w:cs="Arial" w:eastAsia="Arial" w:hAnsi="Arial"/>
                <w:sz w:val="26"/>
                <w:szCs w:val="26"/>
                <w:color w:val="auto"/>
                <w:vertAlign w:val="superscript"/>
              </w:rPr>
              <w:t>(2)</w:t>
            </w:r>
          </w:p>
        </w:tc>
        <w:tc>
          <w:tcPr>
            <w:tcW w:w="7560" w:type="dxa"/>
            <w:vAlign w:val="bottom"/>
          </w:tcPr>
          <w:p>
            <w:pPr>
              <w:ind w:left="360"/>
              <w:spacing w:after="0"/>
              <w:rPr>
                <w:sz w:val="20"/>
                <w:szCs w:val="20"/>
                <w:color w:val="auto"/>
              </w:rPr>
            </w:pPr>
            <w:r>
              <w:rPr>
                <w:rFonts w:ascii="Arial" w:cs="Arial" w:eastAsia="Arial" w:hAnsi="Arial"/>
                <w:sz w:val="20"/>
                <w:szCs w:val="20"/>
                <w:color w:val="auto"/>
              </w:rPr>
              <w:t>President and Chief Executive Officer</w:t>
            </w:r>
          </w:p>
        </w:tc>
      </w:tr>
      <w:tr>
        <w:trPr>
          <w:trHeight w:val="331"/>
        </w:trPr>
        <w:tc>
          <w:tcPr>
            <w:tcW w:w="2000" w:type="dxa"/>
            <w:vAlign w:val="bottom"/>
          </w:tcPr>
          <w:p>
            <w:pPr>
              <w:spacing w:after="0"/>
              <w:rPr>
                <w:sz w:val="20"/>
                <w:szCs w:val="20"/>
                <w:color w:val="auto"/>
              </w:rPr>
            </w:pPr>
            <w:r>
              <w:rPr>
                <w:rFonts w:ascii="Arial" w:cs="Arial" w:eastAsia="Arial" w:hAnsi="Arial"/>
                <w:sz w:val="20"/>
                <w:szCs w:val="20"/>
                <w:color w:val="auto"/>
              </w:rPr>
              <w:t>Alec Meikle</w:t>
            </w:r>
            <w:r>
              <w:rPr>
                <w:rFonts w:ascii="Arial" w:cs="Arial" w:eastAsia="Arial" w:hAnsi="Arial"/>
                <w:sz w:val="26"/>
                <w:szCs w:val="26"/>
                <w:color w:val="auto"/>
                <w:vertAlign w:val="superscript"/>
              </w:rPr>
              <w:t>(3)</w:t>
            </w:r>
          </w:p>
        </w:tc>
        <w:tc>
          <w:tcPr>
            <w:tcW w:w="7560" w:type="dxa"/>
            <w:vAlign w:val="bottom"/>
          </w:tcPr>
          <w:p>
            <w:pPr>
              <w:ind w:left="360"/>
              <w:spacing w:after="0"/>
              <w:rPr>
                <w:sz w:val="20"/>
                <w:szCs w:val="20"/>
                <w:color w:val="auto"/>
              </w:rPr>
            </w:pPr>
            <w:r>
              <w:rPr>
                <w:rFonts w:ascii="Arial" w:cs="Arial" w:eastAsia="Arial" w:hAnsi="Arial"/>
                <w:sz w:val="20"/>
                <w:szCs w:val="20"/>
                <w:color w:val="auto"/>
              </w:rPr>
              <w:t>Executive Vice President of Corporate Development</w:t>
            </w:r>
          </w:p>
        </w:tc>
      </w:tr>
      <w:tr>
        <w:trPr>
          <w:trHeight w:val="257"/>
        </w:trPr>
        <w:tc>
          <w:tcPr>
            <w:tcW w:w="2000" w:type="dxa"/>
            <w:vAlign w:val="bottom"/>
          </w:tcPr>
          <w:p>
            <w:pPr>
              <w:spacing w:after="0"/>
              <w:rPr>
                <w:sz w:val="20"/>
                <w:szCs w:val="20"/>
                <w:color w:val="auto"/>
              </w:rPr>
            </w:pPr>
            <w:r>
              <w:rPr>
                <w:rFonts w:ascii="Arial" w:cs="Arial" w:eastAsia="Arial" w:hAnsi="Arial"/>
                <w:sz w:val="20"/>
                <w:szCs w:val="20"/>
                <w:color w:val="auto"/>
              </w:rPr>
              <w:t>Alex Shulga</w:t>
            </w:r>
          </w:p>
        </w:tc>
        <w:tc>
          <w:tcPr>
            <w:tcW w:w="7560" w:type="dxa"/>
            <w:vAlign w:val="bottom"/>
          </w:tcPr>
          <w:p>
            <w:pPr>
              <w:ind w:left="360"/>
              <w:spacing w:after="0"/>
              <w:rPr>
                <w:sz w:val="20"/>
                <w:szCs w:val="20"/>
                <w:color w:val="auto"/>
              </w:rPr>
            </w:pPr>
            <w:r>
              <w:rPr>
                <w:rFonts w:ascii="Arial" w:cs="Arial" w:eastAsia="Arial" w:hAnsi="Arial"/>
                <w:sz w:val="20"/>
                <w:szCs w:val="20"/>
                <w:color w:val="auto"/>
              </w:rPr>
              <w:t>Vice President and Chief Financial Officer</w:t>
            </w:r>
          </w:p>
        </w:tc>
      </w:tr>
      <w:tr>
        <w:trPr>
          <w:trHeight w:val="331"/>
        </w:trPr>
        <w:tc>
          <w:tcPr>
            <w:tcW w:w="2000" w:type="dxa"/>
            <w:vAlign w:val="bottom"/>
          </w:tcPr>
          <w:p>
            <w:pPr>
              <w:spacing w:after="0"/>
              <w:rPr>
                <w:sz w:val="20"/>
                <w:szCs w:val="20"/>
                <w:color w:val="auto"/>
              </w:rPr>
            </w:pPr>
            <w:r>
              <w:rPr>
                <w:rFonts w:ascii="Arial" w:cs="Arial" w:eastAsia="Arial" w:hAnsi="Arial"/>
                <w:sz w:val="20"/>
                <w:szCs w:val="20"/>
                <w:color w:val="auto"/>
              </w:rPr>
              <w:t>Mariano Chiappori</w:t>
            </w:r>
          </w:p>
        </w:tc>
        <w:tc>
          <w:tcPr>
            <w:tcW w:w="7560" w:type="dxa"/>
            <w:vAlign w:val="bottom"/>
          </w:tcPr>
          <w:p>
            <w:pPr>
              <w:ind w:left="360"/>
              <w:spacing w:after="0"/>
              <w:rPr>
                <w:sz w:val="20"/>
                <w:szCs w:val="20"/>
                <w:color w:val="auto"/>
              </w:rPr>
            </w:pPr>
            <w:r>
              <w:rPr>
                <w:rFonts w:ascii="Arial" w:cs="Arial" w:eastAsia="Arial" w:hAnsi="Arial"/>
                <w:sz w:val="20"/>
                <w:szCs w:val="20"/>
                <w:color w:val="auto"/>
              </w:rPr>
              <w:t>Vice President and Chief Operating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-1020445</wp:posOffset>
            </wp:positionV>
            <wp:extent cx="6078220"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4">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40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Notes:</w:t>
      </w:r>
    </w:p>
    <w:p>
      <w:pPr>
        <w:spacing w:after="0" w:line="162" w:lineRule="exact"/>
        <w:rPr>
          <w:sz w:val="20"/>
          <w:szCs w:val="20"/>
          <w:color w:val="auto"/>
        </w:rPr>
      </w:pPr>
    </w:p>
    <w:p>
      <w:pPr>
        <w:ind w:left="1260" w:hanging="366"/>
        <w:spacing w:after="0"/>
        <w:tabs>
          <w:tab w:leader="none" w:pos="12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Will transition to non-Executive Chair on March 31, 2026.</w:t>
      </w:r>
    </w:p>
    <w:p>
      <w:pPr>
        <w:spacing w:after="0" w:line="176" w:lineRule="exact"/>
        <w:rPr>
          <w:rFonts w:ascii="Arial" w:cs="Arial" w:eastAsia="Arial" w:hAnsi="Arial"/>
          <w:sz w:val="16"/>
          <w:szCs w:val="16"/>
          <w:color w:val="auto"/>
        </w:rPr>
      </w:pPr>
    </w:p>
    <w:p>
      <w:pPr>
        <w:ind w:left="1260" w:hanging="366"/>
        <w:spacing w:after="0"/>
        <w:tabs>
          <w:tab w:leader="none" w:pos="12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Ceased to be President and remains solely CEO, effective as of January 1, 2026.</w:t>
      </w:r>
    </w:p>
    <w:p>
      <w:pPr>
        <w:spacing w:after="0" w:line="176" w:lineRule="exact"/>
        <w:rPr>
          <w:rFonts w:ascii="Arial" w:cs="Arial" w:eastAsia="Arial" w:hAnsi="Arial"/>
          <w:sz w:val="16"/>
          <w:szCs w:val="16"/>
          <w:color w:val="auto"/>
        </w:rPr>
      </w:pPr>
    </w:p>
    <w:p>
      <w:pPr>
        <w:ind w:left="1260" w:hanging="366"/>
        <w:spacing w:after="0"/>
        <w:tabs>
          <w:tab w:leader="none" w:pos="12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Appointed Executive Vice President, Corporate Development on July 31, 2024. Promoted to President effective as of January 1, 2</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26 / 59</w:t>
      </w:r>
    </w:p>
    <w:p>
      <w:pPr>
        <w:sectPr>
          <w:pgSz w:w="11900" w:h="16838" w:orient="portrait"/>
          <w:cols w:equalWidth="0" w:num="1">
            <w:col w:w="10460"/>
          </w:cols>
          <w:pgMar w:left="1440" w:top="1440" w:right="6" w:bottom="0" w:gutter="0" w:footer="0" w:header="0"/>
          <w:type w:val="continuous"/>
        </w:sectPr>
      </w:pPr>
    </w:p>
    <w:bookmarkStart w:id="196" w:name="page197"/>
    <w:bookmarkEnd w:id="1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1826260</wp:posOffset>
            </wp:positionV>
            <wp:extent cx="6764020" cy="190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27 / 59</w:t>
      </w:r>
    </w:p>
    <w:p>
      <w:pPr>
        <w:sectPr>
          <w:pgSz w:w="11900" w:h="16838" w:orient="portrait"/>
          <w:cols w:equalWidth="0" w:num="1">
            <w:col w:w="9026"/>
          </w:cols>
          <w:pgMar w:left="1440" w:top="1440" w:right="1440" w:bottom="0" w:gutter="0" w:footer="0" w:header="0"/>
        </w:sectPr>
      </w:pPr>
    </w:p>
    <w:bookmarkStart w:id="197" w:name="page198"/>
    <w:bookmarkEnd w:id="1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Elements of Executive Compensation</w:t>
      </w:r>
    </w:p>
    <w:p>
      <w:pPr>
        <w:spacing w:after="0" w:line="381" w:lineRule="exact"/>
        <w:rPr>
          <w:sz w:val="20"/>
          <w:szCs w:val="20"/>
          <w:color w:val="auto"/>
        </w:rPr>
      </w:pPr>
    </w:p>
    <w:p>
      <w:pPr>
        <w:jc w:val="both"/>
        <w:ind w:left="900"/>
        <w:spacing w:after="0" w:line="333" w:lineRule="auto"/>
        <w:rPr>
          <w:sz w:val="20"/>
          <w:szCs w:val="20"/>
          <w:color w:val="auto"/>
        </w:rPr>
      </w:pPr>
      <w:r>
        <w:rPr>
          <w:rFonts w:ascii="Arial" w:cs="Arial" w:eastAsia="Arial" w:hAnsi="Arial"/>
          <w:sz w:val="19"/>
          <w:szCs w:val="19"/>
          <w:color w:val="auto"/>
        </w:rPr>
        <w:t xml:space="preserve">The Company generally utilizes a combination of both fixed and variable compensation to motivate executiv achieve overall corporate goals. The Board, acting on the recommendation of the </w:t>
      </w:r>
      <w:r>
        <w:rPr>
          <w:rFonts w:ascii="Arial" w:cs="Arial" w:eastAsia="Arial" w:hAnsi="Arial"/>
          <w:sz w:val="19"/>
          <w:szCs w:val="19"/>
          <w:u w:val="single" w:color="auto"/>
          <w:color w:val="auto"/>
        </w:rPr>
        <w:t>GNCLC</w:t>
      </w:r>
      <w:r>
        <w:rPr>
          <w:rFonts w:ascii="Arial" w:cs="Arial" w:eastAsia="Arial" w:hAnsi="Arial"/>
          <w:sz w:val="19"/>
          <w:szCs w:val="19"/>
          <w:color w:val="auto"/>
        </w:rPr>
        <w:t>, has implement compensation structure intended to align the interests of the executive officers with those of the Sharehol The elements of the Company’s historical executive compensation program are summarized in the table belo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182880</wp:posOffset>
            </wp:positionV>
            <wp:extent cx="6078220" cy="4781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6">
                      <a:extLst>
                        <a:ext uri="{28A0092B-C50C-407E-A947-70E740481C1C}"/>
                      </a:extLst>
                    </a:blip>
                    <a:srcRect/>
                    <a:stretch>
                      <a:fillRect/>
                    </a:stretch>
                  </pic:blipFill>
                  <pic:spPr bwMode="auto">
                    <a:xfrm>
                      <a:off x="0" y="0"/>
                      <a:ext cx="6078220" cy="47815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374" w:lineRule="exact"/>
        <w:rPr>
          <w:sz w:val="20"/>
          <w:szCs w:val="20"/>
          <w:color w:val="auto"/>
        </w:rPr>
      </w:pPr>
    </w:p>
    <w:p>
      <w:pPr>
        <w:ind w:left="1000"/>
        <w:spacing w:after="0"/>
        <w:tabs>
          <w:tab w:leader="none" w:pos="2700" w:val="left"/>
        </w:tabs>
        <w:rPr>
          <w:sz w:val="20"/>
          <w:szCs w:val="20"/>
          <w:color w:val="auto"/>
        </w:rPr>
      </w:pPr>
      <w:r>
        <w:rPr>
          <w:rFonts w:ascii="Arial" w:cs="Arial" w:eastAsia="Arial" w:hAnsi="Arial"/>
          <w:sz w:val="20"/>
          <w:szCs w:val="20"/>
          <w:b w:val="1"/>
          <w:bCs w:val="1"/>
          <w:color w:val="FFFFFF"/>
        </w:rPr>
        <w:t>Compensation</w:t>
        <w:tab/>
        <w:t>Features</w:t>
      </w:r>
    </w:p>
    <w:p>
      <w:pPr>
        <w:spacing w:after="0" w:line="112" w:lineRule="exact"/>
        <w:rPr>
          <w:sz w:val="20"/>
          <w:szCs w:val="20"/>
          <w:color w:val="auto"/>
        </w:rPr>
      </w:pPr>
    </w:p>
    <w:p>
      <w:pPr>
        <w:ind w:left="1000"/>
        <w:spacing w:after="0"/>
        <w:rPr>
          <w:sz w:val="20"/>
          <w:szCs w:val="20"/>
          <w:color w:val="auto"/>
        </w:rPr>
      </w:pPr>
      <w:r>
        <w:rPr>
          <w:rFonts w:ascii="Arial" w:cs="Arial" w:eastAsia="Arial" w:hAnsi="Arial"/>
          <w:sz w:val="20"/>
          <w:szCs w:val="20"/>
          <w:b w:val="1"/>
          <w:bCs w:val="1"/>
          <w:color w:val="FFFFFF"/>
        </w:rPr>
        <w:t>Elements</w:t>
      </w:r>
    </w:p>
    <w:p>
      <w:pPr>
        <w:spacing w:after="0" w:line="188" w:lineRule="exact"/>
        <w:rPr>
          <w:sz w:val="20"/>
          <w:szCs w:val="20"/>
          <w:color w:val="auto"/>
        </w:rPr>
      </w:pPr>
    </w:p>
    <w:p>
      <w:pPr>
        <w:ind w:left="2720" w:right="200" w:hanging="1713"/>
        <w:spacing w:after="0" w:line="313" w:lineRule="auto"/>
        <w:tabs>
          <w:tab w:leader="none" w:pos="2700" w:val="left"/>
        </w:tabs>
        <w:rPr>
          <w:sz w:val="20"/>
          <w:szCs w:val="20"/>
          <w:color w:val="auto"/>
        </w:rPr>
      </w:pPr>
      <w:r>
        <w:rPr>
          <w:rFonts w:ascii="Arial" w:cs="Arial" w:eastAsia="Arial" w:hAnsi="Arial"/>
          <w:sz w:val="20"/>
          <w:szCs w:val="20"/>
          <w:b w:val="1"/>
          <w:bCs w:val="1"/>
          <w:color w:val="auto"/>
        </w:rPr>
        <w:t>Base Salary</w:t>
      </w:r>
      <w:r>
        <w:rPr>
          <w:sz w:val="20"/>
          <w:szCs w:val="20"/>
          <w:color w:val="auto"/>
        </w:rPr>
        <w:tab/>
      </w:r>
      <w:r>
        <w:rPr>
          <w:rFonts w:ascii="Arial" w:cs="Arial" w:eastAsia="Arial" w:hAnsi="Arial"/>
          <w:sz w:val="20"/>
          <w:szCs w:val="20"/>
          <w:color w:val="auto"/>
        </w:rPr>
        <w:t>Evaluated annually, alternating with a bi-annual benchmarking executive compensation review, and in non-benchmarking years a bi-annual cost-of-living adjustment.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720" w:right="200" w:hanging="1713"/>
        <w:spacing w:after="0" w:line="307" w:lineRule="auto"/>
        <w:tabs>
          <w:tab w:leader="none" w:pos="2700" w:val="left"/>
        </w:tabs>
        <w:rPr>
          <w:sz w:val="20"/>
          <w:szCs w:val="20"/>
          <w:color w:val="auto"/>
        </w:rPr>
      </w:pPr>
      <w:r>
        <w:rPr>
          <w:rFonts w:ascii="Arial" w:cs="Arial" w:eastAsia="Arial" w:hAnsi="Arial"/>
          <w:sz w:val="20"/>
          <w:szCs w:val="20"/>
          <w:b w:val="1"/>
          <w:bCs w:val="1"/>
          <w:color w:val="auto"/>
        </w:rPr>
        <w:t>STI Awards</w:t>
      </w:r>
      <w:r>
        <w:rPr>
          <w:sz w:val="20"/>
          <w:szCs w:val="20"/>
          <w:color w:val="auto"/>
        </w:rPr>
        <w:tab/>
      </w:r>
      <w:r>
        <w:rPr>
          <w:rFonts w:ascii="Arial" w:cs="Arial" w:eastAsia="Arial" w:hAnsi="Arial"/>
          <w:sz w:val="20"/>
          <w:szCs w:val="20"/>
          <w:color w:val="auto"/>
        </w:rPr>
        <w:t>A combination of cash and RSUs with one-year vesting conditions.</w:t>
      </w:r>
    </w:p>
    <w:p>
      <w:pPr>
        <w:spacing w:after="0" w:line="48"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STI award = Base Salary x STI Target</w:t>
      </w:r>
    </w:p>
    <w:p>
      <w:pPr>
        <w:spacing w:after="0" w:line="72" w:lineRule="exact"/>
        <w:rPr>
          <w:sz w:val="20"/>
          <w:szCs w:val="20"/>
          <w:color w:val="auto"/>
        </w:rPr>
      </w:pPr>
    </w:p>
    <w:p>
      <w:pPr>
        <w:ind w:left="2960" w:hanging="237"/>
        <w:spacing w:after="0"/>
        <w:tabs>
          <w:tab w:leader="none" w:pos="29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x (Corporate Performance based on</w:t>
      </w:r>
    </w:p>
    <w:p>
      <w:pPr>
        <w:spacing w:after="0" w:line="78" w:lineRule="exact"/>
        <w:rPr>
          <w:rFonts w:ascii="Arial" w:cs="Arial" w:eastAsia="Arial" w:hAnsi="Arial"/>
          <w:sz w:val="20"/>
          <w:szCs w:val="20"/>
          <w:color w:val="auto"/>
        </w:rPr>
      </w:pPr>
    </w:p>
    <w:p>
      <w:pPr>
        <w:ind w:left="2720" w:right="380" w:firstLine="3"/>
        <w:spacing w:after="0" w:line="311" w:lineRule="auto"/>
        <w:tabs>
          <w:tab w:leader="none" w:pos="2953" w:val="left"/>
        </w:tabs>
        <w:numPr>
          <w:ilvl w:val="0"/>
          <w:numId w:val="78"/>
        </w:numPr>
        <w:rPr>
          <w:rFonts w:ascii="Arial" w:cs="Arial" w:eastAsia="Arial" w:hAnsi="Arial"/>
          <w:sz w:val="20"/>
          <w:szCs w:val="20"/>
          <w:color w:val="auto"/>
        </w:rPr>
      </w:pPr>
      <w:r>
        <w:rPr>
          <w:rFonts w:ascii="Arial" w:cs="Arial" w:eastAsia="Arial" w:hAnsi="Arial"/>
          <w:sz w:val="20"/>
          <w:szCs w:val="20"/>
          <w:color w:val="auto"/>
        </w:rPr>
        <w:t>weight by position + Individual Performance based on % weight by position).</w:t>
      </w:r>
    </w:p>
    <w:p>
      <w:pPr>
        <w:spacing w:after="0" w:line="113" w:lineRule="exact"/>
        <w:rPr>
          <w:sz w:val="20"/>
          <w:szCs w:val="20"/>
          <w:color w:val="auto"/>
        </w:rPr>
      </w:pPr>
    </w:p>
    <w:p>
      <w:pPr>
        <w:ind w:left="1000"/>
        <w:spacing w:after="0"/>
        <w:tabs>
          <w:tab w:leader="none" w:pos="2700" w:val="left"/>
        </w:tabs>
        <w:rPr>
          <w:sz w:val="20"/>
          <w:szCs w:val="20"/>
          <w:color w:val="auto"/>
        </w:rPr>
      </w:pPr>
      <w:r>
        <w:rPr>
          <w:rFonts w:ascii="Arial" w:cs="Arial" w:eastAsia="Arial" w:hAnsi="Arial"/>
          <w:sz w:val="20"/>
          <w:szCs w:val="20"/>
          <w:b w:val="1"/>
          <w:bCs w:val="1"/>
          <w:color w:val="auto"/>
        </w:rPr>
        <w:t>LTI Awards</w:t>
      </w:r>
      <w:r>
        <w:rPr>
          <w:sz w:val="20"/>
          <w:szCs w:val="20"/>
          <w:color w:val="auto"/>
        </w:rPr>
        <w:tab/>
      </w:r>
      <w:r>
        <w:rPr>
          <w:rFonts w:ascii="Arial" w:cs="Arial" w:eastAsia="Arial" w:hAnsi="Arial"/>
          <w:sz w:val="20"/>
          <w:szCs w:val="20"/>
          <w:color w:val="auto"/>
        </w:rPr>
        <w:t>RSUs with three-year vesting</w:t>
      </w:r>
    </w:p>
    <w:p>
      <w:pPr>
        <w:spacing w:after="0" w:line="72"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conditions.</w:t>
      </w:r>
    </w:p>
    <w:p>
      <w:pPr>
        <w:spacing w:after="0" w:line="119"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LTI = Base Salary x LTI retention factor.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r>
              <w:rPr>
                <w:rFonts w:ascii="Arial" w:cs="Arial" w:eastAsia="Arial" w:hAnsi="Arial"/>
                <w:sz w:val="20"/>
                <w:szCs w:val="20"/>
                <w:b w:val="1"/>
                <w:bCs w:val="1"/>
                <w:color w:val="auto"/>
              </w:rPr>
              <w:t>Retirement</w:t>
            </w:r>
          </w:p>
        </w:tc>
        <w:tc>
          <w:tcPr>
            <w:tcW w:w="3680" w:type="dxa"/>
            <w:vAlign w:val="bottom"/>
          </w:tcPr>
          <w:p>
            <w:pPr>
              <w:ind w:left="160"/>
              <w:spacing w:after="0"/>
              <w:rPr>
                <w:sz w:val="20"/>
                <w:szCs w:val="20"/>
                <w:color w:val="auto"/>
              </w:rPr>
            </w:pPr>
            <w:r>
              <w:rPr>
                <w:rFonts w:ascii="Arial" w:cs="Arial" w:eastAsia="Arial" w:hAnsi="Arial"/>
                <w:sz w:val="20"/>
                <w:szCs w:val="20"/>
                <w:color w:val="auto"/>
              </w:rPr>
              <w:t>Annual contribution matching by the</w:t>
            </w:r>
          </w:p>
        </w:tc>
      </w:tr>
      <w:tr>
        <w:trPr>
          <w:trHeight w:val="302"/>
        </w:trPr>
        <w:tc>
          <w:tcPr>
            <w:tcW w:w="1560" w:type="dxa"/>
            <w:vAlign w:val="bottom"/>
          </w:tcPr>
          <w:p>
            <w:pPr>
              <w:spacing w:after="0"/>
              <w:rPr>
                <w:sz w:val="20"/>
                <w:szCs w:val="20"/>
                <w:color w:val="auto"/>
              </w:rPr>
            </w:pPr>
            <w:r>
              <w:rPr>
                <w:rFonts w:ascii="Arial" w:cs="Arial" w:eastAsia="Arial" w:hAnsi="Arial"/>
                <w:sz w:val="20"/>
                <w:szCs w:val="20"/>
                <w:b w:val="1"/>
                <w:bCs w:val="1"/>
                <w:color w:val="auto"/>
              </w:rPr>
              <w:t>Savings Plan</w:t>
            </w:r>
          </w:p>
        </w:tc>
        <w:tc>
          <w:tcPr>
            <w:tcW w:w="3680" w:type="dxa"/>
            <w:vAlign w:val="bottom"/>
          </w:tcPr>
          <w:p>
            <w:pPr>
              <w:ind w:left="160"/>
              <w:spacing w:after="0"/>
              <w:rPr>
                <w:sz w:val="20"/>
                <w:szCs w:val="20"/>
                <w:color w:val="auto"/>
              </w:rPr>
            </w:pPr>
            <w:r>
              <w:rPr>
                <w:rFonts w:ascii="Arial" w:cs="Arial" w:eastAsia="Arial" w:hAnsi="Arial"/>
                <w:sz w:val="20"/>
                <w:szCs w:val="20"/>
                <w:color w:val="auto"/>
              </w:rPr>
              <w:t>Company to a retirement savings plan,</w:t>
            </w:r>
          </w:p>
        </w:tc>
      </w:tr>
      <w:tr>
        <w:trPr>
          <w:trHeight w:val="302"/>
        </w:trPr>
        <w:tc>
          <w:tcPr>
            <w:tcW w:w="1560" w:type="dxa"/>
            <w:vAlign w:val="bottom"/>
          </w:tcPr>
          <w:p>
            <w:pPr>
              <w:spacing w:after="0"/>
              <w:rPr>
                <w:sz w:val="20"/>
                <w:szCs w:val="20"/>
                <w:color w:val="auto"/>
              </w:rPr>
            </w:pPr>
            <w:r>
              <w:rPr>
                <w:rFonts w:ascii="Arial" w:cs="Arial" w:eastAsia="Arial" w:hAnsi="Arial"/>
                <w:sz w:val="20"/>
                <w:szCs w:val="20"/>
                <w:b w:val="1"/>
                <w:bCs w:val="1"/>
                <w:color w:val="auto"/>
              </w:rPr>
              <w:t>Contributions</w:t>
            </w:r>
          </w:p>
        </w:tc>
        <w:tc>
          <w:tcPr>
            <w:tcW w:w="3680" w:type="dxa"/>
            <w:vAlign w:val="bottom"/>
          </w:tcPr>
          <w:p>
            <w:pPr>
              <w:ind w:left="160"/>
              <w:spacing w:after="0"/>
              <w:rPr>
                <w:sz w:val="20"/>
                <w:szCs w:val="20"/>
                <w:color w:val="auto"/>
              </w:rPr>
            </w:pPr>
            <w:r>
              <w:rPr>
                <w:rFonts w:ascii="Arial" w:cs="Arial" w:eastAsia="Arial" w:hAnsi="Arial"/>
                <w:sz w:val="20"/>
                <w:szCs w:val="20"/>
                <w:color w:val="auto"/>
              </w:rPr>
              <w:t>up to 3% of base salary, subject to a</w:t>
            </w:r>
          </w:p>
        </w:tc>
      </w:tr>
      <w:tr>
        <w:trPr>
          <w:trHeight w:val="302"/>
        </w:trPr>
        <w:tc>
          <w:tcPr>
            <w:tcW w:w="1560" w:type="dxa"/>
            <w:vAlign w:val="bottom"/>
          </w:tcPr>
          <w:p>
            <w:pPr>
              <w:spacing w:after="0"/>
              <w:rPr>
                <w:sz w:val="24"/>
                <w:szCs w:val="24"/>
                <w:color w:val="auto"/>
              </w:rPr>
            </w:pPr>
          </w:p>
        </w:tc>
        <w:tc>
          <w:tcPr>
            <w:tcW w:w="3680" w:type="dxa"/>
            <w:vAlign w:val="bottom"/>
          </w:tcPr>
          <w:p>
            <w:pPr>
              <w:ind w:left="160"/>
              <w:spacing w:after="0"/>
              <w:rPr>
                <w:sz w:val="20"/>
                <w:szCs w:val="20"/>
                <w:color w:val="auto"/>
              </w:rPr>
            </w:pPr>
            <w:r>
              <w:rPr>
                <w:rFonts w:ascii="Arial" w:cs="Arial" w:eastAsia="Arial" w:hAnsi="Arial"/>
                <w:sz w:val="20"/>
                <w:szCs w:val="20"/>
                <w:color w:val="auto"/>
                <w:w w:val="99"/>
              </w:rPr>
              <w:t>contribution ceiling established annually</w:t>
            </w:r>
          </w:p>
        </w:tc>
      </w:tr>
      <w:tr>
        <w:trPr>
          <w:trHeight w:val="302"/>
        </w:trPr>
        <w:tc>
          <w:tcPr>
            <w:tcW w:w="1560" w:type="dxa"/>
            <w:vAlign w:val="bottom"/>
          </w:tcPr>
          <w:p>
            <w:pPr>
              <w:spacing w:after="0"/>
              <w:rPr>
                <w:sz w:val="24"/>
                <w:szCs w:val="24"/>
                <w:color w:val="auto"/>
              </w:rPr>
            </w:pPr>
          </w:p>
        </w:tc>
        <w:tc>
          <w:tcPr>
            <w:tcW w:w="3680" w:type="dxa"/>
            <w:vAlign w:val="bottom"/>
          </w:tcPr>
          <w:p>
            <w:pPr>
              <w:ind w:left="160"/>
              <w:spacing w:after="0"/>
              <w:rPr>
                <w:sz w:val="20"/>
                <w:szCs w:val="20"/>
                <w:color w:val="auto"/>
              </w:rPr>
            </w:pPr>
            <w:r>
              <w:rPr>
                <w:rFonts w:ascii="Arial" w:cs="Arial" w:eastAsia="Arial" w:hAnsi="Arial"/>
                <w:sz w:val="20"/>
                <w:szCs w:val="20"/>
                <w:color w:val="auto"/>
              </w:rPr>
              <w:t>(2025 - US$23,500 for ages below 50;</w:t>
            </w:r>
          </w:p>
        </w:tc>
      </w:tr>
      <w:tr>
        <w:trPr>
          <w:trHeight w:val="302"/>
        </w:trPr>
        <w:tc>
          <w:tcPr>
            <w:tcW w:w="1560" w:type="dxa"/>
            <w:vAlign w:val="bottom"/>
          </w:tcPr>
          <w:p>
            <w:pPr>
              <w:spacing w:after="0"/>
              <w:rPr>
                <w:sz w:val="24"/>
                <w:szCs w:val="24"/>
                <w:color w:val="auto"/>
              </w:rPr>
            </w:pPr>
          </w:p>
        </w:tc>
        <w:tc>
          <w:tcPr>
            <w:tcW w:w="3680" w:type="dxa"/>
            <w:vAlign w:val="bottom"/>
          </w:tcPr>
          <w:p>
            <w:pPr>
              <w:ind w:left="160"/>
              <w:spacing w:after="0"/>
              <w:rPr>
                <w:sz w:val="20"/>
                <w:szCs w:val="20"/>
                <w:color w:val="auto"/>
              </w:rPr>
            </w:pPr>
            <w:r>
              <w:rPr>
                <w:rFonts w:ascii="Arial" w:cs="Arial" w:eastAsia="Arial" w:hAnsi="Arial"/>
                <w:sz w:val="20"/>
                <w:szCs w:val="20"/>
                <w:color w:val="auto"/>
              </w:rPr>
              <w:t>US$31,000 for ages 50 and over</w:t>
            </w:r>
          </w:p>
        </w:tc>
      </w:tr>
      <w:tr>
        <w:trPr>
          <w:trHeight w:val="411"/>
        </w:trPr>
        <w:tc>
          <w:tcPr>
            <w:tcW w:w="1560" w:type="dxa"/>
            <w:vAlign w:val="bottom"/>
          </w:tcPr>
          <w:p>
            <w:pPr>
              <w:spacing w:after="0"/>
              <w:rPr>
                <w:sz w:val="20"/>
                <w:szCs w:val="20"/>
                <w:color w:val="auto"/>
              </w:rPr>
            </w:pPr>
            <w:r>
              <w:rPr>
                <w:rFonts w:ascii="Arial" w:cs="Arial" w:eastAsia="Arial" w:hAnsi="Arial"/>
                <w:sz w:val="20"/>
                <w:szCs w:val="20"/>
                <w:b w:val="1"/>
                <w:bCs w:val="1"/>
                <w:color w:val="auto"/>
              </w:rPr>
              <w:t>Health,</w:t>
            </w:r>
          </w:p>
        </w:tc>
        <w:tc>
          <w:tcPr>
            <w:tcW w:w="3680" w:type="dxa"/>
            <w:vAlign w:val="bottom"/>
          </w:tcPr>
          <w:p>
            <w:pPr>
              <w:ind w:left="160"/>
              <w:spacing w:after="0"/>
              <w:rPr>
                <w:sz w:val="20"/>
                <w:szCs w:val="20"/>
                <w:color w:val="auto"/>
              </w:rPr>
            </w:pPr>
            <w:r>
              <w:rPr>
                <w:rFonts w:ascii="Arial" w:cs="Arial" w:eastAsia="Arial" w:hAnsi="Arial"/>
                <w:sz w:val="20"/>
                <w:szCs w:val="20"/>
                <w:color w:val="auto"/>
              </w:rPr>
              <w:t>Health, dental, life, critical illness and</w:t>
            </w:r>
          </w:p>
        </w:tc>
      </w:tr>
      <w:tr>
        <w:trPr>
          <w:trHeight w:val="302"/>
        </w:trPr>
        <w:tc>
          <w:tcPr>
            <w:tcW w:w="1560" w:type="dxa"/>
            <w:vAlign w:val="bottom"/>
          </w:tcPr>
          <w:p>
            <w:pPr>
              <w:spacing w:after="0"/>
              <w:rPr>
                <w:sz w:val="20"/>
                <w:szCs w:val="20"/>
                <w:color w:val="auto"/>
              </w:rPr>
            </w:pPr>
            <w:r>
              <w:rPr>
                <w:rFonts w:ascii="Arial" w:cs="Arial" w:eastAsia="Arial" w:hAnsi="Arial"/>
                <w:sz w:val="20"/>
                <w:szCs w:val="20"/>
                <w:b w:val="1"/>
                <w:bCs w:val="1"/>
                <w:color w:val="auto"/>
              </w:rPr>
              <w:t>Wellness and</w:t>
            </w:r>
          </w:p>
        </w:tc>
        <w:tc>
          <w:tcPr>
            <w:tcW w:w="3680" w:type="dxa"/>
            <w:vAlign w:val="bottom"/>
          </w:tcPr>
          <w:p>
            <w:pPr>
              <w:ind w:left="160"/>
              <w:spacing w:after="0"/>
              <w:rPr>
                <w:sz w:val="20"/>
                <w:szCs w:val="20"/>
                <w:color w:val="auto"/>
              </w:rPr>
            </w:pPr>
            <w:r>
              <w:rPr>
                <w:rFonts w:ascii="Arial" w:cs="Arial" w:eastAsia="Arial" w:hAnsi="Arial"/>
                <w:sz w:val="20"/>
                <w:szCs w:val="20"/>
                <w:color w:val="auto"/>
              </w:rPr>
              <w:t>disability insurance.</w:t>
            </w:r>
          </w:p>
        </w:tc>
      </w:tr>
      <w:tr>
        <w:trPr>
          <w:trHeight w:val="342"/>
        </w:trPr>
        <w:tc>
          <w:tcPr>
            <w:tcW w:w="1560" w:type="dxa"/>
            <w:vAlign w:val="bottom"/>
          </w:tcPr>
          <w:p>
            <w:pPr>
              <w:spacing w:after="0"/>
              <w:rPr>
                <w:sz w:val="20"/>
                <w:szCs w:val="20"/>
                <w:color w:val="auto"/>
              </w:rPr>
            </w:pPr>
            <w:r>
              <w:rPr>
                <w:rFonts w:ascii="Arial" w:cs="Arial" w:eastAsia="Arial" w:hAnsi="Arial"/>
                <w:sz w:val="20"/>
                <w:szCs w:val="20"/>
                <w:b w:val="1"/>
                <w:bCs w:val="1"/>
                <w:color w:val="auto"/>
              </w:rPr>
              <w:t>Other Benefits</w:t>
            </w:r>
          </w:p>
        </w:tc>
        <w:tc>
          <w:tcPr>
            <w:tcW w:w="3680" w:type="dxa"/>
            <w:vAlign w:val="bottom"/>
          </w:tcPr>
          <w:p>
            <w:pPr>
              <w:ind w:left="160"/>
              <w:spacing w:after="0"/>
              <w:rPr>
                <w:sz w:val="20"/>
                <w:szCs w:val="20"/>
                <w:color w:val="auto"/>
              </w:rPr>
            </w:pPr>
            <w:r>
              <w:rPr>
                <w:rFonts w:ascii="Arial" w:cs="Arial" w:eastAsia="Arial" w:hAnsi="Arial"/>
                <w:sz w:val="20"/>
                <w:szCs w:val="20"/>
                <w:color w:val="auto"/>
              </w:rPr>
              <w:t>Health and wellness spending account.</w:t>
            </w:r>
          </w:p>
        </w:tc>
      </w:tr>
    </w:tbl>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Objectives</w:t>
      </w:r>
    </w:p>
    <w:p>
      <w:pPr>
        <w:spacing w:after="0" w:line="200" w:lineRule="exact"/>
        <w:rPr>
          <w:sz w:val="20"/>
          <w:szCs w:val="20"/>
          <w:color w:val="auto"/>
        </w:rPr>
      </w:pPr>
    </w:p>
    <w:p>
      <w:pPr>
        <w:spacing w:after="0" w:line="330" w:lineRule="exact"/>
        <w:rPr>
          <w:sz w:val="20"/>
          <w:szCs w:val="20"/>
          <w:color w:val="auto"/>
        </w:rPr>
      </w:pPr>
    </w:p>
    <w:p>
      <w:pPr>
        <w:spacing w:after="0" w:line="339" w:lineRule="auto"/>
        <w:rPr>
          <w:sz w:val="20"/>
          <w:szCs w:val="20"/>
          <w:color w:val="auto"/>
        </w:rPr>
      </w:pPr>
      <w:r>
        <w:rPr>
          <w:rFonts w:ascii="Arial" w:cs="Arial" w:eastAsia="Arial" w:hAnsi="Arial"/>
          <w:sz w:val="19"/>
          <w:szCs w:val="19"/>
          <w:color w:val="auto"/>
        </w:rPr>
        <w:t>Fixed compensation, recognizing individual experience, performance and responsibilities Targeting salary to the median range of compensation peers promotes retention of talented individuals as executive officers and facilitates recruitment of new talent in a competitive job market landscape.</w:t>
      </w:r>
    </w:p>
    <w:p>
      <w:pPr>
        <w:spacing w:after="0" w:line="102" w:lineRule="exact"/>
        <w:rPr>
          <w:sz w:val="20"/>
          <w:szCs w:val="20"/>
          <w:color w:val="auto"/>
        </w:rPr>
      </w:pPr>
    </w:p>
    <w:p>
      <w:pPr>
        <w:ind w:right="20"/>
        <w:spacing w:after="0" w:line="311" w:lineRule="auto"/>
        <w:rPr>
          <w:sz w:val="20"/>
          <w:szCs w:val="20"/>
          <w:color w:val="auto"/>
        </w:rPr>
      </w:pPr>
      <w:r>
        <w:rPr>
          <w:rFonts w:ascii="Arial" w:cs="Arial" w:eastAsia="Arial" w:hAnsi="Arial"/>
          <w:sz w:val="20"/>
          <w:szCs w:val="20"/>
          <w:color w:val="auto"/>
        </w:rPr>
        <w:t>Rewards performance by executives for achieving annual individual goals and corpor strategic goals.</w:t>
      </w:r>
    </w:p>
    <w:p>
      <w:pPr>
        <w:spacing w:after="0" w:line="52"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auto"/>
        </w:rPr>
        <w:t>Designed to motivate executives, recognize annual contributions by individuals, and align executive performance with corporate strateg priorities.</w:t>
      </w:r>
    </w:p>
    <w:p>
      <w:pPr>
        <w:spacing w:after="0" w:line="120"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Promotes longer-term retention and aligns lo term interests of our executives with those of shareholders.</w:t>
      </w:r>
    </w:p>
    <w:p>
      <w:pPr>
        <w:spacing w:after="0" w:line="52"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At risk award that links long-term equity plan payouts to relative total share price performa over a three-year period</w:t>
      </w:r>
    </w:p>
    <w:p>
      <w:pPr>
        <w:spacing w:after="0" w:line="52" w:lineRule="exact"/>
        <w:rPr>
          <w:sz w:val="20"/>
          <w:szCs w:val="20"/>
          <w:color w:val="auto"/>
        </w:rPr>
      </w:pPr>
    </w:p>
    <w:p>
      <w:pPr>
        <w:ind w:right="720"/>
        <w:spacing w:after="0" w:line="307" w:lineRule="auto"/>
        <w:rPr>
          <w:sz w:val="20"/>
          <w:szCs w:val="20"/>
          <w:color w:val="auto"/>
        </w:rPr>
      </w:pPr>
      <w:r>
        <w:rPr>
          <w:rFonts w:ascii="Arial" w:cs="Arial" w:eastAsia="Arial" w:hAnsi="Arial"/>
          <w:sz w:val="20"/>
          <w:szCs w:val="20"/>
          <w:color w:val="auto"/>
        </w:rPr>
        <w:t>Rewards executives for industry out-performance.</w:t>
      </w:r>
    </w:p>
    <w:p>
      <w:pPr>
        <w:spacing w:after="0" w:line="124" w:lineRule="exact"/>
        <w:rPr>
          <w:sz w:val="20"/>
          <w:szCs w:val="20"/>
          <w:color w:val="auto"/>
        </w:rPr>
      </w:pPr>
    </w:p>
    <w:p>
      <w:pPr>
        <w:ind w:right="580"/>
        <w:spacing w:after="0" w:line="332" w:lineRule="auto"/>
        <w:rPr>
          <w:sz w:val="20"/>
          <w:szCs w:val="20"/>
          <w:color w:val="auto"/>
        </w:rPr>
      </w:pPr>
      <w:r>
        <w:rPr>
          <w:rFonts w:ascii="Arial" w:cs="Arial" w:eastAsia="Arial" w:hAnsi="Arial"/>
          <w:sz w:val="20"/>
          <w:szCs w:val="20"/>
          <w:color w:val="auto"/>
        </w:rPr>
        <w:t>Market competitive benefit. Encourages retirement savings by our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Market competitive benefits.</w:t>
      </w:r>
    </w:p>
    <w:p>
      <w:pPr>
        <w:spacing w:after="0" w:line="119" w:lineRule="exact"/>
        <w:rPr>
          <w:sz w:val="20"/>
          <w:szCs w:val="20"/>
          <w:color w:val="auto"/>
        </w:rPr>
      </w:pPr>
    </w:p>
    <w:p>
      <w:pPr>
        <w:spacing w:after="0" w:line="307" w:lineRule="auto"/>
        <w:rPr>
          <w:sz w:val="20"/>
          <w:szCs w:val="20"/>
          <w:color w:val="auto"/>
        </w:rPr>
      </w:pPr>
      <w:r>
        <w:rPr>
          <w:rFonts w:ascii="Arial" w:cs="Arial" w:eastAsia="Arial" w:hAnsi="Arial"/>
          <w:sz w:val="20"/>
          <w:szCs w:val="20"/>
          <w:color w:val="auto"/>
        </w:rPr>
        <w:t>Encourages and supports health and wellnes for our executives.</w:t>
      </w:r>
    </w:p>
    <w:p>
      <w:pPr>
        <w:spacing w:after="0" w:line="200" w:lineRule="exact"/>
        <w:rPr>
          <w:sz w:val="20"/>
          <w:szCs w:val="20"/>
          <w:color w:val="auto"/>
        </w:rPr>
      </w:pPr>
    </w:p>
    <w:p>
      <w:pPr>
        <w:sectPr>
          <w:pgSz w:w="11900" w:h="16838" w:orient="portrait"/>
          <w:cols w:equalWidth="0" w:num="2">
            <w:col w:w="6260" w:space="240"/>
            <w:col w:w="3960"/>
          </w:cols>
          <w:pgMar w:left="1440" w:top="1440" w:right="6" w:bottom="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28 / 59</w:t>
      </w:r>
    </w:p>
    <w:p>
      <w:pPr>
        <w:sectPr>
          <w:pgSz w:w="11900" w:h="16838" w:orient="portrait"/>
          <w:cols w:equalWidth="0" w:num="1">
            <w:col w:w="10460"/>
          </w:cols>
          <w:pgMar w:left="1440" w:top="1440" w:right="6" w:bottom="0" w:gutter="0" w:footer="0" w:header="0"/>
          <w:type w:val="continuous"/>
        </w:sectPr>
      </w:pPr>
    </w:p>
    <w:bookmarkStart w:id="198" w:name="page199"/>
    <w:bookmarkEnd w:id="198"/>
    <w:p>
      <w:pPr>
        <w:spacing w:after="0" w:line="34"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GNCLC reviews each element of compensation for market competitiveness, and it may weigh a parti element more heavily based on the respective executive’s role and responsibilities within the Company. committee’s focus is on remaining competitive in the market with respect to the Company’s total compens program to compete for executive talent, in addition to rewarding for high levels of corporate, individual and s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1087755</wp:posOffset>
            </wp:positionV>
            <wp:extent cx="6764020" cy="190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29 / 59</w:t>
      </w:r>
    </w:p>
    <w:p>
      <w:pPr>
        <w:sectPr>
          <w:pgSz w:w="11900" w:h="16838" w:orient="portrait"/>
          <w:cols w:equalWidth="0" w:num="1">
            <w:col w:w="10460"/>
          </w:cols>
          <w:pgMar w:left="1440" w:top="1440" w:right="6" w:bottom="0" w:gutter="0" w:footer="0" w:header="0"/>
          <w:type w:val="continuous"/>
        </w:sectPr>
      </w:pPr>
    </w:p>
    <w:bookmarkStart w:id="199" w:name="page200"/>
    <w:bookmarkEnd w:id="1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Base Salary</w:t>
      </w:r>
    </w:p>
    <w:p>
      <w:pPr>
        <w:spacing w:after="0" w:line="381"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Base salaries are set with the goal of being competitive with corporations of a comparable size and sta development, thereby enabling the Company to compete for and retain executive officers critical to Company’s long-term success. The GNCLC and the Board approve the salary ranges for executives based o peer group compensation benchmarking review generally occurring bi-annually. Salary determination executives by the committee and management are made with consideration of the Company’s financial reso and the following criteria, among others:</w:t>
      </w:r>
    </w:p>
    <w:p>
      <w:pPr>
        <w:spacing w:after="0" w:line="168" w:lineRule="exact"/>
        <w:rPr>
          <w:sz w:val="20"/>
          <w:szCs w:val="20"/>
          <w:color w:val="auto"/>
        </w:rPr>
      </w:pPr>
    </w:p>
    <w:p>
      <w:pPr>
        <w:ind w:left="1620" w:hanging="366"/>
        <w:spacing w:after="0"/>
        <w:tabs>
          <w:tab w:leader="none" w:pos="16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particular responsibilities related to the position;</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Salaries paid by comparable businesses and factoring in market conditions for talent;</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experience level of the executive; and</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executive’s overall performance or expected performance (in the case of a newly hired executiv</w:t>
      </w:r>
    </w:p>
    <w:p>
      <w:pPr>
        <w:spacing w:after="0" w:line="293" w:lineRule="exact"/>
        <w:rPr>
          <w:sz w:val="20"/>
          <w:szCs w:val="20"/>
          <w:color w:val="auto"/>
        </w:rPr>
      </w:pPr>
    </w:p>
    <w:p>
      <w:pPr>
        <w:ind w:left="900"/>
        <w:spacing w:after="0" w:line="312" w:lineRule="auto"/>
        <w:rPr>
          <w:sz w:val="20"/>
          <w:szCs w:val="20"/>
          <w:color w:val="auto"/>
        </w:rPr>
      </w:pPr>
      <w:r>
        <w:rPr>
          <w:rFonts w:ascii="Arial" w:cs="Arial" w:eastAsia="Arial" w:hAnsi="Arial"/>
          <w:sz w:val="20"/>
          <w:szCs w:val="20"/>
          <w:color w:val="auto"/>
        </w:rPr>
        <w:t>An assessment of these criteria is made by the GNCLC for the CEO and Executive Chair. For other Na Executives excluding the CEO and Executive Chair, the assessment is made by the CEO, and a recommend is made to the committee for feedback and recommendation to the Board. Final recommendations are then to the Board to approve base salary adjustments.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Short-Term Incentive Compensation</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Company awards annual STI compensation to executives based on the achievement of corporate individual goals for the year. STI awards have the objective of motivating executives to achieve perform objectives that are aligned with the overall strategic objectives of the Company during the period.</w:t>
      </w:r>
    </w:p>
    <w:p>
      <w:pPr>
        <w:spacing w:after="0" w:line="2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A target range for an STI award as a percentage of salary is generally set for each executive position. A bonuses awarded are subject to a multiplier depending on actual performance for the year. STI compensati discretionary and generally consists of a combination of cash and a grant of RSUs. RSUs are awarded unde Incentive Plan.</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Management determines recommendations for STI awards based on the outcome of annual performance re for each executive other than the CEO and Executive Chair. New grants take into consideration corporate individual performance for the annual period and generally do not factor in prior grants made to an indiv except the Company is nearing the maximum number of Shares issuable under the Incentive P Recommendations are submitted by the GNCLC for consideration and approval. The GNCLC determines awards for the CEO and Executive Chair, while all other awards are recommended by management wit GNCLC providing feedback as needed on the recommended amount of such awards. All grants for equity awards are approved by the Board.</w:t>
      </w:r>
    </w:p>
    <w:p>
      <w:pPr>
        <w:spacing w:after="0" w:line="215" w:lineRule="exact"/>
        <w:rPr>
          <w:sz w:val="20"/>
          <w:szCs w:val="20"/>
          <w:color w:val="auto"/>
        </w:rPr>
      </w:pPr>
    </w:p>
    <w:p>
      <w:pPr>
        <w:jc w:val="both"/>
        <w:ind w:left="900" w:right="40"/>
        <w:spacing w:after="0" w:line="312" w:lineRule="auto"/>
        <w:rPr>
          <w:sz w:val="20"/>
          <w:szCs w:val="20"/>
          <w:color w:val="auto"/>
        </w:rPr>
      </w:pPr>
      <w:r>
        <w:rPr>
          <w:rFonts w:ascii="Arial" w:cs="Arial" w:eastAsia="Arial" w:hAnsi="Arial"/>
          <w:sz w:val="20"/>
          <w:szCs w:val="20"/>
          <w:color w:val="auto"/>
        </w:rPr>
        <w:t>During the year ended December 31, 2025, the Company utilized a corporate performance scorecard objectives and various range weights based on position level as well as performance achieving individual for the year. Corporate goals and objectives were then cascaded down throughout the organization, after approved by the GNCLC.</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30 / 59</w:t>
      </w:r>
    </w:p>
    <w:p>
      <w:pPr>
        <w:sectPr>
          <w:pgSz w:w="11900" w:h="16838" w:orient="portrait"/>
          <w:cols w:equalWidth="0" w:num="1">
            <w:col w:w="10460"/>
          </w:cols>
          <w:pgMar w:left="1440" w:top="1440" w:right="6" w:bottom="0" w:gutter="0" w:footer="0" w:header="0"/>
          <w:type w:val="continuous"/>
        </w:sectPr>
      </w:pPr>
    </w:p>
    <w:bookmarkStart w:id="200" w:name="page201"/>
    <w:bookmarkEnd w:id="200"/>
    <w:p>
      <w:pPr>
        <w:jc w:val="both"/>
        <w:ind w:left="900" w:right="40"/>
        <w:spacing w:after="0" w:line="312" w:lineRule="auto"/>
        <w:rPr>
          <w:sz w:val="20"/>
          <w:szCs w:val="20"/>
          <w:color w:val="auto"/>
        </w:rPr>
      </w:pPr>
      <w:r>
        <w:rPr>
          <w:rFonts w:ascii="Arial" w:cs="Arial" w:eastAsia="Arial" w:hAnsi="Arial"/>
          <w:sz w:val="20"/>
          <w:szCs w:val="20"/>
          <w:color w:val="auto"/>
        </w:rPr>
        <w:t>During the year ended December 31, 2025, the Company utilized a corporate performance scorecard objectives and various range weights based on position level as well as performance achieving individual for the year. Corporate goals and objectives were then cascaded down throughout the organization, after approved by the GNCLC.</w:t>
      </w:r>
    </w:p>
    <w:p>
      <w:pPr>
        <w:spacing w:after="0" w:line="2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In determining the STI awards, the GNCLC and Board carefully considered the following corporate highlight well as other qualitative and quantitative factors, including market conditions, strategic priorities, and leade effectiveness:</w:t>
      </w:r>
    </w:p>
    <w:p>
      <w:pPr>
        <w:spacing w:after="0" w:line="168" w:lineRule="exact"/>
        <w:rPr>
          <w:sz w:val="20"/>
          <w:szCs w:val="20"/>
          <w:color w:val="auto"/>
        </w:rPr>
      </w:pPr>
    </w:p>
    <w:p>
      <w:pPr>
        <w:ind w:left="1620" w:hanging="366"/>
        <w:spacing w:after="0"/>
        <w:tabs>
          <w:tab w:leader="none" w:pos="16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continued ramp-up and operational execution at Cauchari-Olaroz;</w:t>
      </w:r>
    </w:p>
    <w:p>
      <w:pPr>
        <w:spacing w:after="0" w:line="137"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advancement of a scalable regional growth platform through the announced definitive agreeme consolidate the Pozuelos-Pastos Grandes Basin pursuant to a new joint venture with Ganfeng Lit Group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1060450</wp:posOffset>
            </wp:positionV>
            <wp:extent cx="6764020" cy="190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4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31 / 59</w:t>
      </w:r>
    </w:p>
    <w:p>
      <w:pPr>
        <w:sectPr>
          <w:pgSz w:w="11900" w:h="16838" w:orient="portrait"/>
          <w:cols w:equalWidth="0" w:num="1">
            <w:col w:w="10460"/>
          </w:cols>
          <w:pgMar w:left="1440" w:top="1172" w:right="6" w:bottom="0" w:gutter="0" w:footer="0" w:header="0"/>
          <w:type w:val="continuous"/>
        </w:sectPr>
      </w:pPr>
    </w:p>
    <w:bookmarkStart w:id="201" w:name="page202"/>
    <w:bookmarkEnd w:id="2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20" w:hanging="366"/>
        <w:spacing w:after="0"/>
        <w:tabs>
          <w:tab w:leader="none" w:pos="16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 related $130 million corporate debt facility;</w:t>
      </w:r>
    </w:p>
    <w:p>
      <w:pPr>
        <w:spacing w:after="0" w:line="130" w:lineRule="exact"/>
        <w:rPr>
          <w:rFonts w:ascii="Arial" w:cs="Arial" w:eastAsia="Arial" w:hAnsi="Arial"/>
          <w:sz w:val="20"/>
          <w:szCs w:val="20"/>
          <w:color w:val="auto"/>
        </w:rPr>
      </w:pPr>
    </w:p>
    <w:p>
      <w:pPr>
        <w:ind w:left="1620" w:hanging="366"/>
        <w:spacing w:after="0"/>
        <w:tabs>
          <w:tab w:leader="none" w:pos="16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completion of the corporate domicile migration to Switzerland;</w:t>
      </w:r>
    </w:p>
    <w:p>
      <w:pPr>
        <w:spacing w:after="0" w:line="130" w:lineRule="exact"/>
        <w:rPr>
          <w:rFonts w:ascii="Arial" w:cs="Arial" w:eastAsia="Arial" w:hAnsi="Arial"/>
          <w:sz w:val="20"/>
          <w:szCs w:val="20"/>
          <w:color w:val="auto"/>
        </w:rPr>
      </w:pPr>
    </w:p>
    <w:p>
      <w:pPr>
        <w:ind w:left="1620" w:hanging="366"/>
        <w:spacing w:after="0"/>
        <w:tabs>
          <w:tab w:leader="none" w:pos="16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refinancing of project level debts; and</w:t>
      </w:r>
    </w:p>
    <w:p>
      <w:pPr>
        <w:spacing w:after="0" w:line="130" w:lineRule="exact"/>
        <w:rPr>
          <w:rFonts w:ascii="Arial" w:cs="Arial" w:eastAsia="Arial" w:hAnsi="Arial"/>
          <w:sz w:val="20"/>
          <w:szCs w:val="20"/>
          <w:color w:val="auto"/>
        </w:rPr>
      </w:pPr>
    </w:p>
    <w:p>
      <w:pPr>
        <w:ind w:left="1620" w:hanging="366"/>
        <w:spacing w:after="0"/>
        <w:tabs>
          <w:tab w:leader="none" w:pos="16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reduction of corporate overhead costs.</w:t>
      </w:r>
    </w:p>
    <w:p>
      <w:pPr>
        <w:spacing w:after="0" w:line="293" w:lineRule="exact"/>
        <w:rPr>
          <w:sz w:val="20"/>
          <w:szCs w:val="20"/>
          <w:color w:val="auto"/>
        </w:rPr>
      </w:pPr>
    </w:p>
    <w:p>
      <w:pPr>
        <w:jc w:val="both"/>
        <w:ind w:left="900" w:right="40"/>
        <w:spacing w:after="0" w:line="311" w:lineRule="auto"/>
        <w:rPr>
          <w:sz w:val="20"/>
          <w:szCs w:val="20"/>
          <w:color w:val="auto"/>
        </w:rPr>
      </w:pPr>
      <w:r>
        <w:rPr>
          <w:rFonts w:ascii="Arial" w:cs="Arial" w:eastAsia="Arial" w:hAnsi="Arial"/>
          <w:sz w:val="20"/>
          <w:szCs w:val="20"/>
          <w:color w:val="auto"/>
        </w:rPr>
        <w:t>For 2025, the STI target and actual payout for each named executive is set out below, as a percentage of salary. The STI award may be revised above or below the target set for any of the Company’s s management, including named executives, in the Board’s discretion on recommendation from the GNCLC.</w:t>
      </w:r>
    </w:p>
    <w:p>
      <w:pPr>
        <w:spacing w:after="0" w:line="305" w:lineRule="exact"/>
        <w:rPr>
          <w:sz w:val="20"/>
          <w:szCs w:val="20"/>
          <w:color w:val="auto"/>
        </w:rPr>
      </w:pPr>
    </w:p>
    <w:tbl>
      <w:tblPr>
        <w:tblLayout w:type="fixed"/>
        <w:tblInd w:w="900" w:type="dxa"/>
        <w:tblCellMar>
          <w:top w:w="0" w:type="dxa"/>
          <w:left w:w="0" w:type="dxa"/>
          <w:bottom w:w="0" w:type="dxa"/>
          <w:right w:w="0" w:type="dxa"/>
        </w:tblCellMar>
      </w:tblPr>
      <w:tr>
        <w:trPr>
          <w:trHeight w:val="250"/>
        </w:trPr>
        <w:tc>
          <w:tcPr>
            <w:tcW w:w="4800" w:type="dxa"/>
            <w:vAlign w:val="bottom"/>
            <w:shd w:val="clear" w:color="auto" w:fill="153A57"/>
          </w:tcPr>
          <w:p>
            <w:pPr>
              <w:spacing w:after="0"/>
              <w:rPr>
                <w:sz w:val="21"/>
                <w:szCs w:val="21"/>
                <w:color w:val="auto"/>
              </w:rPr>
            </w:pPr>
          </w:p>
        </w:tc>
        <w:tc>
          <w:tcPr>
            <w:tcW w:w="2700" w:type="dxa"/>
            <w:vAlign w:val="bottom"/>
            <w:gridSpan w:val="2"/>
            <w:shd w:val="clear" w:color="auto" w:fill="153A57"/>
          </w:tcPr>
          <w:p>
            <w:pPr>
              <w:jc w:val="right"/>
              <w:ind w:right="530"/>
              <w:spacing w:after="0"/>
              <w:rPr>
                <w:sz w:val="20"/>
                <w:szCs w:val="20"/>
                <w:color w:val="auto"/>
              </w:rPr>
            </w:pPr>
            <w:r>
              <w:rPr>
                <w:rFonts w:ascii="Arial" w:cs="Arial" w:eastAsia="Arial" w:hAnsi="Arial"/>
                <w:sz w:val="18"/>
                <w:szCs w:val="18"/>
                <w:b w:val="1"/>
                <w:bCs w:val="1"/>
                <w:color w:val="FFFFFF"/>
              </w:rPr>
              <w:t>2025 Target STI</w:t>
            </w:r>
          </w:p>
        </w:tc>
        <w:tc>
          <w:tcPr>
            <w:tcW w:w="2060" w:type="dxa"/>
            <w:vAlign w:val="bottom"/>
            <w:gridSpan w:val="2"/>
            <w:shd w:val="clear" w:color="auto" w:fill="153A57"/>
          </w:tcPr>
          <w:p>
            <w:pPr>
              <w:jc w:val="right"/>
              <w:ind w:right="30"/>
              <w:spacing w:after="0"/>
              <w:rPr>
                <w:sz w:val="20"/>
                <w:szCs w:val="20"/>
                <w:color w:val="auto"/>
              </w:rPr>
            </w:pPr>
            <w:r>
              <w:rPr>
                <w:rFonts w:ascii="Arial" w:cs="Arial" w:eastAsia="Arial" w:hAnsi="Arial"/>
                <w:sz w:val="18"/>
                <w:szCs w:val="18"/>
                <w:b w:val="1"/>
                <w:bCs w:val="1"/>
                <w:color w:val="FFFFFF"/>
              </w:rPr>
              <w:t>2025 Actual STI</w:t>
            </w:r>
          </w:p>
        </w:tc>
      </w:tr>
      <w:tr>
        <w:trPr>
          <w:trHeight w:val="286"/>
        </w:trPr>
        <w:tc>
          <w:tcPr>
            <w:tcW w:w="4800" w:type="dxa"/>
            <w:vAlign w:val="bottom"/>
            <w:shd w:val="clear" w:color="auto" w:fill="153A57"/>
          </w:tcPr>
          <w:p>
            <w:pPr>
              <w:ind w:left="100"/>
              <w:spacing w:after="0"/>
              <w:rPr>
                <w:sz w:val="20"/>
                <w:szCs w:val="20"/>
                <w:color w:val="auto"/>
              </w:rPr>
            </w:pPr>
            <w:r>
              <w:rPr>
                <w:rFonts w:ascii="Arial" w:cs="Arial" w:eastAsia="Arial" w:hAnsi="Arial"/>
                <w:sz w:val="18"/>
                <w:szCs w:val="18"/>
                <w:b w:val="1"/>
                <w:bCs w:val="1"/>
                <w:color w:val="FFFFFF"/>
              </w:rPr>
              <w:t>Named Executive Officer</w:t>
            </w:r>
          </w:p>
        </w:tc>
        <w:tc>
          <w:tcPr>
            <w:tcW w:w="1540" w:type="dxa"/>
            <w:vAlign w:val="bottom"/>
            <w:shd w:val="clear" w:color="auto" w:fill="153A57"/>
          </w:tcPr>
          <w:p>
            <w:pPr>
              <w:jc w:val="center"/>
              <w:spacing w:after="0"/>
              <w:rPr>
                <w:sz w:val="20"/>
                <w:szCs w:val="20"/>
                <w:color w:val="auto"/>
              </w:rPr>
            </w:pPr>
            <w:r>
              <w:rPr>
                <w:rFonts w:ascii="Arial" w:cs="Arial" w:eastAsia="Arial" w:hAnsi="Arial"/>
                <w:sz w:val="18"/>
                <w:szCs w:val="18"/>
                <w:b w:val="1"/>
                <w:bCs w:val="1"/>
                <w:color w:val="FFFFFF"/>
                <w:w w:val="99"/>
              </w:rPr>
              <w:t>Target STI</w:t>
            </w:r>
          </w:p>
        </w:tc>
        <w:tc>
          <w:tcPr>
            <w:tcW w:w="1160" w:type="dxa"/>
            <w:vAlign w:val="bottom"/>
            <w:shd w:val="clear" w:color="auto" w:fill="153A57"/>
          </w:tcPr>
          <w:p>
            <w:pPr>
              <w:jc w:val="right"/>
              <w:ind w:right="110"/>
              <w:spacing w:after="0"/>
              <w:rPr>
                <w:sz w:val="20"/>
                <w:szCs w:val="20"/>
                <w:color w:val="auto"/>
              </w:rPr>
            </w:pPr>
            <w:r>
              <w:rPr>
                <w:rFonts w:ascii="Arial" w:cs="Arial" w:eastAsia="Arial" w:hAnsi="Arial"/>
                <w:sz w:val="18"/>
                <w:szCs w:val="18"/>
                <w:b w:val="1"/>
                <w:bCs w:val="1"/>
                <w:color w:val="FFFFFF"/>
              </w:rPr>
              <w:t>Target STI</w:t>
            </w:r>
          </w:p>
        </w:tc>
        <w:tc>
          <w:tcPr>
            <w:tcW w:w="1400" w:type="dxa"/>
            <w:vAlign w:val="bottom"/>
            <w:shd w:val="clear" w:color="auto" w:fill="153A57"/>
          </w:tcPr>
          <w:p>
            <w:pPr>
              <w:jc w:val="center"/>
              <w:ind w:right="110"/>
              <w:spacing w:after="0"/>
              <w:rPr>
                <w:sz w:val="20"/>
                <w:szCs w:val="20"/>
                <w:color w:val="auto"/>
              </w:rPr>
            </w:pPr>
            <w:r>
              <w:rPr>
                <w:rFonts w:ascii="Arial" w:cs="Arial" w:eastAsia="Arial" w:hAnsi="Arial"/>
                <w:sz w:val="18"/>
                <w:szCs w:val="18"/>
                <w:b w:val="1"/>
                <w:bCs w:val="1"/>
                <w:color w:val="FFFFFF"/>
                <w:w w:val="99"/>
              </w:rPr>
              <w:t>Actual STI</w:t>
            </w:r>
          </w:p>
        </w:tc>
        <w:tc>
          <w:tcPr>
            <w:tcW w:w="660" w:type="dxa"/>
            <w:vAlign w:val="bottom"/>
            <w:shd w:val="clear" w:color="auto" w:fill="153A57"/>
          </w:tcPr>
          <w:p>
            <w:pPr>
              <w:jc w:val="right"/>
              <w:spacing w:after="0"/>
              <w:rPr>
                <w:sz w:val="20"/>
                <w:szCs w:val="20"/>
                <w:color w:val="auto"/>
              </w:rPr>
            </w:pPr>
            <w:r>
              <w:rPr>
                <w:rFonts w:ascii="Arial" w:cs="Arial" w:eastAsia="Arial" w:hAnsi="Arial"/>
                <w:sz w:val="18"/>
                <w:szCs w:val="18"/>
                <w:b w:val="1"/>
                <w:bCs w:val="1"/>
                <w:color w:val="FFFFFF"/>
              </w:rPr>
              <w:t>Actual</w:t>
            </w:r>
          </w:p>
        </w:tc>
      </w:tr>
      <w:tr>
        <w:trPr>
          <w:trHeight w:val="286"/>
        </w:trPr>
        <w:tc>
          <w:tcPr>
            <w:tcW w:w="4800" w:type="dxa"/>
            <w:vAlign w:val="bottom"/>
            <w:shd w:val="clear" w:color="auto" w:fill="153A57"/>
          </w:tcPr>
          <w:p>
            <w:pPr>
              <w:spacing w:after="0"/>
              <w:rPr>
                <w:sz w:val="24"/>
                <w:szCs w:val="24"/>
                <w:color w:val="auto"/>
              </w:rPr>
            </w:pPr>
          </w:p>
        </w:tc>
        <w:tc>
          <w:tcPr>
            <w:tcW w:w="1540" w:type="dxa"/>
            <w:vAlign w:val="bottom"/>
            <w:shd w:val="clear" w:color="auto" w:fill="153A57"/>
          </w:tcPr>
          <w:p>
            <w:pPr>
              <w:jc w:val="center"/>
              <w:spacing w:after="0"/>
              <w:rPr>
                <w:sz w:val="20"/>
                <w:szCs w:val="20"/>
                <w:color w:val="auto"/>
              </w:rPr>
            </w:pPr>
            <w:r>
              <w:rPr>
                <w:rFonts w:ascii="Arial" w:cs="Arial" w:eastAsia="Arial" w:hAnsi="Arial"/>
                <w:sz w:val="18"/>
                <w:szCs w:val="18"/>
                <w:b w:val="1"/>
                <w:bCs w:val="1"/>
                <w:color w:val="FFFFFF"/>
                <w:w w:val="99"/>
              </w:rPr>
              <w:t>(% of base</w:t>
            </w:r>
          </w:p>
        </w:tc>
        <w:tc>
          <w:tcPr>
            <w:tcW w:w="1160" w:type="dxa"/>
            <w:vAlign w:val="bottom"/>
            <w:shd w:val="clear" w:color="auto" w:fill="153A57"/>
          </w:tcPr>
          <w:p>
            <w:pPr>
              <w:spacing w:after="0"/>
              <w:rPr>
                <w:sz w:val="24"/>
                <w:szCs w:val="24"/>
                <w:color w:val="auto"/>
              </w:rPr>
            </w:pPr>
          </w:p>
        </w:tc>
        <w:tc>
          <w:tcPr>
            <w:tcW w:w="1400" w:type="dxa"/>
            <w:vAlign w:val="bottom"/>
            <w:shd w:val="clear" w:color="auto" w:fill="153A57"/>
          </w:tcPr>
          <w:p>
            <w:pPr>
              <w:jc w:val="center"/>
              <w:ind w:right="130"/>
              <w:spacing w:after="0"/>
              <w:rPr>
                <w:sz w:val="20"/>
                <w:szCs w:val="20"/>
                <w:color w:val="auto"/>
              </w:rPr>
            </w:pPr>
            <w:r>
              <w:rPr>
                <w:rFonts w:ascii="Arial" w:cs="Arial" w:eastAsia="Arial" w:hAnsi="Arial"/>
                <w:sz w:val="18"/>
                <w:szCs w:val="18"/>
                <w:b w:val="1"/>
                <w:bCs w:val="1"/>
                <w:color w:val="FFFFFF"/>
                <w:w w:val="99"/>
              </w:rPr>
              <w:t>(% of base</w:t>
            </w:r>
          </w:p>
        </w:tc>
        <w:tc>
          <w:tcPr>
            <w:tcW w:w="660" w:type="dxa"/>
            <w:vAlign w:val="bottom"/>
            <w:shd w:val="clear" w:color="auto" w:fill="153A57"/>
          </w:tcPr>
          <w:p>
            <w:pPr>
              <w:spacing w:after="0"/>
              <w:rPr>
                <w:sz w:val="24"/>
                <w:szCs w:val="24"/>
                <w:color w:val="auto"/>
              </w:rPr>
            </w:pPr>
          </w:p>
        </w:tc>
      </w:tr>
      <w:tr>
        <w:trPr>
          <w:trHeight w:val="272"/>
        </w:trPr>
        <w:tc>
          <w:tcPr>
            <w:tcW w:w="4800" w:type="dxa"/>
            <w:vAlign w:val="bottom"/>
            <w:shd w:val="clear" w:color="auto" w:fill="153A57"/>
          </w:tcPr>
          <w:p>
            <w:pPr>
              <w:spacing w:after="0"/>
              <w:rPr>
                <w:sz w:val="23"/>
                <w:szCs w:val="23"/>
                <w:color w:val="auto"/>
              </w:rPr>
            </w:pPr>
          </w:p>
        </w:tc>
        <w:tc>
          <w:tcPr>
            <w:tcW w:w="1540" w:type="dxa"/>
            <w:vAlign w:val="bottom"/>
            <w:shd w:val="clear" w:color="auto" w:fill="153A57"/>
          </w:tcPr>
          <w:p>
            <w:pPr>
              <w:jc w:val="center"/>
              <w:spacing w:after="0"/>
              <w:rPr>
                <w:sz w:val="20"/>
                <w:szCs w:val="20"/>
                <w:color w:val="auto"/>
              </w:rPr>
            </w:pPr>
            <w:r>
              <w:rPr>
                <w:rFonts w:ascii="Arial" w:cs="Arial" w:eastAsia="Arial" w:hAnsi="Arial"/>
                <w:sz w:val="18"/>
                <w:szCs w:val="18"/>
                <w:b w:val="1"/>
                <w:bCs w:val="1"/>
                <w:color w:val="FFFFFF"/>
                <w:w w:val="99"/>
              </w:rPr>
              <w:t>salary)</w:t>
            </w:r>
          </w:p>
        </w:tc>
        <w:tc>
          <w:tcPr>
            <w:tcW w:w="1160" w:type="dxa"/>
            <w:vAlign w:val="bottom"/>
            <w:shd w:val="clear" w:color="auto" w:fill="153A57"/>
          </w:tcPr>
          <w:p>
            <w:pPr>
              <w:jc w:val="right"/>
              <w:ind w:right="310"/>
              <w:spacing w:after="0"/>
              <w:rPr>
                <w:sz w:val="20"/>
                <w:szCs w:val="20"/>
                <w:color w:val="auto"/>
              </w:rPr>
            </w:pPr>
            <w:r>
              <w:rPr>
                <w:rFonts w:ascii="Arial" w:cs="Arial" w:eastAsia="Arial" w:hAnsi="Arial"/>
                <w:sz w:val="18"/>
                <w:szCs w:val="18"/>
                <w:b w:val="1"/>
                <w:bCs w:val="1"/>
                <w:color w:val="FFFFFF"/>
              </w:rPr>
              <w:t>(US$)</w:t>
            </w:r>
          </w:p>
        </w:tc>
        <w:tc>
          <w:tcPr>
            <w:tcW w:w="1400" w:type="dxa"/>
            <w:vAlign w:val="bottom"/>
            <w:shd w:val="clear" w:color="auto" w:fill="153A57"/>
          </w:tcPr>
          <w:p>
            <w:pPr>
              <w:jc w:val="center"/>
              <w:ind w:right="90"/>
              <w:spacing w:after="0"/>
              <w:rPr>
                <w:sz w:val="20"/>
                <w:szCs w:val="20"/>
                <w:color w:val="auto"/>
              </w:rPr>
            </w:pPr>
            <w:r>
              <w:rPr>
                <w:rFonts w:ascii="Arial" w:cs="Arial" w:eastAsia="Arial" w:hAnsi="Arial"/>
                <w:sz w:val="18"/>
                <w:szCs w:val="18"/>
                <w:b w:val="1"/>
                <w:bCs w:val="1"/>
                <w:color w:val="FFFFFF"/>
                <w:w w:val="99"/>
              </w:rPr>
              <w:t>salary)</w:t>
            </w:r>
          </w:p>
        </w:tc>
        <w:tc>
          <w:tcPr>
            <w:tcW w:w="660" w:type="dxa"/>
            <w:vAlign w:val="bottom"/>
            <w:shd w:val="clear" w:color="auto" w:fill="153A57"/>
          </w:tcPr>
          <w:p>
            <w:pPr>
              <w:jc w:val="right"/>
              <w:spacing w:after="0"/>
              <w:rPr>
                <w:sz w:val="20"/>
                <w:szCs w:val="20"/>
                <w:color w:val="auto"/>
              </w:rPr>
            </w:pPr>
            <w:r>
              <w:rPr>
                <w:rFonts w:ascii="Arial" w:cs="Arial" w:eastAsia="Arial" w:hAnsi="Arial"/>
                <w:sz w:val="18"/>
                <w:szCs w:val="18"/>
                <w:b w:val="1"/>
                <w:bCs w:val="1"/>
                <w:color w:val="FFFFFF"/>
              </w:rPr>
              <w:t>(US$</w:t>
            </w:r>
          </w:p>
        </w:tc>
      </w:tr>
      <w:tr>
        <w:trPr>
          <w:trHeight w:val="121"/>
        </w:trPr>
        <w:tc>
          <w:tcPr>
            <w:tcW w:w="4800" w:type="dxa"/>
            <w:vAlign w:val="bottom"/>
            <w:shd w:val="clear" w:color="auto" w:fill="153A57"/>
          </w:tcPr>
          <w:p>
            <w:pPr>
              <w:spacing w:after="0"/>
              <w:rPr>
                <w:sz w:val="10"/>
                <w:szCs w:val="10"/>
                <w:color w:val="auto"/>
              </w:rPr>
            </w:pPr>
          </w:p>
        </w:tc>
        <w:tc>
          <w:tcPr>
            <w:tcW w:w="1540" w:type="dxa"/>
            <w:vAlign w:val="bottom"/>
            <w:shd w:val="clear" w:color="auto" w:fill="153A57"/>
          </w:tcPr>
          <w:p>
            <w:pPr>
              <w:spacing w:after="0"/>
              <w:rPr>
                <w:sz w:val="10"/>
                <w:szCs w:val="10"/>
                <w:color w:val="auto"/>
              </w:rPr>
            </w:pPr>
          </w:p>
        </w:tc>
        <w:tc>
          <w:tcPr>
            <w:tcW w:w="1160" w:type="dxa"/>
            <w:vAlign w:val="bottom"/>
            <w:shd w:val="clear" w:color="auto" w:fill="153A57"/>
          </w:tcPr>
          <w:p>
            <w:pPr>
              <w:spacing w:after="0"/>
              <w:rPr>
                <w:sz w:val="10"/>
                <w:szCs w:val="10"/>
                <w:color w:val="auto"/>
              </w:rPr>
            </w:pPr>
          </w:p>
        </w:tc>
        <w:tc>
          <w:tcPr>
            <w:tcW w:w="1400" w:type="dxa"/>
            <w:vAlign w:val="bottom"/>
            <w:shd w:val="clear" w:color="auto" w:fill="153A57"/>
          </w:tcPr>
          <w:p>
            <w:pPr>
              <w:spacing w:after="0"/>
              <w:rPr>
                <w:sz w:val="10"/>
                <w:szCs w:val="10"/>
                <w:color w:val="auto"/>
              </w:rPr>
            </w:pPr>
          </w:p>
        </w:tc>
        <w:tc>
          <w:tcPr>
            <w:tcW w:w="660" w:type="dxa"/>
            <w:vAlign w:val="bottom"/>
            <w:shd w:val="clear" w:color="auto" w:fill="153A57"/>
          </w:tcPr>
          <w:p>
            <w:pPr>
              <w:spacing w:after="0"/>
              <w:rPr>
                <w:sz w:val="10"/>
                <w:szCs w:val="10"/>
                <w:color w:val="auto"/>
              </w:rPr>
            </w:pPr>
          </w:p>
        </w:tc>
      </w:tr>
      <w:tr>
        <w:trPr>
          <w:trHeight w:val="315"/>
        </w:trPr>
        <w:tc>
          <w:tcPr>
            <w:tcW w:w="4800" w:type="dxa"/>
            <w:vAlign w:val="bottom"/>
          </w:tcPr>
          <w:p>
            <w:pPr>
              <w:ind w:left="100"/>
              <w:spacing w:after="0"/>
              <w:rPr>
                <w:sz w:val="20"/>
                <w:szCs w:val="20"/>
                <w:color w:val="auto"/>
              </w:rPr>
            </w:pPr>
            <w:r>
              <w:rPr>
                <w:rFonts w:ascii="Arial" w:cs="Arial" w:eastAsia="Arial" w:hAnsi="Arial"/>
                <w:sz w:val="18"/>
                <w:szCs w:val="18"/>
                <w:color w:val="auto"/>
              </w:rPr>
              <w:t>John Kanellitsas, Executive Chair</w:t>
            </w:r>
            <w:r>
              <w:rPr>
                <w:rFonts w:ascii="Arial" w:cs="Arial" w:eastAsia="Arial" w:hAnsi="Arial"/>
                <w:sz w:val="24"/>
                <w:szCs w:val="24"/>
                <w:color w:val="auto"/>
                <w:vertAlign w:val="superscript"/>
              </w:rPr>
              <w:t>(1)</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315,000</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66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371"/>
        </w:trPr>
        <w:tc>
          <w:tcPr>
            <w:tcW w:w="4800" w:type="dxa"/>
            <w:vAlign w:val="bottom"/>
          </w:tcPr>
          <w:p>
            <w:pPr>
              <w:ind w:left="100"/>
              <w:spacing w:after="0"/>
              <w:rPr>
                <w:sz w:val="20"/>
                <w:szCs w:val="20"/>
                <w:color w:val="auto"/>
              </w:rPr>
            </w:pPr>
            <w:r>
              <w:rPr>
                <w:rFonts w:ascii="Arial" w:cs="Arial" w:eastAsia="Arial" w:hAnsi="Arial"/>
                <w:sz w:val="18"/>
                <w:szCs w:val="18"/>
                <w:color w:val="auto"/>
              </w:rPr>
              <w:t>Sam Pigott, President and Chief Executive Officer</w:t>
            </w:r>
            <w:r>
              <w:rPr>
                <w:rFonts w:ascii="Arial" w:cs="Arial" w:eastAsia="Arial" w:hAnsi="Arial"/>
                <w:sz w:val="24"/>
                <w:szCs w:val="24"/>
                <w:color w:val="auto"/>
                <w:vertAlign w:val="superscript"/>
              </w:rPr>
              <w:t>(2)</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450,000</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66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306"/>
        </w:trPr>
        <w:tc>
          <w:tcPr>
            <w:tcW w:w="4800" w:type="dxa"/>
            <w:vAlign w:val="bottom"/>
          </w:tcPr>
          <w:p>
            <w:pPr>
              <w:ind w:left="100"/>
              <w:spacing w:after="0"/>
              <w:rPr>
                <w:sz w:val="20"/>
                <w:szCs w:val="20"/>
                <w:color w:val="auto"/>
              </w:rPr>
            </w:pPr>
            <w:r>
              <w:rPr>
                <w:rFonts w:ascii="Arial" w:cs="Arial" w:eastAsia="Arial" w:hAnsi="Arial"/>
                <w:sz w:val="18"/>
                <w:szCs w:val="18"/>
                <w:color w:val="auto"/>
              </w:rPr>
              <w:t>Alec Meikle, Executive Vice President, Corporate</w:t>
            </w: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7"/>
        </w:trPr>
        <w:tc>
          <w:tcPr>
            <w:tcW w:w="4800" w:type="dxa"/>
            <w:vAlign w:val="bottom"/>
          </w:tcPr>
          <w:p>
            <w:pPr>
              <w:ind w:left="100"/>
              <w:spacing w:after="0"/>
              <w:rPr>
                <w:sz w:val="20"/>
                <w:szCs w:val="20"/>
                <w:color w:val="auto"/>
              </w:rPr>
            </w:pPr>
            <w:r>
              <w:rPr>
                <w:rFonts w:ascii="Arial" w:cs="Arial" w:eastAsia="Arial" w:hAnsi="Arial"/>
                <w:sz w:val="18"/>
                <w:szCs w:val="18"/>
                <w:color w:val="auto"/>
              </w:rPr>
              <w:t>Development</w:t>
            </w:r>
            <w:r>
              <w:rPr>
                <w:rFonts w:ascii="Arial" w:cs="Arial" w:eastAsia="Arial" w:hAnsi="Arial"/>
                <w:sz w:val="24"/>
                <w:szCs w:val="24"/>
                <w:color w:val="auto"/>
                <w:vertAlign w:val="superscript"/>
              </w:rPr>
              <w:t>(3)</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270,000</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66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306"/>
        </w:trPr>
        <w:tc>
          <w:tcPr>
            <w:tcW w:w="4800" w:type="dxa"/>
            <w:vAlign w:val="bottom"/>
          </w:tcPr>
          <w:p>
            <w:pPr>
              <w:ind w:left="100"/>
              <w:spacing w:after="0"/>
              <w:rPr>
                <w:sz w:val="20"/>
                <w:szCs w:val="20"/>
                <w:color w:val="auto"/>
              </w:rPr>
            </w:pPr>
            <w:r>
              <w:rPr>
                <w:rFonts w:ascii="Arial" w:cs="Arial" w:eastAsia="Arial" w:hAnsi="Arial"/>
                <w:sz w:val="18"/>
                <w:szCs w:val="18"/>
                <w:color w:val="auto"/>
              </w:rPr>
              <w:t>Alex Shulga, Vice President and Chief Financial Officer</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262,500</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66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371"/>
        </w:trPr>
        <w:tc>
          <w:tcPr>
            <w:tcW w:w="4800" w:type="dxa"/>
            <w:vAlign w:val="bottom"/>
          </w:tcPr>
          <w:p>
            <w:pPr>
              <w:ind w:left="100"/>
              <w:spacing w:after="0"/>
              <w:rPr>
                <w:sz w:val="20"/>
                <w:szCs w:val="20"/>
                <w:color w:val="auto"/>
              </w:rPr>
            </w:pPr>
            <w:r>
              <w:rPr>
                <w:rFonts w:ascii="Arial" w:cs="Arial" w:eastAsia="Arial" w:hAnsi="Arial"/>
                <w:sz w:val="18"/>
                <w:szCs w:val="18"/>
                <w:color w:val="auto"/>
              </w:rPr>
              <w:t>Mariano Chiappori , Vice President and Chief Operating</w:t>
            </w: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2"/>
        </w:trPr>
        <w:tc>
          <w:tcPr>
            <w:tcW w:w="4800" w:type="dxa"/>
            <w:vAlign w:val="bottom"/>
          </w:tcPr>
          <w:p>
            <w:pPr>
              <w:ind w:left="100"/>
              <w:spacing w:after="0"/>
              <w:rPr>
                <w:sz w:val="20"/>
                <w:szCs w:val="20"/>
                <w:color w:val="auto"/>
              </w:rPr>
            </w:pPr>
            <w:r>
              <w:rPr>
                <w:rFonts w:ascii="Arial" w:cs="Arial" w:eastAsia="Arial" w:hAnsi="Arial"/>
                <w:sz w:val="18"/>
                <w:szCs w:val="18"/>
                <w:color w:val="auto"/>
              </w:rPr>
              <w:t>Officer</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280,312</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660" w:type="dxa"/>
            <w:vAlign w:val="bottom"/>
          </w:tcPr>
          <w:p>
            <w:pPr>
              <w:jc w:val="right"/>
              <w:spacing w:after="0"/>
              <w:rPr>
                <w:sz w:val="20"/>
                <w:szCs w:val="20"/>
                <w:color w:val="auto"/>
              </w:rPr>
            </w:pPr>
            <w:r>
              <w:rPr>
                <w:rFonts w:ascii="Arial" w:cs="Arial" w:eastAsia="Arial" w:hAnsi="Arial"/>
                <w:sz w:val="18"/>
                <w:szCs w:val="18"/>
                <w:color w:val="auto"/>
              </w:rPr>
              <w:t>392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-1450975</wp:posOffset>
            </wp:positionV>
            <wp:extent cx="6078220"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49">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-1216025</wp:posOffset>
            </wp:positionV>
            <wp:extent cx="6078220"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0">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-980440</wp:posOffset>
            </wp:positionV>
            <wp:extent cx="6078220"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1">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-572135</wp:posOffset>
            </wp:positionV>
            <wp:extent cx="6078220"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2">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-336550</wp:posOffset>
            </wp:positionV>
            <wp:extent cx="6078220"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3">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349"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Notes:</w:t>
      </w:r>
    </w:p>
    <w:p>
      <w:pPr>
        <w:spacing w:after="0" w:line="116" w:lineRule="exact"/>
        <w:rPr>
          <w:sz w:val="20"/>
          <w:szCs w:val="20"/>
          <w:color w:val="auto"/>
        </w:rPr>
      </w:pPr>
    </w:p>
    <w:p>
      <w:pPr>
        <w:ind w:left="1620" w:hanging="366"/>
        <w:spacing w:after="0"/>
        <w:tabs>
          <w:tab w:leader="none" w:pos="16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Will transition to non-Executive Chair on March 31, 2026.</w:t>
      </w:r>
    </w:p>
    <w:p>
      <w:pPr>
        <w:spacing w:after="0" w:line="130" w:lineRule="exact"/>
        <w:rPr>
          <w:rFonts w:ascii="Arial" w:cs="Arial" w:eastAsia="Arial" w:hAnsi="Arial"/>
          <w:sz w:val="20"/>
          <w:szCs w:val="20"/>
          <w:color w:val="auto"/>
        </w:rPr>
      </w:pPr>
    </w:p>
    <w:p>
      <w:pPr>
        <w:ind w:left="1620" w:hanging="366"/>
        <w:spacing w:after="0"/>
        <w:tabs>
          <w:tab w:leader="none" w:pos="16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Ceased to be President as of January 1, 2026.</w:t>
      </w:r>
    </w:p>
    <w:p>
      <w:pPr>
        <w:spacing w:after="0" w:line="137"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Appointed Executive Vice President, Corporate Development on July 31, 2024. Promoted to Pres effective as of January 1, 2026.</w:t>
      </w:r>
    </w:p>
    <w:p>
      <w:pPr>
        <w:spacing w:after="0" w:line="171"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In 2025, the Named Executives could elect to take their respective STI awards in a mix of cash and RSUs the portion of STI paid in RSUs instead of cash, executives received an additional 25% in STI to account fo STI being at risk compensation and to help the Company conserve its cash (the “At-Risk STI”). The table b shows the value of the cash, RSUs, At-Risk STI and total STI received by the Named Executives.</w:t>
      </w:r>
    </w:p>
    <w:p>
      <w:pPr>
        <w:spacing w:after="0" w:line="305" w:lineRule="exact"/>
        <w:rPr>
          <w:sz w:val="20"/>
          <w:szCs w:val="20"/>
          <w:color w:val="auto"/>
        </w:rPr>
      </w:pPr>
    </w:p>
    <w:tbl>
      <w:tblPr>
        <w:tblLayout w:type="fixed"/>
        <w:tblInd w:w="900" w:type="dxa"/>
        <w:tblCellMar>
          <w:top w:w="0" w:type="dxa"/>
          <w:left w:w="0" w:type="dxa"/>
          <w:bottom w:w="0" w:type="dxa"/>
          <w:right w:w="0" w:type="dxa"/>
        </w:tblCellMar>
      </w:tblPr>
      <w:tr>
        <w:trPr>
          <w:trHeight w:val="250"/>
        </w:trPr>
        <w:tc>
          <w:tcPr>
            <w:tcW w:w="5120" w:type="dxa"/>
            <w:vAlign w:val="bottom"/>
            <w:shd w:val="clear" w:color="auto" w:fill="153A57"/>
          </w:tcPr>
          <w:p>
            <w:pPr>
              <w:spacing w:after="0"/>
              <w:rPr>
                <w:sz w:val="21"/>
                <w:szCs w:val="21"/>
                <w:color w:val="auto"/>
              </w:rPr>
            </w:pPr>
          </w:p>
        </w:tc>
        <w:tc>
          <w:tcPr>
            <w:tcW w:w="1140" w:type="dxa"/>
            <w:vAlign w:val="bottom"/>
            <w:shd w:val="clear" w:color="auto" w:fill="153A57"/>
          </w:tcPr>
          <w:p>
            <w:pPr>
              <w:spacing w:after="0"/>
              <w:rPr>
                <w:sz w:val="21"/>
                <w:szCs w:val="21"/>
                <w:color w:val="auto"/>
              </w:rPr>
            </w:pPr>
          </w:p>
        </w:tc>
        <w:tc>
          <w:tcPr>
            <w:tcW w:w="240" w:type="dxa"/>
            <w:vAlign w:val="bottom"/>
            <w:shd w:val="clear" w:color="auto" w:fill="153A57"/>
          </w:tcPr>
          <w:p>
            <w:pPr>
              <w:spacing w:after="0"/>
              <w:rPr>
                <w:sz w:val="21"/>
                <w:szCs w:val="21"/>
                <w:color w:val="auto"/>
              </w:rPr>
            </w:pPr>
          </w:p>
        </w:tc>
        <w:tc>
          <w:tcPr>
            <w:tcW w:w="1240" w:type="dxa"/>
            <w:vAlign w:val="bottom"/>
            <w:shd w:val="clear" w:color="auto" w:fill="153A57"/>
          </w:tcPr>
          <w:p>
            <w:pPr>
              <w:spacing w:after="0"/>
              <w:rPr>
                <w:sz w:val="21"/>
                <w:szCs w:val="21"/>
                <w:color w:val="auto"/>
              </w:rPr>
            </w:pPr>
          </w:p>
        </w:tc>
        <w:tc>
          <w:tcPr>
            <w:tcW w:w="1160" w:type="dxa"/>
            <w:vAlign w:val="bottom"/>
            <w:shd w:val="clear" w:color="auto" w:fill="153A57"/>
          </w:tcPr>
          <w:p>
            <w:pPr>
              <w:jc w:val="center"/>
              <w:ind w:right="10"/>
              <w:spacing w:after="0"/>
              <w:rPr>
                <w:sz w:val="20"/>
                <w:szCs w:val="20"/>
                <w:color w:val="auto"/>
              </w:rPr>
            </w:pPr>
            <w:r>
              <w:rPr>
                <w:rFonts w:ascii="Arial" w:cs="Arial" w:eastAsia="Arial" w:hAnsi="Arial"/>
                <w:sz w:val="18"/>
                <w:szCs w:val="18"/>
                <w:b w:val="1"/>
                <w:bCs w:val="1"/>
                <w:color w:val="FFFFFF"/>
                <w:w w:val="99"/>
              </w:rPr>
              <w:t>25% At-</w:t>
            </w:r>
          </w:p>
        </w:tc>
        <w:tc>
          <w:tcPr>
            <w:tcW w:w="660" w:type="dxa"/>
            <w:vAlign w:val="bottom"/>
            <w:shd w:val="clear" w:color="auto" w:fill="153A57"/>
          </w:tcPr>
          <w:p>
            <w:pPr>
              <w:spacing w:after="0"/>
              <w:rPr>
                <w:sz w:val="21"/>
                <w:szCs w:val="21"/>
                <w:color w:val="auto"/>
              </w:rPr>
            </w:pPr>
          </w:p>
        </w:tc>
      </w:tr>
      <w:tr>
        <w:trPr>
          <w:trHeight w:val="272"/>
        </w:trPr>
        <w:tc>
          <w:tcPr>
            <w:tcW w:w="5120" w:type="dxa"/>
            <w:vAlign w:val="bottom"/>
            <w:shd w:val="clear" w:color="auto" w:fill="153A57"/>
          </w:tcPr>
          <w:p>
            <w:pPr>
              <w:spacing w:after="0"/>
              <w:rPr>
                <w:sz w:val="23"/>
                <w:szCs w:val="23"/>
                <w:color w:val="auto"/>
              </w:rPr>
            </w:pPr>
          </w:p>
        </w:tc>
        <w:tc>
          <w:tcPr>
            <w:tcW w:w="1140" w:type="dxa"/>
            <w:vAlign w:val="bottom"/>
            <w:shd w:val="clear" w:color="auto" w:fill="153A57"/>
          </w:tcPr>
          <w:p>
            <w:pPr>
              <w:jc w:val="center"/>
              <w:ind w:left="230"/>
              <w:spacing w:after="0"/>
              <w:rPr>
                <w:sz w:val="20"/>
                <w:szCs w:val="20"/>
                <w:color w:val="auto"/>
              </w:rPr>
            </w:pPr>
            <w:r>
              <w:rPr>
                <w:rFonts w:ascii="Arial" w:cs="Arial" w:eastAsia="Arial" w:hAnsi="Arial"/>
                <w:sz w:val="18"/>
                <w:szCs w:val="18"/>
                <w:b w:val="1"/>
                <w:bCs w:val="1"/>
                <w:color w:val="FFFFFF"/>
              </w:rPr>
              <w:t>STI Cash</w:t>
            </w:r>
          </w:p>
        </w:tc>
        <w:tc>
          <w:tcPr>
            <w:tcW w:w="240" w:type="dxa"/>
            <w:vAlign w:val="bottom"/>
            <w:shd w:val="clear" w:color="auto" w:fill="153A57"/>
          </w:tcPr>
          <w:p>
            <w:pPr>
              <w:spacing w:after="0"/>
              <w:rPr>
                <w:sz w:val="23"/>
                <w:szCs w:val="23"/>
                <w:color w:val="auto"/>
              </w:rPr>
            </w:pPr>
          </w:p>
        </w:tc>
        <w:tc>
          <w:tcPr>
            <w:tcW w:w="1240" w:type="dxa"/>
            <w:vAlign w:val="bottom"/>
            <w:shd w:val="clear" w:color="auto" w:fill="153A57"/>
          </w:tcPr>
          <w:p>
            <w:pPr>
              <w:jc w:val="right"/>
              <w:ind w:right="230"/>
              <w:spacing w:after="0"/>
              <w:rPr>
                <w:sz w:val="20"/>
                <w:szCs w:val="20"/>
                <w:color w:val="auto"/>
              </w:rPr>
            </w:pPr>
            <w:r>
              <w:rPr>
                <w:rFonts w:ascii="Arial" w:cs="Arial" w:eastAsia="Arial" w:hAnsi="Arial"/>
                <w:sz w:val="18"/>
                <w:szCs w:val="18"/>
                <w:b w:val="1"/>
                <w:bCs w:val="1"/>
                <w:color w:val="FFFFFF"/>
              </w:rPr>
              <w:t>Base STI</w:t>
            </w:r>
          </w:p>
        </w:tc>
        <w:tc>
          <w:tcPr>
            <w:tcW w:w="1160" w:type="dxa"/>
            <w:vAlign w:val="bottom"/>
            <w:shd w:val="clear" w:color="auto" w:fill="153A57"/>
          </w:tcPr>
          <w:p>
            <w:pPr>
              <w:jc w:val="center"/>
              <w:ind w:right="50"/>
              <w:spacing w:after="0"/>
              <w:rPr>
                <w:sz w:val="20"/>
                <w:szCs w:val="20"/>
                <w:color w:val="auto"/>
              </w:rPr>
            </w:pPr>
            <w:r>
              <w:rPr>
                <w:rFonts w:ascii="Arial" w:cs="Arial" w:eastAsia="Arial" w:hAnsi="Arial"/>
                <w:sz w:val="18"/>
                <w:szCs w:val="18"/>
                <w:b w:val="1"/>
                <w:bCs w:val="1"/>
                <w:color w:val="FFFFFF"/>
                <w:w w:val="98"/>
              </w:rPr>
              <w:t>Risk STI</w:t>
            </w:r>
          </w:p>
        </w:tc>
        <w:tc>
          <w:tcPr>
            <w:tcW w:w="660" w:type="dxa"/>
            <w:vAlign w:val="bottom"/>
            <w:shd w:val="clear" w:color="auto" w:fill="153A57"/>
          </w:tcPr>
          <w:p>
            <w:pPr>
              <w:jc w:val="right"/>
              <w:spacing w:after="0"/>
              <w:rPr>
                <w:sz w:val="20"/>
                <w:szCs w:val="20"/>
                <w:color w:val="auto"/>
              </w:rPr>
            </w:pPr>
            <w:r>
              <w:rPr>
                <w:rFonts w:ascii="Arial" w:cs="Arial" w:eastAsia="Arial" w:hAnsi="Arial"/>
                <w:sz w:val="18"/>
                <w:szCs w:val="18"/>
                <w:b w:val="1"/>
                <w:bCs w:val="1"/>
                <w:color w:val="FFFFFF"/>
              </w:rPr>
              <w:t>Total S</w:t>
            </w:r>
          </w:p>
        </w:tc>
      </w:tr>
      <w:tr>
        <w:trPr>
          <w:trHeight w:val="272"/>
        </w:trPr>
        <w:tc>
          <w:tcPr>
            <w:tcW w:w="5120" w:type="dxa"/>
            <w:vAlign w:val="bottom"/>
            <w:shd w:val="clear" w:color="auto" w:fill="153A57"/>
          </w:tcPr>
          <w:p>
            <w:pPr>
              <w:ind w:left="100"/>
              <w:spacing w:after="0"/>
              <w:rPr>
                <w:sz w:val="20"/>
                <w:szCs w:val="20"/>
                <w:color w:val="auto"/>
              </w:rPr>
            </w:pPr>
            <w:r>
              <w:rPr>
                <w:rFonts w:ascii="Arial" w:cs="Arial" w:eastAsia="Arial" w:hAnsi="Arial"/>
                <w:sz w:val="18"/>
                <w:szCs w:val="18"/>
                <w:b w:val="1"/>
                <w:bCs w:val="1"/>
                <w:color w:val="FFFFFF"/>
              </w:rPr>
              <w:t>Named Executive Officer</w:t>
            </w:r>
          </w:p>
        </w:tc>
        <w:tc>
          <w:tcPr>
            <w:tcW w:w="1140" w:type="dxa"/>
            <w:vAlign w:val="bottom"/>
            <w:shd w:val="clear" w:color="auto" w:fill="153A57"/>
          </w:tcPr>
          <w:p>
            <w:pPr>
              <w:jc w:val="center"/>
              <w:ind w:left="270"/>
              <w:spacing w:after="0"/>
              <w:rPr>
                <w:sz w:val="20"/>
                <w:szCs w:val="20"/>
                <w:color w:val="auto"/>
              </w:rPr>
            </w:pPr>
            <w:r>
              <w:rPr>
                <w:rFonts w:ascii="Arial" w:cs="Arial" w:eastAsia="Arial" w:hAnsi="Arial"/>
                <w:sz w:val="18"/>
                <w:szCs w:val="18"/>
                <w:b w:val="1"/>
                <w:bCs w:val="1"/>
                <w:color w:val="FFFFFF"/>
                <w:w w:val="97"/>
              </w:rPr>
              <w:t>(US$)</w:t>
            </w:r>
          </w:p>
        </w:tc>
        <w:tc>
          <w:tcPr>
            <w:tcW w:w="240" w:type="dxa"/>
            <w:vAlign w:val="bottom"/>
            <w:shd w:val="clear" w:color="auto" w:fill="153A57"/>
          </w:tcPr>
          <w:p>
            <w:pPr>
              <w:spacing w:after="0"/>
              <w:rPr>
                <w:sz w:val="23"/>
                <w:szCs w:val="23"/>
                <w:color w:val="auto"/>
              </w:rPr>
            </w:pPr>
          </w:p>
        </w:tc>
        <w:tc>
          <w:tcPr>
            <w:tcW w:w="1240" w:type="dxa"/>
            <w:vAlign w:val="bottom"/>
            <w:shd w:val="clear" w:color="auto" w:fill="153A57"/>
          </w:tcPr>
          <w:p>
            <w:pPr>
              <w:jc w:val="right"/>
              <w:ind w:right="130"/>
              <w:spacing w:after="0"/>
              <w:rPr>
                <w:sz w:val="20"/>
                <w:szCs w:val="20"/>
                <w:color w:val="auto"/>
              </w:rPr>
            </w:pPr>
            <w:r>
              <w:rPr>
                <w:rFonts w:ascii="Arial" w:cs="Arial" w:eastAsia="Arial" w:hAnsi="Arial"/>
                <w:sz w:val="18"/>
                <w:szCs w:val="18"/>
                <w:b w:val="1"/>
                <w:bCs w:val="1"/>
                <w:color w:val="FFFFFF"/>
              </w:rPr>
              <w:t>RSU (US$)</w:t>
            </w:r>
          </w:p>
        </w:tc>
        <w:tc>
          <w:tcPr>
            <w:tcW w:w="1160" w:type="dxa"/>
            <w:vAlign w:val="bottom"/>
            <w:shd w:val="clear" w:color="auto" w:fill="153A57"/>
          </w:tcPr>
          <w:p>
            <w:pPr>
              <w:jc w:val="center"/>
              <w:ind w:right="10"/>
              <w:spacing w:after="0"/>
              <w:rPr>
                <w:sz w:val="20"/>
                <w:szCs w:val="20"/>
                <w:color w:val="auto"/>
              </w:rPr>
            </w:pPr>
            <w:r>
              <w:rPr>
                <w:rFonts w:ascii="Arial" w:cs="Arial" w:eastAsia="Arial" w:hAnsi="Arial"/>
                <w:sz w:val="18"/>
                <w:szCs w:val="18"/>
                <w:b w:val="1"/>
                <w:bCs w:val="1"/>
                <w:color w:val="FFFFFF"/>
                <w:w w:val="99"/>
              </w:rPr>
              <w:t>RSU (US$)</w:t>
            </w:r>
          </w:p>
        </w:tc>
        <w:tc>
          <w:tcPr>
            <w:tcW w:w="660" w:type="dxa"/>
            <w:vAlign w:val="bottom"/>
            <w:shd w:val="clear" w:color="auto" w:fill="153A57"/>
          </w:tcPr>
          <w:p>
            <w:pPr>
              <w:jc w:val="right"/>
              <w:spacing w:after="0"/>
              <w:rPr>
                <w:sz w:val="20"/>
                <w:szCs w:val="20"/>
                <w:color w:val="auto"/>
              </w:rPr>
            </w:pPr>
            <w:r>
              <w:rPr>
                <w:rFonts w:ascii="Arial" w:cs="Arial" w:eastAsia="Arial" w:hAnsi="Arial"/>
                <w:sz w:val="18"/>
                <w:szCs w:val="18"/>
                <w:b w:val="1"/>
                <w:bCs w:val="1"/>
                <w:color w:val="FFFFFF"/>
              </w:rPr>
              <w:t>(US$</w:t>
            </w:r>
          </w:p>
        </w:tc>
      </w:tr>
      <w:tr>
        <w:trPr>
          <w:trHeight w:val="36"/>
        </w:trPr>
        <w:tc>
          <w:tcPr>
            <w:tcW w:w="5120" w:type="dxa"/>
            <w:vAlign w:val="bottom"/>
            <w:shd w:val="clear" w:color="auto" w:fill="153A57"/>
          </w:tcPr>
          <w:p>
            <w:pPr>
              <w:spacing w:after="0"/>
              <w:rPr>
                <w:sz w:val="3"/>
                <w:szCs w:val="3"/>
                <w:color w:val="auto"/>
              </w:rPr>
            </w:pPr>
          </w:p>
        </w:tc>
        <w:tc>
          <w:tcPr>
            <w:tcW w:w="1140" w:type="dxa"/>
            <w:vAlign w:val="bottom"/>
            <w:shd w:val="clear" w:color="auto" w:fill="153A57"/>
          </w:tcPr>
          <w:p>
            <w:pPr>
              <w:spacing w:after="0"/>
              <w:rPr>
                <w:sz w:val="3"/>
                <w:szCs w:val="3"/>
                <w:color w:val="auto"/>
              </w:rPr>
            </w:pPr>
          </w:p>
        </w:tc>
        <w:tc>
          <w:tcPr>
            <w:tcW w:w="240" w:type="dxa"/>
            <w:vAlign w:val="bottom"/>
            <w:shd w:val="clear" w:color="auto" w:fill="153A57"/>
          </w:tcPr>
          <w:p>
            <w:pPr>
              <w:spacing w:after="0"/>
              <w:rPr>
                <w:sz w:val="3"/>
                <w:szCs w:val="3"/>
                <w:color w:val="auto"/>
              </w:rPr>
            </w:pPr>
          </w:p>
        </w:tc>
        <w:tc>
          <w:tcPr>
            <w:tcW w:w="1240" w:type="dxa"/>
            <w:vAlign w:val="bottom"/>
            <w:shd w:val="clear" w:color="auto" w:fill="153A57"/>
          </w:tcPr>
          <w:p>
            <w:pPr>
              <w:spacing w:after="0"/>
              <w:rPr>
                <w:sz w:val="3"/>
                <w:szCs w:val="3"/>
                <w:color w:val="auto"/>
              </w:rPr>
            </w:pPr>
          </w:p>
        </w:tc>
        <w:tc>
          <w:tcPr>
            <w:tcW w:w="1160" w:type="dxa"/>
            <w:vAlign w:val="bottom"/>
            <w:shd w:val="clear" w:color="auto" w:fill="153A57"/>
          </w:tcPr>
          <w:p>
            <w:pPr>
              <w:spacing w:after="0"/>
              <w:rPr>
                <w:sz w:val="3"/>
                <w:szCs w:val="3"/>
                <w:color w:val="auto"/>
              </w:rPr>
            </w:pPr>
          </w:p>
        </w:tc>
        <w:tc>
          <w:tcPr>
            <w:tcW w:w="660" w:type="dxa"/>
            <w:vAlign w:val="bottom"/>
            <w:shd w:val="clear" w:color="auto" w:fill="153A57"/>
          </w:tcPr>
          <w:p>
            <w:pPr>
              <w:spacing w:after="0"/>
              <w:rPr>
                <w:sz w:val="3"/>
                <w:szCs w:val="3"/>
                <w:color w:val="auto"/>
              </w:rPr>
            </w:pPr>
          </w:p>
        </w:tc>
      </w:tr>
      <w:tr>
        <w:trPr>
          <w:trHeight w:val="75"/>
        </w:trPr>
        <w:tc>
          <w:tcPr>
            <w:tcW w:w="5120" w:type="dxa"/>
            <w:vAlign w:val="bottom"/>
            <w:shd w:val="clear" w:color="auto" w:fill="153A57"/>
          </w:tcPr>
          <w:p>
            <w:pPr>
              <w:spacing w:after="0"/>
              <w:rPr>
                <w:sz w:val="6"/>
                <w:szCs w:val="6"/>
                <w:color w:val="auto"/>
              </w:rPr>
            </w:pPr>
          </w:p>
        </w:tc>
        <w:tc>
          <w:tcPr>
            <w:tcW w:w="1140" w:type="dxa"/>
            <w:vAlign w:val="bottom"/>
            <w:shd w:val="clear" w:color="auto" w:fill="153A57"/>
          </w:tcPr>
          <w:p>
            <w:pPr>
              <w:spacing w:after="0"/>
              <w:rPr>
                <w:sz w:val="6"/>
                <w:szCs w:val="6"/>
                <w:color w:val="auto"/>
              </w:rPr>
            </w:pPr>
          </w:p>
        </w:tc>
        <w:tc>
          <w:tcPr>
            <w:tcW w:w="240" w:type="dxa"/>
            <w:vAlign w:val="bottom"/>
            <w:shd w:val="clear" w:color="auto" w:fill="153A57"/>
          </w:tcPr>
          <w:p>
            <w:pPr>
              <w:spacing w:after="0"/>
              <w:rPr>
                <w:sz w:val="6"/>
                <w:szCs w:val="6"/>
                <w:color w:val="auto"/>
              </w:rPr>
            </w:pPr>
          </w:p>
        </w:tc>
        <w:tc>
          <w:tcPr>
            <w:tcW w:w="1240" w:type="dxa"/>
            <w:vAlign w:val="bottom"/>
            <w:shd w:val="clear" w:color="auto" w:fill="153A57"/>
          </w:tcPr>
          <w:p>
            <w:pPr>
              <w:spacing w:after="0"/>
              <w:rPr>
                <w:sz w:val="6"/>
                <w:szCs w:val="6"/>
                <w:color w:val="auto"/>
              </w:rPr>
            </w:pPr>
          </w:p>
        </w:tc>
        <w:tc>
          <w:tcPr>
            <w:tcW w:w="1160" w:type="dxa"/>
            <w:vAlign w:val="bottom"/>
            <w:shd w:val="clear" w:color="auto" w:fill="153A57"/>
          </w:tcPr>
          <w:p>
            <w:pPr>
              <w:spacing w:after="0"/>
              <w:rPr>
                <w:sz w:val="6"/>
                <w:szCs w:val="6"/>
                <w:color w:val="auto"/>
              </w:rPr>
            </w:pPr>
          </w:p>
        </w:tc>
        <w:tc>
          <w:tcPr>
            <w:tcW w:w="660" w:type="dxa"/>
            <w:vAlign w:val="bottom"/>
            <w:shd w:val="clear" w:color="auto" w:fill="153A57"/>
          </w:tcPr>
          <w:p>
            <w:pPr>
              <w:spacing w:after="0"/>
              <w:rPr>
                <w:sz w:val="6"/>
                <w:szCs w:val="6"/>
                <w:color w:val="auto"/>
              </w:rPr>
            </w:pPr>
          </w:p>
        </w:tc>
      </w:tr>
      <w:tr>
        <w:trPr>
          <w:trHeight w:val="315"/>
        </w:trPr>
        <w:tc>
          <w:tcPr>
            <w:tcW w:w="5120" w:type="dxa"/>
            <w:vAlign w:val="bottom"/>
          </w:tcPr>
          <w:p>
            <w:pPr>
              <w:ind w:left="100"/>
              <w:spacing w:after="0"/>
              <w:rPr>
                <w:sz w:val="20"/>
                <w:szCs w:val="20"/>
                <w:color w:val="auto"/>
              </w:rPr>
            </w:pPr>
            <w:r>
              <w:rPr>
                <w:rFonts w:ascii="Arial" w:cs="Arial" w:eastAsia="Arial" w:hAnsi="Arial"/>
                <w:sz w:val="18"/>
                <w:szCs w:val="18"/>
                <w:b w:val="1"/>
                <w:bCs w:val="1"/>
                <w:color w:val="auto"/>
              </w:rPr>
              <w:t>John Kanellitsas, Executive Chair</w:t>
            </w:r>
            <w:r>
              <w:rPr>
                <w:rFonts w:ascii="Arial" w:cs="Arial" w:eastAsia="Arial" w:hAnsi="Arial"/>
                <w:sz w:val="24"/>
                <w:szCs w:val="24"/>
                <w:b w:val="1"/>
                <w:bCs w:val="1"/>
                <w:color w:val="auto"/>
                <w:vertAlign w:val="superscript"/>
              </w:rPr>
              <w:t>(1)</w:t>
            </w:r>
          </w:p>
        </w:tc>
        <w:tc>
          <w:tcPr>
            <w:tcW w:w="114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0</w:t>
            </w:r>
          </w:p>
        </w:tc>
        <w:tc>
          <w:tcPr>
            <w:tcW w:w="1240" w:type="dxa"/>
            <w:vAlign w:val="bottom"/>
          </w:tcPr>
          <w:p>
            <w:pPr>
              <w:jc w:val="right"/>
              <w:spacing w:after="0"/>
              <w:rPr>
                <w:sz w:val="20"/>
                <w:szCs w:val="20"/>
                <w:color w:val="auto"/>
              </w:rPr>
            </w:pPr>
            <w:r>
              <w:rPr>
                <w:rFonts w:ascii="Arial" w:cs="Arial" w:eastAsia="Arial" w:hAnsi="Arial"/>
                <w:sz w:val="18"/>
                <w:szCs w:val="18"/>
                <w:color w:val="auto"/>
              </w:rPr>
              <w:t>398,457</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99,614</w:t>
            </w:r>
          </w:p>
        </w:tc>
        <w:tc>
          <w:tcPr>
            <w:tcW w:w="66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371"/>
        </w:trPr>
        <w:tc>
          <w:tcPr>
            <w:tcW w:w="5120" w:type="dxa"/>
            <w:vAlign w:val="bottom"/>
          </w:tcPr>
          <w:p>
            <w:pPr>
              <w:ind w:left="100"/>
              <w:spacing w:after="0"/>
              <w:rPr>
                <w:sz w:val="20"/>
                <w:szCs w:val="20"/>
                <w:color w:val="auto"/>
              </w:rPr>
            </w:pPr>
            <w:r>
              <w:rPr>
                <w:rFonts w:ascii="Arial" w:cs="Arial" w:eastAsia="Arial" w:hAnsi="Arial"/>
                <w:sz w:val="18"/>
                <w:szCs w:val="18"/>
                <w:b w:val="1"/>
                <w:bCs w:val="1"/>
                <w:color w:val="auto"/>
              </w:rPr>
              <w:t>Sam Pigott, President and Chief Executive Officer</w:t>
            </w:r>
            <w:r>
              <w:rPr>
                <w:rFonts w:ascii="Arial" w:cs="Arial" w:eastAsia="Arial" w:hAnsi="Arial"/>
                <w:sz w:val="24"/>
                <w:szCs w:val="24"/>
                <w:b w:val="1"/>
                <w:bCs w:val="1"/>
                <w:color w:val="auto"/>
                <w:vertAlign w:val="superscript"/>
              </w:rPr>
              <w:t>(2)</w:t>
            </w:r>
          </w:p>
        </w:tc>
        <w:tc>
          <w:tcPr>
            <w:tcW w:w="114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0</w:t>
            </w:r>
          </w:p>
        </w:tc>
        <w:tc>
          <w:tcPr>
            <w:tcW w:w="1240" w:type="dxa"/>
            <w:vAlign w:val="bottom"/>
          </w:tcPr>
          <w:p>
            <w:pPr>
              <w:jc w:val="right"/>
              <w:spacing w:after="0"/>
              <w:rPr>
                <w:sz w:val="20"/>
                <w:szCs w:val="20"/>
                <w:color w:val="auto"/>
              </w:rPr>
            </w:pPr>
            <w:r>
              <w:rPr>
                <w:rFonts w:ascii="Arial" w:cs="Arial" w:eastAsia="Arial" w:hAnsi="Arial"/>
                <w:sz w:val="18"/>
                <w:szCs w:val="18"/>
                <w:color w:val="auto"/>
              </w:rPr>
              <w:t>569,224</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142,306</w:t>
            </w:r>
          </w:p>
        </w:tc>
        <w:tc>
          <w:tcPr>
            <w:tcW w:w="66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306"/>
        </w:trPr>
        <w:tc>
          <w:tcPr>
            <w:tcW w:w="5120" w:type="dxa"/>
            <w:vAlign w:val="bottom"/>
          </w:tcPr>
          <w:p>
            <w:pPr>
              <w:ind w:left="100"/>
              <w:spacing w:after="0"/>
              <w:rPr>
                <w:sz w:val="20"/>
                <w:szCs w:val="20"/>
                <w:color w:val="auto"/>
              </w:rPr>
            </w:pPr>
            <w:r>
              <w:rPr>
                <w:rFonts w:ascii="Arial" w:cs="Arial" w:eastAsia="Arial" w:hAnsi="Arial"/>
                <w:sz w:val="18"/>
                <w:szCs w:val="18"/>
                <w:b w:val="1"/>
                <w:bCs w:val="1"/>
                <w:color w:val="auto"/>
              </w:rPr>
              <w:t>Alec Meikle, Executive Vice President, Corporate</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7"/>
        </w:trPr>
        <w:tc>
          <w:tcPr>
            <w:tcW w:w="5120" w:type="dxa"/>
            <w:vAlign w:val="bottom"/>
          </w:tcPr>
          <w:p>
            <w:pPr>
              <w:ind w:left="100"/>
              <w:spacing w:after="0"/>
              <w:rPr>
                <w:sz w:val="20"/>
                <w:szCs w:val="20"/>
                <w:color w:val="auto"/>
              </w:rPr>
            </w:pPr>
            <w:r>
              <w:rPr>
                <w:rFonts w:ascii="Arial" w:cs="Arial" w:eastAsia="Arial" w:hAnsi="Arial"/>
                <w:sz w:val="18"/>
                <w:szCs w:val="18"/>
                <w:b w:val="1"/>
                <w:bCs w:val="1"/>
                <w:color w:val="auto"/>
              </w:rPr>
              <w:t>Development</w:t>
            </w:r>
            <w:r>
              <w:rPr>
                <w:rFonts w:ascii="Arial" w:cs="Arial" w:eastAsia="Arial" w:hAnsi="Arial"/>
                <w:sz w:val="24"/>
                <w:szCs w:val="24"/>
                <w:b w:val="1"/>
                <w:bCs w:val="1"/>
                <w:color w:val="auto"/>
                <w:vertAlign w:val="superscript"/>
              </w:rPr>
              <w:t>(3)</w:t>
            </w:r>
          </w:p>
        </w:tc>
        <w:tc>
          <w:tcPr>
            <w:tcW w:w="114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0</w:t>
            </w:r>
          </w:p>
        </w:tc>
        <w:tc>
          <w:tcPr>
            <w:tcW w:w="1240" w:type="dxa"/>
            <w:vAlign w:val="bottom"/>
          </w:tcPr>
          <w:p>
            <w:pPr>
              <w:jc w:val="right"/>
              <w:spacing w:after="0"/>
              <w:rPr>
                <w:sz w:val="20"/>
                <w:szCs w:val="20"/>
                <w:color w:val="auto"/>
              </w:rPr>
            </w:pPr>
            <w:r>
              <w:rPr>
                <w:rFonts w:ascii="Arial" w:cs="Arial" w:eastAsia="Arial" w:hAnsi="Arial"/>
                <w:sz w:val="18"/>
                <w:szCs w:val="18"/>
                <w:color w:val="auto"/>
              </w:rPr>
              <w:t>377,651</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94,413</w:t>
            </w:r>
          </w:p>
        </w:tc>
        <w:tc>
          <w:tcPr>
            <w:tcW w:w="66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306"/>
        </w:trPr>
        <w:tc>
          <w:tcPr>
            <w:tcW w:w="5120" w:type="dxa"/>
            <w:vAlign w:val="bottom"/>
          </w:tcPr>
          <w:p>
            <w:pPr>
              <w:ind w:left="100"/>
              <w:spacing w:after="0"/>
              <w:rPr>
                <w:sz w:val="20"/>
                <w:szCs w:val="20"/>
                <w:color w:val="auto"/>
              </w:rPr>
            </w:pPr>
            <w:r>
              <w:rPr>
                <w:rFonts w:ascii="Arial" w:cs="Arial" w:eastAsia="Arial" w:hAnsi="Arial"/>
                <w:sz w:val="18"/>
                <w:szCs w:val="18"/>
                <w:b w:val="1"/>
                <w:bCs w:val="1"/>
                <w:color w:val="auto"/>
              </w:rPr>
              <w:t>Alex Shulga, Vice President and Chief Financial Officer</w:t>
            </w:r>
          </w:p>
        </w:tc>
        <w:tc>
          <w:tcPr>
            <w:tcW w:w="114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0</w:t>
            </w:r>
          </w:p>
        </w:tc>
        <w:tc>
          <w:tcPr>
            <w:tcW w:w="1240" w:type="dxa"/>
            <w:vAlign w:val="bottom"/>
          </w:tcPr>
          <w:p>
            <w:pPr>
              <w:jc w:val="right"/>
              <w:spacing w:after="0"/>
              <w:rPr>
                <w:sz w:val="20"/>
                <w:szCs w:val="20"/>
                <w:color w:val="auto"/>
              </w:rPr>
            </w:pPr>
            <w:r>
              <w:rPr>
                <w:rFonts w:ascii="Arial" w:cs="Arial" w:eastAsia="Arial" w:hAnsi="Arial"/>
                <w:sz w:val="18"/>
                <w:szCs w:val="18"/>
                <w:color w:val="auto"/>
              </w:rPr>
              <w:t>349,114</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87,279</w:t>
            </w:r>
          </w:p>
        </w:tc>
        <w:tc>
          <w:tcPr>
            <w:tcW w:w="660" w:type="dxa"/>
            <w:vAlign w:val="bottom"/>
          </w:tcPr>
          <w:p>
            <w:pPr>
              <w:jc w:val="right"/>
              <w:spacing w:after="0"/>
              <w:rPr>
                <w:sz w:val="20"/>
                <w:szCs w:val="20"/>
                <w:color w:val="auto"/>
              </w:rPr>
            </w:pPr>
            <w:r>
              <w:rPr>
                <w:rFonts w:ascii="Arial" w:cs="Arial" w:eastAsia="Arial" w:hAnsi="Arial"/>
                <w:sz w:val="18"/>
                <w:szCs w:val="18"/>
                <w:color w:val="auto"/>
              </w:rPr>
              <w:t>436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-807720</wp:posOffset>
            </wp:positionV>
            <wp:extent cx="6078220"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4">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-572135</wp:posOffset>
            </wp:positionV>
            <wp:extent cx="6078220" cy="63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5">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-164465</wp:posOffset>
            </wp:positionV>
            <wp:extent cx="6078220" cy="63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6">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70485</wp:posOffset>
            </wp:positionV>
            <wp:extent cx="6078220"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7">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32 / 59</w:t>
      </w:r>
    </w:p>
    <w:p>
      <w:pPr>
        <w:sectPr>
          <w:pgSz w:w="11900" w:h="16838" w:orient="portrait"/>
          <w:cols w:equalWidth="0" w:num="1">
            <w:col w:w="10460"/>
          </w:cols>
          <w:pgMar w:left="1440" w:top="1440" w:right="6" w:bottom="0" w:gutter="0" w:footer="0" w:header="0"/>
          <w:type w:val="continuous"/>
        </w:sectPr>
      </w:pPr>
    </w:p>
    <w:bookmarkStart w:id="202" w:name="page203"/>
    <w:bookmarkEnd w:id="202"/>
    <w:tbl>
      <w:tblPr>
        <w:tblLayout w:type="fixed"/>
        <w:tblInd w:w="100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Arial" w:cs="Arial" w:eastAsia="Arial" w:hAnsi="Arial"/>
                <w:sz w:val="18"/>
                <w:szCs w:val="18"/>
                <w:b w:val="1"/>
                <w:bCs w:val="1"/>
                <w:color w:val="auto"/>
              </w:rPr>
              <w:t>Mariano Chiappori , Vice President and Chief Operating</w:t>
            </w: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72"/>
        </w:trPr>
        <w:tc>
          <w:tcPr>
            <w:tcW w:w="5180" w:type="dxa"/>
            <w:vAlign w:val="bottom"/>
          </w:tcPr>
          <w:p>
            <w:pPr>
              <w:spacing w:after="0"/>
              <w:rPr>
                <w:sz w:val="20"/>
                <w:szCs w:val="20"/>
                <w:color w:val="auto"/>
              </w:rPr>
            </w:pPr>
            <w:r>
              <w:rPr>
                <w:rFonts w:ascii="Arial" w:cs="Arial" w:eastAsia="Arial" w:hAnsi="Arial"/>
                <w:sz w:val="18"/>
                <w:szCs w:val="18"/>
                <w:b w:val="1"/>
                <w:bCs w:val="1"/>
                <w:color w:val="auto"/>
              </w:rPr>
              <w:t>Officer</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196,495</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196,494</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49,124</w:t>
            </w:r>
          </w:p>
        </w:tc>
        <w:tc>
          <w:tcPr>
            <w:tcW w:w="520" w:type="dxa"/>
            <w:vAlign w:val="bottom"/>
          </w:tcPr>
          <w:p>
            <w:pPr>
              <w:jc w:val="right"/>
              <w:spacing w:after="0"/>
              <w:rPr>
                <w:sz w:val="20"/>
                <w:szCs w:val="20"/>
                <w:color w:val="auto"/>
              </w:rPr>
            </w:pPr>
            <w:r>
              <w:rPr>
                <w:rFonts w:ascii="Arial" w:cs="Arial" w:eastAsia="Arial" w:hAnsi="Arial"/>
                <w:sz w:val="18"/>
                <w:szCs w:val="18"/>
                <w:color w:val="auto"/>
              </w:rPr>
              <w:t>442</w:t>
            </w:r>
          </w:p>
        </w:tc>
      </w:tr>
    </w:tbl>
    <w:p>
      <w:pPr>
        <w:spacing w:after="0" w:line="369"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Notes:</w:t>
      </w:r>
    </w:p>
    <w:p>
      <w:pPr>
        <w:spacing w:after="0" w:line="116" w:lineRule="exact"/>
        <w:rPr>
          <w:sz w:val="20"/>
          <w:szCs w:val="20"/>
          <w:color w:val="auto"/>
        </w:rPr>
      </w:pPr>
    </w:p>
    <w:p>
      <w:pPr>
        <w:ind w:left="1620" w:hanging="366"/>
        <w:spacing w:after="0"/>
        <w:tabs>
          <w:tab w:leader="none" w:pos="1620" w:val="left"/>
        </w:tabs>
        <w:numPr>
          <w:ilvl w:val="0"/>
          <w:numId w:val="83"/>
        </w:numPr>
        <w:rPr>
          <w:rFonts w:ascii="Arial" w:cs="Arial" w:eastAsia="Arial" w:hAnsi="Arial"/>
          <w:sz w:val="20"/>
          <w:szCs w:val="20"/>
          <w:color w:val="auto"/>
        </w:rPr>
      </w:pPr>
      <w:r>
        <w:rPr>
          <w:rFonts w:ascii="Arial" w:cs="Arial" w:eastAsia="Arial" w:hAnsi="Arial"/>
          <w:sz w:val="20"/>
          <w:szCs w:val="20"/>
          <w:color w:val="auto"/>
        </w:rPr>
        <w:t>Will transition to non-Executive Chair on March 31, 2026.</w:t>
      </w:r>
    </w:p>
    <w:p>
      <w:pPr>
        <w:spacing w:after="0" w:line="130" w:lineRule="exact"/>
        <w:rPr>
          <w:rFonts w:ascii="Arial" w:cs="Arial" w:eastAsia="Arial" w:hAnsi="Arial"/>
          <w:sz w:val="20"/>
          <w:szCs w:val="20"/>
          <w:color w:val="auto"/>
        </w:rPr>
      </w:pPr>
    </w:p>
    <w:p>
      <w:pPr>
        <w:ind w:left="1620" w:hanging="366"/>
        <w:spacing w:after="0"/>
        <w:tabs>
          <w:tab w:leader="none" w:pos="1620" w:val="left"/>
        </w:tabs>
        <w:numPr>
          <w:ilvl w:val="0"/>
          <w:numId w:val="83"/>
        </w:numPr>
        <w:rPr>
          <w:rFonts w:ascii="Arial" w:cs="Arial" w:eastAsia="Arial" w:hAnsi="Arial"/>
          <w:sz w:val="20"/>
          <w:szCs w:val="20"/>
          <w:color w:val="auto"/>
        </w:rPr>
      </w:pPr>
      <w:r>
        <w:rPr>
          <w:rFonts w:ascii="Arial" w:cs="Arial" w:eastAsia="Arial" w:hAnsi="Arial"/>
          <w:sz w:val="20"/>
          <w:szCs w:val="20"/>
          <w:color w:val="auto"/>
        </w:rPr>
        <w:t>Ceased to be President as of January 1, 2026.</w:t>
      </w:r>
    </w:p>
    <w:p>
      <w:pPr>
        <w:spacing w:after="0" w:line="137"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83"/>
        </w:numPr>
        <w:rPr>
          <w:rFonts w:ascii="Arial" w:cs="Arial" w:eastAsia="Arial" w:hAnsi="Arial"/>
          <w:sz w:val="20"/>
          <w:szCs w:val="20"/>
          <w:color w:val="auto"/>
        </w:rPr>
      </w:pPr>
      <w:r>
        <w:rPr>
          <w:rFonts w:ascii="Arial" w:cs="Arial" w:eastAsia="Arial" w:hAnsi="Arial"/>
          <w:sz w:val="20"/>
          <w:szCs w:val="20"/>
          <w:color w:val="auto"/>
        </w:rPr>
        <w:t>Appointed Executive Vice President, Corporate Development on July 31, 2024. Promoted to Pres effective as of January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1063625</wp:posOffset>
            </wp:positionV>
            <wp:extent cx="6764020" cy="190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5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6"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33 / 59</w:t>
      </w:r>
    </w:p>
    <w:p>
      <w:pPr>
        <w:sectPr>
          <w:pgSz w:w="11900" w:h="16838" w:orient="portrait"/>
          <w:cols w:equalWidth="0" w:num="1">
            <w:col w:w="10460"/>
          </w:cols>
          <w:pgMar w:left="1440" w:top="1176" w:right="6" w:bottom="0" w:gutter="0" w:footer="0" w:header="0"/>
          <w:type w:val="continuous"/>
        </w:sectPr>
      </w:pPr>
    </w:p>
    <w:bookmarkStart w:id="203" w:name="page204"/>
    <w:bookmarkEnd w:id="2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00"/>
        <w:spacing w:after="0"/>
        <w:rPr>
          <w:sz w:val="20"/>
          <w:szCs w:val="20"/>
          <w:color w:val="auto"/>
        </w:rPr>
      </w:pPr>
      <w:r>
        <w:rPr>
          <w:rFonts w:ascii="Arial" w:cs="Arial" w:eastAsia="Arial" w:hAnsi="Arial"/>
          <w:sz w:val="28"/>
          <w:szCs w:val="28"/>
          <w:b w:val="1"/>
          <w:bCs w:val="1"/>
          <w:i w:val="1"/>
          <w:iCs w:val="1"/>
          <w:color w:val="auto"/>
        </w:rPr>
        <w:t>Long-Term Incentive Compensation</w:t>
      </w:r>
    </w:p>
    <w:p>
      <w:pPr>
        <w:spacing w:after="0" w:line="293"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LTI compensation is another key component of the Company’s executive compensation program. compensation is awarded to motivate performance by executives and promote retention with a strong focu long-term alignment of executives’ interests with those of shareholders. Executives are also provided wit opportunity to share in the rewards of the Company’s performance, together with the associated risk ownership of the Company’s securities.</w:t>
      </w:r>
    </w:p>
    <w:p>
      <w:pPr>
        <w:spacing w:after="0" w:line="210"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For the year ended December 31, 2025, the Company awarded RSUs to executives as LTI awards unde Incentive Plan. The RSUs have a three-year vesting period. The Company did not grant any Options as p LTI, however, has the discretion to award Options under the Incentive Plan and may consider Options gra the future based on market conditions and compensation practices</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LTI awards for the CEO and Executive Chair are determined by the GNCLC, and for other executives determined by the CEO and reviewed by the Management Compensation Committee prior to t recommendation to the GNCLC, with all awards being determined based on a combination of indivi performance and consideration of long-term retention. The GNCLC then makes a recommendation for B approval of all LTI awards to be granted as equity compensation.</w:t>
      </w:r>
    </w:p>
    <w:p>
      <w:pPr>
        <w:spacing w:after="0" w:line="210"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LTI awarded to each named executive for 2025 is set out below, as a percentage of base salary. Simi STI awards, an LTI award may be revised for any of the Company’s senior management, including na executives, in the Board’s discretion on recommendation from the GNCLC.</w:t>
      </w:r>
    </w:p>
    <w:p>
      <w:pPr>
        <w:spacing w:after="0" w:line="305" w:lineRule="exact"/>
        <w:rPr>
          <w:sz w:val="20"/>
          <w:szCs w:val="20"/>
          <w:color w:val="auto"/>
        </w:rPr>
      </w:pPr>
    </w:p>
    <w:tbl>
      <w:tblPr>
        <w:tblLayout w:type="fixed"/>
        <w:tblInd w:w="900" w:type="dxa"/>
        <w:tblCellMar>
          <w:top w:w="0" w:type="dxa"/>
          <w:left w:w="0" w:type="dxa"/>
          <w:bottom w:w="0" w:type="dxa"/>
          <w:right w:w="0" w:type="dxa"/>
        </w:tblCellMar>
      </w:tblPr>
      <w:tr>
        <w:trPr>
          <w:trHeight w:val="250"/>
        </w:trPr>
        <w:tc>
          <w:tcPr>
            <w:tcW w:w="4760" w:type="dxa"/>
            <w:vAlign w:val="bottom"/>
            <w:shd w:val="clear" w:color="auto" w:fill="153A57"/>
          </w:tcPr>
          <w:p>
            <w:pPr>
              <w:spacing w:after="0"/>
              <w:rPr>
                <w:sz w:val="21"/>
                <w:szCs w:val="21"/>
                <w:color w:val="auto"/>
              </w:rPr>
            </w:pPr>
          </w:p>
        </w:tc>
        <w:tc>
          <w:tcPr>
            <w:tcW w:w="2900" w:type="dxa"/>
            <w:vAlign w:val="bottom"/>
            <w:gridSpan w:val="2"/>
            <w:shd w:val="clear" w:color="auto" w:fill="153A57"/>
          </w:tcPr>
          <w:p>
            <w:pPr>
              <w:jc w:val="right"/>
              <w:ind w:right="530"/>
              <w:spacing w:after="0"/>
              <w:rPr>
                <w:sz w:val="20"/>
                <w:szCs w:val="20"/>
                <w:color w:val="auto"/>
              </w:rPr>
            </w:pPr>
            <w:r>
              <w:rPr>
                <w:rFonts w:ascii="Arial" w:cs="Arial" w:eastAsia="Arial" w:hAnsi="Arial"/>
                <w:sz w:val="18"/>
                <w:szCs w:val="18"/>
                <w:b w:val="1"/>
                <w:bCs w:val="1"/>
                <w:color w:val="FFFFFF"/>
              </w:rPr>
              <w:t>2025 Target LTI</w:t>
            </w:r>
          </w:p>
        </w:tc>
        <w:tc>
          <w:tcPr>
            <w:tcW w:w="1900" w:type="dxa"/>
            <w:vAlign w:val="bottom"/>
            <w:gridSpan w:val="2"/>
            <w:shd w:val="clear" w:color="auto" w:fill="153A57"/>
          </w:tcPr>
          <w:p>
            <w:pPr>
              <w:jc w:val="right"/>
              <w:spacing w:after="0"/>
              <w:rPr>
                <w:sz w:val="20"/>
                <w:szCs w:val="20"/>
                <w:color w:val="auto"/>
              </w:rPr>
            </w:pPr>
            <w:r>
              <w:rPr>
                <w:rFonts w:ascii="Arial" w:cs="Arial" w:eastAsia="Arial" w:hAnsi="Arial"/>
                <w:sz w:val="18"/>
                <w:szCs w:val="18"/>
                <w:b w:val="1"/>
                <w:bCs w:val="1"/>
                <w:color w:val="FFFFFF"/>
              </w:rPr>
              <w:t>2025 Actual Annual</w:t>
            </w:r>
          </w:p>
        </w:tc>
        <w:tc>
          <w:tcPr>
            <w:tcW w:w="0" w:type="dxa"/>
            <w:vAlign w:val="bottom"/>
          </w:tcPr>
          <w:p>
            <w:pPr>
              <w:spacing w:after="0"/>
              <w:rPr>
                <w:sz w:val="1"/>
                <w:szCs w:val="1"/>
                <w:color w:val="auto"/>
              </w:rPr>
            </w:pPr>
          </w:p>
        </w:tc>
      </w:tr>
      <w:tr>
        <w:trPr>
          <w:trHeight w:val="286"/>
        </w:trPr>
        <w:tc>
          <w:tcPr>
            <w:tcW w:w="4760" w:type="dxa"/>
            <w:vAlign w:val="bottom"/>
            <w:shd w:val="clear" w:color="auto" w:fill="153A57"/>
          </w:tcPr>
          <w:p>
            <w:pPr>
              <w:spacing w:after="0"/>
              <w:rPr>
                <w:sz w:val="24"/>
                <w:szCs w:val="24"/>
                <w:color w:val="auto"/>
              </w:rPr>
            </w:pPr>
          </w:p>
        </w:tc>
        <w:tc>
          <w:tcPr>
            <w:tcW w:w="1680" w:type="dxa"/>
            <w:vAlign w:val="bottom"/>
            <w:shd w:val="clear" w:color="auto" w:fill="153A57"/>
          </w:tcPr>
          <w:p>
            <w:pPr>
              <w:jc w:val="center"/>
              <w:ind w:left="210"/>
              <w:spacing w:after="0"/>
              <w:rPr>
                <w:sz w:val="20"/>
                <w:szCs w:val="20"/>
                <w:color w:val="auto"/>
              </w:rPr>
            </w:pPr>
            <w:r>
              <w:rPr>
                <w:rFonts w:ascii="Arial" w:cs="Arial" w:eastAsia="Arial" w:hAnsi="Arial"/>
                <w:sz w:val="18"/>
                <w:szCs w:val="18"/>
                <w:b w:val="1"/>
                <w:bCs w:val="1"/>
                <w:color w:val="FFFFFF"/>
                <w:w w:val="98"/>
              </w:rPr>
              <w:t>Target LTI</w:t>
            </w:r>
          </w:p>
        </w:tc>
        <w:tc>
          <w:tcPr>
            <w:tcW w:w="1220" w:type="dxa"/>
            <w:vAlign w:val="bottom"/>
            <w:vMerge w:val="restart"/>
            <w:shd w:val="clear" w:color="auto" w:fill="153A57"/>
          </w:tcPr>
          <w:p>
            <w:pPr>
              <w:jc w:val="right"/>
              <w:ind w:right="130"/>
              <w:spacing w:after="0"/>
              <w:rPr>
                <w:sz w:val="20"/>
                <w:szCs w:val="20"/>
                <w:color w:val="auto"/>
              </w:rPr>
            </w:pPr>
            <w:r>
              <w:rPr>
                <w:rFonts w:ascii="Arial" w:cs="Arial" w:eastAsia="Arial" w:hAnsi="Arial"/>
                <w:sz w:val="18"/>
                <w:szCs w:val="18"/>
                <w:b w:val="1"/>
                <w:bCs w:val="1"/>
                <w:color w:val="FFFFFF"/>
              </w:rPr>
              <w:t>Target LTI</w:t>
            </w:r>
          </w:p>
        </w:tc>
        <w:tc>
          <w:tcPr>
            <w:tcW w:w="1280" w:type="dxa"/>
            <w:vAlign w:val="bottom"/>
            <w:shd w:val="clear" w:color="auto" w:fill="153A57"/>
          </w:tcPr>
          <w:p>
            <w:pPr>
              <w:jc w:val="center"/>
              <w:ind w:right="10"/>
              <w:spacing w:after="0"/>
              <w:rPr>
                <w:sz w:val="20"/>
                <w:szCs w:val="20"/>
                <w:color w:val="auto"/>
              </w:rPr>
            </w:pPr>
            <w:r>
              <w:rPr>
                <w:rFonts w:ascii="Arial" w:cs="Arial" w:eastAsia="Arial" w:hAnsi="Arial"/>
                <w:sz w:val="18"/>
                <w:szCs w:val="18"/>
                <w:b w:val="1"/>
                <w:bCs w:val="1"/>
                <w:color w:val="FFFFFF"/>
                <w:w w:val="98"/>
              </w:rPr>
              <w:t>Actual LTI</w:t>
            </w:r>
          </w:p>
        </w:tc>
        <w:tc>
          <w:tcPr>
            <w:tcW w:w="620" w:type="dxa"/>
            <w:vAlign w:val="bottom"/>
            <w:vMerge w:val="restart"/>
            <w:shd w:val="clear" w:color="auto" w:fill="153A57"/>
          </w:tcPr>
          <w:p>
            <w:pPr>
              <w:jc w:val="right"/>
              <w:spacing w:after="0"/>
              <w:rPr>
                <w:sz w:val="20"/>
                <w:szCs w:val="20"/>
                <w:color w:val="auto"/>
              </w:rPr>
            </w:pPr>
            <w:r>
              <w:rPr>
                <w:rFonts w:ascii="Arial" w:cs="Arial" w:eastAsia="Arial" w:hAnsi="Arial"/>
                <w:sz w:val="18"/>
                <w:szCs w:val="18"/>
                <w:b w:val="1"/>
                <w:bCs w:val="1"/>
                <w:color w:val="FFFFFF"/>
              </w:rPr>
              <w:t>Actua</w:t>
            </w:r>
          </w:p>
        </w:tc>
        <w:tc>
          <w:tcPr>
            <w:tcW w:w="0" w:type="dxa"/>
            <w:vAlign w:val="bottom"/>
          </w:tcPr>
          <w:p>
            <w:pPr>
              <w:spacing w:after="0"/>
              <w:rPr>
                <w:sz w:val="1"/>
                <w:szCs w:val="1"/>
                <w:color w:val="auto"/>
              </w:rPr>
            </w:pPr>
          </w:p>
        </w:tc>
      </w:tr>
      <w:tr>
        <w:trPr>
          <w:trHeight w:val="136"/>
        </w:trPr>
        <w:tc>
          <w:tcPr>
            <w:tcW w:w="4760" w:type="dxa"/>
            <w:vAlign w:val="bottom"/>
            <w:vMerge w:val="restart"/>
            <w:shd w:val="clear" w:color="auto" w:fill="153A57"/>
          </w:tcPr>
          <w:p>
            <w:pPr>
              <w:ind w:left="100"/>
              <w:spacing w:after="0"/>
              <w:rPr>
                <w:sz w:val="20"/>
                <w:szCs w:val="20"/>
                <w:color w:val="auto"/>
              </w:rPr>
            </w:pPr>
            <w:r>
              <w:rPr>
                <w:rFonts w:ascii="Arial" w:cs="Arial" w:eastAsia="Arial" w:hAnsi="Arial"/>
                <w:sz w:val="18"/>
                <w:szCs w:val="18"/>
                <w:b w:val="1"/>
                <w:bCs w:val="1"/>
                <w:color w:val="FFFFFF"/>
              </w:rPr>
              <w:t>Named Executive Officer</w:t>
            </w:r>
          </w:p>
        </w:tc>
        <w:tc>
          <w:tcPr>
            <w:tcW w:w="1680" w:type="dxa"/>
            <w:vAlign w:val="bottom"/>
            <w:vMerge w:val="restart"/>
            <w:shd w:val="clear" w:color="auto" w:fill="153A57"/>
          </w:tcPr>
          <w:p>
            <w:pPr>
              <w:jc w:val="center"/>
              <w:ind w:left="170"/>
              <w:spacing w:after="0"/>
              <w:rPr>
                <w:sz w:val="20"/>
                <w:szCs w:val="20"/>
                <w:color w:val="auto"/>
              </w:rPr>
            </w:pPr>
            <w:r>
              <w:rPr>
                <w:rFonts w:ascii="Arial" w:cs="Arial" w:eastAsia="Arial" w:hAnsi="Arial"/>
                <w:sz w:val="18"/>
                <w:szCs w:val="18"/>
                <w:b w:val="1"/>
                <w:bCs w:val="1"/>
                <w:color w:val="FFFFFF"/>
                <w:w w:val="99"/>
              </w:rPr>
              <w:t>(% of base</w:t>
            </w:r>
          </w:p>
        </w:tc>
        <w:tc>
          <w:tcPr>
            <w:tcW w:w="1220" w:type="dxa"/>
            <w:vAlign w:val="bottom"/>
            <w:vMerge w:val="continue"/>
            <w:shd w:val="clear" w:color="auto" w:fill="153A57"/>
          </w:tcPr>
          <w:p>
            <w:pPr>
              <w:spacing w:after="0"/>
              <w:rPr>
                <w:sz w:val="11"/>
                <w:szCs w:val="11"/>
                <w:color w:val="auto"/>
              </w:rPr>
            </w:pPr>
          </w:p>
        </w:tc>
        <w:tc>
          <w:tcPr>
            <w:tcW w:w="1280" w:type="dxa"/>
            <w:vAlign w:val="bottom"/>
            <w:vMerge w:val="restart"/>
            <w:shd w:val="clear" w:color="auto" w:fill="153A57"/>
          </w:tcPr>
          <w:p>
            <w:pPr>
              <w:jc w:val="center"/>
              <w:ind w:right="50"/>
              <w:spacing w:after="0"/>
              <w:rPr>
                <w:sz w:val="20"/>
                <w:szCs w:val="20"/>
                <w:color w:val="auto"/>
              </w:rPr>
            </w:pPr>
            <w:r>
              <w:rPr>
                <w:rFonts w:ascii="Arial" w:cs="Arial" w:eastAsia="Arial" w:hAnsi="Arial"/>
                <w:sz w:val="18"/>
                <w:szCs w:val="18"/>
                <w:b w:val="1"/>
                <w:bCs w:val="1"/>
                <w:color w:val="FFFFFF"/>
                <w:w w:val="99"/>
              </w:rPr>
              <w:t>(% of base</w:t>
            </w:r>
          </w:p>
        </w:tc>
        <w:tc>
          <w:tcPr>
            <w:tcW w:w="620" w:type="dxa"/>
            <w:vAlign w:val="bottom"/>
            <w:vMerge w:val="continue"/>
            <w:shd w:val="clear" w:color="auto" w:fill="153A57"/>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760" w:type="dxa"/>
            <w:vAlign w:val="bottom"/>
            <w:vMerge w:val="continue"/>
            <w:shd w:val="clear" w:color="auto" w:fill="153A57"/>
          </w:tcPr>
          <w:p>
            <w:pPr>
              <w:spacing w:after="0"/>
              <w:rPr>
                <w:sz w:val="11"/>
                <w:szCs w:val="11"/>
                <w:color w:val="auto"/>
              </w:rPr>
            </w:pPr>
          </w:p>
        </w:tc>
        <w:tc>
          <w:tcPr>
            <w:tcW w:w="1680" w:type="dxa"/>
            <w:vAlign w:val="bottom"/>
            <w:vMerge w:val="continue"/>
            <w:shd w:val="clear" w:color="auto" w:fill="153A57"/>
          </w:tcPr>
          <w:p>
            <w:pPr>
              <w:spacing w:after="0"/>
              <w:rPr>
                <w:sz w:val="11"/>
                <w:szCs w:val="11"/>
                <w:color w:val="auto"/>
              </w:rPr>
            </w:pPr>
          </w:p>
        </w:tc>
        <w:tc>
          <w:tcPr>
            <w:tcW w:w="1220" w:type="dxa"/>
            <w:vAlign w:val="bottom"/>
            <w:vMerge w:val="restart"/>
            <w:shd w:val="clear" w:color="auto" w:fill="153A57"/>
          </w:tcPr>
          <w:p>
            <w:pPr>
              <w:jc w:val="right"/>
              <w:ind w:right="330"/>
              <w:spacing w:after="0"/>
              <w:rPr>
                <w:sz w:val="20"/>
                <w:szCs w:val="20"/>
                <w:color w:val="auto"/>
              </w:rPr>
            </w:pPr>
            <w:r>
              <w:rPr>
                <w:rFonts w:ascii="Arial" w:cs="Arial" w:eastAsia="Arial" w:hAnsi="Arial"/>
                <w:sz w:val="18"/>
                <w:szCs w:val="18"/>
                <w:b w:val="1"/>
                <w:bCs w:val="1"/>
                <w:color w:val="FFFFFF"/>
              </w:rPr>
              <w:t>(US$)</w:t>
            </w:r>
          </w:p>
        </w:tc>
        <w:tc>
          <w:tcPr>
            <w:tcW w:w="1280" w:type="dxa"/>
            <w:vAlign w:val="bottom"/>
            <w:vMerge w:val="continue"/>
            <w:shd w:val="clear" w:color="auto" w:fill="153A57"/>
          </w:tcPr>
          <w:p>
            <w:pPr>
              <w:spacing w:after="0"/>
              <w:rPr>
                <w:sz w:val="11"/>
                <w:szCs w:val="11"/>
                <w:color w:val="auto"/>
              </w:rPr>
            </w:pPr>
          </w:p>
        </w:tc>
        <w:tc>
          <w:tcPr>
            <w:tcW w:w="620" w:type="dxa"/>
            <w:vAlign w:val="bottom"/>
            <w:vMerge w:val="restart"/>
            <w:shd w:val="clear" w:color="auto" w:fill="153A57"/>
          </w:tcPr>
          <w:p>
            <w:pPr>
              <w:jc w:val="right"/>
              <w:spacing w:after="0"/>
              <w:rPr>
                <w:sz w:val="20"/>
                <w:szCs w:val="20"/>
                <w:color w:val="auto"/>
              </w:rPr>
            </w:pPr>
            <w:r>
              <w:rPr>
                <w:rFonts w:ascii="Arial" w:cs="Arial" w:eastAsia="Arial" w:hAnsi="Arial"/>
                <w:sz w:val="18"/>
                <w:szCs w:val="18"/>
                <w:b w:val="1"/>
                <w:bCs w:val="1"/>
                <w:color w:val="FFFFFF"/>
              </w:rPr>
              <w:t>(US</w:t>
            </w:r>
          </w:p>
        </w:tc>
        <w:tc>
          <w:tcPr>
            <w:tcW w:w="0" w:type="dxa"/>
            <w:vAlign w:val="bottom"/>
          </w:tcPr>
          <w:p>
            <w:pPr>
              <w:spacing w:after="0"/>
              <w:rPr>
                <w:sz w:val="1"/>
                <w:szCs w:val="1"/>
                <w:color w:val="auto"/>
              </w:rPr>
            </w:pPr>
          </w:p>
        </w:tc>
      </w:tr>
      <w:tr>
        <w:trPr>
          <w:trHeight w:val="136"/>
        </w:trPr>
        <w:tc>
          <w:tcPr>
            <w:tcW w:w="4760" w:type="dxa"/>
            <w:vAlign w:val="bottom"/>
            <w:shd w:val="clear" w:color="auto" w:fill="153A57"/>
          </w:tcPr>
          <w:p>
            <w:pPr>
              <w:spacing w:after="0"/>
              <w:rPr>
                <w:sz w:val="11"/>
                <w:szCs w:val="11"/>
                <w:color w:val="auto"/>
              </w:rPr>
            </w:pPr>
          </w:p>
        </w:tc>
        <w:tc>
          <w:tcPr>
            <w:tcW w:w="1680" w:type="dxa"/>
            <w:vAlign w:val="bottom"/>
            <w:vMerge w:val="restart"/>
            <w:shd w:val="clear" w:color="auto" w:fill="153A57"/>
          </w:tcPr>
          <w:p>
            <w:pPr>
              <w:jc w:val="center"/>
              <w:ind w:left="210"/>
              <w:spacing w:after="0"/>
              <w:rPr>
                <w:sz w:val="20"/>
                <w:szCs w:val="20"/>
                <w:color w:val="auto"/>
              </w:rPr>
            </w:pPr>
            <w:r>
              <w:rPr>
                <w:rFonts w:ascii="Arial" w:cs="Arial" w:eastAsia="Arial" w:hAnsi="Arial"/>
                <w:sz w:val="18"/>
                <w:szCs w:val="18"/>
                <w:b w:val="1"/>
                <w:bCs w:val="1"/>
                <w:color w:val="FFFFFF"/>
                <w:w w:val="99"/>
              </w:rPr>
              <w:t>salary)</w:t>
            </w:r>
          </w:p>
        </w:tc>
        <w:tc>
          <w:tcPr>
            <w:tcW w:w="1220" w:type="dxa"/>
            <w:vAlign w:val="bottom"/>
            <w:vMerge w:val="continue"/>
            <w:shd w:val="clear" w:color="auto" w:fill="153A57"/>
          </w:tcPr>
          <w:p>
            <w:pPr>
              <w:spacing w:after="0"/>
              <w:rPr>
                <w:sz w:val="11"/>
                <w:szCs w:val="11"/>
                <w:color w:val="auto"/>
              </w:rPr>
            </w:pPr>
          </w:p>
        </w:tc>
        <w:tc>
          <w:tcPr>
            <w:tcW w:w="1280" w:type="dxa"/>
            <w:vAlign w:val="bottom"/>
            <w:vMerge w:val="restart"/>
            <w:shd w:val="clear" w:color="auto" w:fill="153A57"/>
          </w:tcPr>
          <w:p>
            <w:pPr>
              <w:jc w:val="center"/>
              <w:ind w:right="10"/>
              <w:spacing w:after="0"/>
              <w:rPr>
                <w:sz w:val="20"/>
                <w:szCs w:val="20"/>
                <w:color w:val="auto"/>
              </w:rPr>
            </w:pPr>
            <w:r>
              <w:rPr>
                <w:rFonts w:ascii="Arial" w:cs="Arial" w:eastAsia="Arial" w:hAnsi="Arial"/>
                <w:sz w:val="18"/>
                <w:szCs w:val="18"/>
                <w:b w:val="1"/>
                <w:bCs w:val="1"/>
                <w:color w:val="FFFFFF"/>
                <w:w w:val="99"/>
              </w:rPr>
              <w:t>salary)</w:t>
            </w:r>
          </w:p>
        </w:tc>
        <w:tc>
          <w:tcPr>
            <w:tcW w:w="620" w:type="dxa"/>
            <w:vAlign w:val="bottom"/>
            <w:vMerge w:val="continue"/>
            <w:shd w:val="clear" w:color="auto" w:fill="153A57"/>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760" w:type="dxa"/>
            <w:vAlign w:val="bottom"/>
            <w:shd w:val="clear" w:color="auto" w:fill="153A57"/>
          </w:tcPr>
          <w:p>
            <w:pPr>
              <w:spacing w:after="0"/>
              <w:rPr>
                <w:sz w:val="11"/>
                <w:szCs w:val="11"/>
                <w:color w:val="auto"/>
              </w:rPr>
            </w:pPr>
          </w:p>
        </w:tc>
        <w:tc>
          <w:tcPr>
            <w:tcW w:w="1680" w:type="dxa"/>
            <w:vAlign w:val="bottom"/>
            <w:vMerge w:val="continue"/>
            <w:shd w:val="clear" w:color="auto" w:fill="153A57"/>
          </w:tcPr>
          <w:p>
            <w:pPr>
              <w:spacing w:after="0"/>
              <w:rPr>
                <w:sz w:val="11"/>
                <w:szCs w:val="11"/>
                <w:color w:val="auto"/>
              </w:rPr>
            </w:pPr>
          </w:p>
        </w:tc>
        <w:tc>
          <w:tcPr>
            <w:tcW w:w="1220" w:type="dxa"/>
            <w:vAlign w:val="bottom"/>
            <w:shd w:val="clear" w:color="auto" w:fill="153A57"/>
          </w:tcPr>
          <w:p>
            <w:pPr>
              <w:spacing w:after="0"/>
              <w:rPr>
                <w:sz w:val="11"/>
                <w:szCs w:val="11"/>
                <w:color w:val="auto"/>
              </w:rPr>
            </w:pPr>
          </w:p>
        </w:tc>
        <w:tc>
          <w:tcPr>
            <w:tcW w:w="1280" w:type="dxa"/>
            <w:vAlign w:val="bottom"/>
            <w:vMerge w:val="continue"/>
            <w:shd w:val="clear" w:color="auto" w:fill="153A57"/>
          </w:tcPr>
          <w:p>
            <w:pPr>
              <w:spacing w:after="0"/>
              <w:rPr>
                <w:sz w:val="11"/>
                <w:szCs w:val="11"/>
                <w:color w:val="auto"/>
              </w:rPr>
            </w:pPr>
          </w:p>
        </w:tc>
        <w:tc>
          <w:tcPr>
            <w:tcW w:w="620" w:type="dxa"/>
            <w:vAlign w:val="bottom"/>
            <w:shd w:val="clear" w:color="auto" w:fill="153A57"/>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4760" w:type="dxa"/>
            <w:vAlign w:val="bottom"/>
            <w:shd w:val="clear" w:color="auto" w:fill="153A57"/>
          </w:tcPr>
          <w:p>
            <w:pPr>
              <w:spacing w:after="0"/>
              <w:rPr>
                <w:sz w:val="9"/>
                <w:szCs w:val="9"/>
                <w:color w:val="auto"/>
              </w:rPr>
            </w:pPr>
          </w:p>
        </w:tc>
        <w:tc>
          <w:tcPr>
            <w:tcW w:w="1680" w:type="dxa"/>
            <w:vAlign w:val="bottom"/>
            <w:shd w:val="clear" w:color="auto" w:fill="153A57"/>
          </w:tcPr>
          <w:p>
            <w:pPr>
              <w:spacing w:after="0"/>
              <w:rPr>
                <w:sz w:val="9"/>
                <w:szCs w:val="9"/>
                <w:color w:val="auto"/>
              </w:rPr>
            </w:pPr>
          </w:p>
        </w:tc>
        <w:tc>
          <w:tcPr>
            <w:tcW w:w="1220" w:type="dxa"/>
            <w:vAlign w:val="bottom"/>
            <w:shd w:val="clear" w:color="auto" w:fill="153A57"/>
          </w:tcPr>
          <w:p>
            <w:pPr>
              <w:spacing w:after="0"/>
              <w:rPr>
                <w:sz w:val="9"/>
                <w:szCs w:val="9"/>
                <w:color w:val="auto"/>
              </w:rPr>
            </w:pPr>
          </w:p>
        </w:tc>
        <w:tc>
          <w:tcPr>
            <w:tcW w:w="1280" w:type="dxa"/>
            <w:vAlign w:val="bottom"/>
            <w:shd w:val="clear" w:color="auto" w:fill="153A57"/>
          </w:tcPr>
          <w:p>
            <w:pPr>
              <w:spacing w:after="0"/>
              <w:rPr>
                <w:sz w:val="9"/>
                <w:szCs w:val="9"/>
                <w:color w:val="auto"/>
              </w:rPr>
            </w:pPr>
          </w:p>
        </w:tc>
        <w:tc>
          <w:tcPr>
            <w:tcW w:w="620" w:type="dxa"/>
            <w:vAlign w:val="bottom"/>
            <w:shd w:val="clear" w:color="auto" w:fill="153A57"/>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760" w:type="dxa"/>
            <w:vAlign w:val="bottom"/>
          </w:tcPr>
          <w:p>
            <w:pPr>
              <w:ind w:left="100"/>
              <w:spacing w:after="0"/>
              <w:rPr>
                <w:sz w:val="20"/>
                <w:szCs w:val="20"/>
                <w:color w:val="auto"/>
              </w:rPr>
            </w:pPr>
            <w:r>
              <w:rPr>
                <w:rFonts w:ascii="Arial" w:cs="Arial" w:eastAsia="Arial" w:hAnsi="Arial"/>
                <w:sz w:val="18"/>
                <w:szCs w:val="18"/>
                <w:color w:val="auto"/>
              </w:rPr>
              <w:t>John Kanellitsas,</w:t>
            </w:r>
          </w:p>
        </w:tc>
        <w:tc>
          <w:tcPr>
            <w:tcW w:w="1680" w:type="dxa"/>
            <w:vAlign w:val="bottom"/>
            <w:vMerge w:val="restart"/>
          </w:tcPr>
          <w:p>
            <w:pPr>
              <w:jc w:val="right"/>
              <w:ind w:right="50"/>
              <w:spacing w:after="0"/>
              <w:rPr>
                <w:sz w:val="20"/>
                <w:szCs w:val="20"/>
                <w:color w:val="auto"/>
              </w:rPr>
            </w:pPr>
            <w:r>
              <w:rPr>
                <w:rFonts w:ascii="Arial" w:cs="Arial" w:eastAsia="Arial" w:hAnsi="Arial"/>
                <w:sz w:val="18"/>
                <w:szCs w:val="18"/>
                <w:color w:val="auto"/>
              </w:rPr>
              <w:t>75%</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315,000</w:t>
            </w:r>
          </w:p>
        </w:tc>
        <w:tc>
          <w:tcPr>
            <w:tcW w:w="1280" w:type="dxa"/>
            <w:vAlign w:val="bottom"/>
            <w:vMerge w:val="restart"/>
          </w:tcPr>
          <w:p>
            <w:pPr>
              <w:jc w:val="right"/>
              <w:ind w:right="50"/>
              <w:spacing w:after="0"/>
              <w:rPr>
                <w:sz w:val="20"/>
                <w:szCs w:val="20"/>
                <w:color w:val="auto"/>
              </w:rPr>
            </w:pPr>
            <w:r>
              <w:rPr>
                <w:rFonts w:ascii="Arial" w:cs="Arial" w:eastAsia="Arial" w:hAnsi="Arial"/>
                <w:sz w:val="18"/>
                <w:szCs w:val="18"/>
                <w:color w:val="auto"/>
              </w:rPr>
              <w:t>90%</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36"/>
        </w:trPr>
        <w:tc>
          <w:tcPr>
            <w:tcW w:w="4760" w:type="dxa"/>
            <w:vAlign w:val="bottom"/>
            <w:vMerge w:val="restart"/>
          </w:tcPr>
          <w:p>
            <w:pPr>
              <w:ind w:left="100"/>
              <w:spacing w:after="0"/>
              <w:rPr>
                <w:sz w:val="20"/>
                <w:szCs w:val="20"/>
                <w:color w:val="auto"/>
              </w:rPr>
            </w:pPr>
            <w:r>
              <w:rPr>
                <w:rFonts w:ascii="Arial" w:cs="Arial" w:eastAsia="Arial" w:hAnsi="Arial"/>
                <w:sz w:val="18"/>
                <w:szCs w:val="18"/>
                <w:color w:val="auto"/>
              </w:rPr>
              <w:t>Executive Chair</w:t>
            </w:r>
            <w:r>
              <w:rPr>
                <w:rFonts w:ascii="Arial" w:cs="Arial" w:eastAsia="Arial" w:hAnsi="Arial"/>
                <w:sz w:val="24"/>
                <w:szCs w:val="24"/>
                <w:color w:val="auto"/>
                <w:vertAlign w:val="superscript"/>
              </w:rPr>
              <w:t>(1)</w:t>
            </w:r>
          </w:p>
        </w:tc>
        <w:tc>
          <w:tcPr>
            <w:tcW w:w="16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476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4760" w:type="dxa"/>
            <w:vAlign w:val="bottom"/>
          </w:tcPr>
          <w:p>
            <w:pPr>
              <w:ind w:left="100"/>
              <w:spacing w:after="0"/>
              <w:rPr>
                <w:sz w:val="20"/>
                <w:szCs w:val="20"/>
                <w:color w:val="auto"/>
              </w:rPr>
            </w:pPr>
            <w:r>
              <w:rPr>
                <w:rFonts w:ascii="Arial" w:cs="Arial" w:eastAsia="Arial" w:hAnsi="Arial"/>
                <w:sz w:val="18"/>
                <w:szCs w:val="18"/>
                <w:color w:val="auto"/>
              </w:rPr>
              <w:t>Sam Pigott,</w:t>
            </w:r>
          </w:p>
        </w:tc>
        <w:tc>
          <w:tcPr>
            <w:tcW w:w="1680" w:type="dxa"/>
            <w:vAlign w:val="bottom"/>
            <w:vMerge w:val="restart"/>
          </w:tcPr>
          <w:p>
            <w:pPr>
              <w:jc w:val="right"/>
              <w:ind w:right="50"/>
              <w:spacing w:after="0"/>
              <w:rPr>
                <w:sz w:val="20"/>
                <w:szCs w:val="20"/>
                <w:color w:val="auto"/>
              </w:rPr>
            </w:pPr>
            <w:r>
              <w:rPr>
                <w:rFonts w:ascii="Arial" w:cs="Arial" w:eastAsia="Arial" w:hAnsi="Arial"/>
                <w:sz w:val="18"/>
                <w:szCs w:val="18"/>
                <w:color w:val="auto"/>
              </w:rPr>
              <w:t>200%</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900,000</w:t>
            </w:r>
          </w:p>
        </w:tc>
        <w:tc>
          <w:tcPr>
            <w:tcW w:w="1280" w:type="dxa"/>
            <w:vAlign w:val="bottom"/>
            <w:vMerge w:val="restart"/>
          </w:tcPr>
          <w:p>
            <w:pPr>
              <w:jc w:val="right"/>
              <w:ind w:right="50"/>
              <w:spacing w:after="0"/>
              <w:rPr>
                <w:sz w:val="20"/>
                <w:szCs w:val="20"/>
                <w:color w:val="auto"/>
              </w:rPr>
            </w:pPr>
            <w:r>
              <w:rPr>
                <w:rFonts w:ascii="Arial" w:cs="Arial" w:eastAsia="Arial" w:hAnsi="Arial"/>
                <w:sz w:val="18"/>
                <w:szCs w:val="18"/>
                <w:color w:val="auto"/>
              </w:rPr>
              <w:t>200%</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36"/>
        </w:trPr>
        <w:tc>
          <w:tcPr>
            <w:tcW w:w="4760" w:type="dxa"/>
            <w:vAlign w:val="bottom"/>
            <w:vMerge w:val="restart"/>
          </w:tcPr>
          <w:p>
            <w:pPr>
              <w:ind w:left="100"/>
              <w:spacing w:after="0"/>
              <w:rPr>
                <w:sz w:val="20"/>
                <w:szCs w:val="20"/>
                <w:color w:val="auto"/>
              </w:rPr>
            </w:pPr>
            <w:r>
              <w:rPr>
                <w:rFonts w:ascii="Arial" w:cs="Arial" w:eastAsia="Arial" w:hAnsi="Arial"/>
                <w:sz w:val="18"/>
                <w:szCs w:val="18"/>
                <w:color w:val="auto"/>
              </w:rPr>
              <w:t>President and Chief Executive Officer</w:t>
            </w:r>
            <w:r>
              <w:rPr>
                <w:rFonts w:ascii="Arial" w:cs="Arial" w:eastAsia="Arial" w:hAnsi="Arial"/>
                <w:sz w:val="24"/>
                <w:szCs w:val="24"/>
                <w:color w:val="auto"/>
                <w:vertAlign w:val="superscript"/>
              </w:rPr>
              <w:t>(2)</w:t>
            </w:r>
          </w:p>
        </w:tc>
        <w:tc>
          <w:tcPr>
            <w:tcW w:w="16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476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4760" w:type="dxa"/>
            <w:vAlign w:val="bottom"/>
          </w:tcPr>
          <w:p>
            <w:pPr>
              <w:ind w:left="100"/>
              <w:spacing w:after="0"/>
              <w:rPr>
                <w:sz w:val="20"/>
                <w:szCs w:val="20"/>
                <w:color w:val="auto"/>
              </w:rPr>
            </w:pPr>
            <w:r>
              <w:rPr>
                <w:rFonts w:ascii="Arial" w:cs="Arial" w:eastAsia="Arial" w:hAnsi="Arial"/>
                <w:sz w:val="18"/>
                <w:szCs w:val="18"/>
                <w:color w:val="auto"/>
              </w:rPr>
              <w:t>Alec Meikle,</w:t>
            </w:r>
          </w:p>
        </w:tc>
        <w:tc>
          <w:tcPr>
            <w:tcW w:w="1680" w:type="dxa"/>
            <w:vAlign w:val="bottom"/>
            <w:vMerge w:val="restart"/>
          </w:tcPr>
          <w:p>
            <w:pPr>
              <w:jc w:val="right"/>
              <w:ind w:right="50"/>
              <w:spacing w:after="0"/>
              <w:rPr>
                <w:sz w:val="20"/>
                <w:szCs w:val="20"/>
                <w:color w:val="auto"/>
              </w:rPr>
            </w:pPr>
            <w:r>
              <w:rPr>
                <w:rFonts w:ascii="Arial" w:cs="Arial" w:eastAsia="Arial" w:hAnsi="Arial"/>
                <w:sz w:val="18"/>
                <w:szCs w:val="18"/>
                <w:color w:val="auto"/>
              </w:rPr>
              <w:t>150%</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540,000</w:t>
            </w:r>
          </w:p>
        </w:tc>
        <w:tc>
          <w:tcPr>
            <w:tcW w:w="1280" w:type="dxa"/>
            <w:vAlign w:val="bottom"/>
            <w:vMerge w:val="restart"/>
          </w:tcPr>
          <w:p>
            <w:pPr>
              <w:jc w:val="right"/>
              <w:ind w:right="50"/>
              <w:spacing w:after="0"/>
              <w:rPr>
                <w:sz w:val="20"/>
                <w:szCs w:val="20"/>
                <w:color w:val="auto"/>
              </w:rPr>
            </w:pPr>
            <w:r>
              <w:rPr>
                <w:rFonts w:ascii="Arial" w:cs="Arial" w:eastAsia="Arial" w:hAnsi="Arial"/>
                <w:sz w:val="18"/>
                <w:szCs w:val="18"/>
                <w:color w:val="auto"/>
              </w:rPr>
              <w:t>150%</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36"/>
        </w:trPr>
        <w:tc>
          <w:tcPr>
            <w:tcW w:w="4760" w:type="dxa"/>
            <w:vAlign w:val="bottom"/>
            <w:vMerge w:val="restart"/>
          </w:tcPr>
          <w:p>
            <w:pPr>
              <w:ind w:left="100"/>
              <w:spacing w:after="0"/>
              <w:rPr>
                <w:sz w:val="20"/>
                <w:szCs w:val="20"/>
                <w:color w:val="auto"/>
              </w:rPr>
            </w:pPr>
            <w:r>
              <w:rPr>
                <w:rFonts w:ascii="Arial" w:cs="Arial" w:eastAsia="Arial" w:hAnsi="Arial"/>
                <w:sz w:val="18"/>
                <w:szCs w:val="18"/>
                <w:color w:val="auto"/>
              </w:rPr>
              <w:t>Executive Vice President, Corporate Development</w:t>
            </w:r>
            <w:r>
              <w:rPr>
                <w:rFonts w:ascii="Arial" w:cs="Arial" w:eastAsia="Arial" w:hAnsi="Arial"/>
                <w:sz w:val="24"/>
                <w:szCs w:val="24"/>
                <w:color w:val="auto"/>
                <w:vertAlign w:val="superscript"/>
              </w:rPr>
              <w:t>(3)</w:t>
            </w:r>
          </w:p>
        </w:tc>
        <w:tc>
          <w:tcPr>
            <w:tcW w:w="16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476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4760" w:type="dxa"/>
            <w:vAlign w:val="bottom"/>
          </w:tcPr>
          <w:p>
            <w:pPr>
              <w:ind w:left="100"/>
              <w:spacing w:after="0"/>
              <w:rPr>
                <w:sz w:val="20"/>
                <w:szCs w:val="20"/>
                <w:color w:val="auto"/>
              </w:rPr>
            </w:pPr>
            <w:r>
              <w:rPr>
                <w:rFonts w:ascii="Arial" w:cs="Arial" w:eastAsia="Arial" w:hAnsi="Arial"/>
                <w:sz w:val="18"/>
                <w:szCs w:val="18"/>
                <w:color w:val="auto"/>
              </w:rPr>
              <w:t>Alex Shulga,</w:t>
            </w:r>
          </w:p>
        </w:tc>
        <w:tc>
          <w:tcPr>
            <w:tcW w:w="1680" w:type="dxa"/>
            <w:vAlign w:val="bottom"/>
            <w:vMerge w:val="restart"/>
          </w:tcPr>
          <w:p>
            <w:pPr>
              <w:jc w:val="right"/>
              <w:ind w:right="50"/>
              <w:spacing w:after="0"/>
              <w:rPr>
                <w:sz w:val="20"/>
                <w:szCs w:val="20"/>
                <w:color w:val="auto"/>
              </w:rPr>
            </w:pPr>
            <w:r>
              <w:rPr>
                <w:rFonts w:ascii="Arial" w:cs="Arial" w:eastAsia="Arial" w:hAnsi="Arial"/>
                <w:sz w:val="18"/>
                <w:szCs w:val="18"/>
                <w:color w:val="auto"/>
              </w:rPr>
              <w:t>140%</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490,000</w:t>
            </w:r>
          </w:p>
        </w:tc>
        <w:tc>
          <w:tcPr>
            <w:tcW w:w="1280" w:type="dxa"/>
            <w:vAlign w:val="bottom"/>
            <w:vMerge w:val="restart"/>
          </w:tcPr>
          <w:p>
            <w:pPr>
              <w:jc w:val="right"/>
              <w:ind w:right="50"/>
              <w:spacing w:after="0"/>
              <w:rPr>
                <w:sz w:val="20"/>
                <w:szCs w:val="20"/>
                <w:color w:val="auto"/>
              </w:rPr>
            </w:pPr>
            <w:r>
              <w:rPr>
                <w:rFonts w:ascii="Arial" w:cs="Arial" w:eastAsia="Arial" w:hAnsi="Arial"/>
                <w:sz w:val="18"/>
                <w:szCs w:val="18"/>
                <w:color w:val="auto"/>
              </w:rPr>
              <w:t>100%</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36"/>
        </w:trPr>
        <w:tc>
          <w:tcPr>
            <w:tcW w:w="4760" w:type="dxa"/>
            <w:vAlign w:val="bottom"/>
            <w:vMerge w:val="restart"/>
          </w:tcPr>
          <w:p>
            <w:pPr>
              <w:ind w:left="100"/>
              <w:spacing w:after="0"/>
              <w:rPr>
                <w:sz w:val="20"/>
                <w:szCs w:val="20"/>
                <w:color w:val="auto"/>
              </w:rPr>
            </w:pPr>
            <w:r>
              <w:rPr>
                <w:rFonts w:ascii="Arial" w:cs="Arial" w:eastAsia="Arial" w:hAnsi="Arial"/>
                <w:sz w:val="18"/>
                <w:szCs w:val="18"/>
                <w:color w:val="auto"/>
              </w:rPr>
              <w:t>Vice President and Chief Financial Officer</w:t>
            </w:r>
          </w:p>
        </w:tc>
        <w:tc>
          <w:tcPr>
            <w:tcW w:w="16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760" w:type="dxa"/>
            <w:vAlign w:val="bottom"/>
            <w:vMerge w:val="continue"/>
          </w:tcPr>
          <w:p>
            <w:pPr>
              <w:spacing w:after="0"/>
              <w:rPr>
                <w:sz w:val="11"/>
                <w:szCs w:val="11"/>
                <w:color w:val="auto"/>
              </w:rPr>
            </w:pPr>
          </w:p>
        </w:tc>
        <w:tc>
          <w:tcPr>
            <w:tcW w:w="1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1"/>
        </w:trPr>
        <w:tc>
          <w:tcPr>
            <w:tcW w:w="4760" w:type="dxa"/>
            <w:vAlign w:val="bottom"/>
          </w:tcPr>
          <w:p>
            <w:pPr>
              <w:ind w:left="100"/>
              <w:spacing w:after="0"/>
              <w:rPr>
                <w:sz w:val="20"/>
                <w:szCs w:val="20"/>
                <w:color w:val="auto"/>
              </w:rPr>
            </w:pPr>
            <w:r>
              <w:rPr>
                <w:rFonts w:ascii="Arial" w:cs="Arial" w:eastAsia="Arial" w:hAnsi="Arial"/>
                <w:sz w:val="18"/>
                <w:szCs w:val="18"/>
                <w:color w:val="auto"/>
              </w:rPr>
              <w:t>Mariano Chiappori ,</w:t>
            </w:r>
          </w:p>
        </w:tc>
        <w:tc>
          <w:tcPr>
            <w:tcW w:w="1680" w:type="dxa"/>
            <w:vAlign w:val="bottom"/>
            <w:vMerge w:val="restart"/>
          </w:tcPr>
          <w:p>
            <w:pPr>
              <w:jc w:val="right"/>
              <w:ind w:right="50"/>
              <w:spacing w:after="0"/>
              <w:rPr>
                <w:sz w:val="20"/>
                <w:szCs w:val="20"/>
                <w:color w:val="auto"/>
              </w:rPr>
            </w:pPr>
            <w:r>
              <w:rPr>
                <w:rFonts w:ascii="Arial" w:cs="Arial" w:eastAsia="Arial" w:hAnsi="Arial"/>
                <w:sz w:val="18"/>
                <w:szCs w:val="18"/>
                <w:color w:val="auto"/>
              </w:rPr>
              <w:t>150%</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560,250</w:t>
            </w:r>
          </w:p>
        </w:tc>
        <w:tc>
          <w:tcPr>
            <w:tcW w:w="1280" w:type="dxa"/>
            <w:vAlign w:val="bottom"/>
            <w:vMerge w:val="restart"/>
          </w:tcPr>
          <w:p>
            <w:pPr>
              <w:jc w:val="right"/>
              <w:ind w:right="50"/>
              <w:spacing w:after="0"/>
              <w:rPr>
                <w:sz w:val="20"/>
                <w:szCs w:val="20"/>
                <w:color w:val="auto"/>
              </w:rPr>
            </w:pPr>
            <w:r>
              <w:rPr>
                <w:rFonts w:ascii="Arial" w:cs="Arial" w:eastAsia="Arial" w:hAnsi="Arial"/>
                <w:sz w:val="18"/>
                <w:szCs w:val="18"/>
                <w:color w:val="auto"/>
              </w:rPr>
              <w:t>150%</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36"/>
        </w:trPr>
        <w:tc>
          <w:tcPr>
            <w:tcW w:w="4760" w:type="dxa"/>
            <w:vAlign w:val="bottom"/>
            <w:vMerge w:val="restart"/>
          </w:tcPr>
          <w:p>
            <w:pPr>
              <w:ind w:left="100"/>
              <w:spacing w:after="0"/>
              <w:rPr>
                <w:sz w:val="20"/>
                <w:szCs w:val="20"/>
                <w:color w:val="auto"/>
              </w:rPr>
            </w:pPr>
            <w:r>
              <w:rPr>
                <w:rFonts w:ascii="Arial" w:cs="Arial" w:eastAsia="Arial" w:hAnsi="Arial"/>
                <w:sz w:val="18"/>
                <w:szCs w:val="18"/>
                <w:color w:val="auto"/>
              </w:rPr>
              <w:t>Vice President and Chief Operating Officer</w:t>
            </w:r>
          </w:p>
        </w:tc>
        <w:tc>
          <w:tcPr>
            <w:tcW w:w="16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760" w:type="dxa"/>
            <w:vAlign w:val="bottom"/>
            <w:vMerge w:val="continue"/>
          </w:tcPr>
          <w:p>
            <w:pPr>
              <w:spacing w:after="0"/>
              <w:rPr>
                <w:sz w:val="11"/>
                <w:szCs w:val="11"/>
                <w:color w:val="auto"/>
              </w:rPr>
            </w:pPr>
          </w:p>
        </w:tc>
        <w:tc>
          <w:tcPr>
            <w:tcW w:w="1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-1560830</wp:posOffset>
            </wp:positionV>
            <wp:extent cx="6078220" cy="6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59">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-1152525</wp:posOffset>
            </wp:positionV>
            <wp:extent cx="6078220"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0">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-744855</wp:posOffset>
            </wp:positionV>
            <wp:extent cx="6078220"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1">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-336550</wp:posOffset>
            </wp:positionV>
            <wp:extent cx="6078220"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2">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38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Notes:</w:t>
      </w:r>
    </w:p>
    <w:p>
      <w:pPr>
        <w:spacing w:after="0" w:line="162" w:lineRule="exact"/>
        <w:rPr>
          <w:sz w:val="20"/>
          <w:szCs w:val="20"/>
          <w:color w:val="auto"/>
        </w:rPr>
      </w:pPr>
    </w:p>
    <w:p>
      <w:pPr>
        <w:ind w:left="1260" w:hanging="366"/>
        <w:spacing w:after="0"/>
        <w:tabs>
          <w:tab w:leader="none" w:pos="12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Will transition to non-Executive Chair on March 31, 2026.</w:t>
      </w:r>
    </w:p>
    <w:p>
      <w:pPr>
        <w:spacing w:after="0" w:line="176" w:lineRule="exact"/>
        <w:rPr>
          <w:rFonts w:ascii="Arial" w:cs="Arial" w:eastAsia="Arial" w:hAnsi="Arial"/>
          <w:sz w:val="16"/>
          <w:szCs w:val="16"/>
          <w:color w:val="auto"/>
        </w:rPr>
      </w:pPr>
    </w:p>
    <w:p>
      <w:pPr>
        <w:ind w:left="1260" w:hanging="366"/>
        <w:spacing w:after="0"/>
        <w:tabs>
          <w:tab w:leader="none" w:pos="12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Ceased to be President as of January 1, 2026.</w:t>
      </w:r>
    </w:p>
    <w:p>
      <w:pPr>
        <w:spacing w:after="0" w:line="176" w:lineRule="exact"/>
        <w:rPr>
          <w:rFonts w:ascii="Arial" w:cs="Arial" w:eastAsia="Arial" w:hAnsi="Arial"/>
          <w:sz w:val="16"/>
          <w:szCs w:val="16"/>
          <w:color w:val="auto"/>
        </w:rPr>
      </w:pPr>
    </w:p>
    <w:p>
      <w:pPr>
        <w:ind w:left="1260" w:hanging="366"/>
        <w:spacing w:after="0"/>
        <w:tabs>
          <w:tab w:leader="none" w:pos="12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Appointed Executive Vice President, Corporate Development on July 31, 2024. Promoted to President effective as of January 1, 2</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34 / 59</w:t>
      </w:r>
    </w:p>
    <w:p>
      <w:pPr>
        <w:sectPr>
          <w:pgSz w:w="11900" w:h="16838" w:orient="portrait"/>
          <w:cols w:equalWidth="0" w:num="1">
            <w:col w:w="10460"/>
          </w:cols>
          <w:pgMar w:left="1440" w:top="1440" w:right="6" w:bottom="0" w:gutter="0" w:footer="0" w:header="0"/>
          <w:type w:val="continuous"/>
        </w:sectPr>
      </w:pPr>
    </w:p>
    <w:bookmarkStart w:id="204" w:name="page205"/>
    <w:bookmarkEnd w:id="204"/>
    <w:p>
      <w:pPr>
        <w:jc w:val="both"/>
        <w:ind w:left="1080"/>
        <w:spacing w:after="0" w:line="311" w:lineRule="auto"/>
        <w:rPr>
          <w:sz w:val="20"/>
          <w:szCs w:val="20"/>
          <w:color w:val="auto"/>
        </w:rPr>
      </w:pPr>
      <w:r>
        <w:rPr>
          <w:rFonts w:ascii="Arial" w:cs="Arial" w:eastAsia="Arial" w:hAnsi="Arial"/>
          <w:sz w:val="20"/>
          <w:szCs w:val="20"/>
          <w:color w:val="auto"/>
        </w:rPr>
        <w:t>In addition, certain executives received a special one-time grant of LTI compensation (the “Special LTI”) ou of the standard compensation for retention purposes to retain key executives in an extremely competitive m and in recognition of leadership and execution of key strategic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192405</wp:posOffset>
            </wp:positionV>
            <wp:extent cx="6078220" cy="6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3">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080" w:type="dxa"/>
            <w:vAlign w:val="bottom"/>
          </w:tcPr>
          <w:p>
            <w:pPr>
              <w:spacing w:after="0"/>
              <w:rPr>
                <w:sz w:val="22"/>
                <w:szCs w:val="22"/>
                <w:color w:val="auto"/>
              </w:rPr>
            </w:pPr>
          </w:p>
        </w:tc>
        <w:tc>
          <w:tcPr>
            <w:tcW w:w="5700" w:type="dxa"/>
            <w:vAlign w:val="bottom"/>
            <w:shd w:val="clear" w:color="auto" w:fill="153A57"/>
          </w:tcPr>
          <w:p>
            <w:pPr>
              <w:ind w:left="100"/>
              <w:spacing w:after="0"/>
              <w:rPr>
                <w:sz w:val="20"/>
                <w:szCs w:val="20"/>
                <w:color w:val="auto"/>
              </w:rPr>
            </w:pPr>
            <w:r>
              <w:rPr>
                <w:rFonts w:ascii="Arial" w:cs="Arial" w:eastAsia="Arial" w:hAnsi="Arial"/>
                <w:sz w:val="18"/>
                <w:szCs w:val="18"/>
                <w:b w:val="1"/>
                <w:bCs w:val="1"/>
                <w:color w:val="FFFFFF"/>
              </w:rPr>
              <w:t>Named Executive Officer</w:t>
            </w:r>
          </w:p>
        </w:tc>
        <w:tc>
          <w:tcPr>
            <w:tcW w:w="1660" w:type="dxa"/>
            <w:vAlign w:val="bottom"/>
            <w:shd w:val="clear" w:color="auto" w:fill="153A57"/>
          </w:tcPr>
          <w:p>
            <w:pPr>
              <w:jc w:val="right"/>
              <w:ind w:right="270"/>
              <w:spacing w:after="0"/>
              <w:rPr>
                <w:sz w:val="20"/>
                <w:szCs w:val="20"/>
                <w:color w:val="auto"/>
              </w:rPr>
            </w:pPr>
            <w:r>
              <w:rPr>
                <w:rFonts w:ascii="Arial" w:cs="Arial" w:eastAsia="Arial" w:hAnsi="Arial"/>
                <w:sz w:val="18"/>
                <w:szCs w:val="18"/>
                <w:b w:val="1"/>
                <w:bCs w:val="1"/>
                <w:color w:val="FFFFFF"/>
              </w:rPr>
              <w:t>Actual LTI</w:t>
            </w:r>
          </w:p>
        </w:tc>
        <w:tc>
          <w:tcPr>
            <w:tcW w:w="1480" w:type="dxa"/>
            <w:vAlign w:val="bottom"/>
            <w:shd w:val="clear" w:color="auto" w:fill="153A57"/>
          </w:tcPr>
          <w:p>
            <w:pPr>
              <w:jc w:val="right"/>
              <w:ind w:right="290"/>
              <w:spacing w:after="0"/>
              <w:rPr>
                <w:sz w:val="20"/>
                <w:szCs w:val="20"/>
                <w:color w:val="auto"/>
              </w:rPr>
            </w:pPr>
            <w:r>
              <w:rPr>
                <w:rFonts w:ascii="Arial" w:cs="Arial" w:eastAsia="Arial" w:hAnsi="Arial"/>
                <w:sz w:val="18"/>
                <w:szCs w:val="18"/>
                <w:b w:val="1"/>
                <w:bCs w:val="1"/>
                <w:color w:val="FFFFFF"/>
              </w:rPr>
              <w:t>Special LTI</w:t>
            </w:r>
          </w:p>
        </w:tc>
        <w:tc>
          <w:tcPr>
            <w:tcW w:w="720" w:type="dxa"/>
            <w:vAlign w:val="bottom"/>
            <w:shd w:val="clear" w:color="auto" w:fill="153A57"/>
          </w:tcPr>
          <w:p>
            <w:pPr>
              <w:jc w:val="right"/>
              <w:spacing w:after="0"/>
              <w:rPr>
                <w:sz w:val="20"/>
                <w:szCs w:val="20"/>
                <w:color w:val="auto"/>
              </w:rPr>
            </w:pPr>
            <w:r>
              <w:rPr>
                <w:rFonts w:ascii="Arial" w:cs="Arial" w:eastAsia="Arial" w:hAnsi="Arial"/>
                <w:sz w:val="18"/>
                <w:szCs w:val="18"/>
                <w:b w:val="1"/>
                <w:bCs w:val="1"/>
                <w:color w:val="FFFFFF"/>
              </w:rPr>
              <w:t>Total</w:t>
            </w:r>
          </w:p>
        </w:tc>
      </w:tr>
      <w:tr>
        <w:trPr>
          <w:trHeight w:val="286"/>
        </w:trPr>
        <w:tc>
          <w:tcPr>
            <w:tcW w:w="1080" w:type="dxa"/>
            <w:vAlign w:val="bottom"/>
          </w:tcPr>
          <w:p>
            <w:pPr>
              <w:spacing w:after="0"/>
              <w:rPr>
                <w:sz w:val="24"/>
                <w:szCs w:val="24"/>
                <w:color w:val="auto"/>
              </w:rPr>
            </w:pPr>
          </w:p>
        </w:tc>
        <w:tc>
          <w:tcPr>
            <w:tcW w:w="5700" w:type="dxa"/>
            <w:vAlign w:val="bottom"/>
            <w:shd w:val="clear" w:color="auto" w:fill="153A57"/>
          </w:tcPr>
          <w:p>
            <w:pPr>
              <w:spacing w:after="0"/>
              <w:rPr>
                <w:sz w:val="24"/>
                <w:szCs w:val="24"/>
                <w:color w:val="auto"/>
              </w:rPr>
            </w:pPr>
          </w:p>
        </w:tc>
        <w:tc>
          <w:tcPr>
            <w:tcW w:w="1660" w:type="dxa"/>
            <w:vAlign w:val="bottom"/>
            <w:shd w:val="clear" w:color="auto" w:fill="153A57"/>
          </w:tcPr>
          <w:p>
            <w:pPr>
              <w:jc w:val="right"/>
              <w:ind w:right="470"/>
              <w:spacing w:after="0"/>
              <w:rPr>
                <w:sz w:val="20"/>
                <w:szCs w:val="20"/>
                <w:color w:val="auto"/>
              </w:rPr>
            </w:pPr>
            <w:r>
              <w:rPr>
                <w:rFonts w:ascii="Arial" w:cs="Arial" w:eastAsia="Arial" w:hAnsi="Arial"/>
                <w:sz w:val="18"/>
                <w:szCs w:val="18"/>
                <w:b w:val="1"/>
                <w:bCs w:val="1"/>
                <w:color w:val="FFFFFF"/>
              </w:rPr>
              <w:t>(US$)</w:t>
            </w:r>
          </w:p>
        </w:tc>
        <w:tc>
          <w:tcPr>
            <w:tcW w:w="1480" w:type="dxa"/>
            <w:vAlign w:val="bottom"/>
            <w:shd w:val="clear" w:color="auto" w:fill="153A57"/>
          </w:tcPr>
          <w:p>
            <w:pPr>
              <w:jc w:val="right"/>
              <w:ind w:right="530"/>
              <w:spacing w:after="0"/>
              <w:rPr>
                <w:sz w:val="20"/>
                <w:szCs w:val="20"/>
                <w:color w:val="auto"/>
              </w:rPr>
            </w:pPr>
            <w:r>
              <w:rPr>
                <w:rFonts w:ascii="Arial" w:cs="Arial" w:eastAsia="Arial" w:hAnsi="Arial"/>
                <w:sz w:val="18"/>
                <w:szCs w:val="18"/>
                <w:b w:val="1"/>
                <w:bCs w:val="1"/>
                <w:color w:val="FFFFFF"/>
              </w:rPr>
              <w:t>(US$)</w:t>
            </w:r>
          </w:p>
        </w:tc>
        <w:tc>
          <w:tcPr>
            <w:tcW w:w="720" w:type="dxa"/>
            <w:vAlign w:val="bottom"/>
            <w:shd w:val="clear" w:color="auto" w:fill="153A57"/>
          </w:tcPr>
          <w:p>
            <w:pPr>
              <w:jc w:val="right"/>
              <w:spacing w:after="0"/>
              <w:rPr>
                <w:sz w:val="20"/>
                <w:szCs w:val="20"/>
                <w:color w:val="auto"/>
              </w:rPr>
            </w:pPr>
            <w:r>
              <w:rPr>
                <w:rFonts w:ascii="Arial" w:cs="Arial" w:eastAsia="Arial" w:hAnsi="Arial"/>
                <w:sz w:val="18"/>
                <w:szCs w:val="18"/>
                <w:b w:val="1"/>
                <w:bCs w:val="1"/>
                <w:color w:val="FFFFFF"/>
              </w:rPr>
              <w:t>(US$</w:t>
            </w:r>
          </w:p>
        </w:tc>
      </w:tr>
      <w:tr>
        <w:trPr>
          <w:trHeight w:val="121"/>
        </w:trPr>
        <w:tc>
          <w:tcPr>
            <w:tcW w:w="1080" w:type="dxa"/>
            <w:vAlign w:val="bottom"/>
          </w:tcPr>
          <w:p>
            <w:pPr>
              <w:spacing w:after="0"/>
              <w:rPr>
                <w:sz w:val="10"/>
                <w:szCs w:val="10"/>
                <w:color w:val="auto"/>
              </w:rPr>
            </w:pPr>
          </w:p>
        </w:tc>
        <w:tc>
          <w:tcPr>
            <w:tcW w:w="5700" w:type="dxa"/>
            <w:vAlign w:val="bottom"/>
            <w:shd w:val="clear" w:color="auto" w:fill="153A57"/>
          </w:tcPr>
          <w:p>
            <w:pPr>
              <w:spacing w:after="0"/>
              <w:rPr>
                <w:sz w:val="10"/>
                <w:szCs w:val="10"/>
                <w:color w:val="auto"/>
              </w:rPr>
            </w:pPr>
          </w:p>
        </w:tc>
        <w:tc>
          <w:tcPr>
            <w:tcW w:w="1660" w:type="dxa"/>
            <w:vAlign w:val="bottom"/>
            <w:shd w:val="clear" w:color="auto" w:fill="153A57"/>
          </w:tcPr>
          <w:p>
            <w:pPr>
              <w:spacing w:after="0"/>
              <w:rPr>
                <w:sz w:val="10"/>
                <w:szCs w:val="10"/>
                <w:color w:val="auto"/>
              </w:rPr>
            </w:pPr>
          </w:p>
        </w:tc>
        <w:tc>
          <w:tcPr>
            <w:tcW w:w="1480" w:type="dxa"/>
            <w:vAlign w:val="bottom"/>
            <w:shd w:val="clear" w:color="auto" w:fill="153A57"/>
          </w:tcPr>
          <w:p>
            <w:pPr>
              <w:spacing w:after="0"/>
              <w:rPr>
                <w:sz w:val="10"/>
                <w:szCs w:val="10"/>
                <w:color w:val="auto"/>
              </w:rPr>
            </w:pPr>
          </w:p>
        </w:tc>
        <w:tc>
          <w:tcPr>
            <w:tcW w:w="720" w:type="dxa"/>
            <w:vAlign w:val="bottom"/>
            <w:shd w:val="clear" w:color="auto" w:fill="153A57"/>
          </w:tcPr>
          <w:p>
            <w:pPr>
              <w:spacing w:after="0"/>
              <w:rPr>
                <w:sz w:val="10"/>
                <w:szCs w:val="10"/>
                <w:color w:val="auto"/>
              </w:rPr>
            </w:pPr>
          </w:p>
        </w:tc>
      </w:tr>
      <w:tr>
        <w:trPr>
          <w:trHeight w:val="315"/>
        </w:trPr>
        <w:tc>
          <w:tcPr>
            <w:tcW w:w="1080" w:type="dxa"/>
            <w:vAlign w:val="bottom"/>
          </w:tcPr>
          <w:p>
            <w:pPr>
              <w:spacing w:after="0"/>
              <w:rPr>
                <w:sz w:val="24"/>
                <w:szCs w:val="24"/>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John Kanellitsas, Executive Chair</w:t>
            </w:r>
            <w:r>
              <w:rPr>
                <w:rFonts w:ascii="Arial" w:cs="Arial" w:eastAsia="Arial" w:hAnsi="Arial"/>
                <w:sz w:val="24"/>
                <w:szCs w:val="24"/>
                <w:color w:val="auto"/>
                <w:vertAlign w:val="superscript"/>
              </w:rPr>
              <w:t>(1)</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315,000</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71"/>
        </w:trPr>
        <w:tc>
          <w:tcPr>
            <w:tcW w:w="1080" w:type="dxa"/>
            <w:vAlign w:val="bottom"/>
          </w:tcPr>
          <w:p>
            <w:pPr>
              <w:spacing w:after="0"/>
              <w:rPr>
                <w:sz w:val="24"/>
                <w:szCs w:val="24"/>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Sam Pigott, President and Chief Executive Officer</w:t>
            </w:r>
            <w:r>
              <w:rPr>
                <w:rFonts w:ascii="Arial" w:cs="Arial" w:eastAsia="Arial" w:hAnsi="Arial"/>
                <w:sz w:val="24"/>
                <w:szCs w:val="24"/>
                <w:color w:val="auto"/>
                <w:vertAlign w:val="superscript"/>
              </w:rPr>
              <w:t>(2)</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900,000</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250,000</w:t>
            </w: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71"/>
        </w:trPr>
        <w:tc>
          <w:tcPr>
            <w:tcW w:w="1080" w:type="dxa"/>
            <w:vAlign w:val="bottom"/>
          </w:tcPr>
          <w:p>
            <w:pPr>
              <w:spacing w:after="0"/>
              <w:rPr>
                <w:sz w:val="24"/>
                <w:szCs w:val="24"/>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Alec Meikle, Executive Vice President, Corporate Development</w:t>
            </w:r>
            <w:r>
              <w:rPr>
                <w:rFonts w:ascii="Arial" w:cs="Arial" w:eastAsia="Arial" w:hAnsi="Arial"/>
                <w:sz w:val="24"/>
                <w:szCs w:val="24"/>
                <w:color w:val="auto"/>
                <w:vertAlign w:val="superscript"/>
              </w:rPr>
              <w:t>(3)</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540,000</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250,000</w:t>
            </w: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06"/>
        </w:trPr>
        <w:tc>
          <w:tcPr>
            <w:tcW w:w="1080" w:type="dxa"/>
            <w:vAlign w:val="bottom"/>
          </w:tcPr>
          <w:p>
            <w:pPr>
              <w:spacing w:after="0"/>
              <w:rPr>
                <w:sz w:val="24"/>
                <w:szCs w:val="24"/>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Alex Shulga, Vice President and Chief Financial Officer</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490,000</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50,000</w:t>
            </w: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71"/>
        </w:trPr>
        <w:tc>
          <w:tcPr>
            <w:tcW w:w="1080" w:type="dxa"/>
            <w:vAlign w:val="bottom"/>
          </w:tcPr>
          <w:p>
            <w:pPr>
              <w:spacing w:after="0"/>
              <w:rPr>
                <w:sz w:val="24"/>
                <w:szCs w:val="24"/>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Mariano Chiappori , Vice President and Chief Operating Officer</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560,250</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200,000</w:t>
            </w: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88"/>
        </w:trPr>
        <w:tc>
          <w:tcPr>
            <w:tcW w:w="108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1660" w:type="dxa"/>
            <w:vAlign w:val="bottom"/>
            <w:tcBorders>
              <w:bottom w:val="single" w:sz="8" w:color="010101"/>
            </w:tcBorders>
          </w:tcPr>
          <w:p>
            <w:pPr>
              <w:spacing w:after="0"/>
              <w:rPr>
                <w:sz w:val="24"/>
                <w:szCs w:val="24"/>
                <w:color w:val="auto"/>
              </w:rPr>
            </w:pPr>
          </w:p>
        </w:tc>
        <w:tc>
          <w:tcPr>
            <w:tcW w:w="148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4">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-2444750</wp:posOffset>
            </wp:positionV>
            <wp:extent cx="6078220"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5">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-2209165</wp:posOffset>
            </wp:positionV>
            <wp:extent cx="6078220"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6">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-1974215</wp:posOffset>
            </wp:positionV>
            <wp:extent cx="6078220" cy="6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7">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-1738630</wp:posOffset>
            </wp:positionV>
            <wp:extent cx="6078220"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68">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-1503045</wp:posOffset>
            </wp:positionV>
            <wp:extent cx="6078220"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69">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ectPr>
          <w:pgSz w:w="11900" w:h="16838" w:orient="portrait"/>
          <w:cols w:equalWidth="0" w:num="1">
            <w:col w:w="10640"/>
          </w:cols>
          <w:pgMar w:left="126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35 / 59</w:t>
      </w:r>
    </w:p>
    <w:p>
      <w:pPr>
        <w:sectPr>
          <w:pgSz w:w="11900" w:h="16838" w:orient="portrait"/>
          <w:cols w:equalWidth="0" w:num="1">
            <w:col w:w="10640"/>
          </w:cols>
          <w:pgMar w:left="1260" w:top="1172" w:right="6" w:bottom="0" w:gutter="0" w:footer="0" w:header="0"/>
          <w:type w:val="continuous"/>
        </w:sectPr>
      </w:pPr>
    </w:p>
    <w:bookmarkStart w:id="205" w:name="page206"/>
    <w:bookmarkEnd w:id="2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Benefits</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Company provides a benefits program, including health, dental, life, critical illness and disability insur employee and family assistance program, and a health and wellness spending account to encourage a he lifestyle for its employees, including Named Executives.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Management Risks</w:t>
      </w:r>
    </w:p>
    <w:p>
      <w:pPr>
        <w:spacing w:after="0" w:line="279" w:lineRule="exact"/>
        <w:rPr>
          <w:sz w:val="20"/>
          <w:szCs w:val="20"/>
          <w:color w:val="auto"/>
        </w:rPr>
      </w:pPr>
    </w:p>
    <w:p>
      <w:pPr>
        <w:ind w:left="900" w:right="40"/>
        <w:spacing w:after="0" w:line="307" w:lineRule="auto"/>
        <w:rPr>
          <w:sz w:val="20"/>
          <w:szCs w:val="20"/>
          <w:color w:val="auto"/>
        </w:rPr>
      </w:pPr>
      <w:r>
        <w:rPr>
          <w:rFonts w:ascii="Arial" w:cs="Arial" w:eastAsia="Arial" w:hAnsi="Arial"/>
          <w:sz w:val="20"/>
          <w:szCs w:val="20"/>
          <w:color w:val="auto"/>
        </w:rPr>
        <w:t>The GNCLC and the Board periodically assess the implications of the risks associated with the Comp compensation policies and practices.</w:t>
      </w:r>
    </w:p>
    <w:p>
      <w:pPr>
        <w:spacing w:after="0" w:line="215"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The committee maintains sufficient discretion and flexibility in implementing compensation decisions such unintended consequences in remuneration can be minimized, while still being responsive to market influenc a competitive environment. Through the GNCLC Charter, the GNCLC has sole authority to retain consultan assist it in the evaluation of compensation of senior management and directors. The Company has polici place to mitigate compensation policies and practices that could encourage Named Executives to inappropriate and excessive risk. All material contracts and agreements require Board approval. The Board approves annual and capital budgets.</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Company has a Securities Trading Policy, which applies to employees, officers, directors</w:t>
      </w:r>
    </w:p>
    <w:p>
      <w:pPr>
        <w:spacing w:after="0" w:line="279" w:lineRule="exact"/>
        <w:rPr>
          <w:sz w:val="20"/>
          <w:szCs w:val="20"/>
          <w:color w:val="auto"/>
        </w:rPr>
      </w:pPr>
    </w:p>
    <w:p>
      <w:pPr>
        <w:jc w:val="both"/>
        <w:ind w:left="900" w:right="40"/>
        <w:spacing w:after="0" w:line="311" w:lineRule="auto"/>
        <w:rPr>
          <w:sz w:val="20"/>
          <w:szCs w:val="20"/>
          <w:color w:val="auto"/>
        </w:rPr>
      </w:pPr>
      <w:r>
        <w:rPr>
          <w:rFonts w:ascii="Arial" w:cs="Arial" w:eastAsia="Arial" w:hAnsi="Arial"/>
          <w:sz w:val="20"/>
          <w:szCs w:val="20"/>
          <w:color w:val="auto"/>
        </w:rPr>
        <w:t>and consultants (“</w:t>
      </w:r>
      <w:r>
        <w:rPr>
          <w:rFonts w:ascii="Arial" w:cs="Arial" w:eastAsia="Arial" w:hAnsi="Arial"/>
          <w:sz w:val="20"/>
          <w:szCs w:val="20"/>
          <w:b w:val="1"/>
          <w:bCs w:val="1"/>
          <w:color w:val="auto"/>
        </w:rPr>
        <w:t>Covered Persons</w:t>
      </w:r>
      <w:r>
        <w:rPr>
          <w:rFonts w:ascii="Arial" w:cs="Arial" w:eastAsia="Arial" w:hAnsi="Arial"/>
          <w:sz w:val="20"/>
          <w:szCs w:val="20"/>
          <w:color w:val="auto"/>
        </w:rPr>
        <w:t>”) of the Company, its subsidiaries and joint venture interests, and extends to any trading by trusts and holding companies controlled by Covered Persons. The Company expects Covered Persons will ensure compliance by family and other members of their household.</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Securities Trading Policy stipulates that the Company and its Covered Persons are subject to restric against trading in securities of the Company while in possession of material information that has not been pu disclosed. The Securities Trading Policy also prohibits hedging and derivatives trading, engaging in short and trading on margin or pledging the Company’s securities. The Securities Trading Policy is posted on Company’s website.</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Performance Graph</w:t>
      </w:r>
    </w:p>
    <w:p>
      <w:pPr>
        <w:spacing w:after="0" w:line="279" w:lineRule="exact"/>
        <w:rPr>
          <w:sz w:val="20"/>
          <w:szCs w:val="20"/>
          <w:color w:val="auto"/>
        </w:rPr>
      </w:pPr>
    </w:p>
    <w:p>
      <w:pPr>
        <w:jc w:val="both"/>
        <w:ind w:left="900" w:right="40"/>
        <w:spacing w:after="0" w:line="311" w:lineRule="auto"/>
        <w:rPr>
          <w:sz w:val="20"/>
          <w:szCs w:val="20"/>
          <w:color w:val="auto"/>
        </w:rPr>
      </w:pPr>
      <w:r>
        <w:rPr>
          <w:rFonts w:ascii="Arial" w:cs="Arial" w:eastAsia="Arial" w:hAnsi="Arial"/>
          <w:sz w:val="20"/>
          <w:szCs w:val="20"/>
          <w:color w:val="auto"/>
        </w:rPr>
        <w:t>The graph and table on the following page compare the cumulative shareholder return on a C$100 investm Shares to a similar investment in companies comprising the S&amp;P/TSX Composite Total Return Index, incl dividend reinvestment, for the period from January 1, 2020 to December 31, 2025.</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36 / 59</w:t>
      </w:r>
    </w:p>
    <w:p>
      <w:pPr>
        <w:sectPr>
          <w:pgSz w:w="11900" w:h="16838" w:orient="portrait"/>
          <w:cols w:equalWidth="0" w:num="1">
            <w:col w:w="10460"/>
          </w:cols>
          <w:pgMar w:left="1440" w:top="1440" w:right="6" w:bottom="0" w:gutter="0" w:footer="0" w:header="0"/>
          <w:type w:val="continuous"/>
        </w:sectPr>
      </w:pPr>
    </w:p>
    <w:bookmarkStart w:id="206" w:name="page207"/>
    <w:bookmarkEnd w:id="2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1653540</wp:posOffset>
            </wp:positionH>
            <wp:positionV relativeFrom="page">
              <wp:posOffset>720090</wp:posOffset>
            </wp:positionV>
            <wp:extent cx="5906770" cy="29337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0">
                      <a:clrChange>
                        <a:clrFrom>
                          <a:srgbClr val="FFFFFF"/>
                        </a:clrFrom>
                        <a:clrTo>
                          <a:srgbClr val="FFFFFF">
                            <a:alpha val="0"/>
                          </a:srgbClr>
                        </a:clrTo>
                      </a:clrChange>
                      <a:extLst>
                        <a:ext uri="{28A0092B-C50C-407E-A947-70E740481C1C}"/>
                      </a:extLst>
                    </a:blip>
                    <a:srcRect/>
                    <a:stretch>
                      <a:fillRect/>
                    </a:stretch>
                  </pic:blipFill>
                  <pic:spPr bwMode="auto">
                    <a:xfrm>
                      <a:off x="0" y="0"/>
                      <a:ext cx="5906770" cy="293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1131570</wp:posOffset>
            </wp:positionV>
            <wp:extent cx="6764020" cy="190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37 / 59</w:t>
      </w:r>
    </w:p>
    <w:p>
      <w:pPr>
        <w:sectPr>
          <w:pgSz w:w="11900" w:h="16838" w:orient="portrait"/>
          <w:cols w:equalWidth="0" w:num="1">
            <w:col w:w="9026"/>
          </w:cols>
          <w:pgMar w:left="1440" w:top="1440" w:right="1440" w:bottom="0" w:gutter="0" w:footer="0" w:header="0"/>
          <w:type w:val="continuous"/>
        </w:sectPr>
      </w:pPr>
    </w:p>
    <w:bookmarkStart w:id="207" w:name="page208"/>
    <w:bookmarkEnd w:id="2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1260" w:hanging="366"/>
        <w:spacing w:after="0" w:line="373" w:lineRule="auto"/>
        <w:tabs>
          <w:tab w:leader="none" w:pos="12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cumulative return of the Company’s Shares is based on the closing prices of the Shares on the TS December 31, 2019, 2020, 2021, 2022, 2023 and 2024 or, if there was no trading on such date, the cl price on the last trading day prior to such date. It has been assumed that upon completion of the Separ Transaction, Lithium Americas Corp. common shares received were sold on October 4, 2023, and tha proceeds were reinvested in the Shares.</w:t>
      </w:r>
    </w:p>
    <w:p>
      <w:pPr>
        <w:spacing w:after="0" w:line="132" w:lineRule="exact"/>
        <w:rPr>
          <w:rFonts w:ascii="Arial" w:cs="Arial" w:eastAsia="Arial" w:hAnsi="Arial"/>
          <w:sz w:val="20"/>
          <w:szCs w:val="20"/>
          <w:color w:val="auto"/>
        </w:rPr>
      </w:pPr>
    </w:p>
    <w:p>
      <w:pPr>
        <w:ind w:left="1260" w:hanging="366"/>
        <w:spacing w:after="0" w:line="368" w:lineRule="auto"/>
        <w:tabs>
          <w:tab w:leader="none" w:pos="12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S&amp;P/TSX Composite Total Return Index is a total return index (C$), the calculation of which incl dividends and distributions reinvested.</w:t>
      </w:r>
    </w:p>
    <w:p>
      <w:pPr>
        <w:spacing w:after="0" w:line="171" w:lineRule="exact"/>
        <w:rPr>
          <w:sz w:val="20"/>
          <w:szCs w:val="20"/>
          <w:color w:val="auto"/>
        </w:rPr>
      </w:pPr>
    </w:p>
    <w:p>
      <w:pPr>
        <w:jc w:val="both"/>
        <w:ind w:left="900"/>
        <w:spacing w:after="0" w:line="332" w:lineRule="auto"/>
        <w:rPr>
          <w:sz w:val="20"/>
          <w:szCs w:val="20"/>
          <w:color w:val="auto"/>
        </w:rPr>
      </w:pPr>
      <w:r>
        <w:rPr>
          <w:rFonts w:ascii="Arial" w:cs="Arial" w:eastAsia="Arial" w:hAnsi="Arial"/>
          <w:sz w:val="19"/>
          <w:szCs w:val="19"/>
          <w:color w:val="auto"/>
        </w:rPr>
        <w:t>As shown in the graph above, during the fiscal year ended December 31, 2025, the Company’s Common S price declined relative to the S&amp;P/TSX Composite Total Return Index. This followed a period of signif outperformance in earlier years, particularly through 2021 and 2022, when the Company’s share price ben from strong investor interest in lithium development assets and key project milestones. While the Comp relative share price performance moderated during 2023, 2024 and 2025, the cumulative shareholder return the full five-year period remained meaningfully higher than that of the S&amp;P/TSX Composite Total Return I The Company believes that the more recent decline in share price performance was driven primarily by ext factors, including a sustained downturn in lithium commodity prices, broader macroeconomic conditions, headwinds affecting electric vehicle demand, including elevated interest rates and inflation. Over the same p the price of lithium declined by approximately 40%, which negatively impacted equity valuations across the s</w:t>
      </w:r>
    </w:p>
    <w:p>
      <w:pPr>
        <w:spacing w:after="0" w:line="196" w:lineRule="exact"/>
        <w:rPr>
          <w:sz w:val="20"/>
          <w:szCs w:val="20"/>
          <w:color w:val="auto"/>
        </w:rPr>
      </w:pPr>
    </w:p>
    <w:p>
      <w:pPr>
        <w:ind w:left="900"/>
        <w:spacing w:after="0" w:line="314" w:lineRule="auto"/>
        <w:rPr>
          <w:sz w:val="20"/>
          <w:szCs w:val="20"/>
          <w:color w:val="auto"/>
        </w:rPr>
      </w:pPr>
      <w:r>
        <w:rPr>
          <w:rFonts w:ascii="Arial" w:cs="Arial" w:eastAsia="Arial" w:hAnsi="Arial"/>
          <w:sz w:val="20"/>
          <w:szCs w:val="20"/>
          <w:color w:val="auto"/>
        </w:rPr>
        <w:t>The trend in overall compensation paid to the Company’s executive officers over this period has not dir tracked short-term fluctuations in the market price of the Common Shares or the S&amp;P/TSX Composite Return Index. However, as a significant portion of executive compensation is delivered through equity-b awards, executive compensation remains substantially aligned with long-term shareholder value creatio addition, the unique circumstances faced by the Company in 2025 required significant management effort leadership, including the continued ramp-up and operational execution at Cauchari-Olaroz, the completion o Company’s corporate migration to Switzerland and rebranding, and the advancement of a scalable reg growth platform through the announced consolidation of the Pozuelos and Pastos Grandes basins with Gan Lithium, together with related development planning, permitting and liquidity initiatives. Given the Comp stage of development and exposure to commodity price cycles, the market price of the Common Shares m volatile and is not a primary determinant of annual cash compensation. The value of long-term ince compensation in the form of performance share units (“</w:t>
      </w:r>
      <w:r>
        <w:rPr>
          <w:rFonts w:ascii="Arial" w:cs="Arial" w:eastAsia="Arial" w:hAnsi="Arial"/>
          <w:sz w:val="20"/>
          <w:szCs w:val="20"/>
          <w:b w:val="1"/>
          <w:bCs w:val="1"/>
          <w:color w:val="auto"/>
        </w:rPr>
        <w:t>PSUs</w:t>
      </w:r>
      <w:r>
        <w:rPr>
          <w:rFonts w:ascii="Arial" w:cs="Arial" w:eastAsia="Arial" w:hAnsi="Arial"/>
          <w:sz w:val="20"/>
          <w:szCs w:val="20"/>
          <w:color w:val="auto"/>
        </w:rPr>
        <w:t>”) and restricted share units (“RSUs”) rem directly influenced by Common Share price performance.</w:t>
      </w:r>
    </w:p>
    <w:p>
      <w:pPr>
        <w:spacing w:after="0" w:line="206"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Summary Compensation Table</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table below sets out all compensation for Named Executives for the 2025, 2024 and 2023 fiscal y including direct and indirect compensation. Named Executives who are also directors of the Company ar compensated for their services as directors. Incentive securities issued by the Company in replacement o incentive securities of the Company pursuant to the previously-completed reorganization are not factored int calculation of the amounts disclosed in the tables below.</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38 / 59</w:t>
      </w:r>
    </w:p>
    <w:p>
      <w:pPr>
        <w:sectPr>
          <w:pgSz w:w="11900" w:h="16838" w:orient="portrait"/>
          <w:cols w:equalWidth="0" w:num="1">
            <w:col w:w="10460"/>
          </w:cols>
          <w:pgMar w:left="1440" w:top="1440" w:right="6" w:bottom="0" w:gutter="0" w:footer="0" w:header="0"/>
          <w:type w:val="continuous"/>
        </w:sectPr>
      </w:pPr>
    </w:p>
    <w:bookmarkStart w:id="208" w:name="page209"/>
    <w:bookmarkEnd w:id="2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1826260</wp:posOffset>
            </wp:positionV>
            <wp:extent cx="6764020" cy="190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39 / 59</w:t>
      </w:r>
    </w:p>
    <w:p>
      <w:pPr>
        <w:sectPr>
          <w:pgSz w:w="11900" w:h="16838" w:orient="portrait"/>
          <w:cols w:equalWidth="0" w:num="1">
            <w:col w:w="9026"/>
          </w:cols>
          <w:pgMar w:left="1440" w:top="1440" w:right="1440" w:bottom="0" w:gutter="0" w:footer="0" w:header="0"/>
        </w:sectPr>
      </w:pPr>
    </w:p>
    <w:bookmarkStart w:id="209" w:name="page210"/>
    <w:bookmarkEnd w:id="2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In 2025, concurrent with the Company’s continuation to Switzerland, the Company entered into new employ agreements with John Kanellitsas, Executive Chair, Sam Pigott, President &amp; CEO (Executive Director &amp; CE of January 1, 2026), Alec Meikle, Executive Vice President, Corporate Development (President as of Janua 2026), and Alex Shulga, Vice President and CFO, to ensure compliance with Swiss law, including amendme provisions relating to termination and termination upon a change of control. In consideration for entering these agreements, the Company made a one-time grant of RSUs to the executives with an aggregate grant fair value of $3,856,246 and which is disclosed in the column “All Other Compensation” in the table belo addition, the column “All Other Compensation” in the table below contains the At-Risk STI and Specia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191770</wp:posOffset>
            </wp:positionV>
            <wp:extent cx="6350" cy="513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3">
                      <a:extLst>
                        <a:ext uri="{28A0092B-C50C-407E-A947-70E740481C1C}"/>
                      </a:extLst>
                    </a:blip>
                    <a:srcRect/>
                    <a:stretch>
                      <a:fillRect/>
                    </a:stretch>
                  </pic:blipFill>
                  <pic:spPr bwMode="auto">
                    <a:xfrm>
                      <a:off x="0" y="0"/>
                      <a:ext cx="6350" cy="51371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191770</wp:posOffset>
            </wp:positionV>
            <wp:extent cx="6350" cy="513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4">
                      <a:extLst>
                        <a:ext uri="{28A0092B-C50C-407E-A947-70E740481C1C}"/>
                      </a:extLst>
                    </a:blip>
                    <a:srcRect/>
                    <a:stretch>
                      <a:fillRect/>
                    </a:stretch>
                  </pic:blipFill>
                  <pic:spPr bwMode="auto">
                    <a:xfrm>
                      <a:off x="0" y="0"/>
                      <a:ext cx="6350" cy="513715"/>
                    </a:xfrm>
                    <a:prstGeom prst="rect">
                      <a:avLst/>
                    </a:prstGeom>
                    <a:noFill/>
                  </pic:spPr>
                </pic:pic>
              </a:graphicData>
            </a:graphic>
          </wp:anchor>
        </w:drawing>
        <w:drawing>
          <wp:anchor simplePos="0" relativeHeight="251657728" behindDoc="1" locked="0" layoutInCell="0" allowOverlap="1">
            <wp:simplePos x="0" y="0"/>
            <wp:positionH relativeFrom="column">
              <wp:posOffset>2870835</wp:posOffset>
            </wp:positionH>
            <wp:positionV relativeFrom="paragraph">
              <wp:posOffset>191770</wp:posOffset>
            </wp:positionV>
            <wp:extent cx="3467100" cy="513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5">
                      <a:extLst>
                        <a:ext uri="{28A0092B-C50C-407E-A947-70E740481C1C}"/>
                      </a:extLst>
                    </a:blip>
                    <a:srcRect/>
                    <a:stretch>
                      <a:fillRect/>
                    </a:stretch>
                  </pic:blipFill>
                  <pic:spPr bwMode="auto">
                    <a:xfrm>
                      <a:off x="0" y="0"/>
                      <a:ext cx="3467100" cy="513715"/>
                    </a:xfrm>
                    <a:prstGeom prst="rect">
                      <a:avLst/>
                    </a:prstGeom>
                    <a:noFill/>
                  </pic:spPr>
                </pic:pic>
              </a:graphicData>
            </a:graphic>
          </wp:anchor>
        </w:drawing>
      </w:r>
    </w:p>
    <w:p>
      <w:pPr>
        <w:spacing w:after="0" w:line="282" w:lineRule="exact"/>
        <w:rPr>
          <w:sz w:val="20"/>
          <w:szCs w:val="20"/>
          <w:color w:val="auto"/>
        </w:rPr>
      </w:pPr>
    </w:p>
    <w:tbl>
      <w:tblPr>
        <w:tblLayout w:type="fixed"/>
        <w:tblInd w:w="900" w:type="dxa"/>
        <w:tblCellMar>
          <w:top w:w="0" w:type="dxa"/>
          <w:left w:w="0" w:type="dxa"/>
          <w:bottom w:w="0" w:type="dxa"/>
          <w:right w:w="0" w:type="dxa"/>
        </w:tblCellMar>
      </w:tblPr>
      <w:tr>
        <w:trPr>
          <w:trHeight w:val="183"/>
        </w:trPr>
        <w:tc>
          <w:tcPr>
            <w:tcW w:w="1880" w:type="dxa"/>
            <w:vAlign w:val="bottom"/>
            <w:shd w:val="clear" w:color="auto" w:fill="153A57"/>
          </w:tcPr>
          <w:p>
            <w:pPr>
              <w:spacing w:after="0"/>
              <w:rPr>
                <w:sz w:val="15"/>
                <w:szCs w:val="15"/>
                <w:color w:val="auto"/>
              </w:rPr>
            </w:pPr>
          </w:p>
        </w:tc>
        <w:tc>
          <w:tcPr>
            <w:tcW w:w="840" w:type="dxa"/>
            <w:vAlign w:val="bottom"/>
            <w:shd w:val="clear" w:color="auto" w:fill="153A57"/>
          </w:tcPr>
          <w:p>
            <w:pPr>
              <w:spacing w:after="0"/>
              <w:rPr>
                <w:sz w:val="15"/>
                <w:szCs w:val="15"/>
                <w:color w:val="auto"/>
              </w:rPr>
            </w:pPr>
          </w:p>
        </w:tc>
        <w:tc>
          <w:tcPr>
            <w:tcW w:w="960" w:type="dxa"/>
            <w:vAlign w:val="bottom"/>
            <w:shd w:val="clear" w:color="auto" w:fill="153A57"/>
          </w:tcPr>
          <w:p>
            <w:pPr>
              <w:spacing w:after="0"/>
              <w:rPr>
                <w:sz w:val="15"/>
                <w:szCs w:val="15"/>
                <w:color w:val="auto"/>
              </w:rPr>
            </w:pPr>
          </w:p>
        </w:tc>
        <w:tc>
          <w:tcPr>
            <w:tcW w:w="1100" w:type="dxa"/>
            <w:vAlign w:val="bottom"/>
            <w:shd w:val="clear" w:color="auto" w:fill="153A57"/>
          </w:tcPr>
          <w:p>
            <w:pPr>
              <w:spacing w:after="0"/>
              <w:rPr>
                <w:sz w:val="15"/>
                <w:szCs w:val="15"/>
                <w:color w:val="auto"/>
              </w:rPr>
            </w:pPr>
          </w:p>
        </w:tc>
        <w:tc>
          <w:tcPr>
            <w:tcW w:w="1080" w:type="dxa"/>
            <w:vAlign w:val="bottom"/>
            <w:shd w:val="clear" w:color="auto" w:fill="153A57"/>
          </w:tcPr>
          <w:p>
            <w:pPr>
              <w:spacing w:after="0"/>
              <w:rPr>
                <w:sz w:val="15"/>
                <w:szCs w:val="15"/>
                <w:color w:val="auto"/>
              </w:rPr>
            </w:pPr>
          </w:p>
        </w:tc>
        <w:tc>
          <w:tcPr>
            <w:tcW w:w="1180" w:type="dxa"/>
            <w:vAlign w:val="bottom"/>
            <w:shd w:val="clear" w:color="auto" w:fill="153A57"/>
          </w:tcPr>
          <w:p>
            <w:pPr>
              <w:jc w:val="center"/>
              <w:ind w:right="58"/>
              <w:spacing w:after="0"/>
              <w:rPr>
                <w:sz w:val="20"/>
                <w:szCs w:val="20"/>
                <w:color w:val="auto"/>
              </w:rPr>
            </w:pPr>
            <w:r>
              <w:rPr>
                <w:rFonts w:ascii="Arial" w:cs="Arial" w:eastAsia="Arial" w:hAnsi="Arial"/>
                <w:sz w:val="13"/>
                <w:szCs w:val="13"/>
                <w:b w:val="1"/>
                <w:bCs w:val="1"/>
                <w:color w:val="FFFFFF"/>
              </w:rPr>
              <w:t>Non-Equity</w:t>
            </w:r>
          </w:p>
        </w:tc>
        <w:tc>
          <w:tcPr>
            <w:tcW w:w="980" w:type="dxa"/>
            <w:vAlign w:val="bottom"/>
            <w:shd w:val="clear" w:color="auto" w:fill="153A57"/>
          </w:tcPr>
          <w:p>
            <w:pPr>
              <w:spacing w:after="0"/>
              <w:rPr>
                <w:sz w:val="15"/>
                <w:szCs w:val="15"/>
                <w:color w:val="auto"/>
              </w:rPr>
            </w:pPr>
          </w:p>
        </w:tc>
        <w:tc>
          <w:tcPr>
            <w:tcW w:w="760" w:type="dxa"/>
            <w:vAlign w:val="bottom"/>
            <w:shd w:val="clear" w:color="auto" w:fill="153A57"/>
          </w:tcPr>
          <w:p>
            <w:pPr>
              <w:spacing w:after="0"/>
              <w:rPr>
                <w:sz w:val="15"/>
                <w:szCs w:val="15"/>
                <w:color w:val="auto"/>
              </w:rPr>
            </w:pPr>
          </w:p>
        </w:tc>
        <w:tc>
          <w:tcPr>
            <w:tcW w:w="280" w:type="dxa"/>
            <w:vAlign w:val="bottom"/>
            <w:shd w:val="clear" w:color="auto" w:fill="153A57"/>
          </w:tcPr>
          <w:p>
            <w:pPr>
              <w:spacing w:after="0"/>
              <w:rPr>
                <w:sz w:val="15"/>
                <w:szCs w:val="15"/>
                <w:color w:val="auto"/>
              </w:rPr>
            </w:pPr>
          </w:p>
        </w:tc>
        <w:tc>
          <w:tcPr>
            <w:tcW w:w="500" w:type="dxa"/>
            <w:vAlign w:val="bottom"/>
            <w:shd w:val="clear" w:color="auto" w:fill="153A5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80" w:type="dxa"/>
            <w:vAlign w:val="bottom"/>
            <w:shd w:val="clear" w:color="auto" w:fill="153A57"/>
          </w:tcPr>
          <w:p>
            <w:pPr>
              <w:spacing w:after="0"/>
              <w:rPr>
                <w:sz w:val="17"/>
                <w:szCs w:val="17"/>
                <w:color w:val="auto"/>
              </w:rPr>
            </w:pPr>
          </w:p>
        </w:tc>
        <w:tc>
          <w:tcPr>
            <w:tcW w:w="840" w:type="dxa"/>
            <w:vAlign w:val="bottom"/>
            <w:shd w:val="clear" w:color="auto" w:fill="153A57"/>
          </w:tcPr>
          <w:p>
            <w:pPr>
              <w:spacing w:after="0"/>
              <w:rPr>
                <w:sz w:val="17"/>
                <w:szCs w:val="17"/>
                <w:color w:val="auto"/>
              </w:rPr>
            </w:pPr>
          </w:p>
        </w:tc>
        <w:tc>
          <w:tcPr>
            <w:tcW w:w="960" w:type="dxa"/>
            <w:vAlign w:val="bottom"/>
            <w:shd w:val="clear" w:color="auto" w:fill="153A57"/>
          </w:tcPr>
          <w:p>
            <w:pPr>
              <w:spacing w:after="0"/>
              <w:rPr>
                <w:sz w:val="17"/>
                <w:szCs w:val="17"/>
                <w:color w:val="auto"/>
              </w:rPr>
            </w:pPr>
          </w:p>
        </w:tc>
        <w:tc>
          <w:tcPr>
            <w:tcW w:w="1100" w:type="dxa"/>
            <w:vAlign w:val="bottom"/>
            <w:shd w:val="clear" w:color="auto" w:fill="153A57"/>
          </w:tcPr>
          <w:p>
            <w:pPr>
              <w:spacing w:after="0"/>
              <w:rPr>
                <w:sz w:val="17"/>
                <w:szCs w:val="17"/>
                <w:color w:val="auto"/>
              </w:rPr>
            </w:pPr>
          </w:p>
        </w:tc>
        <w:tc>
          <w:tcPr>
            <w:tcW w:w="1080" w:type="dxa"/>
            <w:vAlign w:val="bottom"/>
            <w:shd w:val="clear" w:color="auto" w:fill="153A57"/>
          </w:tcPr>
          <w:p>
            <w:pPr>
              <w:spacing w:after="0"/>
              <w:rPr>
                <w:sz w:val="17"/>
                <w:szCs w:val="17"/>
                <w:color w:val="auto"/>
              </w:rPr>
            </w:pPr>
          </w:p>
        </w:tc>
        <w:tc>
          <w:tcPr>
            <w:tcW w:w="1180" w:type="dxa"/>
            <w:vAlign w:val="bottom"/>
            <w:shd w:val="clear" w:color="auto" w:fill="153A57"/>
          </w:tcPr>
          <w:p>
            <w:pPr>
              <w:jc w:val="center"/>
              <w:ind w:right="78"/>
              <w:spacing w:after="0"/>
              <w:rPr>
                <w:sz w:val="20"/>
                <w:szCs w:val="20"/>
                <w:color w:val="auto"/>
              </w:rPr>
            </w:pPr>
            <w:r>
              <w:rPr>
                <w:rFonts w:ascii="Arial" w:cs="Arial" w:eastAsia="Arial" w:hAnsi="Arial"/>
                <w:sz w:val="13"/>
                <w:szCs w:val="13"/>
                <w:b w:val="1"/>
                <w:bCs w:val="1"/>
                <w:color w:val="FFFFFF"/>
              </w:rPr>
              <w:t>Incentive Plan</w:t>
            </w:r>
          </w:p>
        </w:tc>
        <w:tc>
          <w:tcPr>
            <w:tcW w:w="980" w:type="dxa"/>
            <w:vAlign w:val="bottom"/>
            <w:shd w:val="clear" w:color="auto" w:fill="153A57"/>
          </w:tcPr>
          <w:p>
            <w:pPr>
              <w:spacing w:after="0"/>
              <w:rPr>
                <w:sz w:val="17"/>
                <w:szCs w:val="17"/>
                <w:color w:val="auto"/>
              </w:rPr>
            </w:pPr>
          </w:p>
        </w:tc>
        <w:tc>
          <w:tcPr>
            <w:tcW w:w="760" w:type="dxa"/>
            <w:vAlign w:val="bottom"/>
            <w:shd w:val="clear" w:color="auto" w:fill="153A57"/>
          </w:tcPr>
          <w:p>
            <w:pPr>
              <w:spacing w:after="0"/>
              <w:rPr>
                <w:sz w:val="17"/>
                <w:szCs w:val="17"/>
                <w:color w:val="auto"/>
              </w:rPr>
            </w:pPr>
          </w:p>
        </w:tc>
        <w:tc>
          <w:tcPr>
            <w:tcW w:w="280" w:type="dxa"/>
            <w:vAlign w:val="bottom"/>
            <w:shd w:val="clear" w:color="auto" w:fill="153A57"/>
          </w:tcPr>
          <w:p>
            <w:pPr>
              <w:spacing w:after="0"/>
              <w:rPr>
                <w:sz w:val="17"/>
                <w:szCs w:val="17"/>
                <w:color w:val="auto"/>
              </w:rPr>
            </w:pPr>
          </w:p>
        </w:tc>
        <w:tc>
          <w:tcPr>
            <w:tcW w:w="500" w:type="dxa"/>
            <w:vAlign w:val="bottom"/>
            <w:shd w:val="clear" w:color="auto" w:fill="153A5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80" w:type="dxa"/>
            <w:vAlign w:val="bottom"/>
            <w:shd w:val="clear" w:color="auto" w:fill="153A57"/>
          </w:tcPr>
          <w:p>
            <w:pPr>
              <w:spacing w:after="0"/>
              <w:rPr>
                <w:sz w:val="17"/>
                <w:szCs w:val="17"/>
                <w:color w:val="auto"/>
              </w:rPr>
            </w:pPr>
          </w:p>
        </w:tc>
        <w:tc>
          <w:tcPr>
            <w:tcW w:w="840" w:type="dxa"/>
            <w:vAlign w:val="bottom"/>
            <w:shd w:val="clear" w:color="auto" w:fill="153A57"/>
          </w:tcPr>
          <w:p>
            <w:pPr>
              <w:spacing w:after="0"/>
              <w:rPr>
                <w:sz w:val="17"/>
                <w:szCs w:val="17"/>
                <w:color w:val="auto"/>
              </w:rPr>
            </w:pPr>
          </w:p>
        </w:tc>
        <w:tc>
          <w:tcPr>
            <w:tcW w:w="960" w:type="dxa"/>
            <w:vAlign w:val="bottom"/>
            <w:shd w:val="clear" w:color="auto" w:fill="153A57"/>
          </w:tcPr>
          <w:p>
            <w:pPr>
              <w:spacing w:after="0"/>
              <w:rPr>
                <w:sz w:val="17"/>
                <w:szCs w:val="17"/>
                <w:color w:val="auto"/>
              </w:rPr>
            </w:pPr>
          </w:p>
        </w:tc>
        <w:tc>
          <w:tcPr>
            <w:tcW w:w="2180" w:type="dxa"/>
            <w:vAlign w:val="bottom"/>
            <w:gridSpan w:val="2"/>
            <w:shd w:val="clear" w:color="auto" w:fill="153A57"/>
          </w:tcPr>
          <w:p>
            <w:pPr>
              <w:jc w:val="right"/>
              <w:ind w:right="679"/>
              <w:spacing w:after="0"/>
              <w:rPr>
                <w:sz w:val="20"/>
                <w:szCs w:val="20"/>
                <w:color w:val="auto"/>
              </w:rPr>
            </w:pPr>
            <w:r>
              <w:rPr>
                <w:rFonts w:ascii="Arial" w:cs="Arial" w:eastAsia="Arial" w:hAnsi="Arial"/>
                <w:sz w:val="13"/>
                <w:szCs w:val="13"/>
                <w:b w:val="1"/>
                <w:bCs w:val="1"/>
                <w:color w:val="FFFFFF"/>
              </w:rPr>
              <w:t>Equity-Based</w:t>
            </w:r>
          </w:p>
        </w:tc>
        <w:tc>
          <w:tcPr>
            <w:tcW w:w="1180" w:type="dxa"/>
            <w:vAlign w:val="bottom"/>
            <w:shd w:val="clear" w:color="auto" w:fill="153A57"/>
          </w:tcPr>
          <w:p>
            <w:pPr>
              <w:jc w:val="center"/>
              <w:ind w:right="58"/>
              <w:spacing w:after="0"/>
              <w:rPr>
                <w:sz w:val="20"/>
                <w:szCs w:val="20"/>
                <w:color w:val="auto"/>
              </w:rPr>
            </w:pPr>
            <w:r>
              <w:rPr>
                <w:rFonts w:ascii="Arial" w:cs="Arial" w:eastAsia="Arial" w:hAnsi="Arial"/>
                <w:sz w:val="13"/>
                <w:szCs w:val="13"/>
                <w:b w:val="1"/>
                <w:bCs w:val="1"/>
                <w:color w:val="FFFFFF"/>
                <w:w w:val="99"/>
              </w:rPr>
              <w:t>Compensation</w:t>
            </w:r>
          </w:p>
        </w:tc>
        <w:tc>
          <w:tcPr>
            <w:tcW w:w="980" w:type="dxa"/>
            <w:vAlign w:val="bottom"/>
            <w:shd w:val="clear" w:color="auto" w:fill="153A57"/>
          </w:tcPr>
          <w:p>
            <w:pPr>
              <w:spacing w:after="0"/>
              <w:rPr>
                <w:sz w:val="17"/>
                <w:szCs w:val="17"/>
                <w:color w:val="auto"/>
              </w:rPr>
            </w:pPr>
          </w:p>
        </w:tc>
        <w:tc>
          <w:tcPr>
            <w:tcW w:w="760" w:type="dxa"/>
            <w:vAlign w:val="bottom"/>
            <w:shd w:val="clear" w:color="auto" w:fill="153A57"/>
          </w:tcPr>
          <w:p>
            <w:pPr>
              <w:spacing w:after="0"/>
              <w:rPr>
                <w:sz w:val="17"/>
                <w:szCs w:val="17"/>
                <w:color w:val="auto"/>
              </w:rPr>
            </w:pPr>
          </w:p>
        </w:tc>
        <w:tc>
          <w:tcPr>
            <w:tcW w:w="280" w:type="dxa"/>
            <w:vAlign w:val="bottom"/>
            <w:shd w:val="clear" w:color="auto" w:fill="153A57"/>
          </w:tcPr>
          <w:p>
            <w:pPr>
              <w:spacing w:after="0"/>
              <w:rPr>
                <w:sz w:val="17"/>
                <w:szCs w:val="17"/>
                <w:color w:val="auto"/>
              </w:rPr>
            </w:pPr>
          </w:p>
        </w:tc>
        <w:tc>
          <w:tcPr>
            <w:tcW w:w="500" w:type="dxa"/>
            <w:vAlign w:val="bottom"/>
            <w:shd w:val="clear" w:color="auto" w:fill="153A5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80" w:type="dxa"/>
            <w:vAlign w:val="bottom"/>
            <w:shd w:val="clear" w:color="auto" w:fill="153A57"/>
          </w:tcPr>
          <w:p>
            <w:pPr>
              <w:spacing w:after="0"/>
              <w:rPr>
                <w:sz w:val="17"/>
                <w:szCs w:val="17"/>
                <w:color w:val="auto"/>
              </w:rPr>
            </w:pPr>
          </w:p>
        </w:tc>
        <w:tc>
          <w:tcPr>
            <w:tcW w:w="840" w:type="dxa"/>
            <w:vAlign w:val="bottom"/>
            <w:shd w:val="clear" w:color="auto" w:fill="153A57"/>
          </w:tcPr>
          <w:p>
            <w:pPr>
              <w:spacing w:after="0"/>
              <w:rPr>
                <w:sz w:val="17"/>
                <w:szCs w:val="17"/>
                <w:color w:val="auto"/>
              </w:rPr>
            </w:pPr>
          </w:p>
        </w:tc>
        <w:tc>
          <w:tcPr>
            <w:tcW w:w="960" w:type="dxa"/>
            <w:vAlign w:val="bottom"/>
            <w:shd w:val="clear" w:color="auto" w:fill="153A57"/>
          </w:tcPr>
          <w:p>
            <w:pPr>
              <w:spacing w:after="0"/>
              <w:rPr>
                <w:sz w:val="17"/>
                <w:szCs w:val="17"/>
                <w:color w:val="auto"/>
              </w:rPr>
            </w:pPr>
          </w:p>
        </w:tc>
        <w:tc>
          <w:tcPr>
            <w:tcW w:w="2180" w:type="dxa"/>
            <w:vAlign w:val="bottom"/>
            <w:gridSpan w:val="2"/>
            <w:shd w:val="clear" w:color="auto" w:fill="153A57"/>
          </w:tcPr>
          <w:p>
            <w:pPr>
              <w:jc w:val="right"/>
              <w:ind w:right="459"/>
              <w:spacing w:after="0"/>
              <w:rPr>
                <w:sz w:val="20"/>
                <w:szCs w:val="20"/>
                <w:color w:val="auto"/>
              </w:rPr>
            </w:pPr>
            <w:r>
              <w:rPr>
                <w:rFonts w:ascii="Arial" w:cs="Arial" w:eastAsia="Arial" w:hAnsi="Arial"/>
                <w:sz w:val="13"/>
                <w:szCs w:val="13"/>
                <w:b w:val="1"/>
                <w:bCs w:val="1"/>
                <w:color w:val="FFFFFF"/>
              </w:rPr>
              <w:t>Compensation (US$)</w:t>
            </w:r>
          </w:p>
        </w:tc>
        <w:tc>
          <w:tcPr>
            <w:tcW w:w="1180" w:type="dxa"/>
            <w:vAlign w:val="bottom"/>
            <w:shd w:val="clear" w:color="auto" w:fill="153A57"/>
          </w:tcPr>
          <w:p>
            <w:pPr>
              <w:jc w:val="center"/>
              <w:ind w:right="58"/>
              <w:spacing w:after="0"/>
              <w:rPr>
                <w:sz w:val="20"/>
                <w:szCs w:val="20"/>
                <w:color w:val="auto"/>
              </w:rPr>
            </w:pPr>
            <w:r>
              <w:rPr>
                <w:rFonts w:ascii="Arial" w:cs="Arial" w:eastAsia="Arial" w:hAnsi="Arial"/>
                <w:sz w:val="13"/>
                <w:szCs w:val="13"/>
                <w:b w:val="1"/>
                <w:bCs w:val="1"/>
                <w:color w:val="FFFFFF"/>
              </w:rPr>
              <w:t>(US$)</w:t>
            </w:r>
          </w:p>
        </w:tc>
        <w:tc>
          <w:tcPr>
            <w:tcW w:w="980" w:type="dxa"/>
            <w:vAlign w:val="bottom"/>
            <w:shd w:val="clear" w:color="auto" w:fill="153A57"/>
          </w:tcPr>
          <w:p>
            <w:pPr>
              <w:spacing w:after="0"/>
              <w:rPr>
                <w:sz w:val="17"/>
                <w:szCs w:val="17"/>
                <w:color w:val="auto"/>
              </w:rPr>
            </w:pPr>
          </w:p>
        </w:tc>
        <w:tc>
          <w:tcPr>
            <w:tcW w:w="760" w:type="dxa"/>
            <w:vAlign w:val="bottom"/>
            <w:shd w:val="clear" w:color="auto" w:fill="153A57"/>
          </w:tcPr>
          <w:p>
            <w:pPr>
              <w:spacing w:after="0"/>
              <w:rPr>
                <w:sz w:val="17"/>
                <w:szCs w:val="17"/>
                <w:color w:val="auto"/>
              </w:rPr>
            </w:pPr>
          </w:p>
        </w:tc>
        <w:tc>
          <w:tcPr>
            <w:tcW w:w="280" w:type="dxa"/>
            <w:vAlign w:val="bottom"/>
            <w:shd w:val="clear" w:color="auto" w:fill="153A57"/>
          </w:tcPr>
          <w:p>
            <w:pPr>
              <w:spacing w:after="0"/>
              <w:rPr>
                <w:sz w:val="17"/>
                <w:szCs w:val="17"/>
                <w:color w:val="auto"/>
              </w:rPr>
            </w:pPr>
          </w:p>
        </w:tc>
        <w:tc>
          <w:tcPr>
            <w:tcW w:w="500" w:type="dxa"/>
            <w:vAlign w:val="bottom"/>
            <w:shd w:val="clear" w:color="auto" w:fill="153A57"/>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880" w:type="dxa"/>
            <w:vAlign w:val="bottom"/>
            <w:shd w:val="clear" w:color="auto" w:fill="153A57"/>
          </w:tcPr>
          <w:p>
            <w:pPr>
              <w:spacing w:after="0"/>
              <w:rPr>
                <w:sz w:val="19"/>
                <w:szCs w:val="19"/>
                <w:color w:val="auto"/>
              </w:rPr>
            </w:pPr>
          </w:p>
        </w:tc>
        <w:tc>
          <w:tcPr>
            <w:tcW w:w="840" w:type="dxa"/>
            <w:vAlign w:val="bottom"/>
            <w:shd w:val="clear" w:color="auto" w:fill="153A57"/>
          </w:tcPr>
          <w:p>
            <w:pPr>
              <w:spacing w:after="0"/>
              <w:rPr>
                <w:sz w:val="19"/>
                <w:szCs w:val="19"/>
                <w:color w:val="auto"/>
              </w:rPr>
            </w:pPr>
          </w:p>
        </w:tc>
        <w:tc>
          <w:tcPr>
            <w:tcW w:w="960" w:type="dxa"/>
            <w:vAlign w:val="bottom"/>
            <w:shd w:val="clear" w:color="auto" w:fill="153A57"/>
          </w:tcPr>
          <w:p>
            <w:pPr>
              <w:spacing w:after="0"/>
              <w:rPr>
                <w:sz w:val="19"/>
                <w:szCs w:val="19"/>
                <w:color w:val="auto"/>
              </w:rPr>
            </w:pPr>
          </w:p>
        </w:tc>
        <w:tc>
          <w:tcPr>
            <w:tcW w:w="1100" w:type="dxa"/>
            <w:vAlign w:val="bottom"/>
            <w:shd w:val="clear" w:color="auto" w:fill="153A57"/>
          </w:tcPr>
          <w:p>
            <w:pPr>
              <w:jc w:val="center"/>
              <w:ind w:right="40"/>
              <w:spacing w:after="0"/>
              <w:rPr>
                <w:sz w:val="20"/>
                <w:szCs w:val="20"/>
                <w:color w:val="auto"/>
              </w:rPr>
            </w:pPr>
            <w:r>
              <w:rPr>
                <w:rFonts w:ascii="Arial" w:cs="Arial" w:eastAsia="Arial" w:hAnsi="Arial"/>
                <w:sz w:val="13"/>
                <w:szCs w:val="13"/>
                <w:b w:val="1"/>
                <w:bCs w:val="1"/>
                <w:color w:val="FFFFFF"/>
              </w:rPr>
              <w:t>Share-Based</w:t>
            </w:r>
          </w:p>
        </w:tc>
        <w:tc>
          <w:tcPr>
            <w:tcW w:w="1080" w:type="dxa"/>
            <w:vAlign w:val="bottom"/>
            <w:shd w:val="clear" w:color="auto" w:fill="153A57"/>
          </w:tcPr>
          <w:p>
            <w:pPr>
              <w:spacing w:after="0"/>
              <w:rPr>
                <w:sz w:val="19"/>
                <w:szCs w:val="19"/>
                <w:color w:val="auto"/>
              </w:rPr>
            </w:pPr>
          </w:p>
        </w:tc>
        <w:tc>
          <w:tcPr>
            <w:tcW w:w="1180" w:type="dxa"/>
            <w:vAlign w:val="bottom"/>
            <w:shd w:val="clear" w:color="auto" w:fill="153A57"/>
          </w:tcPr>
          <w:p>
            <w:pPr>
              <w:jc w:val="center"/>
              <w:ind w:right="78"/>
              <w:spacing w:after="0"/>
              <w:rPr>
                <w:sz w:val="20"/>
                <w:szCs w:val="20"/>
                <w:color w:val="auto"/>
              </w:rPr>
            </w:pPr>
            <w:r>
              <w:rPr>
                <w:rFonts w:ascii="Arial" w:cs="Arial" w:eastAsia="Arial" w:hAnsi="Arial"/>
                <w:sz w:val="13"/>
                <w:szCs w:val="13"/>
                <w:b w:val="1"/>
                <w:bCs w:val="1"/>
                <w:color w:val="FFFFFF"/>
                <w:w w:val="99"/>
              </w:rPr>
              <w:t>Annual</w:t>
            </w:r>
          </w:p>
        </w:tc>
        <w:tc>
          <w:tcPr>
            <w:tcW w:w="980" w:type="dxa"/>
            <w:vAlign w:val="bottom"/>
            <w:shd w:val="clear" w:color="auto" w:fill="153A57"/>
          </w:tcPr>
          <w:p>
            <w:pPr>
              <w:spacing w:after="0"/>
              <w:rPr>
                <w:sz w:val="19"/>
                <w:szCs w:val="19"/>
                <w:color w:val="auto"/>
              </w:rPr>
            </w:pPr>
          </w:p>
        </w:tc>
        <w:tc>
          <w:tcPr>
            <w:tcW w:w="1040" w:type="dxa"/>
            <w:vAlign w:val="bottom"/>
            <w:gridSpan w:val="2"/>
            <w:shd w:val="clear" w:color="auto" w:fill="153A57"/>
          </w:tcPr>
          <w:p>
            <w:pPr>
              <w:jc w:val="center"/>
              <w:spacing w:after="0"/>
              <w:rPr>
                <w:sz w:val="20"/>
                <w:szCs w:val="20"/>
                <w:color w:val="auto"/>
              </w:rPr>
            </w:pPr>
            <w:r>
              <w:rPr>
                <w:rFonts w:ascii="Arial" w:cs="Arial" w:eastAsia="Arial" w:hAnsi="Arial"/>
                <w:sz w:val="13"/>
                <w:szCs w:val="13"/>
                <w:b w:val="1"/>
                <w:bCs w:val="1"/>
                <w:color w:val="FFFFFF"/>
              </w:rPr>
              <w:t>All Other</w:t>
            </w:r>
          </w:p>
        </w:tc>
        <w:tc>
          <w:tcPr>
            <w:tcW w:w="500" w:type="dxa"/>
            <w:vAlign w:val="bottom"/>
            <w:shd w:val="clear" w:color="auto" w:fill="153A57"/>
          </w:tcPr>
          <w:p>
            <w:pPr>
              <w:jc w:val="right"/>
              <w:spacing w:after="0"/>
              <w:rPr>
                <w:sz w:val="20"/>
                <w:szCs w:val="20"/>
                <w:color w:val="auto"/>
              </w:rPr>
            </w:pPr>
            <w:r>
              <w:rPr>
                <w:rFonts w:ascii="Arial" w:cs="Arial" w:eastAsia="Arial" w:hAnsi="Arial"/>
                <w:sz w:val="13"/>
                <w:szCs w:val="13"/>
                <w:b w:val="1"/>
                <w:bCs w:val="1"/>
                <w:color w:val="FFFFFF"/>
              </w:rPr>
              <w:t>To</w:t>
            </w:r>
          </w:p>
        </w:tc>
        <w:tc>
          <w:tcPr>
            <w:tcW w:w="0" w:type="dxa"/>
            <w:vAlign w:val="bottom"/>
          </w:tcPr>
          <w:p>
            <w:pPr>
              <w:spacing w:after="0"/>
              <w:rPr>
                <w:sz w:val="1"/>
                <w:szCs w:val="1"/>
                <w:color w:val="auto"/>
              </w:rPr>
            </w:pPr>
          </w:p>
        </w:tc>
      </w:tr>
      <w:tr>
        <w:trPr>
          <w:trHeight w:val="196"/>
        </w:trPr>
        <w:tc>
          <w:tcPr>
            <w:tcW w:w="1880" w:type="dxa"/>
            <w:vAlign w:val="bottom"/>
            <w:shd w:val="clear" w:color="auto" w:fill="153A57"/>
          </w:tcPr>
          <w:p>
            <w:pPr>
              <w:ind w:left="100"/>
              <w:spacing w:after="0"/>
              <w:rPr>
                <w:sz w:val="20"/>
                <w:szCs w:val="20"/>
                <w:color w:val="auto"/>
              </w:rPr>
            </w:pPr>
            <w:r>
              <w:rPr>
                <w:rFonts w:ascii="Arial" w:cs="Arial" w:eastAsia="Arial" w:hAnsi="Arial"/>
                <w:sz w:val="13"/>
                <w:szCs w:val="13"/>
                <w:b w:val="1"/>
                <w:bCs w:val="1"/>
                <w:color w:val="FFFFFF"/>
              </w:rPr>
              <w:t>Named Executive and</w:t>
            </w:r>
          </w:p>
        </w:tc>
        <w:tc>
          <w:tcPr>
            <w:tcW w:w="840" w:type="dxa"/>
            <w:vAlign w:val="bottom"/>
            <w:shd w:val="clear" w:color="auto" w:fill="153A57"/>
          </w:tcPr>
          <w:p>
            <w:pPr>
              <w:spacing w:after="0"/>
              <w:rPr>
                <w:sz w:val="17"/>
                <w:szCs w:val="17"/>
                <w:color w:val="auto"/>
              </w:rPr>
            </w:pPr>
          </w:p>
        </w:tc>
        <w:tc>
          <w:tcPr>
            <w:tcW w:w="960" w:type="dxa"/>
            <w:vAlign w:val="bottom"/>
            <w:shd w:val="clear" w:color="auto" w:fill="153A57"/>
          </w:tcPr>
          <w:p>
            <w:pPr>
              <w:spacing w:after="0"/>
              <w:rPr>
                <w:sz w:val="17"/>
                <w:szCs w:val="17"/>
                <w:color w:val="auto"/>
              </w:rPr>
            </w:pPr>
          </w:p>
        </w:tc>
        <w:tc>
          <w:tcPr>
            <w:tcW w:w="1100" w:type="dxa"/>
            <w:vAlign w:val="bottom"/>
            <w:shd w:val="clear" w:color="auto" w:fill="153A57"/>
          </w:tcPr>
          <w:p>
            <w:pPr>
              <w:jc w:val="center"/>
              <w:ind w:right="40"/>
              <w:spacing w:after="0"/>
              <w:rPr>
                <w:sz w:val="20"/>
                <w:szCs w:val="20"/>
                <w:color w:val="auto"/>
              </w:rPr>
            </w:pPr>
            <w:r>
              <w:rPr>
                <w:rFonts w:ascii="Arial" w:cs="Arial" w:eastAsia="Arial" w:hAnsi="Arial"/>
                <w:sz w:val="13"/>
                <w:szCs w:val="13"/>
                <w:b w:val="1"/>
                <w:bCs w:val="1"/>
                <w:color w:val="FFFFFF"/>
                <w:w w:val="99"/>
              </w:rPr>
              <w:t>Awards (US$)</w:t>
            </w:r>
          </w:p>
        </w:tc>
        <w:tc>
          <w:tcPr>
            <w:tcW w:w="1080" w:type="dxa"/>
            <w:vAlign w:val="bottom"/>
            <w:shd w:val="clear" w:color="auto" w:fill="153A57"/>
          </w:tcPr>
          <w:p>
            <w:pPr>
              <w:jc w:val="right"/>
              <w:ind w:right="99"/>
              <w:spacing w:after="0"/>
              <w:rPr>
                <w:sz w:val="20"/>
                <w:szCs w:val="20"/>
                <w:color w:val="auto"/>
              </w:rPr>
            </w:pPr>
            <w:r>
              <w:rPr>
                <w:rFonts w:ascii="Arial" w:cs="Arial" w:eastAsia="Arial" w:hAnsi="Arial"/>
                <w:sz w:val="13"/>
                <w:szCs w:val="13"/>
                <w:b w:val="1"/>
                <w:bCs w:val="1"/>
                <w:color w:val="FFFFFF"/>
              </w:rPr>
              <w:t>Option-Based</w:t>
            </w:r>
          </w:p>
        </w:tc>
        <w:tc>
          <w:tcPr>
            <w:tcW w:w="1180" w:type="dxa"/>
            <w:vAlign w:val="bottom"/>
            <w:shd w:val="clear" w:color="auto" w:fill="153A57"/>
          </w:tcPr>
          <w:p>
            <w:pPr>
              <w:jc w:val="center"/>
              <w:ind w:right="78"/>
              <w:spacing w:after="0"/>
              <w:rPr>
                <w:sz w:val="20"/>
                <w:szCs w:val="20"/>
                <w:color w:val="auto"/>
              </w:rPr>
            </w:pPr>
            <w:r>
              <w:rPr>
                <w:rFonts w:ascii="Arial" w:cs="Arial" w:eastAsia="Arial" w:hAnsi="Arial"/>
                <w:sz w:val="13"/>
                <w:szCs w:val="13"/>
                <w:b w:val="1"/>
                <w:bCs w:val="1"/>
                <w:color w:val="FFFFFF"/>
                <w:w w:val="99"/>
              </w:rPr>
              <w:t>Incentive</w:t>
            </w:r>
          </w:p>
        </w:tc>
        <w:tc>
          <w:tcPr>
            <w:tcW w:w="980" w:type="dxa"/>
            <w:vAlign w:val="bottom"/>
            <w:shd w:val="clear" w:color="auto" w:fill="153A57"/>
          </w:tcPr>
          <w:p>
            <w:pPr>
              <w:jc w:val="right"/>
              <w:ind w:right="239"/>
              <w:spacing w:after="0"/>
              <w:rPr>
                <w:sz w:val="20"/>
                <w:szCs w:val="20"/>
                <w:color w:val="auto"/>
              </w:rPr>
            </w:pPr>
            <w:r>
              <w:rPr>
                <w:rFonts w:ascii="Arial" w:cs="Arial" w:eastAsia="Arial" w:hAnsi="Arial"/>
                <w:sz w:val="13"/>
                <w:szCs w:val="13"/>
                <w:b w:val="1"/>
                <w:bCs w:val="1"/>
                <w:color w:val="FFFFFF"/>
              </w:rPr>
              <w:t>Pension</w:t>
            </w:r>
          </w:p>
        </w:tc>
        <w:tc>
          <w:tcPr>
            <w:tcW w:w="1040" w:type="dxa"/>
            <w:vAlign w:val="bottom"/>
            <w:gridSpan w:val="2"/>
            <w:shd w:val="clear" w:color="auto" w:fill="153A57"/>
          </w:tcPr>
          <w:p>
            <w:pPr>
              <w:jc w:val="center"/>
              <w:spacing w:after="0"/>
              <w:rPr>
                <w:sz w:val="20"/>
                <w:szCs w:val="20"/>
                <w:color w:val="auto"/>
              </w:rPr>
            </w:pPr>
            <w:r>
              <w:rPr>
                <w:rFonts w:ascii="Arial" w:cs="Arial" w:eastAsia="Arial" w:hAnsi="Arial"/>
                <w:sz w:val="13"/>
                <w:szCs w:val="13"/>
                <w:b w:val="1"/>
                <w:bCs w:val="1"/>
                <w:color w:val="FFFFFF"/>
              </w:rPr>
              <w:t>Compensation</w:t>
            </w:r>
          </w:p>
        </w:tc>
        <w:tc>
          <w:tcPr>
            <w:tcW w:w="500" w:type="dxa"/>
            <w:vAlign w:val="bottom"/>
            <w:shd w:val="clear" w:color="auto" w:fill="153A57"/>
          </w:tcPr>
          <w:p>
            <w:pPr>
              <w:jc w:val="right"/>
              <w:spacing w:after="0"/>
              <w:rPr>
                <w:sz w:val="20"/>
                <w:szCs w:val="20"/>
                <w:color w:val="auto"/>
              </w:rPr>
            </w:pPr>
            <w:r>
              <w:rPr>
                <w:rFonts w:ascii="Arial" w:cs="Arial" w:eastAsia="Arial" w:hAnsi="Arial"/>
                <w:sz w:val="13"/>
                <w:szCs w:val="13"/>
                <w:b w:val="1"/>
                <w:bCs w:val="1"/>
                <w:color w:val="FFFFFF"/>
              </w:rPr>
              <w:t>Compe</w:t>
            </w:r>
          </w:p>
        </w:tc>
        <w:tc>
          <w:tcPr>
            <w:tcW w:w="0" w:type="dxa"/>
            <w:vAlign w:val="bottom"/>
          </w:tcPr>
          <w:p>
            <w:pPr>
              <w:spacing w:after="0"/>
              <w:rPr>
                <w:sz w:val="1"/>
                <w:szCs w:val="1"/>
                <w:color w:val="auto"/>
              </w:rPr>
            </w:pPr>
          </w:p>
        </w:tc>
      </w:tr>
      <w:tr>
        <w:trPr>
          <w:trHeight w:val="223"/>
        </w:trPr>
        <w:tc>
          <w:tcPr>
            <w:tcW w:w="1880" w:type="dxa"/>
            <w:vAlign w:val="bottom"/>
            <w:shd w:val="clear" w:color="auto" w:fill="153A57"/>
          </w:tcPr>
          <w:p>
            <w:pPr>
              <w:ind w:left="100"/>
              <w:spacing w:after="0"/>
              <w:rPr>
                <w:sz w:val="20"/>
                <w:szCs w:val="20"/>
                <w:color w:val="auto"/>
              </w:rPr>
            </w:pPr>
            <w:r>
              <w:rPr>
                <w:rFonts w:ascii="Arial" w:cs="Arial" w:eastAsia="Arial" w:hAnsi="Arial"/>
                <w:sz w:val="13"/>
                <w:szCs w:val="13"/>
                <w:b w:val="1"/>
                <w:bCs w:val="1"/>
                <w:color w:val="FFFFFF"/>
              </w:rPr>
              <w:t>Principal Position</w:t>
            </w:r>
          </w:p>
        </w:tc>
        <w:tc>
          <w:tcPr>
            <w:tcW w:w="840" w:type="dxa"/>
            <w:vAlign w:val="bottom"/>
            <w:shd w:val="clear" w:color="auto" w:fill="153A57"/>
          </w:tcPr>
          <w:p>
            <w:pPr>
              <w:ind w:left="300"/>
              <w:spacing w:after="0"/>
              <w:rPr>
                <w:sz w:val="20"/>
                <w:szCs w:val="20"/>
                <w:color w:val="auto"/>
              </w:rPr>
            </w:pPr>
            <w:r>
              <w:rPr>
                <w:rFonts w:ascii="Arial" w:cs="Arial" w:eastAsia="Arial" w:hAnsi="Arial"/>
                <w:sz w:val="13"/>
                <w:szCs w:val="13"/>
                <w:b w:val="1"/>
                <w:bCs w:val="1"/>
                <w:color w:val="FFFFFF"/>
              </w:rPr>
              <w:t xml:space="preserve">Year </w:t>
            </w:r>
            <w:r>
              <w:rPr>
                <w:rFonts w:ascii="Arial" w:cs="Arial" w:eastAsia="Arial" w:hAnsi="Arial"/>
                <w:sz w:val="17"/>
                <w:szCs w:val="17"/>
                <w:b w:val="1"/>
                <w:bCs w:val="1"/>
                <w:color w:val="FFFFFF"/>
                <w:vertAlign w:val="superscript"/>
              </w:rPr>
              <w:t>(1)</w:t>
            </w:r>
          </w:p>
        </w:tc>
        <w:tc>
          <w:tcPr>
            <w:tcW w:w="960" w:type="dxa"/>
            <w:vAlign w:val="bottom"/>
            <w:shd w:val="clear" w:color="auto" w:fill="153A57"/>
          </w:tcPr>
          <w:p>
            <w:pPr>
              <w:jc w:val="right"/>
              <w:ind w:right="60"/>
              <w:spacing w:after="0"/>
              <w:rPr>
                <w:sz w:val="20"/>
                <w:szCs w:val="20"/>
                <w:color w:val="auto"/>
              </w:rPr>
            </w:pPr>
            <w:r>
              <w:rPr>
                <w:rFonts w:ascii="Arial" w:cs="Arial" w:eastAsia="Arial" w:hAnsi="Arial"/>
                <w:sz w:val="13"/>
                <w:szCs w:val="13"/>
                <w:b w:val="1"/>
                <w:bCs w:val="1"/>
                <w:color w:val="FFFFFF"/>
              </w:rPr>
              <w:t>Salary (US$)</w:t>
            </w:r>
          </w:p>
        </w:tc>
        <w:tc>
          <w:tcPr>
            <w:tcW w:w="1100" w:type="dxa"/>
            <w:vAlign w:val="bottom"/>
            <w:shd w:val="clear" w:color="auto" w:fill="153A57"/>
          </w:tcPr>
          <w:p>
            <w:pPr>
              <w:jc w:val="center"/>
              <w:ind w:right="40"/>
              <w:spacing w:after="0"/>
              <w:rPr>
                <w:sz w:val="20"/>
                <w:szCs w:val="20"/>
                <w:color w:val="auto"/>
              </w:rPr>
            </w:pPr>
            <w:r>
              <w:rPr>
                <w:rFonts w:ascii="Arial" w:cs="Arial" w:eastAsia="Arial" w:hAnsi="Arial"/>
                <w:sz w:val="9"/>
                <w:szCs w:val="9"/>
                <w:b w:val="1"/>
                <w:bCs w:val="1"/>
                <w:color w:val="FFFFFF"/>
                <w:w w:val="90"/>
              </w:rPr>
              <w:t>(2)(3)</w:t>
            </w:r>
          </w:p>
        </w:tc>
        <w:tc>
          <w:tcPr>
            <w:tcW w:w="1080" w:type="dxa"/>
            <w:vAlign w:val="bottom"/>
            <w:shd w:val="clear" w:color="auto" w:fill="153A57"/>
          </w:tcPr>
          <w:p>
            <w:pPr>
              <w:jc w:val="right"/>
              <w:ind w:right="119"/>
              <w:spacing w:after="0"/>
              <w:rPr>
                <w:sz w:val="20"/>
                <w:szCs w:val="20"/>
                <w:color w:val="auto"/>
              </w:rPr>
            </w:pPr>
            <w:r>
              <w:rPr>
                <w:rFonts w:ascii="Arial" w:cs="Arial" w:eastAsia="Arial" w:hAnsi="Arial"/>
                <w:sz w:val="13"/>
                <w:szCs w:val="13"/>
                <w:b w:val="1"/>
                <w:bCs w:val="1"/>
                <w:color w:val="FFFFFF"/>
              </w:rPr>
              <w:t>Awards (US$)</w:t>
            </w:r>
          </w:p>
        </w:tc>
        <w:tc>
          <w:tcPr>
            <w:tcW w:w="1180" w:type="dxa"/>
            <w:vAlign w:val="bottom"/>
            <w:shd w:val="clear" w:color="auto" w:fill="153A57"/>
          </w:tcPr>
          <w:p>
            <w:pPr>
              <w:jc w:val="center"/>
              <w:ind w:right="58"/>
              <w:spacing w:after="0"/>
              <w:rPr>
                <w:sz w:val="20"/>
                <w:szCs w:val="20"/>
                <w:color w:val="auto"/>
              </w:rPr>
            </w:pPr>
            <w:r>
              <w:rPr>
                <w:rFonts w:ascii="Arial" w:cs="Arial" w:eastAsia="Arial" w:hAnsi="Arial"/>
                <w:sz w:val="13"/>
                <w:szCs w:val="13"/>
                <w:b w:val="1"/>
                <w:bCs w:val="1"/>
                <w:color w:val="FFFFFF"/>
                <w:w w:val="95"/>
              </w:rPr>
              <w:t xml:space="preserve">Plans </w:t>
            </w:r>
            <w:r>
              <w:rPr>
                <w:rFonts w:ascii="Arial" w:cs="Arial" w:eastAsia="Arial" w:hAnsi="Arial"/>
                <w:sz w:val="17"/>
                <w:szCs w:val="17"/>
                <w:b w:val="1"/>
                <w:bCs w:val="1"/>
                <w:color w:val="FFFFFF"/>
                <w:w w:val="95"/>
                <w:vertAlign w:val="superscript"/>
              </w:rPr>
              <w:t>(3)</w:t>
            </w:r>
          </w:p>
        </w:tc>
        <w:tc>
          <w:tcPr>
            <w:tcW w:w="980" w:type="dxa"/>
            <w:vAlign w:val="bottom"/>
            <w:shd w:val="clear" w:color="auto" w:fill="153A57"/>
          </w:tcPr>
          <w:p>
            <w:pPr>
              <w:jc w:val="right"/>
              <w:ind w:right="119"/>
              <w:spacing w:after="0"/>
              <w:rPr>
                <w:sz w:val="20"/>
                <w:szCs w:val="20"/>
                <w:color w:val="auto"/>
              </w:rPr>
            </w:pPr>
            <w:r>
              <w:rPr>
                <w:rFonts w:ascii="Arial" w:cs="Arial" w:eastAsia="Arial" w:hAnsi="Arial"/>
                <w:sz w:val="13"/>
                <w:szCs w:val="13"/>
                <w:b w:val="1"/>
                <w:bCs w:val="1"/>
                <w:color w:val="FFFFFF"/>
              </w:rPr>
              <w:t>Value (US$)</w:t>
            </w:r>
          </w:p>
        </w:tc>
        <w:tc>
          <w:tcPr>
            <w:tcW w:w="760" w:type="dxa"/>
            <w:vAlign w:val="bottom"/>
            <w:shd w:val="clear" w:color="auto" w:fill="153A57"/>
          </w:tcPr>
          <w:p>
            <w:pPr>
              <w:jc w:val="center"/>
              <w:ind w:left="159"/>
              <w:spacing w:after="0"/>
              <w:rPr>
                <w:sz w:val="20"/>
                <w:szCs w:val="20"/>
                <w:color w:val="auto"/>
              </w:rPr>
            </w:pPr>
            <w:r>
              <w:rPr>
                <w:rFonts w:ascii="Arial" w:cs="Arial" w:eastAsia="Arial" w:hAnsi="Arial"/>
                <w:sz w:val="13"/>
                <w:szCs w:val="13"/>
                <w:b w:val="1"/>
                <w:bCs w:val="1"/>
                <w:color w:val="FFFFFF"/>
              </w:rPr>
              <w:t>(US$)</w:t>
            </w:r>
          </w:p>
        </w:tc>
        <w:tc>
          <w:tcPr>
            <w:tcW w:w="280" w:type="dxa"/>
            <w:vAlign w:val="bottom"/>
            <w:shd w:val="clear" w:color="auto" w:fill="153A57"/>
          </w:tcPr>
          <w:p>
            <w:pPr>
              <w:spacing w:after="0"/>
              <w:rPr>
                <w:sz w:val="19"/>
                <w:szCs w:val="19"/>
                <w:color w:val="auto"/>
              </w:rPr>
            </w:pPr>
          </w:p>
        </w:tc>
        <w:tc>
          <w:tcPr>
            <w:tcW w:w="500" w:type="dxa"/>
            <w:vAlign w:val="bottom"/>
            <w:shd w:val="clear" w:color="auto" w:fill="153A57"/>
          </w:tcPr>
          <w:p>
            <w:pPr>
              <w:jc w:val="right"/>
              <w:spacing w:after="0"/>
              <w:rPr>
                <w:sz w:val="20"/>
                <w:szCs w:val="20"/>
                <w:color w:val="auto"/>
              </w:rPr>
            </w:pPr>
            <w:r>
              <w:rPr>
                <w:rFonts w:ascii="Arial" w:cs="Arial" w:eastAsia="Arial" w:hAnsi="Arial"/>
                <w:sz w:val="13"/>
                <w:szCs w:val="13"/>
                <w:b w:val="1"/>
                <w:bCs w:val="1"/>
                <w:color w:val="FFFFFF"/>
              </w:rPr>
              <w:t>(U</w:t>
            </w:r>
          </w:p>
        </w:tc>
        <w:tc>
          <w:tcPr>
            <w:tcW w:w="0" w:type="dxa"/>
            <w:vAlign w:val="bottom"/>
          </w:tcPr>
          <w:p>
            <w:pPr>
              <w:spacing w:after="0"/>
              <w:rPr>
                <w:sz w:val="1"/>
                <w:szCs w:val="1"/>
                <w:color w:val="auto"/>
              </w:rPr>
            </w:pPr>
          </w:p>
        </w:tc>
      </w:tr>
      <w:tr>
        <w:trPr>
          <w:trHeight w:val="170"/>
        </w:trPr>
        <w:tc>
          <w:tcPr>
            <w:tcW w:w="1880" w:type="dxa"/>
            <w:vAlign w:val="bottom"/>
          </w:tcPr>
          <w:p>
            <w:pPr>
              <w:ind w:left="80"/>
              <w:spacing w:after="0"/>
              <w:rPr>
                <w:sz w:val="20"/>
                <w:szCs w:val="20"/>
                <w:color w:val="auto"/>
              </w:rPr>
            </w:pPr>
            <w:r>
              <w:rPr>
                <w:rFonts w:ascii="Arial" w:cs="Arial" w:eastAsia="Arial" w:hAnsi="Arial"/>
                <w:sz w:val="12"/>
                <w:szCs w:val="12"/>
                <w:b w:val="1"/>
                <w:bCs w:val="1"/>
                <w:color w:val="auto"/>
              </w:rPr>
              <w:t>John</w:t>
            </w:r>
          </w:p>
        </w:tc>
        <w:tc>
          <w:tcPr>
            <w:tcW w:w="840" w:type="dxa"/>
            <w:vAlign w:val="bottom"/>
          </w:tcPr>
          <w:p>
            <w:pPr>
              <w:ind w:left="320"/>
              <w:spacing w:after="0"/>
              <w:rPr>
                <w:sz w:val="20"/>
                <w:szCs w:val="20"/>
                <w:color w:val="auto"/>
              </w:rPr>
            </w:pPr>
            <w:r>
              <w:rPr>
                <w:rFonts w:ascii="Arial" w:cs="Arial" w:eastAsia="Arial" w:hAnsi="Arial"/>
                <w:sz w:val="12"/>
                <w:szCs w:val="12"/>
                <w:color w:val="auto"/>
              </w:rPr>
              <w:t>2025</w:t>
            </w:r>
          </w:p>
        </w:tc>
        <w:tc>
          <w:tcPr>
            <w:tcW w:w="960" w:type="dxa"/>
            <w:vAlign w:val="bottom"/>
          </w:tcPr>
          <w:p>
            <w:pPr>
              <w:jc w:val="right"/>
              <w:spacing w:after="0"/>
              <w:rPr>
                <w:sz w:val="20"/>
                <w:szCs w:val="20"/>
                <w:color w:val="auto"/>
              </w:rPr>
            </w:pPr>
            <w:r>
              <w:rPr>
                <w:rFonts w:ascii="Arial" w:cs="Arial" w:eastAsia="Arial" w:hAnsi="Arial"/>
                <w:sz w:val="12"/>
                <w:szCs w:val="12"/>
                <w:color w:val="auto"/>
              </w:rPr>
              <w:t>420,000</w:t>
            </w:r>
          </w:p>
        </w:tc>
        <w:tc>
          <w:tcPr>
            <w:tcW w:w="1100" w:type="dxa"/>
            <w:vAlign w:val="bottom"/>
          </w:tcPr>
          <w:p>
            <w:pPr>
              <w:jc w:val="right"/>
              <w:spacing w:after="0"/>
              <w:rPr>
                <w:sz w:val="20"/>
                <w:szCs w:val="20"/>
                <w:color w:val="auto"/>
              </w:rPr>
            </w:pPr>
            <w:r>
              <w:rPr>
                <w:rFonts w:ascii="Arial" w:cs="Arial" w:eastAsia="Arial" w:hAnsi="Arial"/>
                <w:sz w:val="12"/>
                <w:szCs w:val="12"/>
                <w:color w:val="auto"/>
              </w:rPr>
              <w:t>783,456</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1,018,362</w:t>
            </w:r>
          </w:p>
        </w:tc>
        <w:tc>
          <w:tcPr>
            <w:tcW w:w="280" w:type="dxa"/>
            <w:vAlign w:val="bottom"/>
          </w:tcPr>
          <w:p>
            <w:pPr>
              <w:spacing w:after="0"/>
              <w:rPr>
                <w:sz w:val="20"/>
                <w:szCs w:val="20"/>
                <w:color w:val="auto"/>
              </w:rPr>
            </w:pPr>
            <w:r>
              <w:rPr>
                <w:rFonts w:ascii="Arial" w:cs="Arial" w:eastAsia="Arial" w:hAnsi="Arial"/>
                <w:sz w:val="8"/>
                <w:szCs w:val="8"/>
                <w:color w:val="auto"/>
              </w:rPr>
              <w:t>(12)</w:t>
            </w:r>
          </w:p>
        </w:tc>
        <w:tc>
          <w:tcPr>
            <w:tcW w:w="50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96"/>
        </w:trPr>
        <w:tc>
          <w:tcPr>
            <w:tcW w:w="1880" w:type="dxa"/>
            <w:vAlign w:val="bottom"/>
          </w:tcPr>
          <w:p>
            <w:pPr>
              <w:ind w:left="80"/>
              <w:spacing w:after="0"/>
              <w:rPr>
                <w:sz w:val="20"/>
                <w:szCs w:val="20"/>
                <w:color w:val="auto"/>
              </w:rPr>
            </w:pPr>
            <w:r>
              <w:rPr>
                <w:rFonts w:ascii="Arial" w:cs="Arial" w:eastAsia="Arial" w:hAnsi="Arial"/>
                <w:sz w:val="12"/>
                <w:szCs w:val="12"/>
                <w:b w:val="1"/>
                <w:bCs w:val="1"/>
                <w:color w:val="auto"/>
              </w:rPr>
              <w:t>Kanellitsas,</w:t>
            </w:r>
          </w:p>
        </w:tc>
        <w:tc>
          <w:tcPr>
            <w:tcW w:w="840" w:type="dxa"/>
            <w:vAlign w:val="bottom"/>
          </w:tcPr>
          <w:p>
            <w:pPr>
              <w:ind w:left="320"/>
              <w:spacing w:after="0"/>
              <w:rPr>
                <w:sz w:val="20"/>
                <w:szCs w:val="20"/>
                <w:color w:val="auto"/>
              </w:rPr>
            </w:pPr>
            <w:r>
              <w:rPr>
                <w:rFonts w:ascii="Arial" w:cs="Arial" w:eastAsia="Arial" w:hAnsi="Arial"/>
                <w:sz w:val="12"/>
                <w:szCs w:val="12"/>
                <w:color w:val="auto"/>
              </w:rPr>
              <w:t>2024</w:t>
            </w:r>
          </w:p>
        </w:tc>
        <w:tc>
          <w:tcPr>
            <w:tcW w:w="960" w:type="dxa"/>
            <w:vAlign w:val="bottom"/>
          </w:tcPr>
          <w:p>
            <w:pPr>
              <w:jc w:val="right"/>
              <w:spacing w:after="0"/>
              <w:rPr>
                <w:sz w:val="20"/>
                <w:szCs w:val="20"/>
                <w:color w:val="auto"/>
              </w:rPr>
            </w:pPr>
            <w:r>
              <w:rPr>
                <w:rFonts w:ascii="Arial" w:cs="Arial" w:eastAsia="Arial" w:hAnsi="Arial"/>
                <w:sz w:val="12"/>
                <w:szCs w:val="12"/>
                <w:color w:val="auto"/>
              </w:rPr>
              <w:t>420,000</w:t>
            </w:r>
          </w:p>
        </w:tc>
        <w:tc>
          <w:tcPr>
            <w:tcW w:w="1100" w:type="dxa"/>
            <w:vAlign w:val="bottom"/>
          </w:tcPr>
          <w:p>
            <w:pPr>
              <w:jc w:val="right"/>
              <w:spacing w:after="0"/>
              <w:rPr>
                <w:sz w:val="20"/>
                <w:szCs w:val="20"/>
                <w:color w:val="auto"/>
              </w:rPr>
            </w:pPr>
            <w:r>
              <w:rPr>
                <w:rFonts w:ascii="Arial" w:cs="Arial" w:eastAsia="Arial" w:hAnsi="Arial"/>
                <w:sz w:val="12"/>
                <w:szCs w:val="12"/>
                <w:color w:val="auto"/>
              </w:rPr>
              <w:t>734,999</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40"/>
        </w:trPr>
        <w:tc>
          <w:tcPr>
            <w:tcW w:w="1880" w:type="dxa"/>
            <w:vAlign w:val="bottom"/>
          </w:tcPr>
          <w:p>
            <w:pPr>
              <w:ind w:left="80"/>
              <w:spacing w:after="0"/>
              <w:rPr>
                <w:sz w:val="20"/>
                <w:szCs w:val="20"/>
                <w:color w:val="auto"/>
              </w:rPr>
            </w:pPr>
            <w:r>
              <w:rPr>
                <w:rFonts w:ascii="Arial" w:cs="Arial" w:eastAsia="Arial" w:hAnsi="Arial"/>
                <w:sz w:val="12"/>
                <w:szCs w:val="12"/>
                <w:b w:val="1"/>
                <w:bCs w:val="1"/>
                <w:color w:val="auto"/>
              </w:rPr>
              <w:t>Executive Chair</w:t>
            </w:r>
            <w:r>
              <w:rPr>
                <w:rFonts w:ascii="Arial" w:cs="Arial" w:eastAsia="Arial" w:hAnsi="Arial"/>
                <w:sz w:val="16"/>
                <w:szCs w:val="16"/>
                <w:b w:val="1"/>
                <w:bCs w:val="1"/>
                <w:color w:val="auto"/>
                <w:vertAlign w:val="superscript"/>
              </w:rPr>
              <w:t>(4)</w:t>
            </w:r>
          </w:p>
        </w:tc>
        <w:tc>
          <w:tcPr>
            <w:tcW w:w="840" w:type="dxa"/>
            <w:vAlign w:val="bottom"/>
          </w:tcPr>
          <w:p>
            <w:pPr>
              <w:ind w:left="320"/>
              <w:spacing w:after="0"/>
              <w:rPr>
                <w:sz w:val="20"/>
                <w:szCs w:val="20"/>
                <w:color w:val="auto"/>
              </w:rPr>
            </w:pPr>
            <w:r>
              <w:rPr>
                <w:rFonts w:ascii="Arial" w:cs="Arial" w:eastAsia="Arial" w:hAnsi="Arial"/>
                <w:sz w:val="12"/>
                <w:szCs w:val="12"/>
                <w:color w:val="auto"/>
              </w:rPr>
              <w:t xml:space="preserve">2023 </w:t>
            </w:r>
            <w:r>
              <w:rPr>
                <w:rFonts w:ascii="Arial" w:cs="Arial" w:eastAsia="Arial" w:hAnsi="Arial"/>
                <w:sz w:val="16"/>
                <w:szCs w:val="16"/>
                <w:color w:val="auto"/>
                <w:vertAlign w:val="superscript"/>
              </w:rPr>
              <w:t>(11)</w:t>
            </w:r>
          </w:p>
        </w:tc>
        <w:tc>
          <w:tcPr>
            <w:tcW w:w="960" w:type="dxa"/>
            <w:vAlign w:val="bottom"/>
          </w:tcPr>
          <w:p>
            <w:pPr>
              <w:jc w:val="right"/>
              <w:spacing w:after="0"/>
              <w:rPr>
                <w:sz w:val="20"/>
                <w:szCs w:val="20"/>
                <w:color w:val="auto"/>
              </w:rPr>
            </w:pPr>
            <w:r>
              <w:rPr>
                <w:rFonts w:ascii="Arial" w:cs="Arial" w:eastAsia="Arial" w:hAnsi="Arial"/>
                <w:sz w:val="12"/>
                <w:szCs w:val="12"/>
                <w:color w:val="auto"/>
              </w:rPr>
              <w:t>420,000</w:t>
            </w:r>
          </w:p>
        </w:tc>
        <w:tc>
          <w:tcPr>
            <w:tcW w:w="1100" w:type="dxa"/>
            <w:vAlign w:val="bottom"/>
          </w:tcPr>
          <w:p>
            <w:pPr>
              <w:jc w:val="right"/>
              <w:spacing w:after="0"/>
              <w:rPr>
                <w:sz w:val="20"/>
                <w:szCs w:val="20"/>
                <w:color w:val="auto"/>
              </w:rPr>
            </w:pPr>
            <w:r>
              <w:rPr>
                <w:rFonts w:ascii="Arial" w:cs="Arial" w:eastAsia="Arial" w:hAnsi="Arial"/>
                <w:sz w:val="12"/>
                <w:szCs w:val="12"/>
                <w:color w:val="auto"/>
              </w:rPr>
              <w:t>2,103,500</w:t>
            </w:r>
          </w:p>
        </w:tc>
        <w:tc>
          <w:tcPr>
            <w:tcW w:w="1080" w:type="dxa"/>
            <w:vAlign w:val="bottom"/>
          </w:tcPr>
          <w:p>
            <w:pPr>
              <w:jc w:val="right"/>
              <w:spacing w:after="0"/>
              <w:rPr>
                <w:sz w:val="20"/>
                <w:szCs w:val="20"/>
                <w:color w:val="auto"/>
              </w:rPr>
            </w:pPr>
            <w:r>
              <w:rPr>
                <w:rFonts w:ascii="Arial" w:cs="Arial" w:eastAsia="Arial" w:hAnsi="Arial"/>
                <w:sz w:val="12"/>
                <w:szCs w:val="12"/>
                <w:color w:val="auto"/>
              </w:rPr>
              <w:t>1,316,300</w:t>
            </w:r>
          </w:p>
        </w:tc>
        <w:tc>
          <w:tcPr>
            <w:tcW w:w="1180" w:type="dxa"/>
            <w:vAlign w:val="bottom"/>
          </w:tcPr>
          <w:p>
            <w:pPr>
              <w:jc w:val="right"/>
              <w:spacing w:after="0"/>
              <w:rPr>
                <w:sz w:val="20"/>
                <w:szCs w:val="20"/>
                <w:color w:val="auto"/>
              </w:rPr>
            </w:pPr>
            <w:r>
              <w:rPr>
                <w:rFonts w:ascii="Arial" w:cs="Arial" w:eastAsia="Arial" w:hAnsi="Arial"/>
                <w:sz w:val="12"/>
                <w:szCs w:val="12"/>
                <w:color w:val="auto"/>
              </w:rPr>
              <w:t>56,536</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61"/>
        </w:trPr>
        <w:tc>
          <w:tcPr>
            <w:tcW w:w="1880" w:type="dxa"/>
            <w:vAlign w:val="bottom"/>
          </w:tcPr>
          <w:p>
            <w:pPr>
              <w:ind w:left="80"/>
              <w:spacing w:after="0"/>
              <w:rPr>
                <w:sz w:val="20"/>
                <w:szCs w:val="20"/>
                <w:color w:val="auto"/>
              </w:rPr>
            </w:pPr>
            <w:r>
              <w:rPr>
                <w:rFonts w:ascii="Arial" w:cs="Arial" w:eastAsia="Arial" w:hAnsi="Arial"/>
                <w:sz w:val="12"/>
                <w:szCs w:val="12"/>
                <w:b w:val="1"/>
                <w:bCs w:val="1"/>
                <w:color w:val="auto"/>
              </w:rPr>
              <w:t>Sam Pigott, President and</w:t>
            </w:r>
          </w:p>
        </w:tc>
        <w:tc>
          <w:tcPr>
            <w:tcW w:w="840" w:type="dxa"/>
            <w:vAlign w:val="bottom"/>
          </w:tcPr>
          <w:p>
            <w:pPr>
              <w:ind w:left="320"/>
              <w:spacing w:after="0"/>
              <w:rPr>
                <w:sz w:val="20"/>
                <w:szCs w:val="20"/>
                <w:color w:val="auto"/>
              </w:rPr>
            </w:pPr>
            <w:r>
              <w:rPr>
                <w:rFonts w:ascii="Arial" w:cs="Arial" w:eastAsia="Arial" w:hAnsi="Arial"/>
                <w:sz w:val="12"/>
                <w:szCs w:val="12"/>
                <w:color w:val="auto"/>
              </w:rPr>
              <w:t>2025</w:t>
            </w:r>
          </w:p>
        </w:tc>
        <w:tc>
          <w:tcPr>
            <w:tcW w:w="960" w:type="dxa"/>
            <w:vAlign w:val="bottom"/>
          </w:tcPr>
          <w:p>
            <w:pPr>
              <w:jc w:val="right"/>
              <w:spacing w:after="0"/>
              <w:rPr>
                <w:sz w:val="20"/>
                <w:szCs w:val="20"/>
                <w:color w:val="auto"/>
              </w:rPr>
            </w:pPr>
            <w:r>
              <w:rPr>
                <w:rFonts w:ascii="Arial" w:cs="Arial" w:eastAsia="Arial" w:hAnsi="Arial"/>
                <w:sz w:val="12"/>
                <w:szCs w:val="12"/>
                <w:color w:val="auto"/>
              </w:rPr>
              <w:t>450,000</w:t>
            </w:r>
          </w:p>
        </w:tc>
        <w:tc>
          <w:tcPr>
            <w:tcW w:w="1100" w:type="dxa"/>
            <w:vAlign w:val="bottom"/>
          </w:tcPr>
          <w:p>
            <w:pPr>
              <w:jc w:val="right"/>
              <w:spacing w:after="0"/>
              <w:rPr>
                <w:sz w:val="20"/>
                <w:szCs w:val="20"/>
                <w:color w:val="auto"/>
              </w:rPr>
            </w:pPr>
            <w:r>
              <w:rPr>
                <w:rFonts w:ascii="Arial" w:cs="Arial" w:eastAsia="Arial" w:hAnsi="Arial"/>
                <w:sz w:val="12"/>
                <w:szCs w:val="12"/>
                <w:color w:val="auto"/>
              </w:rPr>
              <w:t>1,469,278</w:t>
            </w:r>
          </w:p>
        </w:tc>
        <w:tc>
          <w:tcPr>
            <w:tcW w:w="10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1,642,298</w:t>
            </w:r>
          </w:p>
        </w:tc>
        <w:tc>
          <w:tcPr>
            <w:tcW w:w="280" w:type="dxa"/>
            <w:vAlign w:val="bottom"/>
          </w:tcPr>
          <w:p>
            <w:pPr>
              <w:spacing w:after="0"/>
              <w:rPr>
                <w:sz w:val="20"/>
                <w:szCs w:val="20"/>
                <w:color w:val="auto"/>
              </w:rPr>
            </w:pPr>
            <w:r>
              <w:rPr>
                <w:rFonts w:ascii="Arial" w:cs="Arial" w:eastAsia="Arial" w:hAnsi="Arial"/>
                <w:sz w:val="8"/>
                <w:szCs w:val="8"/>
                <w:color w:val="auto"/>
              </w:rPr>
              <w:t>(12)</w:t>
            </w:r>
          </w:p>
        </w:tc>
        <w:tc>
          <w:tcPr>
            <w:tcW w:w="50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21"/>
        </w:trPr>
        <w:tc>
          <w:tcPr>
            <w:tcW w:w="1880" w:type="dxa"/>
            <w:vAlign w:val="bottom"/>
          </w:tcPr>
          <w:p>
            <w:pPr>
              <w:ind w:left="80"/>
              <w:spacing w:after="0"/>
              <w:rPr>
                <w:sz w:val="20"/>
                <w:szCs w:val="20"/>
                <w:color w:val="auto"/>
              </w:rPr>
            </w:pPr>
            <w:r>
              <w:rPr>
                <w:rFonts w:ascii="Arial" w:cs="Arial" w:eastAsia="Arial" w:hAnsi="Arial"/>
                <w:sz w:val="12"/>
                <w:szCs w:val="12"/>
                <w:b w:val="1"/>
                <w:bCs w:val="1"/>
                <w:color w:val="auto"/>
              </w:rPr>
              <w:t xml:space="preserve">Chief Executive Officer </w:t>
            </w:r>
            <w:r>
              <w:rPr>
                <w:rFonts w:ascii="Arial" w:cs="Arial" w:eastAsia="Arial" w:hAnsi="Arial"/>
                <w:sz w:val="16"/>
                <w:szCs w:val="16"/>
                <w:b w:val="1"/>
                <w:bCs w:val="1"/>
                <w:color w:val="auto"/>
                <w:vertAlign w:val="superscript"/>
              </w:rPr>
              <w:t>(5)</w:t>
            </w: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8"/>
                <w:szCs w:val="8"/>
                <w:color w:val="auto"/>
              </w:rPr>
              <w:t>(4)(6)</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840" w:type="dxa"/>
            <w:vAlign w:val="bottom"/>
          </w:tcPr>
          <w:p>
            <w:pPr>
              <w:ind w:left="320"/>
              <w:spacing w:after="0"/>
              <w:rPr>
                <w:sz w:val="20"/>
                <w:szCs w:val="20"/>
                <w:color w:val="auto"/>
              </w:rPr>
            </w:pPr>
            <w:r>
              <w:rPr>
                <w:rFonts w:ascii="Arial" w:cs="Arial" w:eastAsia="Arial" w:hAnsi="Arial"/>
                <w:sz w:val="12"/>
                <w:szCs w:val="12"/>
                <w:color w:val="auto"/>
              </w:rPr>
              <w:t>2024</w:t>
            </w:r>
          </w:p>
        </w:tc>
        <w:tc>
          <w:tcPr>
            <w:tcW w:w="960" w:type="dxa"/>
            <w:vAlign w:val="bottom"/>
          </w:tcPr>
          <w:p>
            <w:pPr>
              <w:jc w:val="right"/>
              <w:spacing w:after="0"/>
              <w:rPr>
                <w:sz w:val="20"/>
                <w:szCs w:val="20"/>
                <w:color w:val="auto"/>
              </w:rPr>
            </w:pPr>
            <w:r>
              <w:rPr>
                <w:rFonts w:ascii="Arial" w:cs="Arial" w:eastAsia="Arial" w:hAnsi="Arial"/>
                <w:sz w:val="12"/>
                <w:szCs w:val="12"/>
                <w:color w:val="auto"/>
              </w:rPr>
              <w:t>316,667</w:t>
            </w:r>
          </w:p>
        </w:tc>
        <w:tc>
          <w:tcPr>
            <w:tcW w:w="1100" w:type="dxa"/>
            <w:vAlign w:val="bottom"/>
          </w:tcPr>
          <w:p>
            <w:pPr>
              <w:jc w:val="right"/>
              <w:spacing w:after="0"/>
              <w:rPr>
                <w:sz w:val="20"/>
                <w:szCs w:val="20"/>
                <w:color w:val="auto"/>
              </w:rPr>
            </w:pPr>
            <w:r>
              <w:rPr>
                <w:rFonts w:ascii="Arial" w:cs="Arial" w:eastAsia="Arial" w:hAnsi="Arial"/>
                <w:sz w:val="12"/>
                <w:szCs w:val="12"/>
                <w:color w:val="auto"/>
              </w:rPr>
              <w:t>1,119,995</w:t>
            </w:r>
          </w:p>
        </w:tc>
        <w:tc>
          <w:tcPr>
            <w:tcW w:w="10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2,425,500</w:t>
            </w:r>
          </w:p>
        </w:tc>
        <w:tc>
          <w:tcPr>
            <w:tcW w:w="280" w:type="dxa"/>
            <w:vAlign w:val="bottom"/>
          </w:tcPr>
          <w:p>
            <w:pPr>
              <w:spacing w:after="0" w:line="89" w:lineRule="exact"/>
              <w:rPr>
                <w:sz w:val="20"/>
                <w:szCs w:val="20"/>
                <w:color w:val="auto"/>
              </w:rPr>
            </w:pPr>
            <w:r>
              <w:rPr>
                <w:rFonts w:ascii="Arial" w:cs="Arial" w:eastAsia="Arial" w:hAnsi="Arial"/>
                <w:sz w:val="8"/>
                <w:szCs w:val="8"/>
                <w:color w:val="auto"/>
              </w:rPr>
              <w:t>(8)</w:t>
            </w:r>
          </w:p>
        </w:tc>
        <w:tc>
          <w:tcPr>
            <w:tcW w:w="50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6"/>
        </w:trPr>
        <w:tc>
          <w:tcPr>
            <w:tcW w:w="1880" w:type="dxa"/>
            <w:vAlign w:val="bottom"/>
          </w:tcPr>
          <w:p>
            <w:pPr>
              <w:ind w:left="80"/>
              <w:spacing w:after="0"/>
              <w:rPr>
                <w:sz w:val="20"/>
                <w:szCs w:val="20"/>
                <w:color w:val="auto"/>
              </w:rPr>
            </w:pPr>
            <w:r>
              <w:rPr>
                <w:rFonts w:ascii="Arial" w:cs="Arial" w:eastAsia="Arial" w:hAnsi="Arial"/>
                <w:sz w:val="12"/>
                <w:szCs w:val="12"/>
                <w:b w:val="1"/>
                <w:bCs w:val="1"/>
                <w:color w:val="auto"/>
              </w:rPr>
              <w:t>Alec Meikle, Executive</w:t>
            </w:r>
          </w:p>
        </w:tc>
        <w:tc>
          <w:tcPr>
            <w:tcW w:w="840" w:type="dxa"/>
            <w:vAlign w:val="bottom"/>
          </w:tcPr>
          <w:p>
            <w:pPr>
              <w:ind w:left="320"/>
              <w:spacing w:after="0"/>
              <w:rPr>
                <w:sz w:val="20"/>
                <w:szCs w:val="20"/>
                <w:color w:val="auto"/>
              </w:rPr>
            </w:pPr>
            <w:r>
              <w:rPr>
                <w:rFonts w:ascii="Arial" w:cs="Arial" w:eastAsia="Arial" w:hAnsi="Arial"/>
                <w:sz w:val="12"/>
                <w:szCs w:val="12"/>
                <w:color w:val="auto"/>
              </w:rPr>
              <w:t>2025</w:t>
            </w:r>
          </w:p>
        </w:tc>
        <w:tc>
          <w:tcPr>
            <w:tcW w:w="960" w:type="dxa"/>
            <w:vAlign w:val="bottom"/>
          </w:tcPr>
          <w:p>
            <w:pPr>
              <w:jc w:val="right"/>
              <w:spacing w:after="0"/>
              <w:rPr>
                <w:sz w:val="20"/>
                <w:szCs w:val="20"/>
                <w:color w:val="auto"/>
              </w:rPr>
            </w:pPr>
            <w:r>
              <w:rPr>
                <w:rFonts w:ascii="Arial" w:cs="Arial" w:eastAsia="Arial" w:hAnsi="Arial"/>
                <w:sz w:val="12"/>
                <w:szCs w:val="12"/>
                <w:color w:val="auto"/>
              </w:rPr>
              <w:t>360,000</w:t>
            </w:r>
          </w:p>
        </w:tc>
        <w:tc>
          <w:tcPr>
            <w:tcW w:w="1100" w:type="dxa"/>
            <w:vAlign w:val="bottom"/>
          </w:tcPr>
          <w:p>
            <w:pPr>
              <w:jc w:val="right"/>
              <w:spacing w:after="0"/>
              <w:rPr>
                <w:sz w:val="20"/>
                <w:szCs w:val="20"/>
                <w:color w:val="auto"/>
              </w:rPr>
            </w:pPr>
            <w:r>
              <w:rPr>
                <w:rFonts w:ascii="Arial" w:cs="Arial" w:eastAsia="Arial" w:hAnsi="Arial"/>
                <w:sz w:val="12"/>
                <w:szCs w:val="12"/>
                <w:color w:val="auto"/>
              </w:rPr>
              <w:t>917,646</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1,244,405</w:t>
            </w:r>
          </w:p>
        </w:tc>
        <w:tc>
          <w:tcPr>
            <w:tcW w:w="280" w:type="dxa"/>
            <w:vAlign w:val="bottom"/>
          </w:tcPr>
          <w:p>
            <w:pPr>
              <w:spacing w:after="0"/>
              <w:rPr>
                <w:sz w:val="20"/>
                <w:szCs w:val="20"/>
                <w:color w:val="auto"/>
              </w:rPr>
            </w:pPr>
            <w:r>
              <w:rPr>
                <w:rFonts w:ascii="Arial" w:cs="Arial" w:eastAsia="Arial" w:hAnsi="Arial"/>
                <w:sz w:val="8"/>
                <w:szCs w:val="8"/>
                <w:color w:val="auto"/>
              </w:rPr>
              <w:t>(12)</w:t>
            </w:r>
          </w:p>
        </w:tc>
        <w:tc>
          <w:tcPr>
            <w:tcW w:w="50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0"/>
        </w:trPr>
        <w:tc>
          <w:tcPr>
            <w:tcW w:w="1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Vice President</w:t>
            </w: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20"/>
                <w:szCs w:val="20"/>
                <w:color w:val="auto"/>
              </w:rPr>
            </w:pPr>
            <w:r>
              <w:rPr>
                <w:rFonts w:ascii="Arial" w:cs="Arial" w:eastAsia="Arial" w:hAnsi="Arial"/>
                <w:sz w:val="8"/>
                <w:szCs w:val="8"/>
                <w:color w:val="auto"/>
              </w:rPr>
              <w:t>(5)(6)</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88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1880" w:type="dxa"/>
            <w:vAlign w:val="bottom"/>
          </w:tcPr>
          <w:p>
            <w:pPr>
              <w:spacing w:after="0"/>
              <w:rPr>
                <w:sz w:val="15"/>
                <w:szCs w:val="15"/>
                <w:color w:val="auto"/>
              </w:rPr>
            </w:pPr>
          </w:p>
        </w:tc>
        <w:tc>
          <w:tcPr>
            <w:tcW w:w="840" w:type="dxa"/>
            <w:vAlign w:val="bottom"/>
          </w:tcPr>
          <w:p>
            <w:pPr>
              <w:ind w:left="320"/>
              <w:spacing w:after="0"/>
              <w:rPr>
                <w:sz w:val="20"/>
                <w:szCs w:val="20"/>
                <w:color w:val="auto"/>
              </w:rPr>
            </w:pPr>
            <w:r>
              <w:rPr>
                <w:rFonts w:ascii="Arial" w:cs="Arial" w:eastAsia="Arial" w:hAnsi="Arial"/>
                <w:sz w:val="12"/>
                <w:szCs w:val="12"/>
                <w:color w:val="auto"/>
              </w:rPr>
              <w:t>2024</w:t>
            </w:r>
          </w:p>
        </w:tc>
        <w:tc>
          <w:tcPr>
            <w:tcW w:w="960" w:type="dxa"/>
            <w:vAlign w:val="bottom"/>
          </w:tcPr>
          <w:p>
            <w:pPr>
              <w:jc w:val="right"/>
              <w:spacing w:after="0"/>
              <w:rPr>
                <w:sz w:val="20"/>
                <w:szCs w:val="20"/>
                <w:color w:val="auto"/>
              </w:rPr>
            </w:pPr>
            <w:r>
              <w:rPr>
                <w:rFonts w:ascii="Arial" w:cs="Arial" w:eastAsia="Arial" w:hAnsi="Arial"/>
                <w:sz w:val="12"/>
                <w:szCs w:val="12"/>
                <w:color w:val="auto"/>
              </w:rPr>
              <w:t>147,878</w:t>
            </w:r>
          </w:p>
        </w:tc>
        <w:tc>
          <w:tcPr>
            <w:tcW w:w="1100" w:type="dxa"/>
            <w:vAlign w:val="bottom"/>
          </w:tcPr>
          <w:p>
            <w:pPr>
              <w:jc w:val="right"/>
              <w:spacing w:after="0"/>
              <w:rPr>
                <w:sz w:val="20"/>
                <w:szCs w:val="20"/>
                <w:color w:val="auto"/>
              </w:rPr>
            </w:pPr>
            <w:r>
              <w:rPr>
                <w:rFonts w:ascii="Arial" w:cs="Arial" w:eastAsia="Arial" w:hAnsi="Arial"/>
                <w:sz w:val="12"/>
                <w:szCs w:val="12"/>
                <w:color w:val="auto"/>
              </w:rPr>
              <w:t>774,997</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3,710,000</w:t>
            </w:r>
          </w:p>
        </w:tc>
        <w:tc>
          <w:tcPr>
            <w:tcW w:w="280" w:type="dxa"/>
            <w:vAlign w:val="bottom"/>
          </w:tcPr>
          <w:p>
            <w:pPr>
              <w:spacing w:after="0"/>
              <w:rPr>
                <w:sz w:val="20"/>
                <w:szCs w:val="20"/>
                <w:color w:val="auto"/>
              </w:rPr>
            </w:pPr>
            <w:r>
              <w:rPr>
                <w:rFonts w:ascii="Arial" w:cs="Arial" w:eastAsia="Arial" w:hAnsi="Arial"/>
                <w:sz w:val="8"/>
                <w:szCs w:val="8"/>
                <w:color w:val="auto"/>
              </w:rPr>
              <w:t>(8)(10)</w:t>
            </w:r>
          </w:p>
        </w:tc>
        <w:tc>
          <w:tcPr>
            <w:tcW w:w="50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40"/>
        </w:trPr>
        <w:tc>
          <w:tcPr>
            <w:tcW w:w="1880" w:type="dxa"/>
            <w:vAlign w:val="bottom"/>
          </w:tcPr>
          <w:p>
            <w:pPr>
              <w:ind w:left="80"/>
              <w:spacing w:after="0"/>
              <w:rPr>
                <w:sz w:val="20"/>
                <w:szCs w:val="20"/>
                <w:color w:val="auto"/>
              </w:rPr>
            </w:pPr>
            <w:r>
              <w:rPr>
                <w:rFonts w:ascii="Arial" w:cs="Arial" w:eastAsia="Arial" w:hAnsi="Arial"/>
                <w:sz w:val="12"/>
                <w:szCs w:val="12"/>
                <w:b w:val="1"/>
                <w:bCs w:val="1"/>
                <w:color w:val="auto"/>
              </w:rPr>
              <w:t>Corporate Development</w:t>
            </w:r>
            <w:r>
              <w:rPr>
                <w:rFonts w:ascii="Arial" w:cs="Arial" w:eastAsia="Arial" w:hAnsi="Arial"/>
                <w:sz w:val="16"/>
                <w:szCs w:val="16"/>
                <w:b w:val="1"/>
                <w:bCs w:val="1"/>
                <w:color w:val="auto"/>
                <w:vertAlign w:val="superscript"/>
              </w:rPr>
              <w:t>(6)</w:t>
            </w:r>
          </w:p>
        </w:tc>
        <w:tc>
          <w:tcPr>
            <w:tcW w:w="840" w:type="dxa"/>
            <w:vAlign w:val="bottom"/>
          </w:tcPr>
          <w:p>
            <w:pPr>
              <w:ind w:left="320"/>
              <w:spacing w:after="0"/>
              <w:rPr>
                <w:sz w:val="20"/>
                <w:szCs w:val="20"/>
                <w:color w:val="auto"/>
              </w:rPr>
            </w:pPr>
            <w:r>
              <w:rPr>
                <w:rFonts w:ascii="Arial" w:cs="Arial" w:eastAsia="Arial" w:hAnsi="Arial"/>
                <w:sz w:val="12"/>
                <w:szCs w:val="12"/>
                <w:color w:val="auto"/>
              </w:rPr>
              <w:t>2023</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511,065</w:t>
            </w:r>
          </w:p>
        </w:tc>
        <w:tc>
          <w:tcPr>
            <w:tcW w:w="280" w:type="dxa"/>
            <w:vAlign w:val="bottom"/>
          </w:tcPr>
          <w:p>
            <w:pPr>
              <w:spacing w:after="0"/>
              <w:rPr>
                <w:sz w:val="20"/>
                <w:szCs w:val="20"/>
                <w:color w:val="auto"/>
              </w:rPr>
            </w:pPr>
            <w:r>
              <w:rPr>
                <w:rFonts w:ascii="Arial" w:cs="Arial" w:eastAsia="Arial" w:hAnsi="Arial"/>
                <w:sz w:val="8"/>
                <w:szCs w:val="8"/>
                <w:color w:val="auto"/>
              </w:rPr>
              <w:t>(10)</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1880" w:type="dxa"/>
            <w:vAlign w:val="bottom"/>
          </w:tcPr>
          <w:p>
            <w:pPr>
              <w:ind w:left="80"/>
              <w:spacing w:after="0"/>
              <w:rPr>
                <w:sz w:val="20"/>
                <w:szCs w:val="20"/>
                <w:color w:val="auto"/>
              </w:rPr>
            </w:pPr>
            <w:r>
              <w:rPr>
                <w:rFonts w:ascii="Arial" w:cs="Arial" w:eastAsia="Arial" w:hAnsi="Arial"/>
                <w:sz w:val="12"/>
                <w:szCs w:val="12"/>
                <w:b w:val="1"/>
                <w:bCs w:val="1"/>
                <w:color w:val="auto"/>
              </w:rPr>
              <w:t>Alex Shulga,</w:t>
            </w:r>
          </w:p>
        </w:tc>
        <w:tc>
          <w:tcPr>
            <w:tcW w:w="840" w:type="dxa"/>
            <w:vAlign w:val="bottom"/>
          </w:tcPr>
          <w:p>
            <w:pPr>
              <w:ind w:left="320"/>
              <w:spacing w:after="0"/>
              <w:rPr>
                <w:sz w:val="20"/>
                <w:szCs w:val="20"/>
                <w:color w:val="auto"/>
              </w:rPr>
            </w:pPr>
            <w:r>
              <w:rPr>
                <w:rFonts w:ascii="Arial" w:cs="Arial" w:eastAsia="Arial" w:hAnsi="Arial"/>
                <w:sz w:val="12"/>
                <w:szCs w:val="12"/>
                <w:color w:val="auto"/>
              </w:rPr>
              <w:t>2025</w:t>
            </w:r>
          </w:p>
        </w:tc>
        <w:tc>
          <w:tcPr>
            <w:tcW w:w="960" w:type="dxa"/>
            <w:vAlign w:val="bottom"/>
          </w:tcPr>
          <w:p>
            <w:pPr>
              <w:jc w:val="right"/>
              <w:spacing w:after="0"/>
              <w:rPr>
                <w:sz w:val="20"/>
                <w:szCs w:val="20"/>
                <w:color w:val="auto"/>
              </w:rPr>
            </w:pPr>
            <w:r>
              <w:rPr>
                <w:rFonts w:ascii="Arial" w:cs="Arial" w:eastAsia="Arial" w:hAnsi="Arial"/>
                <w:sz w:val="12"/>
                <w:szCs w:val="12"/>
                <w:color w:val="auto"/>
              </w:rPr>
              <w:t>350,000</w:t>
            </w:r>
          </w:p>
        </w:tc>
        <w:tc>
          <w:tcPr>
            <w:tcW w:w="1100" w:type="dxa"/>
            <w:vAlign w:val="bottom"/>
          </w:tcPr>
          <w:p>
            <w:pPr>
              <w:jc w:val="right"/>
              <w:spacing w:after="0"/>
              <w:rPr>
                <w:sz w:val="20"/>
                <w:szCs w:val="20"/>
                <w:color w:val="auto"/>
              </w:rPr>
            </w:pPr>
            <w:r>
              <w:rPr>
                <w:rFonts w:ascii="Arial" w:cs="Arial" w:eastAsia="Arial" w:hAnsi="Arial"/>
                <w:sz w:val="12"/>
                <w:szCs w:val="12"/>
                <w:color w:val="auto"/>
              </w:rPr>
              <w:t>839,105</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924,772</w:t>
            </w:r>
          </w:p>
        </w:tc>
        <w:tc>
          <w:tcPr>
            <w:tcW w:w="280" w:type="dxa"/>
            <w:vAlign w:val="bottom"/>
          </w:tcPr>
          <w:p>
            <w:pPr>
              <w:spacing w:after="0"/>
              <w:rPr>
                <w:sz w:val="20"/>
                <w:szCs w:val="20"/>
                <w:color w:val="auto"/>
              </w:rPr>
            </w:pPr>
            <w:r>
              <w:rPr>
                <w:rFonts w:ascii="Arial" w:cs="Arial" w:eastAsia="Arial" w:hAnsi="Arial"/>
                <w:sz w:val="8"/>
                <w:szCs w:val="8"/>
                <w:color w:val="auto"/>
              </w:rPr>
              <w:t>(12)</w:t>
            </w:r>
          </w:p>
        </w:tc>
        <w:tc>
          <w:tcPr>
            <w:tcW w:w="50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96"/>
        </w:trPr>
        <w:tc>
          <w:tcPr>
            <w:tcW w:w="1880" w:type="dxa"/>
            <w:vAlign w:val="bottom"/>
          </w:tcPr>
          <w:p>
            <w:pPr>
              <w:ind w:left="80"/>
              <w:spacing w:after="0"/>
              <w:rPr>
                <w:sz w:val="20"/>
                <w:szCs w:val="20"/>
                <w:color w:val="auto"/>
              </w:rPr>
            </w:pPr>
            <w:r>
              <w:rPr>
                <w:rFonts w:ascii="Arial" w:cs="Arial" w:eastAsia="Arial" w:hAnsi="Arial"/>
                <w:sz w:val="12"/>
                <w:szCs w:val="12"/>
                <w:b w:val="1"/>
                <w:bCs w:val="1"/>
                <w:color w:val="auto"/>
              </w:rPr>
              <w:t>Vice President and</w:t>
            </w:r>
          </w:p>
        </w:tc>
        <w:tc>
          <w:tcPr>
            <w:tcW w:w="840" w:type="dxa"/>
            <w:vAlign w:val="bottom"/>
          </w:tcPr>
          <w:p>
            <w:pPr>
              <w:ind w:left="320"/>
              <w:spacing w:after="0"/>
              <w:rPr>
                <w:sz w:val="20"/>
                <w:szCs w:val="20"/>
                <w:color w:val="auto"/>
              </w:rPr>
            </w:pPr>
            <w:r>
              <w:rPr>
                <w:rFonts w:ascii="Arial" w:cs="Arial" w:eastAsia="Arial" w:hAnsi="Arial"/>
                <w:sz w:val="12"/>
                <w:szCs w:val="12"/>
                <w:color w:val="auto"/>
              </w:rPr>
              <w:t>2024</w:t>
            </w:r>
          </w:p>
        </w:tc>
        <w:tc>
          <w:tcPr>
            <w:tcW w:w="960" w:type="dxa"/>
            <w:vAlign w:val="bottom"/>
          </w:tcPr>
          <w:p>
            <w:pPr>
              <w:jc w:val="right"/>
              <w:spacing w:after="0"/>
              <w:rPr>
                <w:sz w:val="20"/>
                <w:szCs w:val="20"/>
                <w:color w:val="auto"/>
              </w:rPr>
            </w:pPr>
            <w:r>
              <w:rPr>
                <w:rFonts w:ascii="Arial" w:cs="Arial" w:eastAsia="Arial" w:hAnsi="Arial"/>
                <w:sz w:val="12"/>
                <w:szCs w:val="12"/>
                <w:color w:val="auto"/>
              </w:rPr>
              <w:t>315,000</w:t>
            </w:r>
          </w:p>
        </w:tc>
        <w:tc>
          <w:tcPr>
            <w:tcW w:w="1100" w:type="dxa"/>
            <w:vAlign w:val="bottom"/>
          </w:tcPr>
          <w:p>
            <w:pPr>
              <w:jc w:val="right"/>
              <w:spacing w:after="0"/>
              <w:rPr>
                <w:sz w:val="20"/>
                <w:szCs w:val="20"/>
                <w:color w:val="auto"/>
              </w:rPr>
            </w:pPr>
            <w:r>
              <w:rPr>
                <w:rFonts w:ascii="Arial" w:cs="Arial" w:eastAsia="Arial" w:hAnsi="Arial"/>
                <w:sz w:val="12"/>
                <w:szCs w:val="12"/>
                <w:color w:val="auto"/>
              </w:rPr>
              <w:t>896,497</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39"/>
        </w:trPr>
        <w:tc>
          <w:tcPr>
            <w:tcW w:w="1880" w:type="dxa"/>
            <w:vAlign w:val="bottom"/>
          </w:tcPr>
          <w:p>
            <w:pPr>
              <w:ind w:left="80"/>
              <w:spacing w:after="0"/>
              <w:rPr>
                <w:sz w:val="20"/>
                <w:szCs w:val="20"/>
                <w:color w:val="auto"/>
              </w:rPr>
            </w:pPr>
            <w:r>
              <w:rPr>
                <w:rFonts w:ascii="Arial" w:cs="Arial" w:eastAsia="Arial" w:hAnsi="Arial"/>
                <w:sz w:val="12"/>
                <w:szCs w:val="12"/>
                <w:b w:val="1"/>
                <w:bCs w:val="1"/>
                <w:color w:val="auto"/>
              </w:rPr>
              <w:t>Chief Financial Officer</w:t>
            </w:r>
          </w:p>
        </w:tc>
        <w:tc>
          <w:tcPr>
            <w:tcW w:w="840" w:type="dxa"/>
            <w:vAlign w:val="bottom"/>
          </w:tcPr>
          <w:p>
            <w:pPr>
              <w:ind w:left="320"/>
              <w:spacing w:after="0"/>
              <w:rPr>
                <w:sz w:val="20"/>
                <w:szCs w:val="20"/>
                <w:color w:val="auto"/>
              </w:rPr>
            </w:pPr>
            <w:r>
              <w:rPr>
                <w:rFonts w:ascii="Arial" w:cs="Arial" w:eastAsia="Arial" w:hAnsi="Arial"/>
                <w:sz w:val="12"/>
                <w:szCs w:val="12"/>
                <w:color w:val="auto"/>
              </w:rPr>
              <w:t xml:space="preserve">2023 </w:t>
            </w:r>
            <w:r>
              <w:rPr>
                <w:rFonts w:ascii="Arial" w:cs="Arial" w:eastAsia="Arial" w:hAnsi="Arial"/>
                <w:sz w:val="16"/>
                <w:szCs w:val="16"/>
                <w:color w:val="auto"/>
                <w:vertAlign w:val="superscript"/>
              </w:rPr>
              <w:t>(11)</w:t>
            </w:r>
          </w:p>
        </w:tc>
        <w:tc>
          <w:tcPr>
            <w:tcW w:w="960" w:type="dxa"/>
            <w:vAlign w:val="bottom"/>
          </w:tcPr>
          <w:p>
            <w:pPr>
              <w:jc w:val="right"/>
              <w:spacing w:after="0"/>
              <w:rPr>
                <w:sz w:val="20"/>
                <w:szCs w:val="20"/>
                <w:color w:val="auto"/>
              </w:rPr>
            </w:pPr>
            <w:r>
              <w:rPr>
                <w:rFonts w:ascii="Arial" w:cs="Arial" w:eastAsia="Arial" w:hAnsi="Arial"/>
                <w:sz w:val="12"/>
                <w:szCs w:val="12"/>
                <w:color w:val="auto"/>
              </w:rPr>
              <w:t>305,446</w:t>
            </w:r>
          </w:p>
        </w:tc>
        <w:tc>
          <w:tcPr>
            <w:tcW w:w="1100" w:type="dxa"/>
            <w:vAlign w:val="bottom"/>
          </w:tcPr>
          <w:p>
            <w:pPr>
              <w:jc w:val="right"/>
              <w:spacing w:after="0"/>
              <w:rPr>
                <w:sz w:val="20"/>
                <w:szCs w:val="20"/>
                <w:color w:val="auto"/>
              </w:rPr>
            </w:pPr>
            <w:r>
              <w:rPr>
                <w:rFonts w:ascii="Arial" w:cs="Arial" w:eastAsia="Arial" w:hAnsi="Arial"/>
                <w:sz w:val="12"/>
                <w:szCs w:val="12"/>
                <w:color w:val="auto"/>
              </w:rPr>
              <w:t>724,650</w:t>
            </w:r>
          </w:p>
        </w:tc>
        <w:tc>
          <w:tcPr>
            <w:tcW w:w="1080" w:type="dxa"/>
            <w:vAlign w:val="bottom"/>
          </w:tcPr>
          <w:p>
            <w:pPr>
              <w:jc w:val="right"/>
              <w:spacing w:after="0"/>
              <w:rPr>
                <w:sz w:val="20"/>
                <w:szCs w:val="20"/>
                <w:color w:val="auto"/>
              </w:rPr>
            </w:pPr>
            <w:r>
              <w:rPr>
                <w:rFonts w:ascii="Arial" w:cs="Arial" w:eastAsia="Arial" w:hAnsi="Arial"/>
                <w:sz w:val="12"/>
                <w:szCs w:val="12"/>
                <w:color w:val="auto"/>
              </w:rPr>
              <w:t>686,750</w:t>
            </w:r>
          </w:p>
        </w:tc>
        <w:tc>
          <w:tcPr>
            <w:tcW w:w="1180" w:type="dxa"/>
            <w:vAlign w:val="bottom"/>
          </w:tcPr>
          <w:p>
            <w:pPr>
              <w:jc w:val="right"/>
              <w:spacing w:after="0"/>
              <w:rPr>
                <w:sz w:val="20"/>
                <w:szCs w:val="20"/>
                <w:color w:val="auto"/>
              </w:rPr>
            </w:pPr>
            <w:r>
              <w:rPr>
                <w:rFonts w:ascii="Arial" w:cs="Arial" w:eastAsia="Arial" w:hAnsi="Arial"/>
                <w:sz w:val="12"/>
                <w:szCs w:val="12"/>
                <w:color w:val="auto"/>
              </w:rPr>
              <w:t>50,000</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2"/>
        </w:trPr>
        <w:tc>
          <w:tcPr>
            <w:tcW w:w="1880" w:type="dxa"/>
            <w:vAlign w:val="bottom"/>
          </w:tcPr>
          <w:p>
            <w:pPr>
              <w:ind w:left="80"/>
              <w:spacing w:after="0"/>
              <w:rPr>
                <w:sz w:val="20"/>
                <w:szCs w:val="20"/>
                <w:color w:val="auto"/>
              </w:rPr>
            </w:pPr>
            <w:r>
              <w:rPr>
                <w:rFonts w:ascii="Arial" w:cs="Arial" w:eastAsia="Arial" w:hAnsi="Arial"/>
                <w:sz w:val="12"/>
                <w:szCs w:val="12"/>
                <w:b w:val="1"/>
                <w:bCs w:val="1"/>
                <w:color w:val="auto"/>
              </w:rPr>
              <w:t>Mariano Chiappori,</w:t>
            </w:r>
          </w:p>
        </w:tc>
        <w:tc>
          <w:tcPr>
            <w:tcW w:w="840" w:type="dxa"/>
            <w:vAlign w:val="bottom"/>
          </w:tcPr>
          <w:p>
            <w:pPr>
              <w:ind w:left="320"/>
              <w:spacing w:after="0"/>
              <w:rPr>
                <w:sz w:val="20"/>
                <w:szCs w:val="20"/>
                <w:color w:val="auto"/>
              </w:rPr>
            </w:pPr>
            <w:r>
              <w:rPr>
                <w:rFonts w:ascii="Arial" w:cs="Arial" w:eastAsia="Arial" w:hAnsi="Arial"/>
                <w:sz w:val="12"/>
                <w:szCs w:val="12"/>
                <w:color w:val="auto"/>
              </w:rPr>
              <w:t>2025</w:t>
            </w:r>
          </w:p>
        </w:tc>
        <w:tc>
          <w:tcPr>
            <w:tcW w:w="960" w:type="dxa"/>
            <w:vAlign w:val="bottom"/>
          </w:tcPr>
          <w:p>
            <w:pPr>
              <w:jc w:val="right"/>
              <w:spacing w:after="0"/>
              <w:rPr>
                <w:sz w:val="20"/>
                <w:szCs w:val="20"/>
                <w:color w:val="auto"/>
              </w:rPr>
            </w:pPr>
            <w:r>
              <w:rPr>
                <w:rFonts w:ascii="Arial" w:cs="Arial" w:eastAsia="Arial" w:hAnsi="Arial"/>
                <w:sz w:val="12"/>
                <w:szCs w:val="12"/>
                <w:color w:val="auto"/>
              </w:rPr>
              <w:t>373,750</w:t>
            </w:r>
          </w:p>
        </w:tc>
        <w:tc>
          <w:tcPr>
            <w:tcW w:w="1100" w:type="dxa"/>
            <w:vAlign w:val="bottom"/>
          </w:tcPr>
          <w:p>
            <w:pPr>
              <w:jc w:val="right"/>
              <w:spacing w:after="0"/>
              <w:rPr>
                <w:sz w:val="20"/>
                <w:szCs w:val="20"/>
                <w:color w:val="auto"/>
              </w:rPr>
            </w:pPr>
            <w:r>
              <w:rPr>
                <w:rFonts w:ascii="Arial" w:cs="Arial" w:eastAsia="Arial" w:hAnsi="Arial"/>
                <w:sz w:val="12"/>
                <w:szCs w:val="12"/>
                <w:color w:val="auto"/>
              </w:rPr>
              <w:t>806,234</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196,495</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199,998</w:t>
            </w:r>
          </w:p>
        </w:tc>
        <w:tc>
          <w:tcPr>
            <w:tcW w:w="280" w:type="dxa"/>
            <w:vAlign w:val="bottom"/>
          </w:tcPr>
          <w:p>
            <w:pPr>
              <w:spacing w:after="0"/>
              <w:rPr>
                <w:sz w:val="20"/>
                <w:szCs w:val="20"/>
                <w:color w:val="auto"/>
              </w:rPr>
            </w:pPr>
            <w:r>
              <w:rPr>
                <w:rFonts w:ascii="Arial" w:cs="Arial" w:eastAsia="Arial" w:hAnsi="Arial"/>
                <w:sz w:val="8"/>
                <w:szCs w:val="8"/>
                <w:color w:val="auto"/>
              </w:rPr>
              <w:t>(12)</w:t>
            </w:r>
          </w:p>
        </w:tc>
        <w:tc>
          <w:tcPr>
            <w:tcW w:w="50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96"/>
        </w:trPr>
        <w:tc>
          <w:tcPr>
            <w:tcW w:w="1880" w:type="dxa"/>
            <w:vAlign w:val="bottom"/>
          </w:tcPr>
          <w:p>
            <w:pPr>
              <w:ind w:left="80"/>
              <w:spacing w:after="0"/>
              <w:rPr>
                <w:sz w:val="20"/>
                <w:szCs w:val="20"/>
                <w:color w:val="auto"/>
              </w:rPr>
            </w:pPr>
            <w:r>
              <w:rPr>
                <w:rFonts w:ascii="Arial" w:cs="Arial" w:eastAsia="Arial" w:hAnsi="Arial"/>
                <w:sz w:val="12"/>
                <w:szCs w:val="12"/>
                <w:b w:val="1"/>
                <w:bCs w:val="1"/>
                <w:color w:val="auto"/>
              </w:rPr>
              <w:t>Vice President and</w:t>
            </w:r>
          </w:p>
        </w:tc>
        <w:tc>
          <w:tcPr>
            <w:tcW w:w="840" w:type="dxa"/>
            <w:vAlign w:val="bottom"/>
          </w:tcPr>
          <w:p>
            <w:pPr>
              <w:ind w:left="320"/>
              <w:spacing w:after="0"/>
              <w:rPr>
                <w:sz w:val="20"/>
                <w:szCs w:val="20"/>
                <w:color w:val="auto"/>
              </w:rPr>
            </w:pPr>
            <w:r>
              <w:rPr>
                <w:rFonts w:ascii="Arial" w:cs="Arial" w:eastAsia="Arial" w:hAnsi="Arial"/>
                <w:sz w:val="12"/>
                <w:szCs w:val="12"/>
                <w:color w:val="auto"/>
              </w:rPr>
              <w:t>2024</w:t>
            </w:r>
          </w:p>
        </w:tc>
        <w:tc>
          <w:tcPr>
            <w:tcW w:w="960" w:type="dxa"/>
            <w:vAlign w:val="bottom"/>
          </w:tcPr>
          <w:p>
            <w:pPr>
              <w:jc w:val="right"/>
              <w:spacing w:after="0"/>
              <w:rPr>
                <w:sz w:val="20"/>
                <w:szCs w:val="20"/>
                <w:color w:val="auto"/>
              </w:rPr>
            </w:pPr>
            <w:r>
              <w:rPr>
                <w:rFonts w:ascii="Arial" w:cs="Arial" w:eastAsia="Arial" w:hAnsi="Arial"/>
                <w:sz w:val="12"/>
                <w:szCs w:val="12"/>
                <w:color w:val="auto"/>
              </w:rPr>
              <w:t>373,750</w:t>
            </w:r>
          </w:p>
        </w:tc>
        <w:tc>
          <w:tcPr>
            <w:tcW w:w="1100" w:type="dxa"/>
            <w:vAlign w:val="bottom"/>
          </w:tcPr>
          <w:p>
            <w:pPr>
              <w:jc w:val="right"/>
              <w:spacing w:after="0"/>
              <w:rPr>
                <w:sz w:val="20"/>
                <w:szCs w:val="20"/>
                <w:color w:val="auto"/>
              </w:rPr>
            </w:pPr>
            <w:r>
              <w:rPr>
                <w:rFonts w:ascii="Arial" w:cs="Arial" w:eastAsia="Arial" w:hAnsi="Arial"/>
                <w:sz w:val="12"/>
                <w:szCs w:val="12"/>
                <w:color w:val="auto"/>
              </w:rPr>
              <w:t>873,746</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50,000</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96"/>
        </w:trPr>
        <w:tc>
          <w:tcPr>
            <w:tcW w:w="1880" w:type="dxa"/>
            <w:vAlign w:val="bottom"/>
          </w:tcPr>
          <w:p>
            <w:pPr>
              <w:ind w:left="80"/>
              <w:spacing w:after="0"/>
              <w:rPr>
                <w:sz w:val="20"/>
                <w:szCs w:val="20"/>
                <w:color w:val="auto"/>
              </w:rPr>
            </w:pPr>
            <w:r>
              <w:rPr>
                <w:rFonts w:ascii="Arial" w:cs="Arial" w:eastAsia="Arial" w:hAnsi="Arial"/>
                <w:sz w:val="12"/>
                <w:szCs w:val="12"/>
                <w:b w:val="1"/>
                <w:bCs w:val="1"/>
                <w:color w:val="auto"/>
              </w:rPr>
              <w:t>Chief Operating Officer</w:t>
            </w:r>
          </w:p>
        </w:tc>
        <w:tc>
          <w:tcPr>
            <w:tcW w:w="840" w:type="dxa"/>
            <w:vAlign w:val="bottom"/>
          </w:tcPr>
          <w:p>
            <w:pPr>
              <w:ind w:left="320"/>
              <w:spacing w:after="0"/>
              <w:rPr>
                <w:sz w:val="20"/>
                <w:szCs w:val="20"/>
                <w:color w:val="auto"/>
              </w:rPr>
            </w:pPr>
            <w:r>
              <w:rPr>
                <w:rFonts w:ascii="Arial" w:cs="Arial" w:eastAsia="Arial" w:hAnsi="Arial"/>
                <w:sz w:val="12"/>
                <w:szCs w:val="12"/>
                <w:color w:val="auto"/>
              </w:rPr>
              <w:t>2023</w:t>
            </w:r>
          </w:p>
        </w:tc>
        <w:tc>
          <w:tcPr>
            <w:tcW w:w="960" w:type="dxa"/>
            <w:vAlign w:val="bottom"/>
          </w:tcPr>
          <w:p>
            <w:pPr>
              <w:jc w:val="right"/>
              <w:spacing w:after="0"/>
              <w:rPr>
                <w:sz w:val="20"/>
                <w:szCs w:val="20"/>
                <w:color w:val="auto"/>
              </w:rPr>
            </w:pPr>
            <w:r>
              <w:rPr>
                <w:rFonts w:ascii="Arial" w:cs="Arial" w:eastAsia="Arial" w:hAnsi="Arial"/>
                <w:sz w:val="12"/>
                <w:szCs w:val="12"/>
                <w:color w:val="auto"/>
              </w:rPr>
              <w:t>373,750</w:t>
            </w:r>
          </w:p>
        </w:tc>
        <w:tc>
          <w:tcPr>
            <w:tcW w:w="1100" w:type="dxa"/>
            <w:vAlign w:val="bottom"/>
          </w:tcPr>
          <w:p>
            <w:pPr>
              <w:jc w:val="right"/>
              <w:spacing w:after="0"/>
              <w:rPr>
                <w:sz w:val="20"/>
                <w:szCs w:val="20"/>
                <w:color w:val="auto"/>
              </w:rPr>
            </w:pPr>
            <w:r>
              <w:rPr>
                <w:rFonts w:ascii="Arial" w:cs="Arial" w:eastAsia="Arial" w:hAnsi="Arial"/>
                <w:sz w:val="12"/>
                <w:szCs w:val="12"/>
                <w:color w:val="auto"/>
              </w:rPr>
              <w:t>386,884</w:t>
            </w:r>
          </w:p>
        </w:tc>
        <w:tc>
          <w:tcPr>
            <w:tcW w:w="1080" w:type="dxa"/>
            <w:vAlign w:val="bottom"/>
          </w:tcPr>
          <w:p>
            <w:pPr>
              <w:jc w:val="right"/>
              <w:spacing w:after="0"/>
              <w:rPr>
                <w:sz w:val="20"/>
                <w:szCs w:val="20"/>
                <w:color w:val="auto"/>
              </w:rPr>
            </w:pPr>
            <w:r>
              <w:rPr>
                <w:rFonts w:ascii="Arial" w:cs="Arial" w:eastAsia="Arial" w:hAnsi="Arial"/>
                <w:sz w:val="12"/>
                <w:szCs w:val="12"/>
                <w:color w:val="auto"/>
              </w:rPr>
              <w:t>398,000</w:t>
            </w:r>
          </w:p>
        </w:tc>
        <w:tc>
          <w:tcPr>
            <w:tcW w:w="1180" w:type="dxa"/>
            <w:vAlign w:val="bottom"/>
          </w:tcPr>
          <w:p>
            <w:pPr>
              <w:jc w:val="right"/>
              <w:spacing w:after="0"/>
              <w:rPr>
                <w:sz w:val="20"/>
                <w:szCs w:val="20"/>
                <w:color w:val="auto"/>
              </w:rPr>
            </w:pPr>
            <w:r>
              <w:rPr>
                <w:rFonts w:ascii="Arial" w:cs="Arial" w:eastAsia="Arial" w:hAnsi="Arial"/>
                <w:sz w:val="12"/>
                <w:szCs w:val="12"/>
                <w:color w:val="auto"/>
              </w:rPr>
              <w:t>50,000</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-2356485</wp:posOffset>
            </wp:positionV>
            <wp:extent cx="6350" cy="3829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6">
                      <a:extLst>
                        <a:ext uri="{28A0092B-C50C-407E-A947-70E740481C1C}"/>
                      </a:extLst>
                    </a:blip>
                    <a:srcRect/>
                    <a:stretch>
                      <a:fillRect/>
                    </a:stretch>
                  </pic:blipFill>
                  <pic:spPr bwMode="auto">
                    <a:xfrm>
                      <a:off x="0" y="0"/>
                      <a:ext cx="6350" cy="38290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-2356485</wp:posOffset>
            </wp:positionV>
            <wp:extent cx="6350" cy="3829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7">
                      <a:extLst>
                        <a:ext uri="{28A0092B-C50C-407E-A947-70E740481C1C}"/>
                      </a:extLst>
                    </a:blip>
                    <a:srcRect/>
                    <a:stretch>
                      <a:fillRect/>
                    </a:stretch>
                  </pic:blipFill>
                  <pic:spPr bwMode="auto">
                    <a:xfrm>
                      <a:off x="0" y="0"/>
                      <a:ext cx="6350" cy="382905"/>
                    </a:xfrm>
                    <a:prstGeom prst="rect">
                      <a:avLst/>
                    </a:prstGeom>
                    <a:noFill/>
                  </pic:spPr>
                </pic:pic>
              </a:graphicData>
            </a:graphic>
          </wp:anchor>
        </w:drawing>
        <w:drawing>
          <wp:anchor simplePos="0" relativeHeight="251657728" behindDoc="1" locked="0" layoutInCell="0" allowOverlap="1">
            <wp:simplePos x="0" y="0"/>
            <wp:positionH relativeFrom="column">
              <wp:posOffset>2870835</wp:posOffset>
            </wp:positionH>
            <wp:positionV relativeFrom="paragraph">
              <wp:posOffset>-2356485</wp:posOffset>
            </wp:positionV>
            <wp:extent cx="6350" cy="3829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78">
                      <a:extLst>
                        <a:ext uri="{28A0092B-C50C-407E-A947-70E740481C1C}"/>
                      </a:extLst>
                    </a:blip>
                    <a:srcRect/>
                    <a:stretch>
                      <a:fillRect/>
                    </a:stretch>
                  </pic:blipFill>
                  <pic:spPr bwMode="auto">
                    <a:xfrm>
                      <a:off x="0" y="0"/>
                      <a:ext cx="6350" cy="382905"/>
                    </a:xfrm>
                    <a:prstGeom prst="rect">
                      <a:avLst/>
                    </a:prstGeom>
                    <a:noFill/>
                  </pic:spPr>
                </pic:pic>
              </a:graphicData>
            </a:graphic>
          </wp:anchor>
        </w:drawing>
        <w:drawing>
          <wp:anchor simplePos="0" relativeHeight="251657728" behindDoc="1" locked="0" layoutInCell="0" allowOverlap="1">
            <wp:simplePos x="0" y="0"/>
            <wp:positionH relativeFrom="column">
              <wp:posOffset>3582035</wp:posOffset>
            </wp:positionH>
            <wp:positionV relativeFrom="paragraph">
              <wp:posOffset>-2356485</wp:posOffset>
            </wp:positionV>
            <wp:extent cx="6350" cy="3829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79">
                      <a:extLst>
                        <a:ext uri="{28A0092B-C50C-407E-A947-70E740481C1C}"/>
                      </a:extLst>
                    </a:blip>
                    <a:srcRect/>
                    <a:stretch>
                      <a:fillRect/>
                    </a:stretch>
                  </pic:blipFill>
                  <pic:spPr bwMode="auto">
                    <a:xfrm>
                      <a:off x="0" y="0"/>
                      <a:ext cx="6350" cy="38290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-2356485</wp:posOffset>
            </wp:positionV>
            <wp:extent cx="6350" cy="3829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0">
                      <a:extLst>
                        <a:ext uri="{28A0092B-C50C-407E-A947-70E740481C1C}"/>
                      </a:extLst>
                    </a:blip>
                    <a:srcRect/>
                    <a:stretch>
                      <a:fillRect/>
                    </a:stretch>
                  </pic:blipFill>
                  <pic:spPr bwMode="auto">
                    <a:xfrm>
                      <a:off x="0" y="0"/>
                      <a:ext cx="6350" cy="38290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-2356485</wp:posOffset>
            </wp:positionV>
            <wp:extent cx="6350" cy="3829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1">
                      <a:extLst>
                        <a:ext uri="{28A0092B-C50C-407E-A947-70E740481C1C}"/>
                      </a:extLst>
                    </a:blip>
                    <a:srcRect/>
                    <a:stretch>
                      <a:fillRect/>
                    </a:stretch>
                  </pic:blipFill>
                  <pic:spPr bwMode="auto">
                    <a:xfrm>
                      <a:off x="0" y="0"/>
                      <a:ext cx="6350" cy="382905"/>
                    </a:xfrm>
                    <a:prstGeom prst="rect">
                      <a:avLst/>
                    </a:prstGeom>
                    <a:noFill/>
                  </pic:spPr>
                </pic:pic>
              </a:graphicData>
            </a:graphic>
          </wp:anchor>
        </w:drawing>
        <w:drawing>
          <wp:anchor simplePos="0" relativeHeight="251657728" behindDoc="1" locked="0" layoutInCell="0" allowOverlap="1">
            <wp:simplePos x="0" y="0"/>
            <wp:positionH relativeFrom="column">
              <wp:posOffset>5633085</wp:posOffset>
            </wp:positionH>
            <wp:positionV relativeFrom="paragraph">
              <wp:posOffset>-2356485</wp:posOffset>
            </wp:positionV>
            <wp:extent cx="6350" cy="3829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2">
                      <a:extLst>
                        <a:ext uri="{28A0092B-C50C-407E-A947-70E740481C1C}"/>
                      </a:extLst>
                    </a:blip>
                    <a:srcRect/>
                    <a:stretch>
                      <a:fillRect/>
                    </a:stretch>
                  </pic:blipFill>
                  <pic:spPr bwMode="auto">
                    <a:xfrm>
                      <a:off x="0" y="0"/>
                      <a:ext cx="6350" cy="38290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-2356485</wp:posOffset>
            </wp:positionV>
            <wp:extent cx="6350" cy="3829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3">
                      <a:extLst>
                        <a:ext uri="{28A0092B-C50C-407E-A947-70E740481C1C}"/>
                      </a:extLst>
                    </a:blip>
                    <a:srcRect/>
                    <a:stretch>
                      <a:fillRect/>
                    </a:stretch>
                  </pic:blipFill>
                  <pic:spPr bwMode="auto">
                    <a:xfrm>
                      <a:off x="0" y="0"/>
                      <a:ext cx="6350" cy="38290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-1601470</wp:posOffset>
            </wp:positionV>
            <wp:extent cx="6078220" cy="6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4">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-1233170</wp:posOffset>
            </wp:positionV>
            <wp:extent cx="6078220"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5">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-741045</wp:posOffset>
            </wp:positionV>
            <wp:extent cx="6078220"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6">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-361950</wp:posOffset>
            </wp:positionV>
            <wp:extent cx="6078220"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7">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16510</wp:posOffset>
            </wp:positionV>
            <wp:extent cx="6078220"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88">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349"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Notes:</w:t>
      </w:r>
    </w:p>
    <w:p>
      <w:pPr>
        <w:spacing w:after="0" w:line="116" w:lineRule="exact"/>
        <w:rPr>
          <w:sz w:val="20"/>
          <w:szCs w:val="20"/>
          <w:color w:val="auto"/>
        </w:rPr>
      </w:pPr>
    </w:p>
    <w:p>
      <w:pPr>
        <w:ind w:left="1620" w:hanging="366"/>
        <w:spacing w:after="0"/>
        <w:tabs>
          <w:tab w:leader="none" w:pos="1620" w:val="left"/>
        </w:tabs>
        <w:numPr>
          <w:ilvl w:val="0"/>
          <w:numId w:val="86"/>
        </w:numPr>
        <w:rPr>
          <w:rFonts w:ascii="Arial" w:cs="Arial" w:eastAsia="Arial" w:hAnsi="Arial"/>
          <w:sz w:val="20"/>
          <w:szCs w:val="20"/>
          <w:color w:val="auto"/>
        </w:rPr>
      </w:pPr>
      <w:r>
        <w:rPr>
          <w:rFonts w:ascii="Arial" w:cs="Arial" w:eastAsia="Arial" w:hAnsi="Arial"/>
          <w:sz w:val="20"/>
          <w:szCs w:val="20"/>
          <w:color w:val="auto"/>
        </w:rPr>
        <w:t>Financial years ended December 31, 2025, December 31, 2024 and December 31, 2023.</w:t>
      </w:r>
    </w:p>
    <w:p>
      <w:pPr>
        <w:spacing w:after="0" w:line="137" w:lineRule="exact"/>
        <w:rPr>
          <w:rFonts w:ascii="Arial" w:cs="Arial" w:eastAsia="Arial" w:hAnsi="Arial"/>
          <w:sz w:val="20"/>
          <w:szCs w:val="20"/>
          <w:color w:val="auto"/>
        </w:rPr>
      </w:pPr>
    </w:p>
    <w:p>
      <w:pPr>
        <w:ind w:left="1620" w:hanging="366"/>
        <w:spacing w:after="0" w:line="373" w:lineRule="auto"/>
        <w:tabs>
          <w:tab w:leader="none" w:pos="1620" w:val="left"/>
        </w:tabs>
        <w:numPr>
          <w:ilvl w:val="0"/>
          <w:numId w:val="86"/>
        </w:numPr>
        <w:rPr>
          <w:rFonts w:ascii="Arial" w:cs="Arial" w:eastAsia="Arial" w:hAnsi="Arial"/>
          <w:sz w:val="20"/>
          <w:szCs w:val="20"/>
          <w:color w:val="auto"/>
        </w:rPr>
      </w:pPr>
      <w:r>
        <w:rPr>
          <w:rFonts w:ascii="Arial" w:cs="Arial" w:eastAsia="Arial" w:hAnsi="Arial"/>
          <w:sz w:val="20"/>
          <w:szCs w:val="20"/>
          <w:color w:val="auto"/>
        </w:rPr>
        <w:t>Share-based awards consist of RSUs granted under the Incentive Plan in respect of STI and LTI. amount of equity-settled payment arrangements is based on the estimated fair value at the grant For RSUs, the fair value is based on the five-day VWAP of US$7.73 for 2025 RSUs (US$2.78 for RSUs and US$5.40 for 2023 RSUs) calculated as of the day prior to the grant date.</w:t>
      </w:r>
    </w:p>
    <w:p>
      <w:pPr>
        <w:spacing w:after="0" w:line="10"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86"/>
        </w:numPr>
        <w:rPr>
          <w:rFonts w:ascii="Arial" w:cs="Arial" w:eastAsia="Arial" w:hAnsi="Arial"/>
          <w:sz w:val="20"/>
          <w:szCs w:val="20"/>
          <w:color w:val="auto"/>
        </w:rPr>
      </w:pPr>
      <w:r>
        <w:rPr>
          <w:rFonts w:ascii="Arial" w:cs="Arial" w:eastAsia="Arial" w:hAnsi="Arial"/>
          <w:sz w:val="20"/>
          <w:szCs w:val="20"/>
          <w:color w:val="auto"/>
        </w:rPr>
        <w:t>Non-Equity Incentive Plan Compensation represents the cash STI performance bonuses awarded in year disclosed in the table.</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40 / 59</w:t>
      </w:r>
    </w:p>
    <w:p>
      <w:pPr>
        <w:sectPr>
          <w:pgSz w:w="11900" w:h="16838" w:orient="portrait"/>
          <w:cols w:equalWidth="0" w:num="1">
            <w:col w:w="10460"/>
          </w:cols>
          <w:pgMar w:left="1440" w:top="1440" w:right="6" w:bottom="0" w:gutter="0" w:footer="0" w:header="0"/>
          <w:type w:val="continuous"/>
        </w:sectPr>
      </w:pPr>
    </w:p>
    <w:bookmarkStart w:id="210" w:name="page211"/>
    <w:bookmarkEnd w:id="210"/>
    <w:p>
      <w:pPr>
        <w:jc w:val="both"/>
        <w:ind w:left="1620" w:hanging="366"/>
        <w:spacing w:after="0" w:line="374" w:lineRule="auto"/>
        <w:tabs>
          <w:tab w:leader="none" w:pos="16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fair value of Options granted was estimated on the date of grant using the Black Scholes O Pricing Model. These Options are exercisable at a price of US$5.18 until April 2, 2031. The assumptions used under the Black Scholes Option Pricing Model; that were used for the Option awa the table above were: risk-free rate 4.27%; expected life 7 years; annualized volatility 73.66%; exp dividend rate nil. The Company chose to use the Black Scholes Option Pricing Model as the basi calculating fair value of the Options granted as this methodology is commonly accepted by issuers. values presented are consistent with the accounting values used in the Company’s audited fina statements.</w:t>
      </w:r>
    </w:p>
    <w:p>
      <w:pPr>
        <w:spacing w:after="0" w:line="12" w:lineRule="exact"/>
        <w:rPr>
          <w:rFonts w:ascii="Arial" w:cs="Arial" w:eastAsia="Arial" w:hAnsi="Arial"/>
          <w:sz w:val="20"/>
          <w:szCs w:val="20"/>
          <w:color w:val="auto"/>
        </w:rPr>
      </w:pPr>
    </w:p>
    <w:p>
      <w:pPr>
        <w:jc w:val="both"/>
        <w:ind w:left="1620" w:hanging="366"/>
        <w:spacing w:after="0" w:line="374" w:lineRule="auto"/>
        <w:tabs>
          <w:tab w:leader="none" w:pos="16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fair value of Options granted was estimated on the date of grant using the Black Scholes O Pricing Model. These Options are exercisable at a price of $3.85 until June 20, 2031. The assumptions used under the Black Scholes Option Pricing Model; that were used for the Option awa the table above were: risk-free rate 4.27%; expected life 7 years; annualized volatility 73.66%; exp dividend rate nil. The Company chose to use the Black Scholes Option Pricing Model as the basi calculating fair value of the Options granted as this methodology is commonly accepted by issuers. values presented are consistent with the accounting values used in the Company’s audited fina statements.</w:t>
      </w:r>
    </w:p>
    <w:p>
      <w:pPr>
        <w:spacing w:after="0" w:line="12"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For RSUs, the fair value is based on the five-day VWAP of US$3.85 calculated as of the day prior t grant date.</w:t>
      </w:r>
    </w:p>
    <w:p>
      <w:pPr>
        <w:spacing w:after="0" w:line="7" w:lineRule="exact"/>
        <w:rPr>
          <w:rFonts w:ascii="Arial" w:cs="Arial" w:eastAsia="Arial" w:hAnsi="Arial"/>
          <w:sz w:val="20"/>
          <w:szCs w:val="20"/>
          <w:color w:val="auto"/>
        </w:rPr>
      </w:pPr>
    </w:p>
    <w:p>
      <w:pPr>
        <w:ind w:left="1620" w:hanging="366"/>
        <w:spacing w:after="0"/>
        <w:tabs>
          <w:tab w:leader="none" w:pos="16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Appointed Chief Executive Officer effective from March 19, 2024</w:t>
      </w:r>
    </w:p>
    <w:p>
      <w:pPr>
        <w:spacing w:after="0" w:line="137"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Equity-based compensation consists of RSUs and Stock Options one time sign-on bonus granted u employment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1063625</wp:posOffset>
            </wp:positionV>
            <wp:extent cx="6764020" cy="190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8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21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41 / 59</w:t>
      </w:r>
    </w:p>
    <w:p>
      <w:pPr>
        <w:sectPr>
          <w:pgSz w:w="11900" w:h="16838" w:orient="portrait"/>
          <w:cols w:equalWidth="0" w:num="1">
            <w:col w:w="10460"/>
          </w:cols>
          <w:pgMar w:left="1440" w:top="1215" w:right="6" w:bottom="0" w:gutter="0" w:footer="0" w:header="0"/>
          <w:type w:val="continuous"/>
        </w:sectPr>
      </w:pPr>
    </w:p>
    <w:bookmarkStart w:id="211" w:name="page212"/>
    <w:bookmarkEnd w:id="2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620" w:hanging="366"/>
        <w:spacing w:after="0" w:line="368" w:lineRule="auto"/>
        <w:tabs>
          <w:tab w:leader="none" w:pos="1620" w:val="left"/>
        </w:tabs>
        <w:numPr>
          <w:ilvl w:val="0"/>
          <w:numId w:val="88"/>
        </w:numPr>
        <w:rPr>
          <w:rFonts w:ascii="Arial" w:cs="Arial" w:eastAsia="Arial" w:hAnsi="Arial"/>
          <w:sz w:val="20"/>
          <w:szCs w:val="20"/>
          <w:color w:val="auto"/>
        </w:rPr>
      </w:pPr>
      <w:r>
        <w:rPr>
          <w:rFonts w:ascii="Arial" w:cs="Arial" w:eastAsia="Arial" w:hAnsi="Arial"/>
          <w:sz w:val="20"/>
          <w:szCs w:val="20"/>
          <w:color w:val="auto"/>
        </w:rPr>
        <w:t>Appointed Executive Vice President, Corporate Development on July 31, 2024. Promoted to Pres effective as of January 1, 2026.</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(10)Includes contractor fees before appointed as Executive Vice President, Corporate Development.</w:t>
      </w:r>
    </w:p>
    <w:p>
      <w:pPr>
        <w:spacing w:after="0" w:line="137" w:lineRule="exact"/>
        <w:rPr>
          <w:sz w:val="20"/>
          <w:szCs w:val="20"/>
          <w:color w:val="auto"/>
        </w:rPr>
      </w:pPr>
    </w:p>
    <w:p>
      <w:pPr>
        <w:ind w:left="1620" w:right="60" w:hanging="359"/>
        <w:spacing w:after="0" w:line="368" w:lineRule="auto"/>
        <w:rPr>
          <w:sz w:val="20"/>
          <w:szCs w:val="20"/>
          <w:color w:val="auto"/>
        </w:rPr>
      </w:pPr>
      <w:r>
        <w:rPr>
          <w:rFonts w:ascii="Arial" w:cs="Arial" w:eastAsia="Arial" w:hAnsi="Arial"/>
          <w:sz w:val="20"/>
          <w:szCs w:val="20"/>
          <w:color w:val="auto"/>
        </w:rPr>
        <w:t>(11)2023 compensations are adjusted to include equity-based compensation awarded in June 2024 for performance.</w:t>
      </w:r>
    </w:p>
    <w:p>
      <w:pPr>
        <w:spacing w:after="0" w:line="15" w:lineRule="exact"/>
        <w:rPr>
          <w:sz w:val="20"/>
          <w:szCs w:val="20"/>
          <w:color w:val="auto"/>
        </w:rPr>
      </w:pPr>
    </w:p>
    <w:p>
      <w:pPr>
        <w:ind w:left="1620" w:right="40" w:hanging="359"/>
        <w:spacing w:after="0" w:line="368" w:lineRule="auto"/>
        <w:rPr>
          <w:sz w:val="20"/>
          <w:szCs w:val="20"/>
          <w:color w:val="auto"/>
        </w:rPr>
      </w:pPr>
      <w:r>
        <w:rPr>
          <w:rFonts w:ascii="Arial" w:cs="Arial" w:eastAsia="Arial" w:hAnsi="Arial"/>
          <w:sz w:val="20"/>
          <w:szCs w:val="20"/>
          <w:color w:val="auto"/>
        </w:rPr>
        <w:t>(12)All other compensation includes (i) the Special LTI awards;(ii) RSUs granted in connection with employment agreements and (iii) the At-Risk STI.</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Fair Value of Stock Option Grants, RSUs, PSUs and DSUs</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Under the Incentive Plan, which was implemented in March 2016, the Company may grant RSUs, PSUs, D and Options to directors, officers, employees and service providers. The cost of equity-settled pay arrangements is recorded based on the estimated fair value at the grant date and charged to earnings ove vesting period.</w:t>
      </w:r>
    </w:p>
    <w:p>
      <w:pPr>
        <w:spacing w:after="0" w:line="212" w:lineRule="exact"/>
        <w:rPr>
          <w:sz w:val="20"/>
          <w:szCs w:val="20"/>
          <w:color w:val="auto"/>
        </w:rPr>
      </w:pPr>
    </w:p>
    <w:p>
      <w:pPr>
        <w:ind w:left="900"/>
        <w:spacing w:after="0" w:line="333" w:lineRule="auto"/>
        <w:rPr>
          <w:sz w:val="20"/>
          <w:szCs w:val="20"/>
          <w:color w:val="auto"/>
        </w:rPr>
      </w:pPr>
      <w:r>
        <w:rPr>
          <w:rFonts w:ascii="Arial" w:cs="Arial" w:eastAsia="Arial" w:hAnsi="Arial"/>
          <w:sz w:val="19"/>
          <w:szCs w:val="19"/>
          <w:color w:val="auto"/>
        </w:rPr>
        <w:t>Following a 2025 review of the Company’s Board compensation and LTI compensation for executives by Caputo, the Board determined that equity incentives for executive officers should be in the form of RSUs DSUs to directors, with no further Option awards. The fair value of Options granted by the Company is treat compensation costs in accordance with International Financial Reporting Standards 2, Share-based Paymen</w:t>
      </w:r>
    </w:p>
    <w:p>
      <w:pPr>
        <w:spacing w:after="0" w:line="195"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Each tranche of an equity award is considered to be a separate award, with its own vesting period and grant fair value.</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Incentive Plan Awards</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Outstanding Share-Based Awards and Option-Based Awards</w:t>
      </w:r>
    </w:p>
    <w:p>
      <w:pPr>
        <w:spacing w:after="0" w:line="279" w:lineRule="exact"/>
        <w:rPr>
          <w:sz w:val="20"/>
          <w:szCs w:val="20"/>
          <w:color w:val="auto"/>
        </w:rPr>
      </w:pPr>
    </w:p>
    <w:p>
      <w:pPr>
        <w:ind w:left="900" w:right="40"/>
        <w:spacing w:after="0" w:line="307" w:lineRule="auto"/>
        <w:rPr>
          <w:sz w:val="20"/>
          <w:szCs w:val="20"/>
          <w:color w:val="auto"/>
        </w:rPr>
      </w:pPr>
      <w:r>
        <w:rPr>
          <w:rFonts w:ascii="Arial" w:cs="Arial" w:eastAsia="Arial" w:hAnsi="Arial"/>
          <w:sz w:val="20"/>
          <w:szCs w:val="20"/>
          <w:color w:val="auto"/>
        </w:rPr>
        <w:t>Details about all awards outstanding under incentive plans of the Company as of December 31, 2025, incl awards granted during 2025 to each named executive, are set out below.</w:t>
      </w:r>
    </w:p>
    <w:p>
      <w:pPr>
        <w:spacing w:after="0" w:line="309" w:lineRule="exact"/>
        <w:rPr>
          <w:sz w:val="20"/>
          <w:szCs w:val="20"/>
          <w:color w:val="auto"/>
        </w:rPr>
      </w:pPr>
    </w:p>
    <w:tbl>
      <w:tblPr>
        <w:tblLayout w:type="fixed"/>
        <w:tblInd w:w="900" w:type="dxa"/>
        <w:tblCellMar>
          <w:top w:w="0" w:type="dxa"/>
          <w:left w:w="0" w:type="dxa"/>
          <w:bottom w:w="0" w:type="dxa"/>
          <w:right w:w="0" w:type="dxa"/>
        </w:tblCellMar>
      </w:tblPr>
      <w:tr>
        <w:trPr>
          <w:trHeight w:val="285"/>
        </w:trPr>
        <w:tc>
          <w:tcPr>
            <w:tcW w:w="2540" w:type="dxa"/>
            <w:vAlign w:val="bottom"/>
            <w:shd w:val="clear" w:color="auto" w:fill="153A57"/>
          </w:tcPr>
          <w:p>
            <w:pPr>
              <w:spacing w:after="0"/>
              <w:rPr>
                <w:sz w:val="24"/>
                <w:szCs w:val="24"/>
                <w:color w:val="auto"/>
              </w:rPr>
            </w:pPr>
          </w:p>
        </w:tc>
        <w:tc>
          <w:tcPr>
            <w:tcW w:w="2540" w:type="dxa"/>
            <w:vAlign w:val="bottom"/>
            <w:gridSpan w:val="2"/>
            <w:shd w:val="clear" w:color="auto" w:fill="153A57"/>
          </w:tcPr>
          <w:p>
            <w:pPr>
              <w:jc w:val="center"/>
              <w:ind w:right="475"/>
              <w:spacing w:after="0"/>
              <w:rPr>
                <w:sz w:val="20"/>
                <w:szCs w:val="20"/>
                <w:color w:val="auto"/>
              </w:rPr>
            </w:pPr>
            <w:r>
              <w:rPr>
                <w:rFonts w:ascii="Arial" w:cs="Arial" w:eastAsia="Arial" w:hAnsi="Arial"/>
                <w:sz w:val="16"/>
                <w:szCs w:val="16"/>
                <w:b w:val="1"/>
                <w:bCs w:val="1"/>
                <w:color w:val="FFFFFF"/>
                <w:w w:val="97"/>
              </w:rPr>
              <w:t xml:space="preserve">Option-based Awards </w:t>
            </w:r>
            <w:r>
              <w:rPr>
                <w:rFonts w:ascii="Arial" w:cs="Arial" w:eastAsia="Arial" w:hAnsi="Arial"/>
                <w:sz w:val="21"/>
                <w:szCs w:val="21"/>
                <w:b w:val="1"/>
                <w:bCs w:val="1"/>
                <w:color w:val="FFFFFF"/>
                <w:w w:val="97"/>
                <w:vertAlign w:val="superscript"/>
              </w:rPr>
              <w:t>(1)</w:t>
            </w:r>
          </w:p>
        </w:tc>
        <w:tc>
          <w:tcPr>
            <w:tcW w:w="940" w:type="dxa"/>
            <w:vAlign w:val="bottom"/>
            <w:shd w:val="clear" w:color="auto" w:fill="153A57"/>
          </w:tcPr>
          <w:p>
            <w:pPr>
              <w:spacing w:after="0"/>
              <w:rPr>
                <w:sz w:val="24"/>
                <w:szCs w:val="24"/>
                <w:color w:val="auto"/>
              </w:rPr>
            </w:pPr>
          </w:p>
        </w:tc>
        <w:tc>
          <w:tcPr>
            <w:tcW w:w="1100" w:type="dxa"/>
            <w:vAlign w:val="bottom"/>
            <w:shd w:val="clear" w:color="auto" w:fill="153A57"/>
          </w:tcPr>
          <w:p>
            <w:pPr>
              <w:spacing w:after="0"/>
              <w:rPr>
                <w:sz w:val="24"/>
                <w:szCs w:val="24"/>
                <w:color w:val="auto"/>
              </w:rPr>
            </w:pPr>
          </w:p>
        </w:tc>
        <w:tc>
          <w:tcPr>
            <w:tcW w:w="2440" w:type="dxa"/>
            <w:vAlign w:val="bottom"/>
            <w:gridSpan w:val="3"/>
            <w:shd w:val="clear" w:color="auto" w:fill="153A57"/>
          </w:tcPr>
          <w:p>
            <w:pPr>
              <w:jc w:val="right"/>
              <w:ind w:right="19"/>
              <w:spacing w:after="0"/>
              <w:rPr>
                <w:sz w:val="20"/>
                <w:szCs w:val="20"/>
                <w:color w:val="auto"/>
              </w:rPr>
            </w:pPr>
            <w:r>
              <w:rPr>
                <w:rFonts w:ascii="Arial" w:cs="Arial" w:eastAsia="Arial" w:hAnsi="Arial"/>
                <w:sz w:val="16"/>
                <w:szCs w:val="16"/>
                <w:b w:val="1"/>
                <w:bCs w:val="1"/>
                <w:color w:val="FFFFFF"/>
              </w:rPr>
              <w:t xml:space="preserve">Share-based Awards </w:t>
            </w:r>
            <w:r>
              <w:rPr>
                <w:rFonts w:ascii="Arial" w:cs="Arial" w:eastAsia="Arial" w:hAnsi="Arial"/>
                <w:sz w:val="21"/>
                <w:szCs w:val="21"/>
                <w:b w:val="1"/>
                <w:bCs w:val="1"/>
                <w:color w:val="FFFFFF"/>
                <w:vertAlign w:val="superscript"/>
              </w:rPr>
              <w:t>(1)</w:t>
            </w:r>
          </w:p>
        </w:tc>
        <w:tc>
          <w:tcPr>
            <w:tcW w:w="0" w:type="dxa"/>
            <w:vAlign w:val="bottom"/>
          </w:tcPr>
          <w:p>
            <w:pPr>
              <w:spacing w:after="0"/>
              <w:rPr>
                <w:sz w:val="1"/>
                <w:szCs w:val="1"/>
                <w:color w:val="auto"/>
              </w:rPr>
            </w:pPr>
          </w:p>
        </w:tc>
      </w:tr>
      <w:tr>
        <w:trPr>
          <w:trHeight w:val="193"/>
        </w:trPr>
        <w:tc>
          <w:tcPr>
            <w:tcW w:w="2540" w:type="dxa"/>
            <w:vAlign w:val="bottom"/>
            <w:shd w:val="clear" w:color="auto" w:fill="153A57"/>
          </w:tcPr>
          <w:p>
            <w:pPr>
              <w:spacing w:after="0"/>
              <w:rPr>
                <w:sz w:val="16"/>
                <w:szCs w:val="16"/>
                <w:color w:val="auto"/>
              </w:rPr>
            </w:pPr>
          </w:p>
        </w:tc>
        <w:tc>
          <w:tcPr>
            <w:tcW w:w="1620" w:type="dxa"/>
            <w:vAlign w:val="bottom"/>
            <w:shd w:val="clear" w:color="auto" w:fill="153A57"/>
          </w:tcPr>
          <w:p>
            <w:pPr>
              <w:spacing w:after="0"/>
              <w:rPr>
                <w:sz w:val="16"/>
                <w:szCs w:val="16"/>
                <w:color w:val="auto"/>
              </w:rPr>
            </w:pPr>
          </w:p>
        </w:tc>
        <w:tc>
          <w:tcPr>
            <w:tcW w:w="920" w:type="dxa"/>
            <w:vAlign w:val="bottom"/>
            <w:shd w:val="clear" w:color="auto" w:fill="153A57"/>
          </w:tcPr>
          <w:p>
            <w:pPr>
              <w:spacing w:after="0"/>
              <w:rPr>
                <w:sz w:val="16"/>
                <w:szCs w:val="16"/>
                <w:color w:val="auto"/>
              </w:rPr>
            </w:pPr>
          </w:p>
        </w:tc>
        <w:tc>
          <w:tcPr>
            <w:tcW w:w="940" w:type="dxa"/>
            <w:vAlign w:val="bottom"/>
            <w:shd w:val="clear" w:color="auto" w:fill="153A57"/>
          </w:tcPr>
          <w:p>
            <w:pPr>
              <w:spacing w:after="0"/>
              <w:rPr>
                <w:sz w:val="16"/>
                <w:szCs w:val="16"/>
                <w:color w:val="auto"/>
              </w:rPr>
            </w:pPr>
          </w:p>
        </w:tc>
        <w:tc>
          <w:tcPr>
            <w:tcW w:w="1100" w:type="dxa"/>
            <w:vAlign w:val="bottom"/>
            <w:shd w:val="clear" w:color="auto" w:fill="153A57"/>
          </w:tcPr>
          <w:p>
            <w:pPr>
              <w:spacing w:after="0"/>
              <w:rPr>
                <w:sz w:val="16"/>
                <w:szCs w:val="16"/>
                <w:color w:val="auto"/>
              </w:rPr>
            </w:pPr>
          </w:p>
        </w:tc>
        <w:tc>
          <w:tcPr>
            <w:tcW w:w="980" w:type="dxa"/>
            <w:vAlign w:val="bottom"/>
            <w:shd w:val="clear" w:color="auto" w:fill="153A57"/>
          </w:tcPr>
          <w:p>
            <w:pPr>
              <w:spacing w:after="0"/>
              <w:rPr>
                <w:sz w:val="16"/>
                <w:szCs w:val="16"/>
                <w:color w:val="auto"/>
              </w:rPr>
            </w:pPr>
          </w:p>
        </w:tc>
        <w:tc>
          <w:tcPr>
            <w:tcW w:w="980" w:type="dxa"/>
            <w:vAlign w:val="bottom"/>
            <w:shd w:val="clear" w:color="auto" w:fill="153A57"/>
          </w:tcPr>
          <w:p>
            <w:pPr>
              <w:jc w:val="center"/>
              <w:ind w:right="17"/>
              <w:spacing w:after="0"/>
              <w:rPr>
                <w:sz w:val="20"/>
                <w:szCs w:val="20"/>
                <w:color w:val="auto"/>
              </w:rPr>
            </w:pPr>
            <w:r>
              <w:rPr>
                <w:rFonts w:ascii="Arial" w:cs="Arial" w:eastAsia="Arial" w:hAnsi="Arial"/>
                <w:sz w:val="16"/>
                <w:szCs w:val="16"/>
                <w:b w:val="1"/>
                <w:bCs w:val="1"/>
                <w:color w:val="FFFFFF"/>
                <w:w w:val="99"/>
              </w:rPr>
              <w:t>Market or</w:t>
            </w:r>
          </w:p>
        </w:tc>
        <w:tc>
          <w:tcPr>
            <w:tcW w:w="480" w:type="dxa"/>
            <w:vAlign w:val="bottom"/>
            <w:shd w:val="clear" w:color="auto" w:fill="153A57"/>
          </w:tcPr>
          <w:p>
            <w:pPr>
              <w:jc w:val="right"/>
              <w:spacing w:after="0"/>
              <w:rPr>
                <w:sz w:val="20"/>
                <w:szCs w:val="20"/>
                <w:color w:val="auto"/>
              </w:rPr>
            </w:pPr>
            <w:r>
              <w:rPr>
                <w:rFonts w:ascii="Arial" w:cs="Arial" w:eastAsia="Arial" w:hAnsi="Arial"/>
                <w:sz w:val="16"/>
                <w:szCs w:val="16"/>
                <w:b w:val="1"/>
                <w:bCs w:val="1"/>
                <w:color w:val="FFFFFF"/>
              </w:rPr>
              <w:t>Mark</w:t>
            </w:r>
          </w:p>
        </w:tc>
        <w:tc>
          <w:tcPr>
            <w:tcW w:w="0" w:type="dxa"/>
            <w:vAlign w:val="bottom"/>
          </w:tcPr>
          <w:p>
            <w:pPr>
              <w:spacing w:after="0"/>
              <w:rPr>
                <w:sz w:val="1"/>
                <w:szCs w:val="1"/>
                <w:color w:val="auto"/>
              </w:rPr>
            </w:pPr>
          </w:p>
        </w:tc>
      </w:tr>
      <w:tr>
        <w:trPr>
          <w:trHeight w:val="241"/>
        </w:trPr>
        <w:tc>
          <w:tcPr>
            <w:tcW w:w="2540" w:type="dxa"/>
            <w:vAlign w:val="bottom"/>
            <w:shd w:val="clear" w:color="auto" w:fill="153A57"/>
          </w:tcPr>
          <w:p>
            <w:pPr>
              <w:spacing w:after="0"/>
              <w:rPr>
                <w:sz w:val="20"/>
                <w:szCs w:val="20"/>
                <w:color w:val="auto"/>
              </w:rPr>
            </w:pPr>
          </w:p>
        </w:tc>
        <w:tc>
          <w:tcPr>
            <w:tcW w:w="1620" w:type="dxa"/>
            <w:vAlign w:val="bottom"/>
            <w:shd w:val="clear" w:color="auto" w:fill="153A57"/>
          </w:tcPr>
          <w:p>
            <w:pPr>
              <w:spacing w:after="0"/>
              <w:rPr>
                <w:sz w:val="20"/>
                <w:szCs w:val="20"/>
                <w:color w:val="auto"/>
              </w:rPr>
            </w:pPr>
          </w:p>
        </w:tc>
        <w:tc>
          <w:tcPr>
            <w:tcW w:w="920" w:type="dxa"/>
            <w:vAlign w:val="bottom"/>
            <w:shd w:val="clear" w:color="auto" w:fill="153A57"/>
          </w:tcPr>
          <w:p>
            <w:pPr>
              <w:spacing w:after="0"/>
              <w:rPr>
                <w:sz w:val="20"/>
                <w:szCs w:val="20"/>
                <w:color w:val="auto"/>
              </w:rPr>
            </w:pPr>
          </w:p>
        </w:tc>
        <w:tc>
          <w:tcPr>
            <w:tcW w:w="940" w:type="dxa"/>
            <w:vAlign w:val="bottom"/>
            <w:shd w:val="clear" w:color="auto" w:fill="153A57"/>
          </w:tcPr>
          <w:p>
            <w:pPr>
              <w:spacing w:after="0"/>
              <w:rPr>
                <w:sz w:val="20"/>
                <w:szCs w:val="20"/>
                <w:color w:val="auto"/>
              </w:rPr>
            </w:pPr>
          </w:p>
        </w:tc>
        <w:tc>
          <w:tcPr>
            <w:tcW w:w="1100" w:type="dxa"/>
            <w:vAlign w:val="bottom"/>
            <w:shd w:val="clear" w:color="auto" w:fill="153A57"/>
          </w:tcPr>
          <w:p>
            <w:pPr>
              <w:spacing w:after="0"/>
              <w:rPr>
                <w:sz w:val="20"/>
                <w:szCs w:val="20"/>
                <w:color w:val="auto"/>
              </w:rPr>
            </w:pPr>
          </w:p>
        </w:tc>
        <w:tc>
          <w:tcPr>
            <w:tcW w:w="980" w:type="dxa"/>
            <w:vAlign w:val="bottom"/>
            <w:shd w:val="clear" w:color="auto" w:fill="153A57"/>
          </w:tcPr>
          <w:p>
            <w:pPr>
              <w:spacing w:after="0"/>
              <w:rPr>
                <w:sz w:val="20"/>
                <w:szCs w:val="20"/>
                <w:color w:val="auto"/>
              </w:rPr>
            </w:pPr>
          </w:p>
        </w:tc>
        <w:tc>
          <w:tcPr>
            <w:tcW w:w="980" w:type="dxa"/>
            <w:vAlign w:val="bottom"/>
            <w:shd w:val="clear" w:color="auto" w:fill="153A57"/>
          </w:tcPr>
          <w:p>
            <w:pPr>
              <w:jc w:val="center"/>
              <w:ind w:right="17"/>
              <w:spacing w:after="0"/>
              <w:rPr>
                <w:sz w:val="20"/>
                <w:szCs w:val="20"/>
                <w:color w:val="auto"/>
              </w:rPr>
            </w:pPr>
            <w:r>
              <w:rPr>
                <w:rFonts w:ascii="Arial" w:cs="Arial" w:eastAsia="Arial" w:hAnsi="Arial"/>
                <w:sz w:val="16"/>
                <w:szCs w:val="16"/>
                <w:b w:val="1"/>
                <w:bCs w:val="1"/>
                <w:color w:val="FFFFFF"/>
                <w:w w:val="99"/>
              </w:rPr>
              <w:t>payout</w:t>
            </w:r>
          </w:p>
        </w:tc>
        <w:tc>
          <w:tcPr>
            <w:tcW w:w="480" w:type="dxa"/>
            <w:vAlign w:val="bottom"/>
            <w:shd w:val="clear" w:color="auto" w:fill="153A57"/>
          </w:tcPr>
          <w:p>
            <w:pPr>
              <w:jc w:val="right"/>
              <w:spacing w:after="0"/>
              <w:rPr>
                <w:sz w:val="20"/>
                <w:szCs w:val="20"/>
                <w:color w:val="auto"/>
              </w:rPr>
            </w:pPr>
            <w:r>
              <w:rPr>
                <w:rFonts w:ascii="Arial" w:cs="Arial" w:eastAsia="Arial" w:hAnsi="Arial"/>
                <w:sz w:val="16"/>
                <w:szCs w:val="16"/>
                <w:b w:val="1"/>
                <w:bCs w:val="1"/>
                <w:color w:val="FFFFFF"/>
              </w:rPr>
              <w:t>pay</w:t>
            </w:r>
          </w:p>
        </w:tc>
        <w:tc>
          <w:tcPr>
            <w:tcW w:w="0" w:type="dxa"/>
            <w:vAlign w:val="bottom"/>
          </w:tcPr>
          <w:p>
            <w:pPr>
              <w:spacing w:after="0"/>
              <w:rPr>
                <w:sz w:val="1"/>
                <w:szCs w:val="1"/>
                <w:color w:val="auto"/>
              </w:rPr>
            </w:pPr>
          </w:p>
        </w:tc>
      </w:tr>
      <w:tr>
        <w:trPr>
          <w:trHeight w:val="241"/>
        </w:trPr>
        <w:tc>
          <w:tcPr>
            <w:tcW w:w="2540" w:type="dxa"/>
            <w:vAlign w:val="bottom"/>
            <w:shd w:val="clear" w:color="auto" w:fill="153A57"/>
          </w:tcPr>
          <w:p>
            <w:pPr>
              <w:spacing w:after="0"/>
              <w:rPr>
                <w:sz w:val="20"/>
                <w:szCs w:val="20"/>
                <w:color w:val="auto"/>
              </w:rPr>
            </w:pPr>
          </w:p>
        </w:tc>
        <w:tc>
          <w:tcPr>
            <w:tcW w:w="1620" w:type="dxa"/>
            <w:vAlign w:val="bottom"/>
            <w:shd w:val="clear" w:color="auto" w:fill="153A57"/>
          </w:tcPr>
          <w:p>
            <w:pPr>
              <w:spacing w:after="0"/>
              <w:rPr>
                <w:sz w:val="20"/>
                <w:szCs w:val="20"/>
                <w:color w:val="auto"/>
              </w:rPr>
            </w:pPr>
          </w:p>
        </w:tc>
        <w:tc>
          <w:tcPr>
            <w:tcW w:w="920" w:type="dxa"/>
            <w:vAlign w:val="bottom"/>
            <w:shd w:val="clear" w:color="auto" w:fill="153A57"/>
          </w:tcPr>
          <w:p>
            <w:pPr>
              <w:spacing w:after="0"/>
              <w:rPr>
                <w:sz w:val="20"/>
                <w:szCs w:val="20"/>
                <w:color w:val="auto"/>
              </w:rPr>
            </w:pPr>
          </w:p>
        </w:tc>
        <w:tc>
          <w:tcPr>
            <w:tcW w:w="940" w:type="dxa"/>
            <w:vAlign w:val="bottom"/>
            <w:shd w:val="clear" w:color="auto" w:fill="153A57"/>
          </w:tcPr>
          <w:p>
            <w:pPr>
              <w:spacing w:after="0"/>
              <w:rPr>
                <w:sz w:val="20"/>
                <w:szCs w:val="20"/>
                <w:color w:val="auto"/>
              </w:rPr>
            </w:pPr>
          </w:p>
        </w:tc>
        <w:tc>
          <w:tcPr>
            <w:tcW w:w="1100" w:type="dxa"/>
            <w:vAlign w:val="bottom"/>
            <w:shd w:val="clear" w:color="auto" w:fill="153A57"/>
          </w:tcPr>
          <w:p>
            <w:pPr>
              <w:spacing w:after="0"/>
              <w:rPr>
                <w:sz w:val="20"/>
                <w:szCs w:val="20"/>
                <w:color w:val="auto"/>
              </w:rPr>
            </w:pPr>
          </w:p>
        </w:tc>
        <w:tc>
          <w:tcPr>
            <w:tcW w:w="980" w:type="dxa"/>
            <w:vAlign w:val="bottom"/>
            <w:shd w:val="clear" w:color="auto" w:fill="153A57"/>
          </w:tcPr>
          <w:p>
            <w:pPr>
              <w:jc w:val="center"/>
              <w:ind w:right="17"/>
              <w:spacing w:after="0"/>
              <w:rPr>
                <w:sz w:val="20"/>
                <w:szCs w:val="20"/>
                <w:color w:val="auto"/>
              </w:rPr>
            </w:pPr>
            <w:r>
              <w:rPr>
                <w:rFonts w:ascii="Arial" w:cs="Arial" w:eastAsia="Arial" w:hAnsi="Arial"/>
                <w:sz w:val="16"/>
                <w:szCs w:val="16"/>
                <w:b w:val="1"/>
                <w:bCs w:val="1"/>
                <w:color w:val="FFFFFF"/>
                <w:w w:val="99"/>
              </w:rPr>
              <w:t>Number of</w:t>
            </w:r>
          </w:p>
        </w:tc>
        <w:tc>
          <w:tcPr>
            <w:tcW w:w="980" w:type="dxa"/>
            <w:vAlign w:val="bottom"/>
            <w:shd w:val="clear" w:color="auto" w:fill="153A57"/>
          </w:tcPr>
          <w:p>
            <w:pPr>
              <w:jc w:val="center"/>
              <w:ind w:right="17"/>
              <w:spacing w:after="0"/>
              <w:rPr>
                <w:sz w:val="20"/>
                <w:szCs w:val="20"/>
                <w:color w:val="auto"/>
              </w:rPr>
            </w:pPr>
            <w:r>
              <w:rPr>
                <w:rFonts w:ascii="Arial" w:cs="Arial" w:eastAsia="Arial" w:hAnsi="Arial"/>
                <w:sz w:val="16"/>
                <w:szCs w:val="16"/>
                <w:b w:val="1"/>
                <w:bCs w:val="1"/>
                <w:color w:val="FFFFFF"/>
                <w:w w:val="99"/>
              </w:rPr>
              <w:t>value of</w:t>
            </w:r>
          </w:p>
        </w:tc>
        <w:tc>
          <w:tcPr>
            <w:tcW w:w="480" w:type="dxa"/>
            <w:vAlign w:val="bottom"/>
            <w:shd w:val="clear" w:color="auto" w:fill="153A57"/>
          </w:tcPr>
          <w:p>
            <w:pPr>
              <w:jc w:val="right"/>
              <w:spacing w:after="0"/>
              <w:rPr>
                <w:sz w:val="20"/>
                <w:szCs w:val="20"/>
                <w:color w:val="auto"/>
              </w:rPr>
            </w:pPr>
            <w:r>
              <w:rPr>
                <w:rFonts w:ascii="Arial" w:cs="Arial" w:eastAsia="Arial" w:hAnsi="Arial"/>
                <w:sz w:val="16"/>
                <w:szCs w:val="16"/>
                <w:b w:val="1"/>
                <w:bCs w:val="1"/>
                <w:color w:val="FFFFFF"/>
              </w:rPr>
              <w:t>valu</w:t>
            </w:r>
          </w:p>
        </w:tc>
        <w:tc>
          <w:tcPr>
            <w:tcW w:w="0" w:type="dxa"/>
            <w:vAlign w:val="bottom"/>
          </w:tcPr>
          <w:p>
            <w:pPr>
              <w:spacing w:after="0"/>
              <w:rPr>
                <w:sz w:val="1"/>
                <w:szCs w:val="1"/>
                <w:color w:val="auto"/>
              </w:rPr>
            </w:pPr>
          </w:p>
        </w:tc>
      </w:tr>
      <w:tr>
        <w:trPr>
          <w:trHeight w:val="241"/>
        </w:trPr>
        <w:tc>
          <w:tcPr>
            <w:tcW w:w="2540" w:type="dxa"/>
            <w:vAlign w:val="bottom"/>
            <w:shd w:val="clear" w:color="auto" w:fill="153A57"/>
          </w:tcPr>
          <w:p>
            <w:pPr>
              <w:spacing w:after="0"/>
              <w:rPr>
                <w:sz w:val="20"/>
                <w:szCs w:val="20"/>
                <w:color w:val="auto"/>
              </w:rPr>
            </w:pPr>
          </w:p>
        </w:tc>
        <w:tc>
          <w:tcPr>
            <w:tcW w:w="1620" w:type="dxa"/>
            <w:vAlign w:val="bottom"/>
            <w:shd w:val="clear" w:color="auto" w:fill="153A57"/>
          </w:tcPr>
          <w:p>
            <w:pPr>
              <w:spacing w:after="0"/>
              <w:rPr>
                <w:sz w:val="20"/>
                <w:szCs w:val="20"/>
                <w:color w:val="auto"/>
              </w:rPr>
            </w:pPr>
          </w:p>
        </w:tc>
        <w:tc>
          <w:tcPr>
            <w:tcW w:w="920" w:type="dxa"/>
            <w:vAlign w:val="bottom"/>
            <w:shd w:val="clear" w:color="auto" w:fill="153A57"/>
          </w:tcPr>
          <w:p>
            <w:pPr>
              <w:spacing w:after="0"/>
              <w:rPr>
                <w:sz w:val="20"/>
                <w:szCs w:val="20"/>
                <w:color w:val="auto"/>
              </w:rPr>
            </w:pPr>
          </w:p>
        </w:tc>
        <w:tc>
          <w:tcPr>
            <w:tcW w:w="940" w:type="dxa"/>
            <w:vAlign w:val="bottom"/>
            <w:shd w:val="clear" w:color="auto" w:fill="153A57"/>
          </w:tcPr>
          <w:p>
            <w:pPr>
              <w:spacing w:after="0"/>
              <w:rPr>
                <w:sz w:val="20"/>
                <w:szCs w:val="20"/>
                <w:color w:val="auto"/>
              </w:rPr>
            </w:pPr>
          </w:p>
        </w:tc>
        <w:tc>
          <w:tcPr>
            <w:tcW w:w="1100" w:type="dxa"/>
            <w:vAlign w:val="bottom"/>
            <w:shd w:val="clear" w:color="auto" w:fill="153A57"/>
          </w:tcPr>
          <w:p>
            <w:pPr>
              <w:spacing w:after="0"/>
              <w:rPr>
                <w:sz w:val="20"/>
                <w:szCs w:val="20"/>
                <w:color w:val="auto"/>
              </w:rPr>
            </w:pPr>
          </w:p>
        </w:tc>
        <w:tc>
          <w:tcPr>
            <w:tcW w:w="980" w:type="dxa"/>
            <w:vAlign w:val="bottom"/>
            <w:shd w:val="clear" w:color="auto" w:fill="153A57"/>
          </w:tcPr>
          <w:p>
            <w:pPr>
              <w:jc w:val="center"/>
              <w:ind w:right="17"/>
              <w:spacing w:after="0"/>
              <w:rPr>
                <w:sz w:val="20"/>
                <w:szCs w:val="20"/>
                <w:color w:val="auto"/>
              </w:rPr>
            </w:pPr>
            <w:r>
              <w:rPr>
                <w:rFonts w:ascii="Arial" w:cs="Arial" w:eastAsia="Arial" w:hAnsi="Arial"/>
                <w:sz w:val="16"/>
                <w:szCs w:val="16"/>
                <w:b w:val="1"/>
                <w:bCs w:val="1"/>
                <w:color w:val="FFFFFF"/>
              </w:rPr>
              <w:t>shares</w:t>
            </w:r>
          </w:p>
        </w:tc>
        <w:tc>
          <w:tcPr>
            <w:tcW w:w="980" w:type="dxa"/>
            <w:vAlign w:val="bottom"/>
            <w:shd w:val="clear" w:color="auto" w:fill="153A57"/>
          </w:tcPr>
          <w:p>
            <w:pPr>
              <w:jc w:val="center"/>
              <w:ind w:right="17"/>
              <w:spacing w:after="0"/>
              <w:rPr>
                <w:sz w:val="20"/>
                <w:szCs w:val="20"/>
                <w:color w:val="auto"/>
              </w:rPr>
            </w:pPr>
            <w:r>
              <w:rPr>
                <w:rFonts w:ascii="Arial" w:cs="Arial" w:eastAsia="Arial" w:hAnsi="Arial"/>
                <w:sz w:val="16"/>
                <w:szCs w:val="16"/>
                <w:b w:val="1"/>
                <w:bCs w:val="1"/>
                <w:color w:val="FFFFFF"/>
                <w:w w:val="99"/>
              </w:rPr>
              <w:t>share-</w:t>
            </w:r>
          </w:p>
        </w:tc>
        <w:tc>
          <w:tcPr>
            <w:tcW w:w="480" w:type="dxa"/>
            <w:vAlign w:val="bottom"/>
            <w:shd w:val="clear" w:color="auto" w:fill="153A57"/>
          </w:tcPr>
          <w:p>
            <w:pPr>
              <w:jc w:val="right"/>
              <w:spacing w:after="0"/>
              <w:rPr>
                <w:sz w:val="20"/>
                <w:szCs w:val="20"/>
                <w:color w:val="auto"/>
              </w:rPr>
            </w:pPr>
            <w:r>
              <w:rPr>
                <w:rFonts w:ascii="Arial" w:cs="Arial" w:eastAsia="Arial" w:hAnsi="Arial"/>
                <w:sz w:val="16"/>
                <w:szCs w:val="16"/>
                <w:b w:val="1"/>
                <w:bCs w:val="1"/>
                <w:color w:val="FFFFFF"/>
              </w:rPr>
              <w:t>sha</w:t>
            </w:r>
          </w:p>
        </w:tc>
        <w:tc>
          <w:tcPr>
            <w:tcW w:w="0" w:type="dxa"/>
            <w:vAlign w:val="bottom"/>
          </w:tcPr>
          <w:p>
            <w:pPr>
              <w:spacing w:after="0"/>
              <w:rPr>
                <w:sz w:val="1"/>
                <w:szCs w:val="1"/>
                <w:color w:val="auto"/>
              </w:rPr>
            </w:pPr>
          </w:p>
        </w:tc>
      </w:tr>
      <w:tr>
        <w:trPr>
          <w:trHeight w:val="241"/>
        </w:trPr>
        <w:tc>
          <w:tcPr>
            <w:tcW w:w="2540" w:type="dxa"/>
            <w:vAlign w:val="bottom"/>
            <w:vMerge w:val="restart"/>
            <w:shd w:val="clear" w:color="auto" w:fill="153A57"/>
          </w:tcPr>
          <w:p>
            <w:pPr>
              <w:ind w:left="840"/>
              <w:spacing w:after="0"/>
              <w:rPr>
                <w:sz w:val="20"/>
                <w:szCs w:val="20"/>
                <w:color w:val="auto"/>
              </w:rPr>
            </w:pPr>
            <w:r>
              <w:rPr>
                <w:rFonts w:ascii="Arial" w:cs="Arial" w:eastAsia="Arial" w:hAnsi="Arial"/>
                <w:sz w:val="16"/>
                <w:szCs w:val="16"/>
                <w:b w:val="1"/>
                <w:bCs w:val="1"/>
                <w:color w:val="FFFFFF"/>
              </w:rPr>
              <w:t>Named Executive</w:t>
            </w:r>
          </w:p>
        </w:tc>
        <w:tc>
          <w:tcPr>
            <w:tcW w:w="1620" w:type="dxa"/>
            <w:vAlign w:val="bottom"/>
            <w:shd w:val="clear" w:color="auto" w:fill="153A57"/>
          </w:tcPr>
          <w:p>
            <w:pPr>
              <w:jc w:val="center"/>
              <w:ind w:left="336"/>
              <w:spacing w:after="0"/>
              <w:rPr>
                <w:sz w:val="20"/>
                <w:szCs w:val="20"/>
                <w:color w:val="auto"/>
              </w:rPr>
            </w:pPr>
            <w:r>
              <w:rPr>
                <w:rFonts w:ascii="Arial" w:cs="Arial" w:eastAsia="Arial" w:hAnsi="Arial"/>
                <w:sz w:val="16"/>
                <w:szCs w:val="16"/>
                <w:b w:val="1"/>
                <w:bCs w:val="1"/>
                <w:color w:val="FFFFFF"/>
                <w:w w:val="99"/>
              </w:rPr>
              <w:t>Number of</w:t>
            </w:r>
          </w:p>
        </w:tc>
        <w:tc>
          <w:tcPr>
            <w:tcW w:w="920" w:type="dxa"/>
            <w:vAlign w:val="bottom"/>
            <w:shd w:val="clear" w:color="auto" w:fill="153A57"/>
          </w:tcPr>
          <w:p>
            <w:pPr>
              <w:spacing w:after="0"/>
              <w:rPr>
                <w:sz w:val="20"/>
                <w:szCs w:val="20"/>
                <w:color w:val="auto"/>
              </w:rPr>
            </w:pPr>
          </w:p>
        </w:tc>
        <w:tc>
          <w:tcPr>
            <w:tcW w:w="940" w:type="dxa"/>
            <w:vAlign w:val="bottom"/>
            <w:shd w:val="clear" w:color="auto" w:fill="153A57"/>
          </w:tcPr>
          <w:p>
            <w:pPr>
              <w:spacing w:after="0"/>
              <w:rPr>
                <w:sz w:val="20"/>
                <w:szCs w:val="20"/>
                <w:color w:val="auto"/>
              </w:rPr>
            </w:pPr>
          </w:p>
        </w:tc>
        <w:tc>
          <w:tcPr>
            <w:tcW w:w="1100" w:type="dxa"/>
            <w:vAlign w:val="bottom"/>
            <w:shd w:val="clear" w:color="auto" w:fill="153A57"/>
          </w:tcPr>
          <w:p>
            <w:pPr>
              <w:spacing w:after="0"/>
              <w:rPr>
                <w:sz w:val="20"/>
                <w:szCs w:val="20"/>
                <w:color w:val="auto"/>
              </w:rPr>
            </w:pPr>
          </w:p>
        </w:tc>
        <w:tc>
          <w:tcPr>
            <w:tcW w:w="980" w:type="dxa"/>
            <w:vAlign w:val="bottom"/>
            <w:shd w:val="clear" w:color="auto" w:fill="153A57"/>
          </w:tcPr>
          <w:p>
            <w:pPr>
              <w:jc w:val="center"/>
              <w:ind w:right="37"/>
              <w:spacing w:after="0"/>
              <w:rPr>
                <w:sz w:val="20"/>
                <w:szCs w:val="20"/>
                <w:color w:val="auto"/>
              </w:rPr>
            </w:pPr>
            <w:r>
              <w:rPr>
                <w:rFonts w:ascii="Arial" w:cs="Arial" w:eastAsia="Arial" w:hAnsi="Arial"/>
                <w:sz w:val="16"/>
                <w:szCs w:val="16"/>
                <w:b w:val="1"/>
                <w:bCs w:val="1"/>
                <w:color w:val="FFFFFF"/>
                <w:w w:val="99"/>
              </w:rPr>
              <w:t>or units of</w:t>
            </w:r>
          </w:p>
        </w:tc>
        <w:tc>
          <w:tcPr>
            <w:tcW w:w="980" w:type="dxa"/>
            <w:vAlign w:val="bottom"/>
            <w:shd w:val="clear" w:color="auto" w:fill="153A57"/>
          </w:tcPr>
          <w:p>
            <w:pPr>
              <w:jc w:val="center"/>
              <w:spacing w:after="0"/>
              <w:rPr>
                <w:sz w:val="20"/>
                <w:szCs w:val="20"/>
                <w:color w:val="auto"/>
              </w:rPr>
            </w:pPr>
            <w:r>
              <w:rPr>
                <w:rFonts w:ascii="Arial" w:cs="Arial" w:eastAsia="Arial" w:hAnsi="Arial"/>
                <w:sz w:val="16"/>
                <w:szCs w:val="16"/>
                <w:b w:val="1"/>
                <w:bCs w:val="1"/>
                <w:color w:val="FFFFFF"/>
                <w:w w:val="99"/>
              </w:rPr>
              <w:t>based</w:t>
            </w:r>
          </w:p>
        </w:tc>
        <w:tc>
          <w:tcPr>
            <w:tcW w:w="480" w:type="dxa"/>
            <w:vAlign w:val="bottom"/>
            <w:shd w:val="clear" w:color="auto" w:fill="153A57"/>
          </w:tcPr>
          <w:p>
            <w:pPr>
              <w:jc w:val="right"/>
              <w:spacing w:after="0"/>
              <w:rPr>
                <w:sz w:val="20"/>
                <w:szCs w:val="20"/>
                <w:color w:val="auto"/>
              </w:rPr>
            </w:pPr>
            <w:r>
              <w:rPr>
                <w:rFonts w:ascii="Arial" w:cs="Arial" w:eastAsia="Arial" w:hAnsi="Arial"/>
                <w:sz w:val="16"/>
                <w:szCs w:val="16"/>
                <w:b w:val="1"/>
                <w:bCs w:val="1"/>
                <w:color w:val="FFFFFF"/>
              </w:rPr>
              <w:t>bas</w:t>
            </w:r>
          </w:p>
        </w:tc>
        <w:tc>
          <w:tcPr>
            <w:tcW w:w="0" w:type="dxa"/>
            <w:vAlign w:val="bottom"/>
          </w:tcPr>
          <w:p>
            <w:pPr>
              <w:spacing w:after="0"/>
              <w:rPr>
                <w:sz w:val="1"/>
                <w:szCs w:val="1"/>
                <w:color w:val="auto"/>
              </w:rPr>
            </w:pPr>
          </w:p>
        </w:tc>
      </w:tr>
      <w:tr>
        <w:trPr>
          <w:trHeight w:val="121"/>
        </w:trPr>
        <w:tc>
          <w:tcPr>
            <w:tcW w:w="2540" w:type="dxa"/>
            <w:vAlign w:val="bottom"/>
            <w:vMerge w:val="continue"/>
            <w:shd w:val="clear" w:color="auto" w:fill="153A57"/>
          </w:tcPr>
          <w:p>
            <w:pPr>
              <w:spacing w:after="0"/>
              <w:rPr>
                <w:sz w:val="10"/>
                <w:szCs w:val="10"/>
                <w:color w:val="auto"/>
              </w:rPr>
            </w:pPr>
          </w:p>
        </w:tc>
        <w:tc>
          <w:tcPr>
            <w:tcW w:w="1620" w:type="dxa"/>
            <w:vAlign w:val="bottom"/>
            <w:vMerge w:val="restart"/>
            <w:shd w:val="clear" w:color="auto" w:fill="153A57"/>
          </w:tcPr>
          <w:p>
            <w:pPr>
              <w:jc w:val="center"/>
              <w:ind w:left="316"/>
              <w:spacing w:after="0"/>
              <w:rPr>
                <w:sz w:val="20"/>
                <w:szCs w:val="20"/>
                <w:color w:val="auto"/>
              </w:rPr>
            </w:pPr>
            <w:r>
              <w:rPr>
                <w:rFonts w:ascii="Arial" w:cs="Arial" w:eastAsia="Arial" w:hAnsi="Arial"/>
                <w:sz w:val="16"/>
                <w:szCs w:val="16"/>
                <w:b w:val="1"/>
                <w:bCs w:val="1"/>
                <w:color w:val="FFFFFF"/>
                <w:w w:val="98"/>
              </w:rPr>
              <w:t>securities</w:t>
            </w:r>
          </w:p>
        </w:tc>
        <w:tc>
          <w:tcPr>
            <w:tcW w:w="920" w:type="dxa"/>
            <w:vAlign w:val="bottom"/>
            <w:shd w:val="clear" w:color="auto" w:fill="153A57"/>
          </w:tcPr>
          <w:p>
            <w:pPr>
              <w:spacing w:after="0"/>
              <w:rPr>
                <w:sz w:val="10"/>
                <w:szCs w:val="10"/>
                <w:color w:val="auto"/>
              </w:rPr>
            </w:pPr>
          </w:p>
        </w:tc>
        <w:tc>
          <w:tcPr>
            <w:tcW w:w="940" w:type="dxa"/>
            <w:vAlign w:val="bottom"/>
            <w:shd w:val="clear" w:color="auto" w:fill="153A57"/>
          </w:tcPr>
          <w:p>
            <w:pPr>
              <w:spacing w:after="0"/>
              <w:rPr>
                <w:sz w:val="10"/>
                <w:szCs w:val="10"/>
                <w:color w:val="auto"/>
              </w:rPr>
            </w:pPr>
          </w:p>
        </w:tc>
        <w:tc>
          <w:tcPr>
            <w:tcW w:w="1100" w:type="dxa"/>
            <w:vAlign w:val="bottom"/>
            <w:shd w:val="clear" w:color="auto" w:fill="153A57"/>
          </w:tcPr>
          <w:p>
            <w:pPr>
              <w:spacing w:after="0"/>
              <w:rPr>
                <w:sz w:val="10"/>
                <w:szCs w:val="10"/>
                <w:color w:val="auto"/>
              </w:rPr>
            </w:pPr>
          </w:p>
        </w:tc>
        <w:tc>
          <w:tcPr>
            <w:tcW w:w="980" w:type="dxa"/>
            <w:vAlign w:val="bottom"/>
            <w:vMerge w:val="restart"/>
            <w:shd w:val="clear" w:color="auto" w:fill="153A57"/>
          </w:tcPr>
          <w:p>
            <w:pPr>
              <w:jc w:val="center"/>
              <w:ind w:right="17"/>
              <w:spacing w:after="0"/>
              <w:rPr>
                <w:sz w:val="20"/>
                <w:szCs w:val="20"/>
                <w:color w:val="auto"/>
              </w:rPr>
            </w:pPr>
            <w:r>
              <w:rPr>
                <w:rFonts w:ascii="Arial" w:cs="Arial" w:eastAsia="Arial" w:hAnsi="Arial"/>
                <w:sz w:val="16"/>
                <w:szCs w:val="16"/>
                <w:b w:val="1"/>
                <w:bCs w:val="1"/>
                <w:color w:val="FFFFFF"/>
              </w:rPr>
              <w:t>shares</w:t>
            </w:r>
          </w:p>
        </w:tc>
        <w:tc>
          <w:tcPr>
            <w:tcW w:w="980" w:type="dxa"/>
            <w:vAlign w:val="bottom"/>
            <w:vMerge w:val="restart"/>
            <w:shd w:val="clear" w:color="auto" w:fill="153A57"/>
          </w:tcPr>
          <w:p>
            <w:pPr>
              <w:jc w:val="center"/>
              <w:ind w:right="17"/>
              <w:spacing w:after="0"/>
              <w:rPr>
                <w:sz w:val="20"/>
                <w:szCs w:val="20"/>
                <w:color w:val="auto"/>
              </w:rPr>
            </w:pPr>
            <w:r>
              <w:rPr>
                <w:rFonts w:ascii="Arial" w:cs="Arial" w:eastAsia="Arial" w:hAnsi="Arial"/>
                <w:sz w:val="16"/>
                <w:szCs w:val="16"/>
                <w:b w:val="1"/>
                <w:bCs w:val="1"/>
                <w:color w:val="FFFFFF"/>
              </w:rPr>
              <w:t>awards</w:t>
            </w:r>
          </w:p>
        </w:tc>
        <w:tc>
          <w:tcPr>
            <w:tcW w:w="480" w:type="dxa"/>
            <w:vAlign w:val="bottom"/>
            <w:vMerge w:val="restart"/>
            <w:shd w:val="clear" w:color="auto" w:fill="153A57"/>
          </w:tcPr>
          <w:p>
            <w:pPr>
              <w:jc w:val="right"/>
              <w:spacing w:after="0"/>
              <w:rPr>
                <w:sz w:val="20"/>
                <w:szCs w:val="20"/>
                <w:color w:val="auto"/>
              </w:rPr>
            </w:pPr>
            <w:r>
              <w:rPr>
                <w:rFonts w:ascii="Arial" w:cs="Arial" w:eastAsia="Arial" w:hAnsi="Arial"/>
                <w:sz w:val="16"/>
                <w:szCs w:val="16"/>
                <w:b w:val="1"/>
                <w:bCs w:val="1"/>
                <w:color w:val="FFFFFF"/>
                <w:w w:val="99"/>
              </w:rPr>
              <w:t>award</w:t>
            </w:r>
          </w:p>
        </w:tc>
        <w:tc>
          <w:tcPr>
            <w:tcW w:w="0" w:type="dxa"/>
            <w:vAlign w:val="bottom"/>
          </w:tcPr>
          <w:p>
            <w:pPr>
              <w:spacing w:after="0"/>
              <w:rPr>
                <w:sz w:val="1"/>
                <w:szCs w:val="1"/>
                <w:color w:val="auto"/>
              </w:rPr>
            </w:pPr>
          </w:p>
        </w:tc>
      </w:tr>
      <w:tr>
        <w:trPr>
          <w:trHeight w:val="121"/>
        </w:trPr>
        <w:tc>
          <w:tcPr>
            <w:tcW w:w="2540" w:type="dxa"/>
            <w:vAlign w:val="bottom"/>
            <w:shd w:val="clear" w:color="auto" w:fill="153A57"/>
          </w:tcPr>
          <w:p>
            <w:pPr>
              <w:spacing w:after="0"/>
              <w:rPr>
                <w:sz w:val="10"/>
                <w:szCs w:val="10"/>
                <w:color w:val="auto"/>
              </w:rPr>
            </w:pPr>
          </w:p>
        </w:tc>
        <w:tc>
          <w:tcPr>
            <w:tcW w:w="1620" w:type="dxa"/>
            <w:vAlign w:val="bottom"/>
            <w:vMerge w:val="continue"/>
            <w:shd w:val="clear" w:color="auto" w:fill="153A57"/>
          </w:tcPr>
          <w:p>
            <w:pPr>
              <w:spacing w:after="0"/>
              <w:rPr>
                <w:sz w:val="10"/>
                <w:szCs w:val="10"/>
                <w:color w:val="auto"/>
              </w:rPr>
            </w:pPr>
          </w:p>
        </w:tc>
        <w:tc>
          <w:tcPr>
            <w:tcW w:w="920" w:type="dxa"/>
            <w:vAlign w:val="bottom"/>
            <w:shd w:val="clear" w:color="auto" w:fill="153A57"/>
          </w:tcPr>
          <w:p>
            <w:pPr>
              <w:spacing w:after="0"/>
              <w:rPr>
                <w:sz w:val="10"/>
                <w:szCs w:val="10"/>
                <w:color w:val="auto"/>
              </w:rPr>
            </w:pPr>
          </w:p>
        </w:tc>
        <w:tc>
          <w:tcPr>
            <w:tcW w:w="940" w:type="dxa"/>
            <w:vAlign w:val="bottom"/>
            <w:shd w:val="clear" w:color="auto" w:fill="153A57"/>
          </w:tcPr>
          <w:p>
            <w:pPr>
              <w:spacing w:after="0"/>
              <w:rPr>
                <w:sz w:val="10"/>
                <w:szCs w:val="10"/>
                <w:color w:val="auto"/>
              </w:rPr>
            </w:pPr>
          </w:p>
        </w:tc>
        <w:tc>
          <w:tcPr>
            <w:tcW w:w="1100" w:type="dxa"/>
            <w:vAlign w:val="bottom"/>
            <w:shd w:val="clear" w:color="auto" w:fill="153A57"/>
          </w:tcPr>
          <w:p>
            <w:pPr>
              <w:spacing w:after="0"/>
              <w:rPr>
                <w:sz w:val="10"/>
                <w:szCs w:val="10"/>
                <w:color w:val="auto"/>
              </w:rPr>
            </w:pPr>
          </w:p>
        </w:tc>
        <w:tc>
          <w:tcPr>
            <w:tcW w:w="980" w:type="dxa"/>
            <w:vAlign w:val="bottom"/>
            <w:vMerge w:val="continue"/>
            <w:shd w:val="clear" w:color="auto" w:fill="153A57"/>
          </w:tcPr>
          <w:p>
            <w:pPr>
              <w:spacing w:after="0"/>
              <w:rPr>
                <w:sz w:val="10"/>
                <w:szCs w:val="10"/>
                <w:color w:val="auto"/>
              </w:rPr>
            </w:pPr>
          </w:p>
        </w:tc>
        <w:tc>
          <w:tcPr>
            <w:tcW w:w="980" w:type="dxa"/>
            <w:vAlign w:val="bottom"/>
            <w:vMerge w:val="continue"/>
            <w:shd w:val="clear" w:color="auto" w:fill="153A57"/>
          </w:tcPr>
          <w:p>
            <w:pPr>
              <w:spacing w:after="0"/>
              <w:rPr>
                <w:sz w:val="10"/>
                <w:szCs w:val="10"/>
                <w:color w:val="auto"/>
              </w:rPr>
            </w:pPr>
          </w:p>
        </w:tc>
        <w:tc>
          <w:tcPr>
            <w:tcW w:w="480" w:type="dxa"/>
            <w:vAlign w:val="bottom"/>
            <w:vMerge w:val="continue"/>
            <w:shd w:val="clear" w:color="auto" w:fill="153A57"/>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540" w:type="dxa"/>
            <w:vAlign w:val="bottom"/>
            <w:shd w:val="clear" w:color="auto" w:fill="153A57"/>
          </w:tcPr>
          <w:p>
            <w:pPr>
              <w:spacing w:after="0"/>
              <w:rPr>
                <w:sz w:val="20"/>
                <w:szCs w:val="20"/>
                <w:color w:val="auto"/>
              </w:rPr>
            </w:pPr>
          </w:p>
        </w:tc>
        <w:tc>
          <w:tcPr>
            <w:tcW w:w="1620" w:type="dxa"/>
            <w:vAlign w:val="bottom"/>
            <w:shd w:val="clear" w:color="auto" w:fill="153A57"/>
          </w:tcPr>
          <w:p>
            <w:pPr>
              <w:jc w:val="center"/>
              <w:ind w:left="316"/>
              <w:spacing w:after="0"/>
              <w:rPr>
                <w:sz w:val="20"/>
                <w:szCs w:val="20"/>
                <w:color w:val="auto"/>
              </w:rPr>
            </w:pPr>
            <w:r>
              <w:rPr>
                <w:rFonts w:ascii="Arial" w:cs="Arial" w:eastAsia="Arial" w:hAnsi="Arial"/>
                <w:sz w:val="16"/>
                <w:szCs w:val="16"/>
                <w:b w:val="1"/>
                <w:bCs w:val="1"/>
                <w:color w:val="FFFFFF"/>
              </w:rPr>
              <w:t>underlying</w:t>
            </w:r>
          </w:p>
        </w:tc>
        <w:tc>
          <w:tcPr>
            <w:tcW w:w="920" w:type="dxa"/>
            <w:vAlign w:val="bottom"/>
            <w:shd w:val="clear" w:color="auto" w:fill="153A57"/>
          </w:tcPr>
          <w:p>
            <w:pPr>
              <w:jc w:val="center"/>
              <w:ind w:right="35"/>
              <w:spacing w:after="0"/>
              <w:rPr>
                <w:sz w:val="20"/>
                <w:szCs w:val="20"/>
                <w:color w:val="auto"/>
              </w:rPr>
            </w:pPr>
            <w:r>
              <w:rPr>
                <w:rFonts w:ascii="Arial" w:cs="Arial" w:eastAsia="Arial" w:hAnsi="Arial"/>
                <w:sz w:val="16"/>
                <w:szCs w:val="16"/>
                <w:b w:val="1"/>
                <w:bCs w:val="1"/>
                <w:color w:val="FFFFFF"/>
              </w:rPr>
              <w:t>Option</w:t>
            </w:r>
          </w:p>
        </w:tc>
        <w:tc>
          <w:tcPr>
            <w:tcW w:w="940" w:type="dxa"/>
            <w:vAlign w:val="bottom"/>
            <w:shd w:val="clear" w:color="auto" w:fill="153A57"/>
          </w:tcPr>
          <w:p>
            <w:pPr>
              <w:spacing w:after="0"/>
              <w:rPr>
                <w:sz w:val="20"/>
                <w:szCs w:val="20"/>
                <w:color w:val="auto"/>
              </w:rPr>
            </w:pPr>
          </w:p>
        </w:tc>
        <w:tc>
          <w:tcPr>
            <w:tcW w:w="1100" w:type="dxa"/>
            <w:vAlign w:val="bottom"/>
            <w:shd w:val="clear" w:color="auto" w:fill="153A57"/>
          </w:tcPr>
          <w:p>
            <w:pPr>
              <w:jc w:val="center"/>
              <w:spacing w:after="0"/>
              <w:rPr>
                <w:sz w:val="20"/>
                <w:szCs w:val="20"/>
                <w:color w:val="auto"/>
              </w:rPr>
            </w:pPr>
            <w:r>
              <w:rPr>
                <w:rFonts w:ascii="Arial" w:cs="Arial" w:eastAsia="Arial" w:hAnsi="Arial"/>
                <w:sz w:val="16"/>
                <w:szCs w:val="16"/>
                <w:b w:val="1"/>
                <w:bCs w:val="1"/>
                <w:color w:val="FFFFFF"/>
              </w:rPr>
              <w:t>Value of</w:t>
            </w:r>
          </w:p>
        </w:tc>
        <w:tc>
          <w:tcPr>
            <w:tcW w:w="980" w:type="dxa"/>
            <w:vAlign w:val="bottom"/>
            <w:shd w:val="clear" w:color="auto" w:fill="153A57"/>
          </w:tcPr>
          <w:p>
            <w:pPr>
              <w:jc w:val="center"/>
              <w:ind w:right="37"/>
              <w:spacing w:after="0"/>
              <w:rPr>
                <w:sz w:val="20"/>
                <w:szCs w:val="20"/>
                <w:color w:val="auto"/>
              </w:rPr>
            </w:pPr>
            <w:r>
              <w:rPr>
                <w:rFonts w:ascii="Arial" w:cs="Arial" w:eastAsia="Arial" w:hAnsi="Arial"/>
                <w:sz w:val="16"/>
                <w:szCs w:val="16"/>
                <w:b w:val="1"/>
                <w:bCs w:val="1"/>
                <w:color w:val="FFFFFF"/>
                <w:w w:val="99"/>
              </w:rPr>
              <w:t>that have</w:t>
            </w:r>
          </w:p>
        </w:tc>
        <w:tc>
          <w:tcPr>
            <w:tcW w:w="980" w:type="dxa"/>
            <w:vAlign w:val="bottom"/>
            <w:shd w:val="clear" w:color="auto" w:fill="153A57"/>
          </w:tcPr>
          <w:p>
            <w:pPr>
              <w:jc w:val="center"/>
              <w:ind w:right="17"/>
              <w:spacing w:after="0"/>
              <w:rPr>
                <w:sz w:val="20"/>
                <w:szCs w:val="20"/>
                <w:color w:val="auto"/>
              </w:rPr>
            </w:pPr>
            <w:r>
              <w:rPr>
                <w:rFonts w:ascii="Arial" w:cs="Arial" w:eastAsia="Arial" w:hAnsi="Arial"/>
                <w:sz w:val="16"/>
                <w:szCs w:val="16"/>
                <w:b w:val="1"/>
                <w:bCs w:val="1"/>
                <w:color w:val="FFFFFF"/>
                <w:w w:val="95"/>
              </w:rPr>
              <w:t>that</w:t>
            </w:r>
          </w:p>
        </w:tc>
        <w:tc>
          <w:tcPr>
            <w:tcW w:w="480" w:type="dxa"/>
            <w:vAlign w:val="bottom"/>
            <w:shd w:val="clear" w:color="auto" w:fill="153A57"/>
          </w:tcPr>
          <w:p>
            <w:pPr>
              <w:jc w:val="right"/>
              <w:spacing w:after="0"/>
              <w:rPr>
                <w:sz w:val="20"/>
                <w:szCs w:val="20"/>
                <w:color w:val="auto"/>
              </w:rPr>
            </w:pPr>
            <w:r>
              <w:rPr>
                <w:rFonts w:ascii="Arial" w:cs="Arial" w:eastAsia="Arial" w:hAnsi="Arial"/>
                <w:sz w:val="16"/>
                <w:szCs w:val="16"/>
                <w:b w:val="1"/>
                <w:bCs w:val="1"/>
                <w:color w:val="FFFFFF"/>
              </w:rPr>
              <w:t>pa</w:t>
            </w:r>
          </w:p>
        </w:tc>
        <w:tc>
          <w:tcPr>
            <w:tcW w:w="0" w:type="dxa"/>
            <w:vAlign w:val="bottom"/>
          </w:tcPr>
          <w:p>
            <w:pPr>
              <w:spacing w:after="0"/>
              <w:rPr>
                <w:sz w:val="1"/>
                <w:szCs w:val="1"/>
                <w:color w:val="auto"/>
              </w:rPr>
            </w:pPr>
          </w:p>
        </w:tc>
      </w:tr>
      <w:tr>
        <w:trPr>
          <w:trHeight w:val="241"/>
        </w:trPr>
        <w:tc>
          <w:tcPr>
            <w:tcW w:w="2540" w:type="dxa"/>
            <w:vAlign w:val="bottom"/>
            <w:shd w:val="clear" w:color="auto" w:fill="153A57"/>
          </w:tcPr>
          <w:p>
            <w:pPr>
              <w:spacing w:after="0"/>
              <w:rPr>
                <w:sz w:val="20"/>
                <w:szCs w:val="20"/>
                <w:color w:val="auto"/>
              </w:rPr>
            </w:pPr>
          </w:p>
        </w:tc>
        <w:tc>
          <w:tcPr>
            <w:tcW w:w="1620" w:type="dxa"/>
            <w:vAlign w:val="bottom"/>
            <w:shd w:val="clear" w:color="auto" w:fill="153A57"/>
          </w:tcPr>
          <w:p>
            <w:pPr>
              <w:jc w:val="center"/>
              <w:ind w:left="316"/>
              <w:spacing w:after="0"/>
              <w:rPr>
                <w:sz w:val="20"/>
                <w:szCs w:val="20"/>
                <w:color w:val="auto"/>
              </w:rPr>
            </w:pPr>
            <w:r>
              <w:rPr>
                <w:rFonts w:ascii="Arial" w:cs="Arial" w:eastAsia="Arial" w:hAnsi="Arial"/>
                <w:sz w:val="16"/>
                <w:szCs w:val="16"/>
                <w:b w:val="1"/>
                <w:bCs w:val="1"/>
                <w:color w:val="FFFFFF"/>
              </w:rPr>
              <w:t>unexercised</w:t>
            </w:r>
          </w:p>
        </w:tc>
        <w:tc>
          <w:tcPr>
            <w:tcW w:w="920" w:type="dxa"/>
            <w:vAlign w:val="bottom"/>
            <w:shd w:val="clear" w:color="auto" w:fill="153A57"/>
          </w:tcPr>
          <w:p>
            <w:pPr>
              <w:jc w:val="center"/>
              <w:ind w:right="35"/>
              <w:spacing w:after="0"/>
              <w:rPr>
                <w:sz w:val="20"/>
                <w:szCs w:val="20"/>
                <w:color w:val="auto"/>
              </w:rPr>
            </w:pPr>
            <w:r>
              <w:rPr>
                <w:rFonts w:ascii="Arial" w:cs="Arial" w:eastAsia="Arial" w:hAnsi="Arial"/>
                <w:sz w:val="16"/>
                <w:szCs w:val="16"/>
                <w:b w:val="1"/>
                <w:bCs w:val="1"/>
                <w:color w:val="FFFFFF"/>
                <w:w w:val="99"/>
              </w:rPr>
              <w:t>exercise</w:t>
            </w:r>
          </w:p>
        </w:tc>
        <w:tc>
          <w:tcPr>
            <w:tcW w:w="940" w:type="dxa"/>
            <w:vAlign w:val="bottom"/>
            <w:shd w:val="clear" w:color="auto" w:fill="153A57"/>
          </w:tcPr>
          <w:p>
            <w:pPr>
              <w:jc w:val="center"/>
              <w:spacing w:after="0"/>
              <w:rPr>
                <w:sz w:val="20"/>
                <w:szCs w:val="20"/>
                <w:color w:val="auto"/>
              </w:rPr>
            </w:pPr>
            <w:r>
              <w:rPr>
                <w:rFonts w:ascii="Arial" w:cs="Arial" w:eastAsia="Arial" w:hAnsi="Arial"/>
                <w:sz w:val="16"/>
                <w:szCs w:val="16"/>
                <w:b w:val="1"/>
                <w:bCs w:val="1"/>
                <w:color w:val="FFFFFF"/>
              </w:rPr>
              <w:t>Option</w:t>
            </w:r>
          </w:p>
        </w:tc>
        <w:tc>
          <w:tcPr>
            <w:tcW w:w="1100" w:type="dxa"/>
            <w:vAlign w:val="bottom"/>
            <w:shd w:val="clear" w:color="auto" w:fill="153A57"/>
          </w:tcPr>
          <w:p>
            <w:pPr>
              <w:jc w:val="center"/>
              <w:spacing w:after="0"/>
              <w:rPr>
                <w:sz w:val="20"/>
                <w:szCs w:val="20"/>
                <w:color w:val="auto"/>
              </w:rPr>
            </w:pPr>
            <w:r>
              <w:rPr>
                <w:rFonts w:ascii="Arial" w:cs="Arial" w:eastAsia="Arial" w:hAnsi="Arial"/>
                <w:sz w:val="16"/>
                <w:szCs w:val="16"/>
                <w:b w:val="1"/>
                <w:bCs w:val="1"/>
                <w:color w:val="FFFFFF"/>
                <w:w w:val="98"/>
              </w:rPr>
              <w:t>unexercised</w:t>
            </w:r>
          </w:p>
        </w:tc>
        <w:tc>
          <w:tcPr>
            <w:tcW w:w="980" w:type="dxa"/>
            <w:vAlign w:val="bottom"/>
            <w:shd w:val="clear" w:color="auto" w:fill="153A57"/>
          </w:tcPr>
          <w:p>
            <w:pPr>
              <w:jc w:val="center"/>
              <w:ind w:right="17"/>
              <w:spacing w:after="0"/>
              <w:rPr>
                <w:sz w:val="20"/>
                <w:szCs w:val="20"/>
                <w:color w:val="auto"/>
              </w:rPr>
            </w:pPr>
            <w:r>
              <w:rPr>
                <w:rFonts w:ascii="Arial" w:cs="Arial" w:eastAsia="Arial" w:hAnsi="Arial"/>
                <w:sz w:val="16"/>
                <w:szCs w:val="16"/>
                <w:b w:val="1"/>
                <w:bCs w:val="1"/>
                <w:color w:val="FFFFFF"/>
                <w:w w:val="96"/>
              </w:rPr>
              <w:t>not</w:t>
            </w:r>
          </w:p>
        </w:tc>
        <w:tc>
          <w:tcPr>
            <w:tcW w:w="980" w:type="dxa"/>
            <w:vAlign w:val="bottom"/>
            <w:shd w:val="clear" w:color="auto" w:fill="153A57"/>
          </w:tcPr>
          <w:p>
            <w:pPr>
              <w:jc w:val="center"/>
              <w:spacing w:after="0"/>
              <w:rPr>
                <w:sz w:val="20"/>
                <w:szCs w:val="20"/>
                <w:color w:val="auto"/>
              </w:rPr>
            </w:pPr>
            <w:r>
              <w:rPr>
                <w:rFonts w:ascii="Arial" w:cs="Arial" w:eastAsia="Arial" w:hAnsi="Arial"/>
                <w:sz w:val="16"/>
                <w:szCs w:val="16"/>
                <w:b w:val="1"/>
                <w:bCs w:val="1"/>
                <w:color w:val="FFFFFF"/>
              </w:rPr>
              <w:t>have not</w:t>
            </w:r>
          </w:p>
        </w:tc>
        <w:tc>
          <w:tcPr>
            <w:tcW w:w="480" w:type="dxa"/>
            <w:vAlign w:val="bottom"/>
            <w:shd w:val="clear" w:color="auto" w:fill="153A57"/>
          </w:tcPr>
          <w:p>
            <w:pPr>
              <w:jc w:val="right"/>
              <w:spacing w:after="0"/>
              <w:rPr>
                <w:sz w:val="20"/>
                <w:szCs w:val="20"/>
                <w:color w:val="auto"/>
              </w:rPr>
            </w:pPr>
            <w:r>
              <w:rPr>
                <w:rFonts w:ascii="Arial" w:cs="Arial" w:eastAsia="Arial" w:hAnsi="Arial"/>
                <w:sz w:val="16"/>
                <w:szCs w:val="16"/>
                <w:b w:val="1"/>
                <w:bCs w:val="1"/>
                <w:color w:val="FFFFFF"/>
              </w:rPr>
              <w:t>out</w:t>
            </w:r>
          </w:p>
        </w:tc>
        <w:tc>
          <w:tcPr>
            <w:tcW w:w="0" w:type="dxa"/>
            <w:vAlign w:val="bottom"/>
          </w:tcPr>
          <w:p>
            <w:pPr>
              <w:spacing w:after="0"/>
              <w:rPr>
                <w:sz w:val="1"/>
                <w:szCs w:val="1"/>
                <w:color w:val="auto"/>
              </w:rPr>
            </w:pPr>
          </w:p>
        </w:tc>
      </w:tr>
      <w:tr>
        <w:trPr>
          <w:trHeight w:val="241"/>
        </w:trPr>
        <w:tc>
          <w:tcPr>
            <w:tcW w:w="2540" w:type="dxa"/>
            <w:vAlign w:val="bottom"/>
            <w:shd w:val="clear" w:color="auto" w:fill="153A57"/>
          </w:tcPr>
          <w:p>
            <w:pPr>
              <w:spacing w:after="0"/>
              <w:rPr>
                <w:sz w:val="20"/>
                <w:szCs w:val="20"/>
                <w:color w:val="auto"/>
              </w:rPr>
            </w:pPr>
          </w:p>
        </w:tc>
        <w:tc>
          <w:tcPr>
            <w:tcW w:w="1620" w:type="dxa"/>
            <w:vAlign w:val="bottom"/>
            <w:shd w:val="clear" w:color="auto" w:fill="153A57"/>
          </w:tcPr>
          <w:p>
            <w:pPr>
              <w:jc w:val="center"/>
              <w:ind w:left="316"/>
              <w:spacing w:after="0"/>
              <w:rPr>
                <w:sz w:val="20"/>
                <w:szCs w:val="20"/>
                <w:color w:val="auto"/>
              </w:rPr>
            </w:pPr>
            <w:r>
              <w:rPr>
                <w:rFonts w:ascii="Arial" w:cs="Arial" w:eastAsia="Arial" w:hAnsi="Arial"/>
                <w:sz w:val="16"/>
                <w:szCs w:val="16"/>
                <w:b w:val="1"/>
                <w:bCs w:val="1"/>
                <w:color w:val="FFFFFF"/>
              </w:rPr>
              <w:t>Options</w:t>
            </w:r>
          </w:p>
        </w:tc>
        <w:tc>
          <w:tcPr>
            <w:tcW w:w="920" w:type="dxa"/>
            <w:vAlign w:val="bottom"/>
            <w:shd w:val="clear" w:color="auto" w:fill="153A57"/>
          </w:tcPr>
          <w:p>
            <w:pPr>
              <w:jc w:val="center"/>
              <w:ind w:right="15"/>
              <w:spacing w:after="0"/>
              <w:rPr>
                <w:sz w:val="20"/>
                <w:szCs w:val="20"/>
                <w:color w:val="auto"/>
              </w:rPr>
            </w:pPr>
            <w:r>
              <w:rPr>
                <w:rFonts w:ascii="Arial" w:cs="Arial" w:eastAsia="Arial" w:hAnsi="Arial"/>
                <w:sz w:val="16"/>
                <w:szCs w:val="16"/>
                <w:b w:val="1"/>
                <w:bCs w:val="1"/>
                <w:color w:val="FFFFFF"/>
                <w:w w:val="99"/>
              </w:rPr>
              <w:t>price</w:t>
            </w:r>
          </w:p>
        </w:tc>
        <w:tc>
          <w:tcPr>
            <w:tcW w:w="940" w:type="dxa"/>
            <w:vAlign w:val="bottom"/>
            <w:shd w:val="clear" w:color="auto" w:fill="153A57"/>
          </w:tcPr>
          <w:p>
            <w:pPr>
              <w:jc w:val="center"/>
              <w:spacing w:after="0"/>
              <w:rPr>
                <w:sz w:val="20"/>
                <w:szCs w:val="20"/>
                <w:color w:val="auto"/>
              </w:rPr>
            </w:pPr>
            <w:r>
              <w:rPr>
                <w:rFonts w:ascii="Arial" w:cs="Arial" w:eastAsia="Arial" w:hAnsi="Arial"/>
                <w:sz w:val="16"/>
                <w:szCs w:val="16"/>
                <w:b w:val="1"/>
                <w:bCs w:val="1"/>
                <w:color w:val="FFFFFF"/>
                <w:w w:val="99"/>
              </w:rPr>
              <w:t>expiration</w:t>
            </w:r>
          </w:p>
        </w:tc>
        <w:tc>
          <w:tcPr>
            <w:tcW w:w="2080" w:type="dxa"/>
            <w:vAlign w:val="bottom"/>
            <w:gridSpan w:val="2"/>
            <w:shd w:val="clear" w:color="auto" w:fill="153A57"/>
          </w:tcPr>
          <w:p>
            <w:pPr>
              <w:jc w:val="right"/>
              <w:ind w:right="217"/>
              <w:spacing w:after="0"/>
              <w:rPr>
                <w:sz w:val="20"/>
                <w:szCs w:val="20"/>
                <w:color w:val="auto"/>
              </w:rPr>
            </w:pPr>
            <w:r>
              <w:rPr>
                <w:rFonts w:ascii="Arial" w:cs="Arial" w:eastAsia="Arial" w:hAnsi="Arial"/>
                <w:sz w:val="16"/>
                <w:szCs w:val="16"/>
                <w:b w:val="1"/>
                <w:bCs w:val="1"/>
                <w:color w:val="FFFFFF"/>
              </w:rPr>
              <w:t>in-the-money   vested</w:t>
            </w:r>
          </w:p>
        </w:tc>
        <w:tc>
          <w:tcPr>
            <w:tcW w:w="980" w:type="dxa"/>
            <w:vAlign w:val="bottom"/>
            <w:shd w:val="clear" w:color="auto" w:fill="153A57"/>
          </w:tcPr>
          <w:p>
            <w:pPr>
              <w:jc w:val="center"/>
              <w:ind w:right="17"/>
              <w:spacing w:after="0"/>
              <w:rPr>
                <w:sz w:val="20"/>
                <w:szCs w:val="20"/>
                <w:color w:val="auto"/>
              </w:rPr>
            </w:pPr>
            <w:r>
              <w:rPr>
                <w:rFonts w:ascii="Arial" w:cs="Arial" w:eastAsia="Arial" w:hAnsi="Arial"/>
                <w:sz w:val="16"/>
                <w:szCs w:val="16"/>
                <w:b w:val="1"/>
                <w:bCs w:val="1"/>
                <w:color w:val="FFFFFF"/>
              </w:rPr>
              <w:t>vested</w:t>
            </w:r>
          </w:p>
        </w:tc>
        <w:tc>
          <w:tcPr>
            <w:tcW w:w="480" w:type="dxa"/>
            <w:vAlign w:val="bottom"/>
            <w:shd w:val="clear" w:color="auto" w:fill="153A57"/>
          </w:tcPr>
          <w:p>
            <w:pPr>
              <w:jc w:val="right"/>
              <w:spacing w:after="0"/>
              <w:rPr>
                <w:sz w:val="20"/>
                <w:szCs w:val="20"/>
                <w:color w:val="auto"/>
              </w:rPr>
            </w:pPr>
            <w:r>
              <w:rPr>
                <w:rFonts w:ascii="Arial" w:cs="Arial" w:eastAsia="Arial" w:hAnsi="Arial"/>
                <w:sz w:val="16"/>
                <w:szCs w:val="16"/>
                <w:b w:val="1"/>
                <w:bCs w:val="1"/>
                <w:color w:val="FFFFFF"/>
              </w:rPr>
              <w:t>distri</w:t>
            </w:r>
          </w:p>
        </w:tc>
        <w:tc>
          <w:tcPr>
            <w:tcW w:w="0" w:type="dxa"/>
            <w:vAlign w:val="bottom"/>
          </w:tcPr>
          <w:p>
            <w:pPr>
              <w:spacing w:after="0"/>
              <w:rPr>
                <w:sz w:val="1"/>
                <w:szCs w:val="1"/>
                <w:color w:val="auto"/>
              </w:rPr>
            </w:pPr>
          </w:p>
        </w:tc>
      </w:tr>
      <w:tr>
        <w:trPr>
          <w:trHeight w:val="275"/>
        </w:trPr>
        <w:tc>
          <w:tcPr>
            <w:tcW w:w="2540" w:type="dxa"/>
            <w:vAlign w:val="bottom"/>
            <w:shd w:val="clear" w:color="auto" w:fill="153A57"/>
          </w:tcPr>
          <w:p>
            <w:pPr>
              <w:spacing w:after="0"/>
              <w:rPr>
                <w:sz w:val="23"/>
                <w:szCs w:val="23"/>
                <w:color w:val="auto"/>
              </w:rPr>
            </w:pPr>
          </w:p>
        </w:tc>
        <w:tc>
          <w:tcPr>
            <w:tcW w:w="1620" w:type="dxa"/>
            <w:vAlign w:val="bottom"/>
            <w:shd w:val="clear" w:color="auto" w:fill="153A57"/>
          </w:tcPr>
          <w:p>
            <w:pPr>
              <w:jc w:val="center"/>
              <w:ind w:left="316"/>
              <w:spacing w:after="0"/>
              <w:rPr>
                <w:sz w:val="20"/>
                <w:szCs w:val="20"/>
                <w:color w:val="auto"/>
              </w:rPr>
            </w:pPr>
            <w:r>
              <w:rPr>
                <w:rFonts w:ascii="Arial" w:cs="Arial" w:eastAsia="Arial" w:hAnsi="Arial"/>
                <w:sz w:val="16"/>
                <w:szCs w:val="16"/>
                <w:b w:val="1"/>
                <w:bCs w:val="1"/>
                <w:color w:val="FFFFFF"/>
                <w:w w:val="91"/>
              </w:rPr>
              <w:t>(#)</w:t>
            </w:r>
          </w:p>
        </w:tc>
        <w:tc>
          <w:tcPr>
            <w:tcW w:w="920" w:type="dxa"/>
            <w:vAlign w:val="bottom"/>
            <w:shd w:val="clear" w:color="auto" w:fill="153A57"/>
          </w:tcPr>
          <w:p>
            <w:pPr>
              <w:jc w:val="center"/>
              <w:ind w:right="15"/>
              <w:spacing w:after="0"/>
              <w:rPr>
                <w:sz w:val="20"/>
                <w:szCs w:val="20"/>
                <w:color w:val="auto"/>
              </w:rPr>
            </w:pPr>
            <w:r>
              <w:rPr>
                <w:rFonts w:ascii="Arial" w:cs="Arial" w:eastAsia="Arial" w:hAnsi="Arial"/>
                <w:sz w:val="16"/>
                <w:szCs w:val="16"/>
                <w:b w:val="1"/>
                <w:bCs w:val="1"/>
                <w:color w:val="FFFFFF"/>
              </w:rPr>
              <w:t>(US$)</w:t>
            </w:r>
          </w:p>
        </w:tc>
        <w:tc>
          <w:tcPr>
            <w:tcW w:w="940" w:type="dxa"/>
            <w:vAlign w:val="bottom"/>
            <w:shd w:val="clear" w:color="auto" w:fill="153A57"/>
          </w:tcPr>
          <w:p>
            <w:pPr>
              <w:jc w:val="center"/>
              <w:spacing w:after="0"/>
              <w:rPr>
                <w:sz w:val="20"/>
                <w:szCs w:val="20"/>
                <w:color w:val="auto"/>
              </w:rPr>
            </w:pPr>
            <w:r>
              <w:rPr>
                <w:rFonts w:ascii="Arial" w:cs="Arial" w:eastAsia="Arial" w:hAnsi="Arial"/>
                <w:sz w:val="16"/>
                <w:szCs w:val="16"/>
                <w:b w:val="1"/>
                <w:bCs w:val="1"/>
                <w:color w:val="FFFFFF"/>
                <w:w w:val="97"/>
              </w:rPr>
              <w:t>date</w:t>
            </w:r>
          </w:p>
        </w:tc>
        <w:tc>
          <w:tcPr>
            <w:tcW w:w="1100" w:type="dxa"/>
            <w:vAlign w:val="bottom"/>
            <w:shd w:val="clear" w:color="auto" w:fill="153A57"/>
          </w:tcPr>
          <w:p>
            <w:pPr>
              <w:jc w:val="center"/>
              <w:spacing w:after="0"/>
              <w:rPr>
                <w:sz w:val="20"/>
                <w:szCs w:val="20"/>
                <w:color w:val="auto"/>
              </w:rPr>
            </w:pPr>
            <w:r>
              <w:rPr>
                <w:rFonts w:ascii="Arial" w:cs="Arial" w:eastAsia="Arial" w:hAnsi="Arial"/>
                <w:sz w:val="16"/>
                <w:szCs w:val="16"/>
                <w:b w:val="1"/>
                <w:bCs w:val="1"/>
                <w:color w:val="FFFFFF"/>
                <w:w w:val="95"/>
              </w:rPr>
              <w:t xml:space="preserve">Options </w:t>
            </w:r>
            <w:r>
              <w:rPr>
                <w:rFonts w:ascii="Arial" w:cs="Arial" w:eastAsia="Arial" w:hAnsi="Arial"/>
                <w:sz w:val="21"/>
                <w:szCs w:val="21"/>
                <w:b w:val="1"/>
                <w:bCs w:val="1"/>
                <w:color w:val="FFFFFF"/>
                <w:w w:val="95"/>
                <w:vertAlign w:val="superscript"/>
              </w:rPr>
              <w:t>(2)</w:t>
            </w:r>
          </w:p>
        </w:tc>
        <w:tc>
          <w:tcPr>
            <w:tcW w:w="980" w:type="dxa"/>
            <w:vAlign w:val="bottom"/>
            <w:shd w:val="clear" w:color="auto" w:fill="153A57"/>
          </w:tcPr>
          <w:p>
            <w:pPr>
              <w:jc w:val="center"/>
              <w:ind w:right="17"/>
              <w:spacing w:after="0"/>
              <w:rPr>
                <w:sz w:val="20"/>
                <w:szCs w:val="20"/>
                <w:color w:val="auto"/>
              </w:rPr>
            </w:pPr>
            <w:r>
              <w:rPr>
                <w:rFonts w:ascii="Arial" w:cs="Arial" w:eastAsia="Arial" w:hAnsi="Arial"/>
                <w:sz w:val="16"/>
                <w:szCs w:val="16"/>
                <w:b w:val="1"/>
                <w:bCs w:val="1"/>
                <w:color w:val="FFFFFF"/>
              </w:rPr>
              <w:t>(#)</w:t>
            </w:r>
          </w:p>
        </w:tc>
        <w:tc>
          <w:tcPr>
            <w:tcW w:w="980" w:type="dxa"/>
            <w:vAlign w:val="bottom"/>
            <w:shd w:val="clear" w:color="auto" w:fill="153A57"/>
          </w:tcPr>
          <w:p>
            <w:pPr>
              <w:jc w:val="center"/>
              <w:ind w:right="17"/>
              <w:spacing w:after="0"/>
              <w:rPr>
                <w:sz w:val="20"/>
                <w:szCs w:val="20"/>
                <w:color w:val="auto"/>
              </w:rPr>
            </w:pPr>
            <w:r>
              <w:rPr>
                <w:rFonts w:ascii="Arial" w:cs="Arial" w:eastAsia="Arial" w:hAnsi="Arial"/>
                <w:sz w:val="16"/>
                <w:szCs w:val="16"/>
                <w:b w:val="1"/>
                <w:bCs w:val="1"/>
                <w:color w:val="FFFFFF"/>
                <w:w w:val="94"/>
              </w:rPr>
              <w:t xml:space="preserve">(US$) </w:t>
            </w:r>
            <w:r>
              <w:rPr>
                <w:rFonts w:ascii="Arial" w:cs="Arial" w:eastAsia="Arial" w:hAnsi="Arial"/>
                <w:sz w:val="21"/>
                <w:szCs w:val="21"/>
                <w:b w:val="1"/>
                <w:bCs w:val="1"/>
                <w:color w:val="FFFFFF"/>
                <w:w w:val="94"/>
                <w:vertAlign w:val="superscript"/>
              </w:rPr>
              <w:t>(3)</w:t>
            </w:r>
          </w:p>
        </w:tc>
        <w:tc>
          <w:tcPr>
            <w:tcW w:w="480" w:type="dxa"/>
            <w:vAlign w:val="bottom"/>
            <w:shd w:val="clear" w:color="auto" w:fill="153A57"/>
          </w:tcPr>
          <w:p>
            <w:pPr>
              <w:jc w:val="right"/>
              <w:spacing w:after="0"/>
              <w:rPr>
                <w:sz w:val="20"/>
                <w:szCs w:val="20"/>
                <w:color w:val="auto"/>
              </w:rPr>
            </w:pPr>
            <w:r>
              <w:rPr>
                <w:rFonts w:ascii="Arial" w:cs="Arial" w:eastAsia="Arial" w:hAnsi="Arial"/>
                <w:sz w:val="16"/>
                <w:szCs w:val="16"/>
                <w:b w:val="1"/>
                <w:bCs w:val="1"/>
                <w:color w:val="FFFFFF"/>
              </w:rPr>
              <w:t>(US</w:t>
            </w:r>
          </w:p>
        </w:tc>
        <w:tc>
          <w:tcPr>
            <w:tcW w:w="0" w:type="dxa"/>
            <w:vAlign w:val="bottom"/>
          </w:tcPr>
          <w:p>
            <w:pPr>
              <w:spacing w:after="0"/>
              <w:rPr>
                <w:sz w:val="1"/>
                <w:szCs w:val="1"/>
                <w:color w:val="auto"/>
              </w:rPr>
            </w:pPr>
          </w:p>
        </w:tc>
      </w:tr>
      <w:tr>
        <w:trPr>
          <w:trHeight w:val="315"/>
        </w:trPr>
        <w:tc>
          <w:tcPr>
            <w:tcW w:w="2540" w:type="dxa"/>
            <w:vAlign w:val="bottom"/>
          </w:tcPr>
          <w:p>
            <w:pPr>
              <w:ind w:left="100"/>
              <w:spacing w:after="0"/>
              <w:rPr>
                <w:sz w:val="20"/>
                <w:szCs w:val="20"/>
                <w:color w:val="auto"/>
              </w:rPr>
            </w:pPr>
            <w:r>
              <w:rPr>
                <w:rFonts w:ascii="Arial" w:cs="Arial" w:eastAsia="Arial" w:hAnsi="Arial"/>
                <w:sz w:val="18"/>
                <w:szCs w:val="18"/>
                <w:b w:val="1"/>
                <w:bCs w:val="1"/>
                <w:color w:val="auto"/>
              </w:rPr>
              <w:t>John Kanellitsas, Chair</w:t>
            </w:r>
            <w:r>
              <w:rPr>
                <w:rFonts w:ascii="Arial" w:cs="Arial" w:eastAsia="Arial" w:hAnsi="Arial"/>
                <w:sz w:val="24"/>
                <w:szCs w:val="24"/>
                <w:b w:val="1"/>
                <w:bCs w:val="1"/>
                <w:color w:val="auto"/>
                <w:vertAlign w:val="superscript"/>
              </w:rPr>
              <w:t>(3)</w:t>
            </w:r>
          </w:p>
        </w:tc>
        <w:tc>
          <w:tcPr>
            <w:tcW w:w="1620" w:type="dxa"/>
            <w:vAlign w:val="bottom"/>
          </w:tcPr>
          <w:p>
            <w:pPr>
              <w:jc w:val="right"/>
              <w:spacing w:after="0"/>
              <w:rPr>
                <w:sz w:val="20"/>
                <w:szCs w:val="20"/>
                <w:color w:val="auto"/>
              </w:rPr>
            </w:pPr>
            <w:r>
              <w:rPr>
                <w:rFonts w:ascii="Arial" w:cs="Arial" w:eastAsia="Arial" w:hAnsi="Arial"/>
                <w:sz w:val="18"/>
                <w:szCs w:val="18"/>
                <w:color w:val="auto"/>
              </w:rPr>
              <w:t>250,000</w:t>
            </w:r>
          </w:p>
        </w:tc>
        <w:tc>
          <w:tcPr>
            <w:tcW w:w="1860" w:type="dxa"/>
            <w:vAlign w:val="bottom"/>
            <w:gridSpan w:val="2"/>
          </w:tcPr>
          <w:p>
            <w:pPr>
              <w:ind w:left="520"/>
              <w:spacing w:after="0"/>
              <w:rPr>
                <w:sz w:val="20"/>
                <w:szCs w:val="20"/>
                <w:color w:val="auto"/>
              </w:rPr>
            </w:pPr>
            <w:r>
              <w:rPr>
                <w:rFonts w:ascii="Arial" w:cs="Arial" w:eastAsia="Arial" w:hAnsi="Arial"/>
                <w:sz w:val="18"/>
                <w:szCs w:val="18"/>
                <w:color w:val="auto"/>
              </w:rPr>
              <w:t>5.56  3-Dec-30</w:t>
            </w: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980" w:type="dxa"/>
            <w:vAlign w:val="bottom"/>
          </w:tcPr>
          <w:p>
            <w:pPr>
              <w:jc w:val="right"/>
              <w:spacing w:after="0"/>
              <w:rPr>
                <w:sz w:val="20"/>
                <w:szCs w:val="20"/>
                <w:color w:val="auto"/>
              </w:rPr>
            </w:pPr>
            <w:r>
              <w:rPr>
                <w:rFonts w:ascii="Arial" w:cs="Arial" w:eastAsia="Arial" w:hAnsi="Arial"/>
                <w:sz w:val="18"/>
                <w:szCs w:val="18"/>
                <w:color w:val="auto"/>
              </w:rPr>
              <w:t>1,651,686</w:t>
            </w:r>
          </w:p>
        </w:tc>
        <w:tc>
          <w:tcPr>
            <w:tcW w:w="980" w:type="dxa"/>
            <w:vAlign w:val="bottom"/>
          </w:tcPr>
          <w:p>
            <w:pPr>
              <w:jc w:val="right"/>
              <w:spacing w:after="0"/>
              <w:rPr>
                <w:sz w:val="20"/>
                <w:szCs w:val="20"/>
                <w:color w:val="auto"/>
              </w:rPr>
            </w:pPr>
            <w:r>
              <w:rPr>
                <w:rFonts w:ascii="Arial" w:cs="Arial" w:eastAsia="Arial" w:hAnsi="Arial"/>
                <w:sz w:val="18"/>
                <w:szCs w:val="18"/>
                <w:color w:val="auto"/>
              </w:rPr>
              <w:t>9,216,408</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5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90,000</w:t>
            </w:r>
          </w:p>
        </w:tc>
        <w:tc>
          <w:tcPr>
            <w:tcW w:w="1860" w:type="dxa"/>
            <w:vAlign w:val="bottom"/>
            <w:gridSpan w:val="2"/>
          </w:tcPr>
          <w:p>
            <w:pPr>
              <w:ind w:left="520"/>
              <w:spacing w:after="0"/>
              <w:rPr>
                <w:sz w:val="20"/>
                <w:szCs w:val="20"/>
                <w:color w:val="auto"/>
              </w:rPr>
            </w:pPr>
            <w:r>
              <w:rPr>
                <w:rFonts w:ascii="Arial" w:cs="Arial" w:eastAsia="Arial" w:hAnsi="Arial"/>
                <w:sz w:val="18"/>
                <w:szCs w:val="18"/>
                <w:color w:val="auto"/>
              </w:rPr>
              <w:t>3.57  20-Jun-29</w:t>
            </w:r>
          </w:p>
        </w:tc>
        <w:tc>
          <w:tcPr>
            <w:tcW w:w="1100" w:type="dxa"/>
            <w:vAlign w:val="bottom"/>
          </w:tcPr>
          <w:p>
            <w:pPr>
              <w:jc w:val="right"/>
              <w:spacing w:after="0"/>
              <w:rPr>
                <w:sz w:val="20"/>
                <w:szCs w:val="20"/>
                <w:color w:val="auto"/>
              </w:rPr>
            </w:pPr>
            <w:r>
              <w:rPr>
                <w:rFonts w:ascii="Arial" w:cs="Arial" w:eastAsia="Arial" w:hAnsi="Arial"/>
                <w:sz w:val="18"/>
                <w:szCs w:val="18"/>
                <w:color w:val="auto"/>
              </w:rPr>
              <w:t>180,900</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2540" w:type="dxa"/>
            <w:vAlign w:val="bottom"/>
          </w:tcPr>
          <w:p>
            <w:pPr>
              <w:ind w:left="100"/>
              <w:spacing w:after="0"/>
              <w:rPr>
                <w:sz w:val="20"/>
                <w:szCs w:val="20"/>
                <w:color w:val="auto"/>
              </w:rPr>
            </w:pPr>
            <w:r>
              <w:rPr>
                <w:rFonts w:ascii="Arial" w:cs="Arial" w:eastAsia="Arial" w:hAnsi="Arial"/>
                <w:sz w:val="18"/>
                <w:szCs w:val="18"/>
                <w:b w:val="1"/>
                <w:bCs w:val="1"/>
                <w:color w:val="auto"/>
              </w:rPr>
              <w:t>Sam Pigott, Chief Executive</w:t>
            </w:r>
          </w:p>
        </w:tc>
        <w:tc>
          <w:tcPr>
            <w:tcW w:w="1620" w:type="dxa"/>
            <w:vAlign w:val="bottom"/>
          </w:tcPr>
          <w:p>
            <w:pPr>
              <w:jc w:val="right"/>
              <w:spacing w:after="0"/>
              <w:rPr>
                <w:sz w:val="20"/>
                <w:szCs w:val="20"/>
                <w:color w:val="auto"/>
              </w:rPr>
            </w:pPr>
            <w:r>
              <w:rPr>
                <w:rFonts w:ascii="Arial" w:cs="Arial" w:eastAsia="Arial" w:hAnsi="Arial"/>
                <w:sz w:val="18"/>
                <w:szCs w:val="18"/>
                <w:color w:val="auto"/>
              </w:rPr>
              <w:t>250,000</w:t>
            </w:r>
          </w:p>
        </w:tc>
        <w:tc>
          <w:tcPr>
            <w:tcW w:w="920" w:type="dxa"/>
            <w:vAlign w:val="bottom"/>
          </w:tcPr>
          <w:p>
            <w:pPr>
              <w:ind w:left="520"/>
              <w:spacing w:after="0"/>
              <w:rPr>
                <w:sz w:val="20"/>
                <w:szCs w:val="20"/>
                <w:color w:val="auto"/>
              </w:rPr>
            </w:pPr>
            <w:r>
              <w:rPr>
                <w:rFonts w:ascii="Arial" w:cs="Arial" w:eastAsia="Arial" w:hAnsi="Arial"/>
                <w:sz w:val="18"/>
                <w:szCs w:val="18"/>
                <w:color w:val="auto"/>
              </w:rPr>
              <w:t>5.18</w:t>
            </w:r>
          </w:p>
        </w:tc>
        <w:tc>
          <w:tcPr>
            <w:tcW w:w="940" w:type="dxa"/>
            <w:vAlign w:val="bottom"/>
          </w:tcPr>
          <w:p>
            <w:pPr>
              <w:jc w:val="right"/>
              <w:spacing w:after="0"/>
              <w:rPr>
                <w:sz w:val="20"/>
                <w:szCs w:val="20"/>
                <w:color w:val="auto"/>
              </w:rPr>
            </w:pPr>
            <w:r>
              <w:rPr>
                <w:rFonts w:ascii="Arial" w:cs="Arial" w:eastAsia="Arial" w:hAnsi="Arial"/>
                <w:sz w:val="18"/>
                <w:szCs w:val="18"/>
                <w:color w:val="auto"/>
              </w:rPr>
              <w:t>2-Apr-31</w:t>
            </w:r>
          </w:p>
        </w:tc>
        <w:tc>
          <w:tcPr>
            <w:tcW w:w="1100" w:type="dxa"/>
            <w:vAlign w:val="bottom"/>
          </w:tcPr>
          <w:p>
            <w:pPr>
              <w:jc w:val="right"/>
              <w:spacing w:after="0"/>
              <w:rPr>
                <w:sz w:val="20"/>
                <w:szCs w:val="20"/>
                <w:color w:val="auto"/>
              </w:rPr>
            </w:pPr>
            <w:r>
              <w:rPr>
                <w:rFonts w:ascii="Arial" w:cs="Arial" w:eastAsia="Arial" w:hAnsi="Arial"/>
                <w:sz w:val="18"/>
                <w:szCs w:val="18"/>
                <w:color w:val="auto"/>
              </w:rPr>
              <w:t>100,000</w:t>
            </w:r>
          </w:p>
        </w:tc>
        <w:tc>
          <w:tcPr>
            <w:tcW w:w="980" w:type="dxa"/>
            <w:vAlign w:val="bottom"/>
          </w:tcPr>
          <w:p>
            <w:pPr>
              <w:jc w:val="right"/>
              <w:spacing w:after="0"/>
              <w:rPr>
                <w:sz w:val="20"/>
                <w:szCs w:val="20"/>
                <w:color w:val="auto"/>
              </w:rPr>
            </w:pPr>
            <w:r>
              <w:rPr>
                <w:rFonts w:ascii="Arial" w:cs="Arial" w:eastAsia="Arial" w:hAnsi="Arial"/>
                <w:sz w:val="18"/>
                <w:szCs w:val="18"/>
                <w:color w:val="auto"/>
              </w:rPr>
              <w:t>980,516</w:t>
            </w:r>
          </w:p>
        </w:tc>
        <w:tc>
          <w:tcPr>
            <w:tcW w:w="980" w:type="dxa"/>
            <w:vAlign w:val="bottom"/>
          </w:tcPr>
          <w:p>
            <w:pPr>
              <w:jc w:val="right"/>
              <w:spacing w:after="0"/>
              <w:rPr>
                <w:sz w:val="20"/>
                <w:szCs w:val="20"/>
                <w:color w:val="auto"/>
              </w:rPr>
            </w:pPr>
            <w:r>
              <w:rPr>
                <w:rFonts w:ascii="Arial" w:cs="Arial" w:eastAsia="Arial" w:hAnsi="Arial"/>
                <w:sz w:val="18"/>
                <w:szCs w:val="18"/>
                <w:color w:val="auto"/>
              </w:rPr>
              <w:t>5,471,279</w:t>
            </w: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37"/>
        </w:trPr>
        <w:tc>
          <w:tcPr>
            <w:tcW w:w="2540" w:type="dxa"/>
            <w:vAlign w:val="bottom"/>
          </w:tcPr>
          <w:p>
            <w:pPr>
              <w:ind w:left="100"/>
              <w:spacing w:after="0"/>
              <w:rPr>
                <w:sz w:val="20"/>
                <w:szCs w:val="20"/>
                <w:color w:val="auto"/>
              </w:rPr>
            </w:pPr>
            <w:r>
              <w:rPr>
                <w:rFonts w:ascii="Arial" w:cs="Arial" w:eastAsia="Arial" w:hAnsi="Arial"/>
                <w:sz w:val="18"/>
                <w:szCs w:val="18"/>
                <w:b w:val="1"/>
                <w:bCs w:val="1"/>
                <w:color w:val="auto"/>
              </w:rPr>
              <w:t xml:space="preserve">Officer </w:t>
            </w:r>
            <w:r>
              <w:rPr>
                <w:rFonts w:ascii="Arial" w:cs="Arial" w:eastAsia="Arial" w:hAnsi="Arial"/>
                <w:sz w:val="24"/>
                <w:szCs w:val="24"/>
                <w:b w:val="1"/>
                <w:bCs w:val="1"/>
                <w:color w:val="auto"/>
                <w:vertAlign w:val="superscript"/>
              </w:rPr>
              <w:t>(4)</w:t>
            </w:r>
          </w:p>
        </w:tc>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5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90,000</w:t>
            </w:r>
          </w:p>
        </w:tc>
        <w:tc>
          <w:tcPr>
            <w:tcW w:w="920" w:type="dxa"/>
            <w:vAlign w:val="bottom"/>
          </w:tcPr>
          <w:p>
            <w:pPr>
              <w:ind w:left="520"/>
              <w:spacing w:after="0"/>
              <w:rPr>
                <w:sz w:val="20"/>
                <w:szCs w:val="20"/>
                <w:color w:val="auto"/>
              </w:rPr>
            </w:pPr>
            <w:r>
              <w:rPr>
                <w:rFonts w:ascii="Arial" w:cs="Arial" w:eastAsia="Arial" w:hAnsi="Arial"/>
                <w:sz w:val="18"/>
                <w:szCs w:val="18"/>
                <w:color w:val="auto"/>
              </w:rPr>
              <w:t>3.85</w:t>
            </w:r>
          </w:p>
        </w:tc>
        <w:tc>
          <w:tcPr>
            <w:tcW w:w="940" w:type="dxa"/>
            <w:vAlign w:val="bottom"/>
          </w:tcPr>
          <w:p>
            <w:pPr>
              <w:jc w:val="right"/>
              <w:spacing w:after="0"/>
              <w:rPr>
                <w:sz w:val="20"/>
                <w:szCs w:val="20"/>
                <w:color w:val="auto"/>
              </w:rPr>
            </w:pPr>
            <w:r>
              <w:rPr>
                <w:rFonts w:ascii="Arial" w:cs="Arial" w:eastAsia="Arial" w:hAnsi="Arial"/>
                <w:sz w:val="18"/>
                <w:szCs w:val="18"/>
                <w:color w:val="auto"/>
              </w:rPr>
              <w:t>20-Jun-29</w:t>
            </w:r>
          </w:p>
        </w:tc>
        <w:tc>
          <w:tcPr>
            <w:tcW w:w="1100" w:type="dxa"/>
            <w:vAlign w:val="bottom"/>
          </w:tcPr>
          <w:p>
            <w:pPr>
              <w:jc w:val="right"/>
              <w:spacing w:after="0"/>
              <w:rPr>
                <w:sz w:val="20"/>
                <w:szCs w:val="20"/>
                <w:color w:val="auto"/>
              </w:rPr>
            </w:pPr>
            <w:r>
              <w:rPr>
                <w:rFonts w:ascii="Arial" w:cs="Arial" w:eastAsia="Arial" w:hAnsi="Arial"/>
                <w:sz w:val="18"/>
                <w:szCs w:val="18"/>
                <w:color w:val="auto"/>
              </w:rPr>
              <w:t>155,700</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-537845</wp:posOffset>
            </wp:positionV>
            <wp:extent cx="6078220" cy="6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0">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41910</wp:posOffset>
            </wp:positionV>
            <wp:extent cx="6078220"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1">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42 / 59</w:t>
      </w:r>
    </w:p>
    <w:p>
      <w:pPr>
        <w:sectPr>
          <w:pgSz w:w="11900" w:h="16838" w:orient="portrait"/>
          <w:cols w:equalWidth="0" w:num="1">
            <w:col w:w="10460"/>
          </w:cols>
          <w:pgMar w:left="1440" w:top="1440" w:right="6" w:bottom="0" w:gutter="0" w:footer="0" w:header="0"/>
          <w:type w:val="continuous"/>
        </w:sectPr>
      </w:pPr>
    </w:p>
    <w:bookmarkStart w:id="212" w:name="page213"/>
    <w:bookmarkEnd w:id="212"/>
    <w:tbl>
      <w:tblPr>
        <w:tblLayout w:type="fixed"/>
        <w:tblInd w:w="1000" w:type="dxa"/>
        <w:tblCellMar>
          <w:top w:w="0" w:type="dxa"/>
          <w:left w:w="0" w:type="dxa"/>
          <w:bottom w:w="0" w:type="dxa"/>
          <w:right w:w="0" w:type="dxa"/>
        </w:tblCellMar>
      </w:tblPr>
      <w:tr>
        <w:trPr>
          <w:trHeight w:val="207"/>
        </w:trPr>
        <w:tc>
          <w:tcPr>
            <w:tcW w:w="3040" w:type="dxa"/>
            <w:vAlign w:val="bottom"/>
          </w:tcPr>
          <w:p>
            <w:pPr>
              <w:spacing w:after="0"/>
              <w:rPr>
                <w:sz w:val="20"/>
                <w:szCs w:val="20"/>
                <w:color w:val="auto"/>
              </w:rPr>
            </w:pPr>
            <w:r>
              <w:rPr>
                <w:rFonts w:ascii="Arial" w:cs="Arial" w:eastAsia="Arial" w:hAnsi="Arial"/>
                <w:sz w:val="18"/>
                <w:szCs w:val="18"/>
                <w:b w:val="1"/>
                <w:bCs w:val="1"/>
                <w:color w:val="auto"/>
              </w:rPr>
              <w:t>Alex Shulga, Vice President and</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100,000</w:t>
            </w: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3-Dec-30</w:t>
            </w:r>
          </w:p>
        </w:tc>
        <w:tc>
          <w:tcPr>
            <w:tcW w:w="940" w:type="dxa"/>
            <w:vAlign w:val="bottom"/>
          </w:tcPr>
          <w:p>
            <w:pPr>
              <w:jc w:val="right"/>
              <w:spacing w:after="0"/>
              <w:rPr>
                <w:sz w:val="20"/>
                <w:szCs w:val="20"/>
                <w:color w:val="auto"/>
              </w:rPr>
            </w:pPr>
            <w:r>
              <w:rPr>
                <w:rFonts w:ascii="Arial" w:cs="Arial" w:eastAsia="Arial" w:hAnsi="Arial"/>
                <w:sz w:val="18"/>
                <w:szCs w:val="18"/>
                <w:color w:val="auto"/>
              </w:rPr>
              <w:t>18,000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720,452</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4,020,122</w:t>
            </w: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37"/>
        </w:trPr>
        <w:tc>
          <w:tcPr>
            <w:tcW w:w="3040" w:type="dxa"/>
            <w:vAlign w:val="bottom"/>
          </w:tcPr>
          <w:p>
            <w:pPr>
              <w:spacing w:after="0"/>
              <w:rPr>
                <w:sz w:val="20"/>
                <w:szCs w:val="20"/>
                <w:color w:val="auto"/>
              </w:rPr>
            </w:pPr>
            <w:r>
              <w:rPr>
                <w:rFonts w:ascii="Arial" w:cs="Arial" w:eastAsia="Arial" w:hAnsi="Arial"/>
                <w:sz w:val="18"/>
                <w:szCs w:val="18"/>
                <w:b w:val="1"/>
                <w:bCs w:val="1"/>
                <w:color w:val="auto"/>
              </w:rPr>
              <w:t>Chief Financial Officer</w:t>
            </w:r>
            <w:r>
              <w:rPr>
                <w:rFonts w:ascii="Arial" w:cs="Arial" w:eastAsia="Arial" w:hAnsi="Arial"/>
                <w:sz w:val="24"/>
                <w:szCs w:val="24"/>
                <w:b w:val="1"/>
                <w:bCs w:val="1"/>
                <w:color w:val="auto"/>
                <w:vertAlign w:val="superscript"/>
              </w:rPr>
              <w:t>(5)</w:t>
            </w: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1"/>
        </w:trPr>
        <w:tc>
          <w:tcPr>
            <w:tcW w:w="3040" w:type="dxa"/>
            <w:vAlign w:val="bottom"/>
          </w:tcPr>
          <w:p>
            <w:pPr>
              <w:spacing w:after="0"/>
              <w:rPr>
                <w:sz w:val="21"/>
                <w:szCs w:val="21"/>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75,000</w:t>
            </w:r>
          </w:p>
        </w:tc>
        <w:tc>
          <w:tcPr>
            <w:tcW w:w="740" w:type="dxa"/>
            <w:vAlign w:val="bottom"/>
          </w:tcPr>
          <w:p>
            <w:pPr>
              <w:jc w:val="right"/>
              <w:spacing w:after="0"/>
              <w:rPr>
                <w:sz w:val="20"/>
                <w:szCs w:val="20"/>
                <w:color w:val="auto"/>
              </w:rPr>
            </w:pPr>
            <w:r>
              <w:rPr>
                <w:rFonts w:ascii="Arial" w:cs="Arial" w:eastAsia="Arial" w:hAnsi="Arial"/>
                <w:sz w:val="18"/>
                <w:szCs w:val="18"/>
                <w:color w:val="auto"/>
              </w:rPr>
              <w:t>3.85</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20-Jun-29</w:t>
            </w:r>
          </w:p>
        </w:tc>
        <w:tc>
          <w:tcPr>
            <w:tcW w:w="940" w:type="dxa"/>
            <w:vAlign w:val="bottom"/>
          </w:tcPr>
          <w:p>
            <w:pPr>
              <w:jc w:val="right"/>
              <w:spacing w:after="0"/>
              <w:rPr>
                <w:sz w:val="20"/>
                <w:szCs w:val="20"/>
                <w:color w:val="auto"/>
              </w:rPr>
            </w:pPr>
            <w:r>
              <w:rPr>
                <w:rFonts w:ascii="Arial" w:cs="Arial" w:eastAsia="Arial" w:hAnsi="Arial"/>
                <w:sz w:val="18"/>
                <w:szCs w:val="18"/>
                <w:color w:val="auto"/>
              </w:rPr>
              <w:t>129,750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1"/>
                <w:szCs w:val="21"/>
                <w:color w:val="auto"/>
              </w:rPr>
            </w:pPr>
          </w:p>
        </w:tc>
      </w:tr>
      <w:tr>
        <w:trPr>
          <w:trHeight w:val="326"/>
        </w:trPr>
        <w:tc>
          <w:tcPr>
            <w:tcW w:w="3040" w:type="dxa"/>
            <w:vAlign w:val="bottom"/>
          </w:tcPr>
          <w:p>
            <w:pPr>
              <w:spacing w:after="0"/>
              <w:rPr>
                <w:sz w:val="20"/>
                <w:szCs w:val="20"/>
                <w:color w:val="auto"/>
              </w:rPr>
            </w:pPr>
            <w:r>
              <w:rPr>
                <w:rFonts w:ascii="Arial" w:cs="Arial" w:eastAsia="Arial" w:hAnsi="Arial"/>
                <w:sz w:val="18"/>
                <w:szCs w:val="18"/>
                <w:b w:val="1"/>
                <w:bCs w:val="1"/>
                <w:color w:val="auto"/>
              </w:rPr>
              <w:t>Mariano Chiappori, Vice</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100,000</w:t>
            </w: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3-Dec-30</w:t>
            </w:r>
          </w:p>
        </w:tc>
        <w:tc>
          <w:tcPr>
            <w:tcW w:w="940" w:type="dxa"/>
            <w:vAlign w:val="bottom"/>
          </w:tcPr>
          <w:p>
            <w:pPr>
              <w:jc w:val="right"/>
              <w:spacing w:after="0"/>
              <w:rPr>
                <w:sz w:val="20"/>
                <w:szCs w:val="20"/>
                <w:color w:val="auto"/>
              </w:rPr>
            </w:pPr>
            <w:r>
              <w:rPr>
                <w:rFonts w:ascii="Arial" w:cs="Arial" w:eastAsia="Arial" w:hAnsi="Arial"/>
                <w:sz w:val="18"/>
                <w:szCs w:val="18"/>
                <w:color w:val="auto"/>
              </w:rPr>
              <w:t>18,000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409,919</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2,287,248</w:t>
            </w:r>
          </w:p>
        </w:tc>
        <w:tc>
          <w:tcPr>
            <w:tcW w:w="340" w:type="dxa"/>
            <w:vAlign w:val="bottom"/>
          </w:tcPr>
          <w:p>
            <w:pPr>
              <w:spacing w:after="0"/>
              <w:rPr>
                <w:sz w:val="24"/>
                <w:szCs w:val="24"/>
                <w:color w:val="auto"/>
              </w:rPr>
            </w:pPr>
          </w:p>
        </w:tc>
      </w:tr>
      <w:tr>
        <w:trPr>
          <w:trHeight w:val="272"/>
        </w:trPr>
        <w:tc>
          <w:tcPr>
            <w:tcW w:w="3040" w:type="dxa"/>
            <w:vAlign w:val="bottom"/>
          </w:tcPr>
          <w:p>
            <w:pPr>
              <w:spacing w:after="0"/>
              <w:rPr>
                <w:sz w:val="20"/>
                <w:szCs w:val="20"/>
                <w:color w:val="auto"/>
              </w:rPr>
            </w:pPr>
            <w:r>
              <w:rPr>
                <w:rFonts w:ascii="Arial" w:cs="Arial" w:eastAsia="Arial" w:hAnsi="Arial"/>
                <w:sz w:val="18"/>
                <w:szCs w:val="18"/>
                <w:b w:val="1"/>
                <w:bCs w:val="1"/>
                <w:color w:val="auto"/>
              </w:rPr>
              <w:t>President</w:t>
            </w:r>
          </w:p>
        </w:tc>
        <w:tc>
          <w:tcPr>
            <w:tcW w:w="1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2"/>
        </w:trPr>
        <w:tc>
          <w:tcPr>
            <w:tcW w:w="3040" w:type="dxa"/>
            <w:vAlign w:val="bottom"/>
          </w:tcPr>
          <w:p>
            <w:pPr>
              <w:spacing w:after="0"/>
              <w:rPr>
                <w:sz w:val="20"/>
                <w:szCs w:val="20"/>
                <w:color w:val="auto"/>
              </w:rPr>
            </w:pPr>
            <w:r>
              <w:rPr>
                <w:rFonts w:ascii="Arial" w:cs="Arial" w:eastAsia="Arial" w:hAnsi="Arial"/>
                <w:sz w:val="18"/>
                <w:szCs w:val="18"/>
                <w:b w:val="1"/>
                <w:bCs w:val="1"/>
                <w:color w:val="auto"/>
              </w:rPr>
              <w:t>and Chief Operating Officer</w:t>
            </w:r>
          </w:p>
        </w:tc>
        <w:tc>
          <w:tcPr>
            <w:tcW w:w="1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316"/>
        </w:trPr>
        <w:tc>
          <w:tcPr>
            <w:tcW w:w="3040" w:type="dxa"/>
            <w:vAlign w:val="bottom"/>
          </w:tcPr>
          <w:p>
            <w:pPr>
              <w:spacing w:after="0"/>
              <w:rPr>
                <w:sz w:val="24"/>
                <w:szCs w:val="24"/>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60,000</w:t>
            </w:r>
          </w:p>
        </w:tc>
        <w:tc>
          <w:tcPr>
            <w:tcW w:w="740" w:type="dxa"/>
            <w:vAlign w:val="bottom"/>
          </w:tcPr>
          <w:p>
            <w:pPr>
              <w:jc w:val="right"/>
              <w:spacing w:after="0"/>
              <w:rPr>
                <w:sz w:val="20"/>
                <w:szCs w:val="20"/>
                <w:color w:val="auto"/>
              </w:rPr>
            </w:pPr>
            <w:r>
              <w:rPr>
                <w:rFonts w:ascii="Arial" w:cs="Arial" w:eastAsia="Arial" w:hAnsi="Arial"/>
                <w:sz w:val="18"/>
                <w:szCs w:val="18"/>
                <w:color w:val="auto"/>
              </w:rPr>
              <w:t>3.85</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20-Jun-29</w:t>
            </w:r>
          </w:p>
        </w:tc>
        <w:tc>
          <w:tcPr>
            <w:tcW w:w="940" w:type="dxa"/>
            <w:vAlign w:val="bottom"/>
          </w:tcPr>
          <w:p>
            <w:pPr>
              <w:jc w:val="right"/>
              <w:spacing w:after="0"/>
              <w:rPr>
                <w:sz w:val="20"/>
                <w:szCs w:val="20"/>
                <w:color w:val="auto"/>
              </w:rPr>
            </w:pPr>
            <w:r>
              <w:rPr>
                <w:rFonts w:ascii="Arial" w:cs="Arial" w:eastAsia="Arial" w:hAnsi="Arial"/>
                <w:sz w:val="18"/>
                <w:szCs w:val="18"/>
                <w:color w:val="auto"/>
              </w:rPr>
              <w:t>103,800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4"/>
                <w:szCs w:val="24"/>
                <w:color w:val="auto"/>
              </w:rPr>
            </w:pPr>
          </w:p>
        </w:tc>
      </w:tr>
      <w:tr>
        <w:trPr>
          <w:trHeight w:val="391"/>
        </w:trPr>
        <w:tc>
          <w:tcPr>
            <w:tcW w:w="3040" w:type="dxa"/>
            <w:vAlign w:val="bottom"/>
          </w:tcPr>
          <w:p>
            <w:pPr>
              <w:spacing w:after="0"/>
              <w:rPr>
                <w:sz w:val="20"/>
                <w:szCs w:val="20"/>
                <w:color w:val="auto"/>
              </w:rPr>
            </w:pPr>
            <w:r>
              <w:rPr>
                <w:rFonts w:ascii="Arial" w:cs="Arial" w:eastAsia="Arial" w:hAnsi="Arial"/>
                <w:sz w:val="18"/>
                <w:szCs w:val="18"/>
                <w:b w:val="1"/>
                <w:bCs w:val="1"/>
                <w:color w:val="auto"/>
              </w:rPr>
              <w:t>Alec Meikle, President</w:t>
            </w:r>
            <w:r>
              <w:rPr>
                <w:rFonts w:ascii="Arial" w:cs="Arial" w:eastAsia="Arial" w:hAnsi="Arial"/>
                <w:sz w:val="24"/>
                <w:szCs w:val="24"/>
                <w:b w:val="1"/>
                <w:bCs w:val="1"/>
                <w:color w:val="auto"/>
                <w:vertAlign w:val="superscript"/>
              </w:rPr>
              <w:t>(5)</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250,000</w:t>
            </w:r>
          </w:p>
        </w:tc>
        <w:tc>
          <w:tcPr>
            <w:tcW w:w="740" w:type="dxa"/>
            <w:vAlign w:val="bottom"/>
          </w:tcPr>
          <w:p>
            <w:pPr>
              <w:jc w:val="right"/>
              <w:spacing w:after="0"/>
              <w:rPr>
                <w:sz w:val="20"/>
                <w:szCs w:val="20"/>
                <w:color w:val="auto"/>
              </w:rPr>
            </w:pPr>
            <w:r>
              <w:rPr>
                <w:rFonts w:ascii="Arial" w:cs="Arial" w:eastAsia="Arial" w:hAnsi="Arial"/>
                <w:sz w:val="18"/>
                <w:szCs w:val="18"/>
                <w:color w:val="auto"/>
              </w:rPr>
              <w:t>3.85</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20-Jun-31</w:t>
            </w:r>
          </w:p>
        </w:tc>
        <w:tc>
          <w:tcPr>
            <w:tcW w:w="940" w:type="dxa"/>
            <w:vAlign w:val="bottom"/>
          </w:tcPr>
          <w:p>
            <w:pPr>
              <w:jc w:val="right"/>
              <w:spacing w:after="0"/>
              <w:rPr>
                <w:sz w:val="20"/>
                <w:szCs w:val="20"/>
                <w:color w:val="auto"/>
              </w:rPr>
            </w:pPr>
            <w:r>
              <w:rPr>
                <w:rFonts w:ascii="Arial" w:cs="Arial" w:eastAsia="Arial" w:hAnsi="Arial"/>
                <w:sz w:val="18"/>
                <w:szCs w:val="18"/>
                <w:color w:val="auto"/>
              </w:rPr>
              <w:t>432,500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1,167,460</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6,514,427</w:t>
            </w: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1"/>
        </w:trPr>
        <w:tc>
          <w:tcPr>
            <w:tcW w:w="30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-1118235</wp:posOffset>
            </wp:positionV>
            <wp:extent cx="6078220" cy="63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2">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-365125</wp:posOffset>
            </wp:positionV>
            <wp:extent cx="6078220"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3">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41910</wp:posOffset>
            </wp:positionV>
            <wp:extent cx="6078220" cy="6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4">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390"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1131570</wp:posOffset>
            </wp:positionV>
            <wp:extent cx="6764020" cy="190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6"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43 / 59</w:t>
      </w:r>
    </w:p>
    <w:p>
      <w:pPr>
        <w:sectPr>
          <w:pgSz w:w="11900" w:h="16838" w:orient="portrait"/>
          <w:cols w:equalWidth="0" w:num="1">
            <w:col w:w="10460"/>
          </w:cols>
          <w:pgMar w:left="1440" w:top="1176" w:right="6" w:bottom="0" w:gutter="0" w:footer="0" w:header="0"/>
          <w:type w:val="continuous"/>
        </w:sectPr>
      </w:pPr>
    </w:p>
    <w:bookmarkStart w:id="213" w:name="page214"/>
    <w:bookmarkEnd w:id="2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1620" w:right="20" w:hanging="366"/>
        <w:spacing w:after="0" w:line="372" w:lineRule="auto"/>
        <w:tabs>
          <w:tab w:leader="none" w:pos="162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Company’s audited consolidated financial statements for the year ended December 31, 2025 US$ for reporting Options and share-based awards and the table above is consistent with presentation in note 12 thereto.</w:t>
      </w:r>
    </w:p>
    <w:p>
      <w:pPr>
        <w:spacing w:after="0" w:line="10"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value of unexercised “in-the-money options” is calculated on the basis of the difference betwee closing price of the Common Shares on the NYSE on December 31, 2025, of US$5.58 and the exe price of the Options.</w:t>
      </w:r>
    </w:p>
    <w:p>
      <w:pPr>
        <w:spacing w:after="0" w:line="10" w:lineRule="exact"/>
        <w:rPr>
          <w:rFonts w:ascii="Arial" w:cs="Arial" w:eastAsia="Arial" w:hAnsi="Arial"/>
          <w:sz w:val="20"/>
          <w:szCs w:val="20"/>
          <w:color w:val="auto"/>
        </w:rPr>
      </w:pPr>
    </w:p>
    <w:p>
      <w:pPr>
        <w:jc w:val="both"/>
        <w:ind w:left="1620" w:hanging="366"/>
        <w:spacing w:after="0" w:line="373" w:lineRule="auto"/>
        <w:tabs>
          <w:tab w:leader="none" w:pos="162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market value of unexercised share-based awards is calculated on the basis of the closing price Common Shares on the NYSE on December 31, 2025, of US$5.58. These amounts reflect the maxi amount of Common Shares which may become issuable in accordance with the terms of such RSU PSUs.</w:t>
      </w:r>
    </w:p>
    <w:p>
      <w:pPr>
        <w:spacing w:after="0" w:line="3" w:lineRule="exact"/>
        <w:rPr>
          <w:rFonts w:ascii="Arial" w:cs="Arial" w:eastAsia="Arial" w:hAnsi="Arial"/>
          <w:sz w:val="20"/>
          <w:szCs w:val="20"/>
          <w:color w:val="auto"/>
        </w:rPr>
      </w:pPr>
    </w:p>
    <w:p>
      <w:pPr>
        <w:ind w:left="1620" w:hanging="366"/>
        <w:spacing w:after="0"/>
        <w:tabs>
          <w:tab w:leader="none" w:pos="1620" w:val="left"/>
        </w:tabs>
        <w:numPr>
          <w:ilvl w:val="0"/>
          <w:numId w:val="89"/>
        </w:numPr>
        <w:rPr>
          <w:rFonts w:ascii="Arial" w:cs="Arial" w:eastAsia="Arial" w:hAnsi="Arial"/>
          <w:sz w:val="20"/>
          <w:szCs w:val="20"/>
          <w:color w:val="auto"/>
        </w:rPr>
      </w:pPr>
      <w:r>
        <w:rPr>
          <w:rFonts w:ascii="Arial" w:cs="Arial" w:eastAsia="Arial" w:hAnsi="Arial"/>
          <w:sz w:val="20"/>
          <w:szCs w:val="20"/>
          <w:color w:val="auto"/>
        </w:rPr>
        <w:t>Sam Pigott was appointed CEO effective March 19, 2024</w:t>
      </w:r>
    </w:p>
    <w:p>
      <w:pPr>
        <w:spacing w:after="0" w:line="137"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89"/>
        </w:numPr>
        <w:rPr>
          <w:rFonts w:ascii="Arial" w:cs="Arial" w:eastAsia="Arial" w:hAnsi="Arial"/>
          <w:sz w:val="20"/>
          <w:szCs w:val="20"/>
          <w:color w:val="auto"/>
        </w:rPr>
      </w:pPr>
      <w:r>
        <w:rPr>
          <w:rFonts w:ascii="Arial" w:cs="Arial" w:eastAsia="Arial" w:hAnsi="Arial"/>
          <w:sz w:val="20"/>
          <w:szCs w:val="20"/>
          <w:color w:val="auto"/>
        </w:rPr>
        <w:t>Alec Meikle was appointed Executive Vice President, Corporate Development on July 31, 2024, promoted to President effective January 1, 2026.</w:t>
      </w:r>
    </w:p>
    <w:p>
      <w:pPr>
        <w:spacing w:after="0" w:line="26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Anti-hedging requirements apply for all Named Executives and are set out in the Securities Trading Policy.</w:t>
      </w:r>
    </w:p>
    <w:p>
      <w:pPr>
        <w:spacing w:after="0" w:line="324" w:lineRule="exact"/>
        <w:rPr>
          <w:sz w:val="20"/>
          <w:szCs w:val="20"/>
          <w:color w:val="auto"/>
        </w:rPr>
      </w:pPr>
    </w:p>
    <w:p>
      <w:pPr>
        <w:ind w:left="900"/>
        <w:spacing w:after="0"/>
        <w:rPr>
          <w:sz w:val="20"/>
          <w:szCs w:val="20"/>
          <w:color w:val="auto"/>
        </w:rPr>
      </w:pPr>
      <w:r>
        <w:rPr>
          <w:rFonts w:ascii="Arial" w:cs="Arial" w:eastAsia="Arial" w:hAnsi="Arial"/>
          <w:sz w:val="28"/>
          <w:szCs w:val="28"/>
          <w:b w:val="1"/>
          <w:bCs w:val="1"/>
          <w:i w:val="1"/>
          <w:iCs w:val="1"/>
          <w:color w:val="auto"/>
        </w:rPr>
        <w:t>Value of Awards Vested or Earned in 2025</w:t>
      </w:r>
    </w:p>
    <w:p>
      <w:pPr>
        <w:spacing w:after="0" w:line="293"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The following table sets out the value on payout or vesting of incentive awards for the year ended Decembe 2025 for each named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4401185</wp:posOffset>
            </wp:positionH>
            <wp:positionV relativeFrom="paragraph">
              <wp:posOffset>196215</wp:posOffset>
            </wp:positionV>
            <wp:extent cx="6350" cy="9290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6">
                      <a:extLst>
                        <a:ext uri="{28A0092B-C50C-407E-A947-70E740481C1C}"/>
                      </a:extLst>
                    </a:blip>
                    <a:srcRect/>
                    <a:stretch>
                      <a:fillRect/>
                    </a:stretch>
                  </pic:blipFill>
                  <pic:spPr bwMode="auto">
                    <a:xfrm>
                      <a:off x="0" y="0"/>
                      <a:ext cx="6350" cy="92900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196215</wp:posOffset>
            </wp:positionV>
            <wp:extent cx="6350" cy="9290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7">
                      <a:extLst>
                        <a:ext uri="{28A0092B-C50C-407E-A947-70E740481C1C}"/>
                      </a:extLst>
                    </a:blip>
                    <a:srcRect/>
                    <a:stretch>
                      <a:fillRect/>
                    </a:stretch>
                  </pic:blipFill>
                  <pic:spPr bwMode="auto">
                    <a:xfrm>
                      <a:off x="0" y="0"/>
                      <a:ext cx="6350" cy="929005"/>
                    </a:xfrm>
                    <a:prstGeom prst="rect">
                      <a:avLst/>
                    </a:prstGeom>
                    <a:noFill/>
                  </pic:spPr>
                </pic:pic>
              </a:graphicData>
            </a:graphic>
          </wp:anchor>
        </w:drawing>
        <w:drawing>
          <wp:anchor simplePos="0" relativeHeight="251657728" behindDoc="1" locked="0" layoutInCell="0" allowOverlap="1">
            <wp:simplePos x="0" y="0"/>
            <wp:positionH relativeFrom="column">
              <wp:posOffset>6108065</wp:posOffset>
            </wp:positionH>
            <wp:positionV relativeFrom="paragraph">
              <wp:posOffset>196215</wp:posOffset>
            </wp:positionV>
            <wp:extent cx="6350" cy="9290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98">
                      <a:extLst>
                        <a:ext uri="{28A0092B-C50C-407E-A947-70E740481C1C}"/>
                      </a:extLst>
                    </a:blip>
                    <a:srcRect/>
                    <a:stretch>
                      <a:fillRect/>
                    </a:stretch>
                  </pic:blipFill>
                  <pic:spPr bwMode="auto">
                    <a:xfrm>
                      <a:off x="0" y="0"/>
                      <a:ext cx="6350" cy="929005"/>
                    </a:xfrm>
                    <a:prstGeom prst="rect">
                      <a:avLst/>
                    </a:prstGeom>
                    <a:noFill/>
                  </pic:spPr>
                </pic:pic>
              </a:graphicData>
            </a:graphic>
          </wp:anchor>
        </w:drawing>
      </w:r>
    </w:p>
    <w:p>
      <w:pPr>
        <w:spacing w:after="0" w:line="289" w:lineRule="exact"/>
        <w:rPr>
          <w:sz w:val="20"/>
          <w:szCs w:val="20"/>
          <w:color w:val="auto"/>
        </w:rPr>
      </w:pPr>
    </w:p>
    <w:tbl>
      <w:tblPr>
        <w:tblLayout w:type="fixed"/>
        <w:tblInd w:w="900" w:type="dxa"/>
        <w:tblCellMar>
          <w:top w:w="0" w:type="dxa"/>
          <w:left w:w="0" w:type="dxa"/>
          <w:bottom w:w="0" w:type="dxa"/>
          <w:right w:w="0" w:type="dxa"/>
        </w:tblCellMar>
      </w:tblPr>
      <w:tr>
        <w:trPr>
          <w:trHeight w:val="222"/>
        </w:trPr>
        <w:tc>
          <w:tcPr>
            <w:tcW w:w="5900" w:type="dxa"/>
            <w:vAlign w:val="bottom"/>
            <w:shd w:val="clear" w:color="auto" w:fill="153A57"/>
          </w:tcPr>
          <w:p>
            <w:pPr>
              <w:ind w:left="100"/>
              <w:spacing w:after="0"/>
              <w:rPr>
                <w:sz w:val="20"/>
                <w:szCs w:val="20"/>
                <w:color w:val="auto"/>
              </w:rPr>
            </w:pPr>
            <w:r>
              <w:rPr>
                <w:rFonts w:ascii="Arial" w:cs="Arial" w:eastAsia="Arial" w:hAnsi="Arial"/>
                <w:sz w:val="16"/>
                <w:szCs w:val="16"/>
                <w:b w:val="1"/>
                <w:bCs w:val="1"/>
                <w:color w:val="FFFFFF"/>
              </w:rPr>
              <w:t>Named Executive</w:t>
            </w:r>
          </w:p>
        </w:tc>
        <w:tc>
          <w:tcPr>
            <w:tcW w:w="1480" w:type="dxa"/>
            <w:vAlign w:val="bottom"/>
            <w:shd w:val="clear" w:color="auto" w:fill="153A57"/>
          </w:tcPr>
          <w:p>
            <w:pPr>
              <w:ind w:left="280"/>
              <w:spacing w:after="0"/>
              <w:rPr>
                <w:sz w:val="20"/>
                <w:szCs w:val="20"/>
                <w:color w:val="auto"/>
              </w:rPr>
            </w:pPr>
            <w:r>
              <w:rPr>
                <w:rFonts w:ascii="Arial" w:cs="Arial" w:eastAsia="Arial" w:hAnsi="Arial"/>
                <w:sz w:val="16"/>
                <w:szCs w:val="16"/>
                <w:b w:val="1"/>
                <w:bCs w:val="1"/>
                <w:color w:val="FFFFFF"/>
              </w:rPr>
              <w:t>Option-based</w:t>
            </w:r>
          </w:p>
        </w:tc>
        <w:tc>
          <w:tcPr>
            <w:tcW w:w="1400" w:type="dxa"/>
            <w:vAlign w:val="bottom"/>
            <w:shd w:val="clear" w:color="auto" w:fill="153A57"/>
          </w:tcPr>
          <w:p>
            <w:pPr>
              <w:jc w:val="center"/>
              <w:spacing w:after="0"/>
              <w:rPr>
                <w:sz w:val="20"/>
                <w:szCs w:val="20"/>
                <w:color w:val="auto"/>
              </w:rPr>
            </w:pPr>
            <w:r>
              <w:rPr>
                <w:rFonts w:ascii="Arial" w:cs="Arial" w:eastAsia="Arial" w:hAnsi="Arial"/>
                <w:sz w:val="16"/>
                <w:szCs w:val="16"/>
                <w:b w:val="1"/>
                <w:bCs w:val="1"/>
                <w:color w:val="FFFFFF"/>
                <w:w w:val="99"/>
              </w:rPr>
              <w:t>Share-based</w:t>
            </w:r>
          </w:p>
        </w:tc>
        <w:tc>
          <w:tcPr>
            <w:tcW w:w="780" w:type="dxa"/>
            <w:vAlign w:val="bottom"/>
            <w:shd w:val="clear" w:color="auto" w:fill="153A57"/>
          </w:tcPr>
          <w:p>
            <w:pPr>
              <w:jc w:val="right"/>
              <w:spacing w:after="0"/>
              <w:rPr>
                <w:sz w:val="20"/>
                <w:szCs w:val="20"/>
                <w:color w:val="auto"/>
              </w:rPr>
            </w:pPr>
            <w:r>
              <w:rPr>
                <w:rFonts w:ascii="Arial" w:cs="Arial" w:eastAsia="Arial" w:hAnsi="Arial"/>
                <w:sz w:val="16"/>
                <w:szCs w:val="16"/>
                <w:b w:val="1"/>
                <w:bCs w:val="1"/>
                <w:color w:val="FFFFFF"/>
              </w:rPr>
              <w:t>Non-eq</w:t>
            </w:r>
          </w:p>
        </w:tc>
        <w:tc>
          <w:tcPr>
            <w:tcW w:w="0" w:type="dxa"/>
            <w:vAlign w:val="bottom"/>
          </w:tcPr>
          <w:p>
            <w:pPr>
              <w:spacing w:after="0"/>
              <w:rPr>
                <w:sz w:val="1"/>
                <w:szCs w:val="1"/>
                <w:color w:val="auto"/>
              </w:rPr>
            </w:pPr>
          </w:p>
        </w:tc>
      </w:tr>
      <w:tr>
        <w:trPr>
          <w:trHeight w:val="241"/>
        </w:trPr>
        <w:tc>
          <w:tcPr>
            <w:tcW w:w="5900" w:type="dxa"/>
            <w:vAlign w:val="bottom"/>
            <w:shd w:val="clear" w:color="auto" w:fill="153A57"/>
          </w:tcPr>
          <w:p>
            <w:pPr>
              <w:spacing w:after="0"/>
              <w:rPr>
                <w:sz w:val="20"/>
                <w:szCs w:val="20"/>
                <w:color w:val="auto"/>
              </w:rPr>
            </w:pPr>
          </w:p>
        </w:tc>
        <w:tc>
          <w:tcPr>
            <w:tcW w:w="1480" w:type="dxa"/>
            <w:vAlign w:val="bottom"/>
            <w:shd w:val="clear" w:color="auto" w:fill="153A57"/>
          </w:tcPr>
          <w:p>
            <w:pPr>
              <w:ind w:left="300"/>
              <w:spacing w:after="0"/>
              <w:rPr>
                <w:sz w:val="20"/>
                <w:szCs w:val="20"/>
                <w:color w:val="auto"/>
              </w:rPr>
            </w:pPr>
            <w:r>
              <w:rPr>
                <w:rFonts w:ascii="Arial" w:cs="Arial" w:eastAsia="Arial" w:hAnsi="Arial"/>
                <w:sz w:val="16"/>
                <w:szCs w:val="16"/>
                <w:b w:val="1"/>
                <w:bCs w:val="1"/>
                <w:color w:val="FFFFFF"/>
              </w:rPr>
              <w:t>awards value</w:t>
            </w:r>
          </w:p>
        </w:tc>
        <w:tc>
          <w:tcPr>
            <w:tcW w:w="1400" w:type="dxa"/>
            <w:vAlign w:val="bottom"/>
            <w:shd w:val="clear" w:color="auto" w:fill="153A57"/>
          </w:tcPr>
          <w:p>
            <w:pPr>
              <w:jc w:val="center"/>
              <w:spacing w:after="0"/>
              <w:rPr>
                <w:sz w:val="20"/>
                <w:szCs w:val="20"/>
                <w:color w:val="auto"/>
              </w:rPr>
            </w:pPr>
            <w:r>
              <w:rPr>
                <w:rFonts w:ascii="Arial" w:cs="Arial" w:eastAsia="Arial" w:hAnsi="Arial"/>
                <w:sz w:val="16"/>
                <w:szCs w:val="16"/>
                <w:b w:val="1"/>
                <w:bCs w:val="1"/>
                <w:color w:val="FFFFFF"/>
                <w:w w:val="99"/>
              </w:rPr>
              <w:t>awards value</w:t>
            </w:r>
          </w:p>
        </w:tc>
        <w:tc>
          <w:tcPr>
            <w:tcW w:w="780" w:type="dxa"/>
            <w:vAlign w:val="bottom"/>
            <w:shd w:val="clear" w:color="auto" w:fill="153A57"/>
          </w:tcPr>
          <w:p>
            <w:pPr>
              <w:jc w:val="right"/>
              <w:spacing w:after="0"/>
              <w:rPr>
                <w:sz w:val="20"/>
                <w:szCs w:val="20"/>
                <w:color w:val="auto"/>
              </w:rPr>
            </w:pPr>
            <w:r>
              <w:rPr>
                <w:rFonts w:ascii="Arial" w:cs="Arial" w:eastAsia="Arial" w:hAnsi="Arial"/>
                <w:sz w:val="16"/>
                <w:szCs w:val="16"/>
                <w:b w:val="1"/>
                <w:bCs w:val="1"/>
                <w:color w:val="FFFFFF"/>
              </w:rPr>
              <w:t>incentive</w:t>
            </w:r>
          </w:p>
        </w:tc>
        <w:tc>
          <w:tcPr>
            <w:tcW w:w="0" w:type="dxa"/>
            <w:vAlign w:val="bottom"/>
          </w:tcPr>
          <w:p>
            <w:pPr>
              <w:spacing w:after="0"/>
              <w:rPr>
                <w:sz w:val="1"/>
                <w:szCs w:val="1"/>
                <w:color w:val="auto"/>
              </w:rPr>
            </w:pPr>
          </w:p>
        </w:tc>
      </w:tr>
      <w:tr>
        <w:trPr>
          <w:trHeight w:val="241"/>
        </w:trPr>
        <w:tc>
          <w:tcPr>
            <w:tcW w:w="5900" w:type="dxa"/>
            <w:vAlign w:val="bottom"/>
            <w:shd w:val="clear" w:color="auto" w:fill="153A57"/>
          </w:tcPr>
          <w:p>
            <w:pPr>
              <w:spacing w:after="0"/>
              <w:rPr>
                <w:sz w:val="20"/>
                <w:szCs w:val="20"/>
                <w:color w:val="auto"/>
              </w:rPr>
            </w:pPr>
          </w:p>
        </w:tc>
        <w:tc>
          <w:tcPr>
            <w:tcW w:w="1480" w:type="dxa"/>
            <w:vAlign w:val="bottom"/>
            <w:shd w:val="clear" w:color="auto" w:fill="153A57"/>
          </w:tcPr>
          <w:p>
            <w:pPr>
              <w:ind w:left="280"/>
              <w:spacing w:after="0"/>
              <w:rPr>
                <w:sz w:val="20"/>
                <w:szCs w:val="20"/>
                <w:color w:val="auto"/>
              </w:rPr>
            </w:pPr>
            <w:r>
              <w:rPr>
                <w:rFonts w:ascii="Arial" w:cs="Arial" w:eastAsia="Arial" w:hAnsi="Arial"/>
                <w:sz w:val="16"/>
                <w:szCs w:val="16"/>
                <w:b w:val="1"/>
                <w:bCs w:val="1"/>
                <w:color w:val="FFFFFF"/>
              </w:rPr>
              <w:t>vested during</w:t>
            </w:r>
          </w:p>
        </w:tc>
        <w:tc>
          <w:tcPr>
            <w:tcW w:w="1400" w:type="dxa"/>
            <w:vAlign w:val="bottom"/>
            <w:shd w:val="clear" w:color="auto" w:fill="153A57"/>
          </w:tcPr>
          <w:p>
            <w:pPr>
              <w:jc w:val="center"/>
              <w:spacing w:after="0"/>
              <w:rPr>
                <w:sz w:val="20"/>
                <w:szCs w:val="20"/>
                <w:color w:val="auto"/>
              </w:rPr>
            </w:pPr>
            <w:r>
              <w:rPr>
                <w:rFonts w:ascii="Arial" w:cs="Arial" w:eastAsia="Arial" w:hAnsi="Arial"/>
                <w:sz w:val="16"/>
                <w:szCs w:val="16"/>
                <w:b w:val="1"/>
                <w:bCs w:val="1"/>
                <w:color w:val="FFFFFF"/>
                <w:w w:val="99"/>
              </w:rPr>
              <w:t>vested during</w:t>
            </w:r>
          </w:p>
        </w:tc>
        <w:tc>
          <w:tcPr>
            <w:tcW w:w="780" w:type="dxa"/>
            <w:vAlign w:val="bottom"/>
            <w:shd w:val="clear" w:color="auto" w:fill="153A57"/>
          </w:tcPr>
          <w:p>
            <w:pPr>
              <w:jc w:val="right"/>
              <w:spacing w:after="0"/>
              <w:rPr>
                <w:sz w:val="20"/>
                <w:szCs w:val="20"/>
                <w:color w:val="auto"/>
              </w:rPr>
            </w:pPr>
            <w:r>
              <w:rPr>
                <w:rFonts w:ascii="Arial" w:cs="Arial" w:eastAsia="Arial" w:hAnsi="Arial"/>
                <w:sz w:val="16"/>
                <w:szCs w:val="16"/>
                <w:b w:val="1"/>
                <w:bCs w:val="1"/>
                <w:color w:val="FFFFFF"/>
              </w:rPr>
              <w:t>compens</w:t>
            </w:r>
          </w:p>
        </w:tc>
        <w:tc>
          <w:tcPr>
            <w:tcW w:w="0" w:type="dxa"/>
            <w:vAlign w:val="bottom"/>
          </w:tcPr>
          <w:p>
            <w:pPr>
              <w:spacing w:after="0"/>
              <w:rPr>
                <w:sz w:val="1"/>
                <w:szCs w:val="1"/>
                <w:color w:val="auto"/>
              </w:rPr>
            </w:pPr>
          </w:p>
        </w:tc>
      </w:tr>
      <w:tr>
        <w:trPr>
          <w:trHeight w:val="241"/>
        </w:trPr>
        <w:tc>
          <w:tcPr>
            <w:tcW w:w="5900" w:type="dxa"/>
            <w:vAlign w:val="bottom"/>
            <w:shd w:val="clear" w:color="auto" w:fill="153A57"/>
          </w:tcPr>
          <w:p>
            <w:pPr>
              <w:spacing w:after="0"/>
              <w:rPr>
                <w:sz w:val="20"/>
                <w:szCs w:val="20"/>
                <w:color w:val="auto"/>
              </w:rPr>
            </w:pPr>
          </w:p>
        </w:tc>
        <w:tc>
          <w:tcPr>
            <w:tcW w:w="1480" w:type="dxa"/>
            <w:vAlign w:val="bottom"/>
            <w:shd w:val="clear" w:color="auto" w:fill="153A57"/>
          </w:tcPr>
          <w:p>
            <w:pPr>
              <w:ind w:left="260"/>
              <w:spacing w:after="0"/>
              <w:rPr>
                <w:sz w:val="20"/>
                <w:szCs w:val="20"/>
                <w:color w:val="auto"/>
              </w:rPr>
            </w:pPr>
            <w:r>
              <w:rPr>
                <w:rFonts w:ascii="Arial" w:cs="Arial" w:eastAsia="Arial" w:hAnsi="Arial"/>
                <w:sz w:val="16"/>
                <w:szCs w:val="16"/>
                <w:b w:val="1"/>
                <w:bCs w:val="1"/>
                <w:color w:val="FFFFFF"/>
              </w:rPr>
              <w:t>the year (US$)</w:t>
            </w:r>
          </w:p>
        </w:tc>
        <w:tc>
          <w:tcPr>
            <w:tcW w:w="1400" w:type="dxa"/>
            <w:vAlign w:val="bottom"/>
            <w:shd w:val="clear" w:color="auto" w:fill="153A57"/>
          </w:tcPr>
          <w:p>
            <w:pPr>
              <w:jc w:val="center"/>
              <w:spacing w:after="0"/>
              <w:rPr>
                <w:sz w:val="20"/>
                <w:szCs w:val="20"/>
                <w:color w:val="auto"/>
              </w:rPr>
            </w:pPr>
            <w:r>
              <w:rPr>
                <w:rFonts w:ascii="Arial" w:cs="Arial" w:eastAsia="Arial" w:hAnsi="Arial"/>
                <w:sz w:val="16"/>
                <w:szCs w:val="16"/>
                <w:b w:val="1"/>
                <w:bCs w:val="1"/>
                <w:color w:val="FFFFFF"/>
              </w:rPr>
              <w:t>the year (US$)</w:t>
            </w:r>
          </w:p>
        </w:tc>
        <w:tc>
          <w:tcPr>
            <w:tcW w:w="780" w:type="dxa"/>
            <w:vAlign w:val="bottom"/>
            <w:shd w:val="clear" w:color="auto" w:fill="153A57"/>
          </w:tcPr>
          <w:p>
            <w:pPr>
              <w:jc w:val="right"/>
              <w:spacing w:after="0"/>
              <w:rPr>
                <w:sz w:val="20"/>
                <w:szCs w:val="20"/>
                <w:color w:val="auto"/>
              </w:rPr>
            </w:pPr>
            <w:r>
              <w:rPr>
                <w:rFonts w:ascii="Arial" w:cs="Arial" w:eastAsia="Arial" w:hAnsi="Arial"/>
                <w:sz w:val="16"/>
                <w:szCs w:val="16"/>
                <w:b w:val="1"/>
                <w:bCs w:val="1"/>
                <w:color w:val="FFFFFF"/>
              </w:rPr>
              <w:t>value ea</w:t>
            </w:r>
          </w:p>
        </w:tc>
        <w:tc>
          <w:tcPr>
            <w:tcW w:w="0" w:type="dxa"/>
            <w:vAlign w:val="bottom"/>
          </w:tcPr>
          <w:p>
            <w:pPr>
              <w:spacing w:after="0"/>
              <w:rPr>
                <w:sz w:val="1"/>
                <w:szCs w:val="1"/>
                <w:color w:val="auto"/>
              </w:rPr>
            </w:pPr>
          </w:p>
        </w:tc>
      </w:tr>
      <w:tr>
        <w:trPr>
          <w:trHeight w:val="155"/>
        </w:trPr>
        <w:tc>
          <w:tcPr>
            <w:tcW w:w="5900" w:type="dxa"/>
            <w:vAlign w:val="bottom"/>
            <w:shd w:val="clear" w:color="auto" w:fill="153A57"/>
          </w:tcPr>
          <w:p>
            <w:pPr>
              <w:spacing w:after="0"/>
              <w:rPr>
                <w:sz w:val="13"/>
                <w:szCs w:val="13"/>
                <w:color w:val="auto"/>
              </w:rPr>
            </w:pPr>
          </w:p>
        </w:tc>
        <w:tc>
          <w:tcPr>
            <w:tcW w:w="1480" w:type="dxa"/>
            <w:vAlign w:val="bottom"/>
            <w:shd w:val="clear" w:color="auto" w:fill="153A57"/>
          </w:tcPr>
          <w:p>
            <w:pPr>
              <w:jc w:val="center"/>
              <w:ind w:left="38"/>
              <w:spacing w:after="0"/>
              <w:rPr>
                <w:sz w:val="20"/>
                <w:szCs w:val="20"/>
                <w:color w:val="auto"/>
              </w:rPr>
            </w:pPr>
            <w:r>
              <w:rPr>
                <w:rFonts w:ascii="Arial" w:cs="Arial" w:eastAsia="Arial" w:hAnsi="Arial"/>
                <w:sz w:val="11"/>
                <w:szCs w:val="11"/>
                <w:b w:val="1"/>
                <w:bCs w:val="1"/>
                <w:color w:val="FFFFFF"/>
                <w:w w:val="88"/>
              </w:rPr>
              <w:t>(1)</w:t>
            </w:r>
          </w:p>
        </w:tc>
        <w:tc>
          <w:tcPr>
            <w:tcW w:w="1400" w:type="dxa"/>
            <w:vAlign w:val="bottom"/>
            <w:shd w:val="clear" w:color="auto" w:fill="153A57"/>
          </w:tcPr>
          <w:p>
            <w:pPr>
              <w:jc w:val="center"/>
              <w:spacing w:after="0"/>
              <w:rPr>
                <w:sz w:val="20"/>
                <w:szCs w:val="20"/>
                <w:color w:val="auto"/>
              </w:rPr>
            </w:pPr>
            <w:r>
              <w:rPr>
                <w:rFonts w:ascii="Arial" w:cs="Arial" w:eastAsia="Arial" w:hAnsi="Arial"/>
                <w:sz w:val="11"/>
                <w:szCs w:val="11"/>
                <w:b w:val="1"/>
                <w:bCs w:val="1"/>
                <w:color w:val="FFFFFF"/>
              </w:rPr>
              <w:t>(2)</w:t>
            </w:r>
          </w:p>
        </w:tc>
        <w:tc>
          <w:tcPr>
            <w:tcW w:w="780" w:type="dxa"/>
            <w:vAlign w:val="bottom"/>
            <w:vMerge w:val="restart"/>
            <w:shd w:val="clear" w:color="auto" w:fill="153A57"/>
          </w:tcPr>
          <w:p>
            <w:pPr>
              <w:jc w:val="right"/>
              <w:spacing w:after="0"/>
              <w:rPr>
                <w:sz w:val="20"/>
                <w:szCs w:val="20"/>
                <w:color w:val="auto"/>
              </w:rPr>
            </w:pPr>
            <w:r>
              <w:rPr>
                <w:rFonts w:ascii="Arial" w:cs="Arial" w:eastAsia="Arial" w:hAnsi="Arial"/>
                <w:sz w:val="16"/>
                <w:szCs w:val="16"/>
                <w:b w:val="1"/>
                <w:bCs w:val="1"/>
                <w:color w:val="FFFFFF"/>
              </w:rPr>
              <w:t>during</w:t>
            </w:r>
          </w:p>
        </w:tc>
        <w:tc>
          <w:tcPr>
            <w:tcW w:w="0" w:type="dxa"/>
            <w:vAlign w:val="bottom"/>
          </w:tcPr>
          <w:p>
            <w:pPr>
              <w:spacing w:after="0"/>
              <w:rPr>
                <w:sz w:val="1"/>
                <w:szCs w:val="1"/>
                <w:color w:val="auto"/>
              </w:rPr>
            </w:pPr>
          </w:p>
        </w:tc>
      </w:tr>
      <w:tr>
        <w:trPr>
          <w:trHeight w:val="87"/>
        </w:trPr>
        <w:tc>
          <w:tcPr>
            <w:tcW w:w="5900" w:type="dxa"/>
            <w:vAlign w:val="bottom"/>
            <w:shd w:val="clear" w:color="auto" w:fill="153A57"/>
          </w:tcPr>
          <w:p>
            <w:pPr>
              <w:spacing w:after="0"/>
              <w:rPr>
                <w:sz w:val="7"/>
                <w:szCs w:val="7"/>
                <w:color w:val="auto"/>
              </w:rPr>
            </w:pPr>
          </w:p>
        </w:tc>
        <w:tc>
          <w:tcPr>
            <w:tcW w:w="1480" w:type="dxa"/>
            <w:vAlign w:val="bottom"/>
            <w:shd w:val="clear" w:color="auto" w:fill="153A57"/>
          </w:tcPr>
          <w:p>
            <w:pPr>
              <w:spacing w:after="0"/>
              <w:rPr>
                <w:sz w:val="7"/>
                <w:szCs w:val="7"/>
                <w:color w:val="auto"/>
              </w:rPr>
            </w:pPr>
          </w:p>
        </w:tc>
        <w:tc>
          <w:tcPr>
            <w:tcW w:w="1400" w:type="dxa"/>
            <w:vAlign w:val="bottom"/>
            <w:shd w:val="clear" w:color="auto" w:fill="153A57"/>
          </w:tcPr>
          <w:p>
            <w:pPr>
              <w:spacing w:after="0"/>
              <w:rPr>
                <w:sz w:val="7"/>
                <w:szCs w:val="7"/>
                <w:color w:val="auto"/>
              </w:rPr>
            </w:pPr>
          </w:p>
        </w:tc>
        <w:tc>
          <w:tcPr>
            <w:tcW w:w="780" w:type="dxa"/>
            <w:vAlign w:val="bottom"/>
            <w:vMerge w:val="continue"/>
            <w:shd w:val="clear" w:color="auto" w:fill="153A57"/>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5900" w:type="dxa"/>
            <w:vAlign w:val="bottom"/>
            <w:tcBorders>
              <w:bottom w:val="single" w:sz="8" w:color="153A57"/>
            </w:tcBorders>
            <w:shd w:val="clear" w:color="auto" w:fill="153A57"/>
          </w:tcPr>
          <w:p>
            <w:pPr>
              <w:spacing w:after="0"/>
              <w:rPr>
                <w:sz w:val="22"/>
                <w:szCs w:val="22"/>
                <w:color w:val="auto"/>
              </w:rPr>
            </w:pPr>
          </w:p>
        </w:tc>
        <w:tc>
          <w:tcPr>
            <w:tcW w:w="1480" w:type="dxa"/>
            <w:vAlign w:val="bottom"/>
            <w:tcBorders>
              <w:bottom w:val="single" w:sz="8" w:color="153A57"/>
            </w:tcBorders>
            <w:shd w:val="clear" w:color="auto" w:fill="153A57"/>
          </w:tcPr>
          <w:p>
            <w:pPr>
              <w:spacing w:after="0"/>
              <w:rPr>
                <w:sz w:val="22"/>
                <w:szCs w:val="22"/>
                <w:color w:val="auto"/>
              </w:rPr>
            </w:pPr>
          </w:p>
        </w:tc>
        <w:tc>
          <w:tcPr>
            <w:tcW w:w="1400" w:type="dxa"/>
            <w:vAlign w:val="bottom"/>
            <w:tcBorders>
              <w:bottom w:val="single" w:sz="8" w:color="153A57"/>
            </w:tcBorders>
            <w:shd w:val="clear" w:color="auto" w:fill="153A57"/>
          </w:tcPr>
          <w:p>
            <w:pPr>
              <w:spacing w:after="0"/>
              <w:rPr>
                <w:sz w:val="22"/>
                <w:szCs w:val="22"/>
                <w:color w:val="auto"/>
              </w:rPr>
            </w:pPr>
          </w:p>
        </w:tc>
        <w:tc>
          <w:tcPr>
            <w:tcW w:w="780" w:type="dxa"/>
            <w:vAlign w:val="bottom"/>
            <w:tcBorders>
              <w:bottom w:val="single" w:sz="8" w:color="153A57"/>
            </w:tcBorders>
            <w:shd w:val="clear" w:color="auto" w:fill="153A57"/>
          </w:tcPr>
          <w:p>
            <w:pPr>
              <w:jc w:val="right"/>
              <w:spacing w:after="0"/>
              <w:rPr>
                <w:sz w:val="20"/>
                <w:szCs w:val="20"/>
                <w:color w:val="auto"/>
              </w:rPr>
            </w:pPr>
            <w:r>
              <w:rPr>
                <w:rFonts w:ascii="Arial" w:cs="Arial" w:eastAsia="Arial" w:hAnsi="Arial"/>
                <w:sz w:val="16"/>
                <w:szCs w:val="16"/>
                <w:b w:val="1"/>
                <w:bCs w:val="1"/>
                <w:color w:val="FFFFFF"/>
              </w:rPr>
              <w:t>year (U</w:t>
            </w:r>
          </w:p>
        </w:tc>
        <w:tc>
          <w:tcPr>
            <w:tcW w:w="0" w:type="dxa"/>
            <w:vAlign w:val="bottom"/>
          </w:tcPr>
          <w:p>
            <w:pPr>
              <w:spacing w:after="0"/>
              <w:rPr>
                <w:sz w:val="1"/>
                <w:szCs w:val="1"/>
                <w:color w:val="auto"/>
              </w:rPr>
            </w:pPr>
          </w:p>
        </w:tc>
      </w:tr>
      <w:tr>
        <w:trPr>
          <w:trHeight w:val="250"/>
        </w:trPr>
        <w:tc>
          <w:tcPr>
            <w:tcW w:w="5900" w:type="dxa"/>
            <w:vAlign w:val="bottom"/>
          </w:tcPr>
          <w:p>
            <w:pPr>
              <w:ind w:left="100"/>
              <w:spacing w:after="0"/>
              <w:rPr>
                <w:sz w:val="20"/>
                <w:szCs w:val="20"/>
                <w:color w:val="auto"/>
              </w:rPr>
            </w:pPr>
            <w:r>
              <w:rPr>
                <w:rFonts w:ascii="Arial" w:cs="Arial" w:eastAsia="Arial" w:hAnsi="Arial"/>
                <w:sz w:val="18"/>
                <w:szCs w:val="18"/>
                <w:b w:val="1"/>
                <w:bCs w:val="1"/>
                <w:color w:val="auto"/>
              </w:rPr>
              <w:t>John Kanellitsas,</w:t>
            </w:r>
          </w:p>
        </w:tc>
        <w:tc>
          <w:tcPr>
            <w:tcW w:w="1480" w:type="dxa"/>
            <w:vAlign w:val="bottom"/>
            <w:vMerge w:val="restart"/>
          </w:tcPr>
          <w:p>
            <w:pPr>
              <w:jc w:val="center"/>
              <w:ind w:left="58"/>
              <w:spacing w:after="0"/>
              <w:rPr>
                <w:sz w:val="20"/>
                <w:szCs w:val="20"/>
                <w:color w:val="auto"/>
              </w:rPr>
            </w:pPr>
            <w:r>
              <w:rPr>
                <w:rFonts w:ascii="Arial" w:cs="Arial" w:eastAsia="Arial" w:hAnsi="Arial"/>
                <w:sz w:val="18"/>
                <w:szCs w:val="18"/>
                <w:color w:val="auto"/>
                <w:w w:val="98"/>
              </w:rPr>
              <w:t>62,800</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229,473</w:t>
            </w:r>
          </w:p>
        </w:tc>
        <w:tc>
          <w:tcPr>
            <w:tcW w:w="780" w:type="dxa"/>
            <w:vAlign w:val="bottom"/>
            <w:vMerge w:val="restart"/>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6"/>
        </w:trPr>
        <w:tc>
          <w:tcPr>
            <w:tcW w:w="59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Executive Chair</w:t>
            </w:r>
            <w:r>
              <w:rPr>
                <w:rFonts w:ascii="Arial" w:cs="Arial" w:eastAsia="Arial" w:hAnsi="Arial"/>
                <w:sz w:val="24"/>
                <w:szCs w:val="24"/>
                <w:b w:val="1"/>
                <w:bCs w:val="1"/>
                <w:color w:val="auto"/>
                <w:vertAlign w:val="superscript"/>
              </w:rPr>
              <w:t>(3)</w:t>
            </w:r>
          </w:p>
        </w:tc>
        <w:tc>
          <w:tcPr>
            <w:tcW w:w="148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590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900" w:type="dxa"/>
            <w:vAlign w:val="bottom"/>
          </w:tcPr>
          <w:p>
            <w:pPr>
              <w:ind w:left="100"/>
              <w:spacing w:after="0"/>
              <w:rPr>
                <w:sz w:val="20"/>
                <w:szCs w:val="20"/>
                <w:color w:val="auto"/>
              </w:rPr>
            </w:pPr>
            <w:r>
              <w:rPr>
                <w:rFonts w:ascii="Arial" w:cs="Arial" w:eastAsia="Arial" w:hAnsi="Arial"/>
                <w:sz w:val="18"/>
                <w:szCs w:val="18"/>
                <w:b w:val="1"/>
                <w:bCs w:val="1"/>
                <w:color w:val="auto"/>
              </w:rPr>
              <w:t>Sam Pigott,</w:t>
            </w:r>
          </w:p>
        </w:tc>
        <w:tc>
          <w:tcPr>
            <w:tcW w:w="1480" w:type="dxa"/>
            <w:vAlign w:val="bottom"/>
            <w:vMerge w:val="restart"/>
          </w:tcPr>
          <w:p>
            <w:pPr>
              <w:jc w:val="center"/>
              <w:ind w:left="58"/>
              <w:spacing w:after="0"/>
              <w:rPr>
                <w:sz w:val="20"/>
                <w:szCs w:val="20"/>
                <w:color w:val="auto"/>
              </w:rPr>
            </w:pPr>
            <w:r>
              <w:rPr>
                <w:rFonts w:ascii="Arial" w:cs="Arial" w:eastAsia="Arial" w:hAnsi="Arial"/>
                <w:sz w:val="18"/>
                <w:szCs w:val="18"/>
                <w:color w:val="auto"/>
              </w:rPr>
              <w:t>101,900</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197,880</w:t>
            </w:r>
          </w:p>
        </w:tc>
        <w:tc>
          <w:tcPr>
            <w:tcW w:w="780" w:type="dxa"/>
            <w:vAlign w:val="bottom"/>
            <w:vMerge w:val="restart"/>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6"/>
        </w:trPr>
        <w:tc>
          <w:tcPr>
            <w:tcW w:w="59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 xml:space="preserve">President and Chief Executive Officer </w:t>
            </w:r>
            <w:r>
              <w:rPr>
                <w:rFonts w:ascii="Arial" w:cs="Arial" w:eastAsia="Arial" w:hAnsi="Arial"/>
                <w:sz w:val="24"/>
                <w:szCs w:val="24"/>
                <w:b w:val="1"/>
                <w:bCs w:val="1"/>
                <w:color w:val="auto"/>
                <w:vertAlign w:val="superscript"/>
              </w:rPr>
              <w:t>(4)</w:t>
            </w:r>
          </w:p>
        </w:tc>
        <w:tc>
          <w:tcPr>
            <w:tcW w:w="148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590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900" w:type="dxa"/>
            <w:vAlign w:val="bottom"/>
          </w:tcPr>
          <w:p>
            <w:pPr>
              <w:ind w:left="100"/>
              <w:spacing w:after="0"/>
              <w:rPr>
                <w:sz w:val="20"/>
                <w:szCs w:val="20"/>
                <w:color w:val="auto"/>
              </w:rPr>
            </w:pPr>
            <w:r>
              <w:rPr>
                <w:rFonts w:ascii="Arial" w:cs="Arial" w:eastAsia="Arial" w:hAnsi="Arial"/>
                <w:sz w:val="18"/>
                <w:szCs w:val="18"/>
                <w:b w:val="1"/>
                <w:bCs w:val="1"/>
                <w:color w:val="auto"/>
              </w:rPr>
              <w:t>Alex Shulga,</w:t>
            </w:r>
          </w:p>
        </w:tc>
        <w:tc>
          <w:tcPr>
            <w:tcW w:w="1480" w:type="dxa"/>
            <w:vAlign w:val="bottom"/>
            <w:vMerge w:val="restart"/>
          </w:tcPr>
          <w:p>
            <w:pPr>
              <w:jc w:val="center"/>
              <w:ind w:left="58"/>
              <w:spacing w:after="0"/>
              <w:rPr>
                <w:sz w:val="20"/>
                <w:szCs w:val="20"/>
                <w:color w:val="auto"/>
              </w:rPr>
            </w:pPr>
            <w:r>
              <w:rPr>
                <w:rFonts w:ascii="Arial" w:cs="Arial" w:eastAsia="Arial" w:hAnsi="Arial"/>
                <w:sz w:val="18"/>
                <w:szCs w:val="18"/>
                <w:color w:val="auto"/>
                <w:w w:val="98"/>
              </w:rPr>
              <w:t>52,250</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105,332</w:t>
            </w:r>
          </w:p>
        </w:tc>
        <w:tc>
          <w:tcPr>
            <w:tcW w:w="780" w:type="dxa"/>
            <w:vAlign w:val="bottom"/>
            <w:vMerge w:val="restart"/>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6"/>
        </w:trPr>
        <w:tc>
          <w:tcPr>
            <w:tcW w:w="59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Vice President and Chief Financial Officer</w:t>
            </w:r>
          </w:p>
        </w:tc>
        <w:tc>
          <w:tcPr>
            <w:tcW w:w="148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90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5900" w:type="dxa"/>
            <w:vAlign w:val="bottom"/>
          </w:tcPr>
          <w:p>
            <w:pPr>
              <w:ind w:left="100"/>
              <w:spacing w:after="0"/>
              <w:rPr>
                <w:sz w:val="20"/>
                <w:szCs w:val="20"/>
                <w:color w:val="auto"/>
              </w:rPr>
            </w:pPr>
            <w:r>
              <w:rPr>
                <w:rFonts w:ascii="Arial" w:cs="Arial" w:eastAsia="Arial" w:hAnsi="Arial"/>
                <w:sz w:val="18"/>
                <w:szCs w:val="18"/>
                <w:b w:val="1"/>
                <w:bCs w:val="1"/>
                <w:color w:val="auto"/>
              </w:rPr>
              <w:t>Mariano Chiappori, Vice President and Chief Operating Officer</w:t>
            </w:r>
          </w:p>
        </w:tc>
        <w:tc>
          <w:tcPr>
            <w:tcW w:w="1480" w:type="dxa"/>
            <w:vAlign w:val="bottom"/>
          </w:tcPr>
          <w:p>
            <w:pPr>
              <w:jc w:val="center"/>
              <w:ind w:left="58"/>
              <w:spacing w:after="0"/>
              <w:rPr>
                <w:sz w:val="20"/>
                <w:szCs w:val="20"/>
                <w:color w:val="auto"/>
              </w:rPr>
            </w:pPr>
            <w:r>
              <w:rPr>
                <w:rFonts w:ascii="Arial" w:cs="Arial" w:eastAsia="Arial" w:hAnsi="Arial"/>
                <w:sz w:val="18"/>
                <w:szCs w:val="18"/>
                <w:color w:val="auto"/>
                <w:w w:val="98"/>
              </w:rPr>
              <w:t>43,600</w:t>
            </w:r>
          </w:p>
        </w:tc>
        <w:tc>
          <w:tcPr>
            <w:tcW w:w="1400" w:type="dxa"/>
            <w:vAlign w:val="bottom"/>
          </w:tcPr>
          <w:p>
            <w:pPr>
              <w:jc w:val="right"/>
              <w:spacing w:after="0"/>
              <w:rPr>
                <w:sz w:val="20"/>
                <w:szCs w:val="20"/>
                <w:color w:val="auto"/>
              </w:rPr>
            </w:pPr>
            <w:r>
              <w:rPr>
                <w:rFonts w:ascii="Arial" w:cs="Arial" w:eastAsia="Arial" w:hAnsi="Arial"/>
                <w:sz w:val="18"/>
                <w:szCs w:val="18"/>
                <w:color w:val="auto"/>
              </w:rPr>
              <w:t>98,893</w:t>
            </w:r>
          </w:p>
        </w:tc>
        <w:tc>
          <w:tcPr>
            <w:tcW w:w="780" w:type="dxa"/>
            <w:vAlign w:val="bottom"/>
          </w:tcPr>
          <w:p>
            <w:pPr>
              <w:jc w:val="right"/>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351"/>
        </w:trPr>
        <w:tc>
          <w:tcPr>
            <w:tcW w:w="5900" w:type="dxa"/>
            <w:vAlign w:val="bottom"/>
          </w:tcPr>
          <w:p>
            <w:pPr>
              <w:ind w:left="100"/>
              <w:spacing w:after="0"/>
              <w:rPr>
                <w:sz w:val="20"/>
                <w:szCs w:val="20"/>
                <w:color w:val="auto"/>
              </w:rPr>
            </w:pPr>
            <w:r>
              <w:rPr>
                <w:rFonts w:ascii="Arial" w:cs="Arial" w:eastAsia="Arial" w:hAnsi="Arial"/>
                <w:sz w:val="18"/>
                <w:szCs w:val="18"/>
                <w:b w:val="1"/>
                <w:bCs w:val="1"/>
                <w:color w:val="auto"/>
              </w:rPr>
              <w:t xml:space="preserve">Alec Meikle, Executive Vice President, Corporate Development </w:t>
            </w:r>
            <w:r>
              <w:rPr>
                <w:rFonts w:ascii="Arial" w:cs="Arial" w:eastAsia="Arial" w:hAnsi="Arial"/>
                <w:sz w:val="24"/>
                <w:szCs w:val="24"/>
                <w:b w:val="1"/>
                <w:bCs w:val="1"/>
                <w:color w:val="auto"/>
                <w:vertAlign w:val="superscript"/>
              </w:rPr>
              <w:t>(5)</w:t>
            </w:r>
          </w:p>
        </w:tc>
        <w:tc>
          <w:tcPr>
            <w:tcW w:w="1480" w:type="dxa"/>
            <w:vAlign w:val="bottom"/>
          </w:tcPr>
          <w:p>
            <w:pPr>
              <w:jc w:val="center"/>
              <w:ind w:left="58"/>
              <w:spacing w:after="0"/>
              <w:rPr>
                <w:sz w:val="20"/>
                <w:szCs w:val="20"/>
                <w:color w:val="auto"/>
              </w:rPr>
            </w:pPr>
            <w:r>
              <w:rPr>
                <w:rFonts w:ascii="Arial" w:cs="Arial" w:eastAsia="Arial" w:hAnsi="Arial"/>
                <w:sz w:val="18"/>
                <w:szCs w:val="18"/>
                <w:color w:val="auto"/>
              </w:rPr>
              <w:t>216,250</w:t>
            </w:r>
          </w:p>
        </w:tc>
        <w:tc>
          <w:tcPr>
            <w:tcW w:w="1400" w:type="dxa"/>
            <w:vAlign w:val="bottom"/>
          </w:tcPr>
          <w:p>
            <w:pPr>
              <w:jc w:val="right"/>
              <w:spacing w:after="0"/>
              <w:rPr>
                <w:sz w:val="20"/>
                <w:szCs w:val="20"/>
                <w:color w:val="auto"/>
              </w:rPr>
            </w:pPr>
            <w:r>
              <w:rPr>
                <w:rFonts w:ascii="Arial" w:cs="Arial" w:eastAsia="Arial" w:hAnsi="Arial"/>
                <w:sz w:val="18"/>
                <w:szCs w:val="18"/>
                <w:color w:val="auto"/>
              </w:rPr>
              <w:t>20,543</w:t>
            </w:r>
          </w:p>
        </w:tc>
        <w:tc>
          <w:tcPr>
            <w:tcW w:w="7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Notes:</w:t>
      </w:r>
    </w:p>
    <w:p>
      <w:pPr>
        <w:spacing w:after="0" w:line="123" w:lineRule="exact"/>
        <w:rPr>
          <w:sz w:val="20"/>
          <w:szCs w:val="20"/>
          <w:color w:val="auto"/>
        </w:rPr>
      </w:pPr>
    </w:p>
    <w:p>
      <w:pPr>
        <w:jc w:val="both"/>
        <w:ind w:left="1620" w:hanging="366"/>
        <w:spacing w:after="0" w:line="372" w:lineRule="auto"/>
        <w:tabs>
          <w:tab w:leader="none" w:pos="16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value of unexercised “in-the-money options” is calculated on the basis of the difference betwee closing price of the Common Shares on the NYSE on December 31, 2025 of US$5.58 and the exe price of the Options.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44 / 59</w:t>
      </w:r>
    </w:p>
    <w:p>
      <w:pPr>
        <w:sectPr>
          <w:pgSz w:w="11900" w:h="16838" w:orient="portrait"/>
          <w:cols w:equalWidth="0" w:num="1">
            <w:col w:w="10460"/>
          </w:cols>
          <w:pgMar w:left="1440" w:top="1440" w:right="6" w:bottom="0" w:gutter="0" w:footer="0" w:header="0"/>
          <w:type w:val="continuous"/>
        </w:sectPr>
      </w:pPr>
    </w:p>
    <w:bookmarkStart w:id="214" w:name="page215"/>
    <w:bookmarkEnd w:id="214"/>
    <w:p>
      <w:pPr>
        <w:jc w:val="both"/>
        <w:ind w:left="1620" w:hanging="366"/>
        <w:spacing w:after="0" w:line="373" w:lineRule="auto"/>
        <w:tabs>
          <w:tab w:leader="none" w:pos="162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market value of unexercised share-based awards is calculated on the basis of the closing price Common Shares on the NYSE on December 31, 2025 of US$5.58. These amounts reflect the maxi amount of Common Shares which may become issuable in accordance with the terms of such RSU PSUs.</w:t>
      </w:r>
    </w:p>
    <w:p>
      <w:pPr>
        <w:spacing w:after="0" w:line="3" w:lineRule="exact"/>
        <w:rPr>
          <w:rFonts w:ascii="Arial" w:cs="Arial" w:eastAsia="Arial" w:hAnsi="Arial"/>
          <w:sz w:val="20"/>
          <w:szCs w:val="20"/>
          <w:color w:val="auto"/>
        </w:rPr>
      </w:pPr>
    </w:p>
    <w:p>
      <w:pPr>
        <w:ind w:left="1620" w:hanging="366"/>
        <w:spacing w:after="0"/>
        <w:tabs>
          <w:tab w:leader="none" w:pos="1620" w:val="left"/>
        </w:tabs>
        <w:numPr>
          <w:ilvl w:val="0"/>
          <w:numId w:val="91"/>
        </w:numPr>
        <w:rPr>
          <w:rFonts w:ascii="Arial" w:cs="Arial" w:eastAsia="Arial" w:hAnsi="Arial"/>
          <w:sz w:val="20"/>
          <w:szCs w:val="20"/>
          <w:color w:val="auto"/>
        </w:rPr>
      </w:pPr>
      <w:r>
        <w:rPr>
          <w:rFonts w:ascii="Arial" w:cs="Arial" w:eastAsia="Arial" w:hAnsi="Arial"/>
          <w:sz w:val="20"/>
          <w:szCs w:val="20"/>
          <w:color w:val="auto"/>
        </w:rPr>
        <w:t>Will transition to non-Executive Chair on March 31, 2026.</w:t>
      </w:r>
    </w:p>
    <w:p>
      <w:pPr>
        <w:spacing w:after="0" w:line="137" w:lineRule="exact"/>
        <w:rPr>
          <w:rFonts w:ascii="Arial" w:cs="Arial" w:eastAsia="Arial" w:hAnsi="Arial"/>
          <w:sz w:val="20"/>
          <w:szCs w:val="20"/>
          <w:color w:val="auto"/>
        </w:rPr>
      </w:pPr>
    </w:p>
    <w:p>
      <w:pPr>
        <w:ind w:left="1620" w:right="80" w:hanging="366"/>
        <w:spacing w:after="0" w:line="368" w:lineRule="auto"/>
        <w:tabs>
          <w:tab w:leader="none" w:pos="1620" w:val="left"/>
        </w:tabs>
        <w:numPr>
          <w:ilvl w:val="0"/>
          <w:numId w:val="91"/>
        </w:numPr>
        <w:rPr>
          <w:rFonts w:ascii="Arial" w:cs="Arial" w:eastAsia="Arial" w:hAnsi="Arial"/>
          <w:sz w:val="20"/>
          <w:szCs w:val="20"/>
          <w:color w:val="auto"/>
        </w:rPr>
      </w:pPr>
      <w:r>
        <w:rPr>
          <w:rFonts w:ascii="Arial" w:cs="Arial" w:eastAsia="Arial" w:hAnsi="Arial"/>
          <w:sz w:val="20"/>
          <w:szCs w:val="20"/>
          <w:color w:val="auto"/>
        </w:rPr>
        <w:t>Appointed CEO effective from March 19, 2024. Ceased to be President and remains solely CEO January 1, 2026.</w:t>
      </w:r>
    </w:p>
    <w:p>
      <w:pPr>
        <w:spacing w:after="0" w:line="14"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91"/>
        </w:numPr>
        <w:rPr>
          <w:rFonts w:ascii="Arial" w:cs="Arial" w:eastAsia="Arial" w:hAnsi="Arial"/>
          <w:sz w:val="20"/>
          <w:szCs w:val="20"/>
          <w:color w:val="auto"/>
        </w:rPr>
      </w:pPr>
      <w:r>
        <w:rPr>
          <w:rFonts w:ascii="Arial" w:cs="Arial" w:eastAsia="Arial" w:hAnsi="Arial"/>
          <w:sz w:val="20"/>
          <w:szCs w:val="20"/>
          <w:color w:val="auto"/>
        </w:rPr>
        <w:t>Appointed Executive Vice President, Corporate Development on July 31, 2024. Promoted to Pres effective as of January 1, 2026.</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Other Compensation and Pension Benefits</w:t>
      </w:r>
    </w:p>
    <w:p>
      <w:pPr>
        <w:spacing w:after="0" w:line="279" w:lineRule="exact"/>
        <w:rPr>
          <w:sz w:val="20"/>
          <w:szCs w:val="20"/>
          <w:color w:val="auto"/>
        </w:rPr>
      </w:pPr>
    </w:p>
    <w:p>
      <w:pPr>
        <w:ind w:left="900" w:right="20"/>
        <w:spacing w:after="0" w:line="307" w:lineRule="auto"/>
        <w:rPr>
          <w:sz w:val="20"/>
          <w:szCs w:val="20"/>
          <w:color w:val="auto"/>
        </w:rPr>
      </w:pPr>
      <w:r>
        <w:rPr>
          <w:rFonts w:ascii="Arial" w:cs="Arial" w:eastAsia="Arial" w:hAnsi="Arial"/>
          <w:sz w:val="20"/>
          <w:szCs w:val="20"/>
          <w:color w:val="auto"/>
        </w:rPr>
        <w:t>The Company did not have any other pension, retirement or deferred compensation plans, including de benefit or defined contribution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1091565</wp:posOffset>
            </wp:positionV>
            <wp:extent cx="6764020" cy="190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9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21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45 / 59</w:t>
      </w:r>
    </w:p>
    <w:p>
      <w:pPr>
        <w:sectPr>
          <w:pgSz w:w="11900" w:h="16838" w:orient="portrait"/>
          <w:cols w:equalWidth="0" w:num="1">
            <w:col w:w="10460"/>
          </w:cols>
          <w:pgMar w:left="1440" w:top="1215" w:right="6" w:bottom="0" w:gutter="0" w:footer="0" w:header="0"/>
          <w:type w:val="continuous"/>
        </w:sectPr>
      </w:pPr>
    </w:p>
    <w:bookmarkStart w:id="215" w:name="page216"/>
    <w:bookmarkEnd w:id="2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Employment Agreements</w:t>
      </w:r>
    </w:p>
    <w:p>
      <w:pPr>
        <w:spacing w:after="0" w:line="279"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The following descriptions of employment agreements with the Company’s Named Executives are effective December 31, 2025. On January 23, 2025, in connection with the Company’s continuation to Switzerland Company entered into new employment agreements (the “</w:t>
      </w:r>
      <w:r>
        <w:rPr>
          <w:rFonts w:ascii="Arial" w:cs="Arial" w:eastAsia="Arial" w:hAnsi="Arial"/>
          <w:sz w:val="20"/>
          <w:szCs w:val="20"/>
          <w:b w:val="1"/>
          <w:bCs w:val="1"/>
          <w:color w:val="auto"/>
        </w:rPr>
        <w:t>2025 Employment Agreements</w:t>
      </w:r>
      <w:r>
        <w:rPr>
          <w:rFonts w:ascii="Arial" w:cs="Arial" w:eastAsia="Arial" w:hAnsi="Arial"/>
          <w:sz w:val="20"/>
          <w:szCs w:val="20"/>
          <w:color w:val="auto"/>
        </w:rPr>
        <w:t xml:space="preserve">” and each a “ </w:t>
      </w:r>
      <w:r>
        <w:rPr>
          <w:rFonts w:ascii="Arial" w:cs="Arial" w:eastAsia="Arial" w:hAnsi="Arial"/>
          <w:sz w:val="20"/>
          <w:szCs w:val="20"/>
          <w:b w:val="1"/>
          <w:bCs w:val="1"/>
          <w:color w:val="auto"/>
        </w:rPr>
        <w:t>Employment Agreement</w:t>
      </w:r>
      <w:r>
        <w:rPr>
          <w:rFonts w:ascii="Arial" w:cs="Arial" w:eastAsia="Arial" w:hAnsi="Arial"/>
          <w:sz w:val="20"/>
          <w:szCs w:val="20"/>
          <w:color w:val="auto"/>
        </w:rPr>
        <w:t>”) with John Kanellitsas, Executive Chair, Sam Pigott, President &amp; CEO (Exec</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 &amp; CEO as of January 1, 2026), Alec Meikle, Executive Vice President, Corporate Develop (President as of January 1, 2026), and Alex Shulga, Vice President and CFO. The 2025 Employment Agree reflect certain changes required by Swiss law that, among other things, removed payments on termination a termination after a “Change of Control”. It was necessary to enter into the 2025 Employment Agreements a employment agreements in place prior to the Company’s continuation to Switzerland for Messrs. Kanelli Pigott, Meikle and Shulga contained termination and termination after a “Change of Control” provisions that prohibited by Swiss law. In consideration for entering into the 2025 Employment Agreements and the adv changes to the respective executives’ termination and termination after a “Change of Control” provisions Company made a one-time grant of RSUs to the executives with an aggregate grant date fair valu $3,856,246.</w:t>
      </w:r>
    </w:p>
    <w:p>
      <w:pPr>
        <w:spacing w:after="0" w:line="214"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2025 Employment Agreements also provide for certain Notice Period Payments and Non-Compete Pay (as defined below) in the event of written notice by either the Company or the executive, as applicable, tha applicable executive’s employment with the Company will be terminated. The material terms of such paym are the following:</w:t>
      </w:r>
    </w:p>
    <w:p>
      <w:pPr>
        <w:spacing w:after="0" w:line="175" w:lineRule="exact"/>
        <w:rPr>
          <w:sz w:val="20"/>
          <w:szCs w:val="20"/>
          <w:color w:val="auto"/>
        </w:rPr>
      </w:pPr>
    </w:p>
    <w:p>
      <w:pPr>
        <w:jc w:val="both"/>
        <w:ind w:left="1620" w:hanging="366"/>
        <w:spacing w:after="0" w:line="372" w:lineRule="auto"/>
        <w:tabs>
          <w:tab w:leader="none" w:pos="1620" w:val="left"/>
        </w:tabs>
        <w:numPr>
          <w:ilvl w:val="0"/>
          <w:numId w:val="92"/>
        </w:numPr>
        <w:rPr>
          <w:rFonts w:ascii="Arial" w:cs="Arial" w:eastAsia="Arial" w:hAnsi="Arial"/>
          <w:sz w:val="20"/>
          <w:szCs w:val="20"/>
          <w:color w:val="auto"/>
        </w:rPr>
      </w:pPr>
      <w:r>
        <w:rPr>
          <w:rFonts w:ascii="Arial" w:cs="Arial" w:eastAsia="Arial" w:hAnsi="Arial"/>
          <w:sz w:val="20"/>
          <w:szCs w:val="20"/>
          <w:color w:val="auto"/>
        </w:rPr>
        <w:t>12 months’ advance written notice must be provided by either the Company or the executive to term his employment, unless the termination is by the Company for “cause” or by the executive without “ reason” (as such terms are defined in the 2025 Employment Agreements) (the “</w:t>
      </w:r>
      <w:r>
        <w:rPr>
          <w:rFonts w:ascii="Arial" w:cs="Arial" w:eastAsia="Arial" w:hAnsi="Arial"/>
          <w:sz w:val="20"/>
          <w:szCs w:val="20"/>
          <w:b w:val="1"/>
          <w:bCs w:val="1"/>
          <w:color w:val="auto"/>
        </w:rPr>
        <w:t>Notice Period</w:t>
      </w:r>
      <w:r>
        <w:rPr>
          <w:rFonts w:ascii="Arial" w:cs="Arial" w:eastAsia="Arial" w:hAnsi="Arial"/>
          <w:sz w:val="20"/>
          <w:szCs w:val="20"/>
          <w:color w:val="auto"/>
        </w:rPr>
        <w:t>”).</w:t>
      </w:r>
    </w:p>
    <w:p>
      <w:pPr>
        <w:spacing w:after="0" w:line="130"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parties will determine the extent, duration, and nature of the applicable executive’s a employment services to be provided during the Notice Period, and the time at which such active ser cease will be the beginning of the “Garden Leave Period.”</w:t>
      </w:r>
    </w:p>
    <w:p>
      <w:pPr>
        <w:spacing w:after="0" w:line="130" w:lineRule="exact"/>
        <w:rPr>
          <w:rFonts w:ascii="Arial" w:cs="Arial" w:eastAsia="Arial" w:hAnsi="Arial"/>
          <w:sz w:val="20"/>
          <w:szCs w:val="20"/>
          <w:color w:val="auto"/>
        </w:rPr>
      </w:pPr>
    </w:p>
    <w:p>
      <w:pPr>
        <w:ind w:left="1620" w:hanging="366"/>
        <w:spacing w:after="0" w:line="374" w:lineRule="auto"/>
        <w:tabs>
          <w:tab w:leader="none" w:pos="1620"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executives will receive continued payments during the Notice Period (the “</w:t>
      </w:r>
      <w:r>
        <w:rPr>
          <w:rFonts w:ascii="Arial" w:cs="Arial" w:eastAsia="Arial" w:hAnsi="Arial"/>
          <w:sz w:val="20"/>
          <w:szCs w:val="20"/>
          <w:b w:val="1"/>
          <w:bCs w:val="1"/>
          <w:color w:val="auto"/>
        </w:rPr>
        <w:t>Notice Period</w:t>
      </w:r>
      <w:r>
        <w:rPr>
          <w:rFonts w:ascii="Arial" w:cs="Arial" w:eastAsia="Arial" w:hAnsi="Arial"/>
          <w:sz w:val="20"/>
          <w:szCs w:val="20"/>
          <w:color w:val="auto"/>
        </w:rPr>
        <w:t xml:space="preserve"> </w:t>
      </w:r>
      <w:r>
        <w:rPr>
          <w:rFonts w:ascii="Arial" w:cs="Arial" w:eastAsia="Arial" w:hAnsi="Arial"/>
          <w:sz w:val="20"/>
          <w:szCs w:val="20"/>
          <w:b w:val="1"/>
          <w:bCs w:val="1"/>
          <w:color w:val="auto"/>
        </w:rPr>
        <w:t>Payments</w:t>
      </w:r>
      <w:r>
        <w:rPr>
          <w:rFonts w:ascii="Arial" w:cs="Arial" w:eastAsia="Arial" w:hAnsi="Arial"/>
          <w:sz w:val="20"/>
          <w:szCs w:val="20"/>
          <w:color w:val="auto"/>
        </w:rPr>
        <w:t>”) equal to the following: continued payments of (1) base salary and (2) an amount equal t</w:t>
      </w:r>
      <w:r>
        <w:rPr>
          <w:rFonts w:ascii="Arial" w:cs="Arial" w:eastAsia="Arial" w:hAnsi="Arial"/>
          <w:sz w:val="20"/>
          <w:szCs w:val="20"/>
          <w:b w:val="1"/>
          <w:bCs w:val="1"/>
          <w:color w:val="auto"/>
        </w:rPr>
        <w:t xml:space="preserve"> </w:t>
      </w:r>
      <w:r>
        <w:rPr>
          <w:rFonts w:ascii="Arial" w:cs="Arial" w:eastAsia="Arial" w:hAnsi="Arial"/>
          <w:sz w:val="20"/>
          <w:szCs w:val="20"/>
          <w:color w:val="auto"/>
        </w:rPr>
        <w:t>the pro rata STI bonus approved by the Board for the period(s) that the Notice Period encompa during which the executive continues to perform services to the Company (if any) and (B) the execu average STI bonus award during the past three years or, such lesser number of years that executiv been eligible to earn an STI bonus (the “</w:t>
      </w:r>
      <w:r>
        <w:rPr>
          <w:rFonts w:ascii="Arial" w:cs="Arial" w:eastAsia="Arial" w:hAnsi="Arial"/>
          <w:sz w:val="20"/>
          <w:szCs w:val="20"/>
          <w:b w:val="1"/>
          <w:bCs w:val="1"/>
          <w:color w:val="auto"/>
        </w:rPr>
        <w:t>Average STI Award</w:t>
      </w:r>
      <w:r>
        <w:rPr>
          <w:rFonts w:ascii="Arial" w:cs="Arial" w:eastAsia="Arial" w:hAnsi="Arial"/>
          <w:sz w:val="20"/>
          <w:szCs w:val="20"/>
          <w:color w:val="auto"/>
        </w:rPr>
        <w:t>”), prorated for the period commencin</w:t>
      </w:r>
    </w:p>
    <w:p>
      <w:pPr>
        <w:spacing w:after="0" w:line="9" w:lineRule="exact"/>
        <w:rPr>
          <w:rFonts w:ascii="Arial" w:cs="Arial" w:eastAsia="Arial" w:hAnsi="Arial"/>
          <w:sz w:val="20"/>
          <w:szCs w:val="20"/>
          <w:color w:val="auto"/>
        </w:rPr>
      </w:pPr>
    </w:p>
    <w:p>
      <w:pPr>
        <w:ind w:left="1620" w:hanging="6"/>
        <w:spacing w:after="0" w:line="373" w:lineRule="auto"/>
        <w:tabs>
          <w:tab w:leader="none" w:pos="1869" w:val="left"/>
        </w:tabs>
        <w:numPr>
          <w:ilvl w:val="1"/>
          <w:numId w:val="92"/>
        </w:numPr>
        <w:rPr>
          <w:rFonts w:ascii="Arial" w:cs="Arial" w:eastAsia="Arial" w:hAnsi="Arial"/>
          <w:sz w:val="20"/>
          <w:szCs w:val="20"/>
          <w:color w:val="auto"/>
        </w:rPr>
      </w:pPr>
      <w:r>
        <w:rPr>
          <w:rFonts w:ascii="Arial" w:cs="Arial" w:eastAsia="Arial" w:hAnsi="Arial"/>
          <w:sz w:val="20"/>
          <w:szCs w:val="20"/>
          <w:color w:val="auto"/>
        </w:rPr>
        <w:t>if the executive does not continue to perform services to the Company during the Notice Period date immediately following the date on which notice of termination is given and ending on the dat which the Notice Period expires, and (ii) if the executive continues to perform services to the Com during part of the Notice Period, the date on which the Garden Leave commences and the date on the Notice Period expires.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46 / 59</w:t>
      </w:r>
    </w:p>
    <w:p>
      <w:pPr>
        <w:sectPr>
          <w:pgSz w:w="11900" w:h="16838" w:orient="portrait"/>
          <w:cols w:equalWidth="0" w:num="1">
            <w:col w:w="10460"/>
          </w:cols>
          <w:pgMar w:left="1440" w:top="1440" w:right="6" w:bottom="0" w:gutter="0" w:footer="0" w:header="0"/>
          <w:type w:val="continuous"/>
        </w:sectPr>
      </w:pPr>
    </w:p>
    <w:bookmarkStart w:id="216" w:name="page217"/>
    <w:bookmarkEnd w:id="216"/>
    <w:p>
      <w:pPr>
        <w:jc w:val="both"/>
        <w:ind w:left="1620" w:hanging="366"/>
        <w:spacing w:after="0" w:line="373" w:lineRule="auto"/>
        <w:tabs>
          <w:tab w:leader="none" w:pos="16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executives will receive payments during the one-year period following expiration of the Notice P in exchange for their compliance with non-competition, non-solicitation, and other restrictive cove obligations (the “</w:t>
      </w:r>
      <w:r>
        <w:rPr>
          <w:rFonts w:ascii="Arial" w:cs="Arial" w:eastAsia="Arial" w:hAnsi="Arial"/>
          <w:sz w:val="20"/>
          <w:szCs w:val="20"/>
          <w:b w:val="1"/>
          <w:bCs w:val="1"/>
          <w:color w:val="auto"/>
        </w:rPr>
        <w:t>Non-Compete Payments</w:t>
      </w:r>
      <w:r>
        <w:rPr>
          <w:rFonts w:ascii="Arial" w:cs="Arial" w:eastAsia="Arial" w:hAnsi="Arial"/>
          <w:sz w:val="20"/>
          <w:szCs w:val="20"/>
          <w:color w:val="auto"/>
        </w:rPr>
        <w:t>”) equal to the following: (1) one year of base salary an the Average STI Award.</w:t>
      </w:r>
    </w:p>
    <w:p>
      <w:pPr>
        <w:spacing w:after="0" w:line="130" w:lineRule="exact"/>
        <w:rPr>
          <w:rFonts w:ascii="Arial" w:cs="Arial" w:eastAsia="Arial" w:hAnsi="Arial"/>
          <w:sz w:val="20"/>
          <w:szCs w:val="20"/>
          <w:color w:val="auto"/>
        </w:rPr>
      </w:pPr>
    </w:p>
    <w:p>
      <w:pPr>
        <w:ind w:left="1620" w:hanging="366"/>
        <w:spacing w:after="0" w:line="373" w:lineRule="auto"/>
        <w:tabs>
          <w:tab w:leader="none" w:pos="16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Both the Non-Compete Payments and the Notice Period Payments are subject to offset and/or redu in the event that an executive materially breach any of their restrictive covenant obligations or compensation from new employment (and/or other activity) that exceeds a certain threshold amoun forth in the 2025 Employment Agreements.</w:t>
      </w:r>
    </w:p>
    <w:p>
      <w:pPr>
        <w:spacing w:after="0" w:line="130"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Certain of the Notice Period Payments and Non-Compete Payments will be subject to the applic executive’s execution and non-revocation of a release of claims in favor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1063625</wp:posOffset>
            </wp:positionV>
            <wp:extent cx="6764020" cy="190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33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47 / 59</w:t>
      </w:r>
    </w:p>
    <w:p>
      <w:pPr>
        <w:sectPr>
          <w:pgSz w:w="11900" w:h="16838" w:orient="portrait"/>
          <w:cols w:equalWidth="0" w:num="1">
            <w:col w:w="10460"/>
          </w:cols>
          <w:pgMar w:left="1440" w:top="1335" w:right="6" w:bottom="0" w:gutter="0" w:footer="0" w:header="0"/>
          <w:type w:val="continuous"/>
        </w:sectPr>
      </w:pPr>
    </w:p>
    <w:bookmarkStart w:id="217" w:name="page218"/>
    <w:bookmarkEnd w:id="2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John Kanellitsas, Executive Chair</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As at December 31, 2025, Mr. Kanellitsas was paid a base annual salary of $420,000, and was eligible to re short-term incentive compensation at a target rate of 75% of base salary and long-term incentive compensat a target rate of 75% of base salary.</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Mr. Kanellitsas’ 2025 Employment Agreement removed Mr. Kanellitsas’ entitlement to severance, bot termination of employment without “Cause”, because of “Disability” or for “Good Reason” and if there “Change of Control” and Mr. Kanellitsas’ employment is terminated by the Company or Mr. Kanellitsas resig “Good Reason”. Instead, the 2025 Employment Agreement provides for the Notice Period Payments and Compete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1087755</wp:posOffset>
            </wp:positionV>
            <wp:extent cx="6764020" cy="190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48 / 59</w:t>
      </w:r>
    </w:p>
    <w:p>
      <w:pPr>
        <w:sectPr>
          <w:pgSz w:w="11900" w:h="16838" w:orient="portrait"/>
          <w:cols w:equalWidth="0" w:num="1">
            <w:col w:w="10460"/>
          </w:cols>
          <w:pgMar w:left="1440" w:top="1440" w:right="6" w:bottom="0" w:gutter="0" w:footer="0" w:header="0"/>
          <w:type w:val="continuous"/>
        </w:sectPr>
      </w:pPr>
    </w:p>
    <w:bookmarkStart w:id="218" w:name="page219"/>
    <w:bookmarkEnd w:id="2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In January 2026, Mr. Kanellitsas and the Company entered into a Retirement Agreement and Release, whe Mr. Kanellitsas, effective March 31, 2026, would transition from Executive Chair to Non-Executive Chair an Kanellitsas’ 2025 Employment Agreement would terminate. Mr. Kanellitsas’ transition to Non-Executive Cha conjunction with Mr. Meikle’s appoint to President, reflects his faith in Mr. Pigott and Mr. Meikle’s ability to ov the Company’s day-to-day operations and long-term value creation for the Company’s shareholders, in addit strengthening the Company’s governance and management structure. Mr. Kanellitsas will continue to pro Board and Committee leadership and focus on long-term strategy and industry partnerships.</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Sam Pigott, President &amp; Chief Executive Officer</w:t>
      </w:r>
    </w:p>
    <w:p>
      <w:pPr>
        <w:spacing w:after="0" w:line="279" w:lineRule="exact"/>
        <w:rPr>
          <w:sz w:val="20"/>
          <w:szCs w:val="20"/>
          <w:color w:val="auto"/>
        </w:rPr>
      </w:pPr>
    </w:p>
    <w:p>
      <w:pPr>
        <w:ind w:left="900" w:right="60"/>
        <w:spacing w:after="0" w:line="307" w:lineRule="auto"/>
        <w:rPr>
          <w:sz w:val="20"/>
          <w:szCs w:val="20"/>
          <w:color w:val="auto"/>
        </w:rPr>
      </w:pPr>
      <w:r>
        <w:rPr>
          <w:rFonts w:ascii="Arial" w:cs="Arial" w:eastAsia="Arial" w:hAnsi="Arial"/>
          <w:sz w:val="20"/>
          <w:szCs w:val="20"/>
          <w:color w:val="auto"/>
        </w:rPr>
        <w:t>As at December 31, 2025, Mr. Pigott was paid a base annual salary of $450,000 and was eligible to receive term incentive compensation and long-term incentive compensation.</w:t>
      </w:r>
    </w:p>
    <w:p>
      <w:pPr>
        <w:spacing w:after="0" w:line="215" w:lineRule="exact"/>
        <w:rPr>
          <w:sz w:val="20"/>
          <w:szCs w:val="20"/>
          <w:color w:val="auto"/>
        </w:rPr>
      </w:pPr>
    </w:p>
    <w:p>
      <w:pPr>
        <w:jc w:val="both"/>
        <w:ind w:left="900"/>
        <w:spacing w:after="0" w:line="333" w:lineRule="auto"/>
        <w:rPr>
          <w:sz w:val="20"/>
          <w:szCs w:val="20"/>
          <w:color w:val="auto"/>
        </w:rPr>
      </w:pPr>
      <w:r>
        <w:rPr>
          <w:rFonts w:ascii="Arial" w:cs="Arial" w:eastAsia="Arial" w:hAnsi="Arial"/>
          <w:sz w:val="19"/>
          <w:szCs w:val="19"/>
          <w:color w:val="auto"/>
        </w:rPr>
        <w:t>Mr. Pigott’s 2025 Employment Agreement removed Mr. Pigott’s entitlement to severance, both on terminati employment without “Cause”, because of “Disability” or for “Good Reason” and if there is a “Change of Co and Mr. Pigott’s employment is terminated by the Company or Mr. Pigott resigns for “Good Reason”. Instead 2025 Employment Agreement provides for the Notice Period Payments and Non-Compete Payments.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Alec Meikle, Executive Vice President, Corporate Development</w:t>
      </w:r>
    </w:p>
    <w:p>
      <w:pPr>
        <w:spacing w:after="0" w:line="279" w:lineRule="exact"/>
        <w:rPr>
          <w:sz w:val="20"/>
          <w:szCs w:val="20"/>
          <w:color w:val="auto"/>
        </w:rPr>
      </w:pPr>
    </w:p>
    <w:p>
      <w:pPr>
        <w:ind w:left="900" w:right="40"/>
        <w:spacing w:after="0" w:line="307" w:lineRule="auto"/>
        <w:rPr>
          <w:sz w:val="20"/>
          <w:szCs w:val="20"/>
          <w:color w:val="auto"/>
        </w:rPr>
      </w:pPr>
      <w:r>
        <w:rPr>
          <w:rFonts w:ascii="Arial" w:cs="Arial" w:eastAsia="Arial" w:hAnsi="Arial"/>
          <w:sz w:val="20"/>
          <w:szCs w:val="20"/>
          <w:color w:val="auto"/>
        </w:rPr>
        <w:t>As at December 31, 2025, Mr. Meikle was paid a base annual salary of $360,000 and was eligible to re short-term incentive compensation and long-term incentive compensation.</w:t>
      </w:r>
    </w:p>
    <w:p>
      <w:pPr>
        <w:spacing w:after="0" w:line="2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Mr. Meikle’s 2025 Employment Agreement removed Mr. Meikle’s entitlement to the severance, both termination of employment without “Cause”, because of “Disability” or for “Good Reason” and if there “Change of Control” and Mr. Meikle’s employment is terminated by the Company or Mr. Meikle resigns for “ Reason”. Instead, the 2025 Employment Agreement provides for the Notice Period Payments and Non-Com Payments.</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Alex Shulga, Vice President and Chief Financial Officer</w:t>
      </w:r>
    </w:p>
    <w:p>
      <w:pPr>
        <w:spacing w:after="0" w:line="279" w:lineRule="exact"/>
        <w:rPr>
          <w:sz w:val="20"/>
          <w:szCs w:val="20"/>
          <w:color w:val="auto"/>
        </w:rPr>
      </w:pPr>
    </w:p>
    <w:p>
      <w:pPr>
        <w:ind w:left="900" w:right="40"/>
        <w:spacing w:after="0" w:line="307" w:lineRule="auto"/>
        <w:rPr>
          <w:sz w:val="20"/>
          <w:szCs w:val="20"/>
          <w:color w:val="auto"/>
        </w:rPr>
      </w:pPr>
      <w:r>
        <w:rPr>
          <w:rFonts w:ascii="Arial" w:cs="Arial" w:eastAsia="Arial" w:hAnsi="Arial"/>
          <w:sz w:val="20"/>
          <w:szCs w:val="20"/>
          <w:color w:val="auto"/>
        </w:rPr>
        <w:t>As at December 31, 2025, Mr. Shulga was paid a base annual salary of $350,000 and was eligible to re short-term incentive compensation (the “</w:t>
      </w:r>
      <w:r>
        <w:rPr>
          <w:rFonts w:ascii="Arial" w:cs="Arial" w:eastAsia="Arial" w:hAnsi="Arial"/>
          <w:sz w:val="20"/>
          <w:szCs w:val="20"/>
          <w:b w:val="1"/>
          <w:bCs w:val="1"/>
          <w:color w:val="auto"/>
        </w:rPr>
        <w:t>Shulga STI Bonus</w:t>
      </w:r>
      <w:r>
        <w:rPr>
          <w:rFonts w:ascii="Arial" w:cs="Arial" w:eastAsia="Arial" w:hAnsi="Arial"/>
          <w:sz w:val="20"/>
          <w:szCs w:val="20"/>
          <w:color w:val="auto"/>
        </w:rPr>
        <w:t>”) and long-term incentive compensation.</w:t>
      </w:r>
    </w:p>
    <w:p>
      <w:pPr>
        <w:spacing w:after="0" w:line="215" w:lineRule="exact"/>
        <w:rPr>
          <w:sz w:val="20"/>
          <w:szCs w:val="20"/>
          <w:color w:val="auto"/>
        </w:rPr>
      </w:pPr>
    </w:p>
    <w:p>
      <w:pPr>
        <w:jc w:val="both"/>
        <w:ind w:left="900"/>
        <w:spacing w:after="0" w:line="333" w:lineRule="auto"/>
        <w:rPr>
          <w:sz w:val="20"/>
          <w:szCs w:val="20"/>
          <w:color w:val="auto"/>
        </w:rPr>
      </w:pPr>
      <w:r>
        <w:rPr>
          <w:rFonts w:ascii="Arial" w:cs="Arial" w:eastAsia="Arial" w:hAnsi="Arial"/>
          <w:sz w:val="19"/>
          <w:szCs w:val="19"/>
          <w:color w:val="auto"/>
        </w:rPr>
        <w:t>Mr. Shulga’s 2025 Employment Agreement removed Mr. Shulga’s entitlement to severance, both on termin of employment without “Cause”, because of “Disability” or for “Good Reason” and if there is a “Change of Co and Mr. Shulga’s employment is terminated by the Company or Mr. Shulga resigns for “Good Reason”. Ins the 2025 Employment Agreement provides for the Notice Period Payments and Non-Compete Payments.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Mariano Chiappori, Vice President and Chief Operating Officer</w:t>
      </w:r>
    </w:p>
    <w:p>
      <w:pPr>
        <w:spacing w:after="0" w:line="279" w:lineRule="exact"/>
        <w:rPr>
          <w:sz w:val="20"/>
          <w:szCs w:val="20"/>
          <w:color w:val="auto"/>
        </w:rPr>
      </w:pPr>
    </w:p>
    <w:p>
      <w:pPr>
        <w:ind w:left="900" w:right="20"/>
        <w:spacing w:after="0" w:line="307" w:lineRule="auto"/>
        <w:rPr>
          <w:sz w:val="20"/>
          <w:szCs w:val="20"/>
          <w:color w:val="auto"/>
        </w:rPr>
      </w:pPr>
      <w:r>
        <w:rPr>
          <w:rFonts w:ascii="Arial" w:cs="Arial" w:eastAsia="Arial" w:hAnsi="Arial"/>
          <w:sz w:val="20"/>
          <w:szCs w:val="20"/>
          <w:color w:val="auto"/>
        </w:rPr>
        <w:t>As at December 31, 2024, Mr. Chiappori was paid a base annual salary of $373,750 and was eligible to re short-term incentive compensation (the “</w:t>
      </w:r>
      <w:r>
        <w:rPr>
          <w:rFonts w:ascii="Arial" w:cs="Arial" w:eastAsia="Arial" w:hAnsi="Arial"/>
          <w:sz w:val="20"/>
          <w:szCs w:val="20"/>
          <w:b w:val="1"/>
          <w:bCs w:val="1"/>
          <w:color w:val="auto"/>
        </w:rPr>
        <w:t>Chiappori STI Bonus</w:t>
      </w:r>
      <w:r>
        <w:rPr>
          <w:rFonts w:ascii="Arial" w:cs="Arial" w:eastAsia="Arial" w:hAnsi="Arial"/>
          <w:sz w:val="20"/>
          <w:szCs w:val="20"/>
          <w:color w:val="auto"/>
        </w:rPr>
        <w:t>”) and long-term incentive compensation.</w:t>
      </w:r>
    </w:p>
    <w:p>
      <w:pPr>
        <w:spacing w:after="0" w:line="215"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On termination of employment without “</w:t>
      </w:r>
      <w:r>
        <w:rPr>
          <w:rFonts w:ascii="Arial" w:cs="Arial" w:eastAsia="Arial" w:hAnsi="Arial"/>
          <w:sz w:val="20"/>
          <w:szCs w:val="20"/>
          <w:b w:val="1"/>
          <w:bCs w:val="1"/>
          <w:color w:val="auto"/>
        </w:rPr>
        <w:t>Cause”, because of “Disability” or for “Good</w:t>
      </w:r>
      <w:r>
        <w:rPr>
          <w:rFonts w:ascii="Arial" w:cs="Arial" w:eastAsia="Arial" w:hAnsi="Arial"/>
          <w:sz w:val="20"/>
          <w:szCs w:val="20"/>
          <w:color w:val="auto"/>
        </w:rPr>
        <w:t xml:space="preserve"> Reason”, eac defined in Mr. Chiappori’s employment agreement, Mr. Chiappori will receive the following severance pack (a) 12 months (the “</w:t>
      </w:r>
      <w:r>
        <w:rPr>
          <w:rFonts w:ascii="Arial" w:cs="Arial" w:eastAsia="Arial" w:hAnsi="Arial"/>
          <w:sz w:val="20"/>
          <w:szCs w:val="20"/>
          <w:b w:val="1"/>
          <w:bCs w:val="1"/>
          <w:color w:val="auto"/>
        </w:rPr>
        <w:t>Chiappori Severance Period</w:t>
      </w:r>
      <w:r>
        <w:rPr>
          <w:rFonts w:ascii="Arial" w:cs="Arial" w:eastAsia="Arial" w:hAnsi="Arial"/>
          <w:sz w:val="20"/>
          <w:szCs w:val="20"/>
          <w:color w:val="auto"/>
        </w:rPr>
        <w:t>”) of base salary; (b) the Chiappori STI Bonus he would</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4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49 / 59</w:t>
      </w:r>
    </w:p>
    <w:p>
      <w:pPr>
        <w:sectPr>
          <w:pgSz w:w="11900" w:h="16838" w:orient="portrait"/>
          <w:cols w:equalWidth="0" w:num="1">
            <w:col w:w="10460"/>
          </w:cols>
          <w:pgMar w:left="1440" w:top="1440" w:right="6" w:bottom="0" w:gutter="0" w:footer="0" w:header="0"/>
          <w:type w:val="continuous"/>
        </w:sectPr>
      </w:pPr>
    </w:p>
    <w:bookmarkStart w:id="219" w:name="page220"/>
    <w:bookmarkEnd w:id="219"/>
    <w:p>
      <w:pPr>
        <w:jc w:val="both"/>
        <w:ind w:left="900"/>
        <w:spacing w:after="0" w:line="311" w:lineRule="auto"/>
        <w:rPr>
          <w:sz w:val="20"/>
          <w:szCs w:val="20"/>
          <w:color w:val="auto"/>
        </w:rPr>
      </w:pPr>
      <w:r>
        <w:rPr>
          <w:rFonts w:ascii="Arial" w:cs="Arial" w:eastAsia="Arial" w:hAnsi="Arial"/>
          <w:sz w:val="20"/>
          <w:szCs w:val="20"/>
          <w:color w:val="auto"/>
        </w:rPr>
        <w:t>earned through the Chiappori Severance Period based on the Chiappori STI Bonus for the year prior to the in which his employment terminates; and (c) continuation of benefits coverage during the Chiappori Sever Period or reimbursement for replacement coverage (the “</w:t>
      </w:r>
      <w:r>
        <w:rPr>
          <w:rFonts w:ascii="Arial" w:cs="Arial" w:eastAsia="Arial" w:hAnsi="Arial"/>
          <w:sz w:val="20"/>
          <w:szCs w:val="20"/>
          <w:b w:val="1"/>
          <w:bCs w:val="1"/>
          <w:color w:val="auto"/>
        </w:rPr>
        <w:t>Chiappori Severance Package</w:t>
      </w:r>
      <w:r>
        <w:rPr>
          <w:rFonts w:ascii="Arial" w:cs="Arial" w:eastAsia="Arial" w:hAnsi="Arial"/>
          <w:sz w:val="20"/>
          <w:szCs w:val="20"/>
          <w:color w:val="auto"/>
        </w:rPr>
        <w:t>”).</w:t>
      </w:r>
    </w:p>
    <w:p>
      <w:pPr>
        <w:spacing w:after="0" w:line="212" w:lineRule="exact"/>
        <w:rPr>
          <w:sz w:val="20"/>
          <w:szCs w:val="20"/>
          <w:color w:val="auto"/>
        </w:rPr>
      </w:pPr>
    </w:p>
    <w:p>
      <w:pPr>
        <w:jc w:val="both"/>
        <w:ind w:left="900"/>
        <w:spacing w:after="0" w:line="333" w:lineRule="auto"/>
        <w:rPr>
          <w:sz w:val="20"/>
          <w:szCs w:val="20"/>
          <w:color w:val="auto"/>
        </w:rPr>
      </w:pPr>
      <w:r>
        <w:rPr>
          <w:rFonts w:ascii="Arial" w:cs="Arial" w:eastAsia="Arial" w:hAnsi="Arial"/>
          <w:sz w:val="19"/>
          <w:szCs w:val="19"/>
          <w:color w:val="auto"/>
        </w:rPr>
        <w:t>If at any time there is a “</w:t>
      </w:r>
      <w:r>
        <w:rPr>
          <w:rFonts w:ascii="Arial" w:cs="Arial" w:eastAsia="Arial" w:hAnsi="Arial"/>
          <w:sz w:val="19"/>
          <w:szCs w:val="19"/>
          <w:b w:val="1"/>
          <w:bCs w:val="1"/>
          <w:color w:val="auto"/>
        </w:rPr>
        <w:t>Change of Control” during the employment agreement (as defined in</w:t>
      </w:r>
      <w:r>
        <w:rPr>
          <w:rFonts w:ascii="Arial" w:cs="Arial" w:eastAsia="Arial" w:hAnsi="Arial"/>
          <w:sz w:val="19"/>
          <w:szCs w:val="19"/>
          <w:color w:val="auto"/>
        </w:rPr>
        <w:t xml:space="preserve"> employment agreement), and within twelve (12) months of such “</w:t>
      </w:r>
      <w:r>
        <w:rPr>
          <w:rFonts w:ascii="Arial" w:cs="Arial" w:eastAsia="Arial" w:hAnsi="Arial"/>
          <w:sz w:val="19"/>
          <w:szCs w:val="19"/>
          <w:b w:val="1"/>
          <w:bCs w:val="1"/>
          <w:color w:val="auto"/>
        </w:rPr>
        <w:t>Change of Control</w:t>
      </w:r>
      <w:r>
        <w:rPr>
          <w:rFonts w:ascii="Arial" w:cs="Arial" w:eastAsia="Arial" w:hAnsi="Arial"/>
          <w:sz w:val="19"/>
          <w:szCs w:val="19"/>
          <w:color w:val="auto"/>
        </w:rPr>
        <w:t xml:space="preserve">”, </w:t>
      </w:r>
      <w:r>
        <w:rPr>
          <w:rFonts w:ascii="Arial" w:cs="Arial" w:eastAsia="Arial" w:hAnsi="Arial"/>
          <w:sz w:val="19"/>
          <w:szCs w:val="19"/>
          <w:b w:val="1"/>
          <w:bCs w:val="1"/>
          <w:color w:val="auto"/>
        </w:rPr>
        <w:t>Mr. Chiapp</w:t>
      </w:r>
      <w:r>
        <w:rPr>
          <w:rFonts w:ascii="Arial" w:cs="Arial" w:eastAsia="Arial" w:hAnsi="Arial"/>
          <w:sz w:val="19"/>
          <w:szCs w:val="19"/>
          <w:color w:val="auto"/>
        </w:rPr>
        <w:t xml:space="preserve"> employment is terminated by the Company or Mr. Chiappori resigns for “Good Reason” then Mr. Chiappori be entitled to the Chiappori Severance Package, except the Chiappori Severance Period shall be 18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1078230</wp:posOffset>
            </wp:positionV>
            <wp:extent cx="6764020" cy="190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50 / 59</w:t>
      </w:r>
    </w:p>
    <w:p>
      <w:pPr>
        <w:sectPr>
          <w:pgSz w:w="11900" w:h="16838" w:orient="portrait"/>
          <w:cols w:equalWidth="0" w:num="1">
            <w:col w:w="10460"/>
          </w:cols>
          <w:pgMar w:left="1440" w:top="1172" w:right="6" w:bottom="0" w:gutter="0" w:footer="0" w:header="0"/>
          <w:type w:val="continuous"/>
        </w:sectPr>
      </w:pPr>
    </w:p>
    <w:bookmarkStart w:id="220" w:name="page221"/>
    <w:bookmarkEnd w:id="2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00"/>
        <w:spacing w:after="0"/>
        <w:rPr>
          <w:sz w:val="20"/>
          <w:szCs w:val="20"/>
          <w:color w:val="auto"/>
        </w:rPr>
      </w:pPr>
      <w:r>
        <w:rPr>
          <w:rFonts w:ascii="Arial" w:cs="Arial" w:eastAsia="Arial" w:hAnsi="Arial"/>
          <w:sz w:val="28"/>
          <w:szCs w:val="28"/>
          <w:b w:val="1"/>
          <w:bCs w:val="1"/>
          <w:i w:val="1"/>
          <w:iCs w:val="1"/>
          <w:color w:val="auto"/>
        </w:rPr>
        <w:t>Termination and Change of Control Benefits</w:t>
      </w:r>
    </w:p>
    <w:p>
      <w:pPr>
        <w:spacing w:after="0" w:line="293"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following table discloses, as of December 31, 2025, the estimated incremental payments and benefits might be paid under the various plans and arrangements to current Named Executives in the event of termin without cause and termination following a change of control (assuming an effective date of December 31, 2 for each termination scenario).</w:t>
      </w:r>
    </w:p>
    <w:p>
      <w:pPr>
        <w:spacing w:after="0" w:line="305" w:lineRule="exact"/>
        <w:rPr>
          <w:sz w:val="20"/>
          <w:szCs w:val="20"/>
          <w:color w:val="auto"/>
        </w:rPr>
      </w:pPr>
    </w:p>
    <w:tbl>
      <w:tblPr>
        <w:tblLayout w:type="fixed"/>
        <w:tblInd w:w="900" w:type="dxa"/>
        <w:tblCellMar>
          <w:top w:w="0" w:type="dxa"/>
          <w:left w:w="0" w:type="dxa"/>
          <w:bottom w:w="0" w:type="dxa"/>
          <w:right w:w="0" w:type="dxa"/>
        </w:tblCellMar>
      </w:tblPr>
      <w:tr>
        <w:trPr>
          <w:trHeight w:val="209"/>
        </w:trPr>
        <w:tc>
          <w:tcPr>
            <w:tcW w:w="3800" w:type="dxa"/>
            <w:vAlign w:val="bottom"/>
            <w:shd w:val="clear" w:color="auto" w:fill="153A57"/>
          </w:tcPr>
          <w:p>
            <w:pPr>
              <w:spacing w:after="0"/>
              <w:rPr>
                <w:sz w:val="18"/>
                <w:szCs w:val="18"/>
                <w:color w:val="auto"/>
              </w:rPr>
            </w:pPr>
          </w:p>
        </w:tc>
        <w:tc>
          <w:tcPr>
            <w:tcW w:w="900" w:type="dxa"/>
            <w:vAlign w:val="bottom"/>
            <w:shd w:val="clear" w:color="auto" w:fill="153A57"/>
          </w:tcPr>
          <w:p>
            <w:pPr>
              <w:spacing w:after="0"/>
              <w:rPr>
                <w:sz w:val="18"/>
                <w:szCs w:val="18"/>
                <w:color w:val="auto"/>
              </w:rPr>
            </w:pPr>
          </w:p>
        </w:tc>
        <w:tc>
          <w:tcPr>
            <w:tcW w:w="1140" w:type="dxa"/>
            <w:vAlign w:val="bottom"/>
            <w:shd w:val="clear" w:color="auto" w:fill="153A57"/>
          </w:tcPr>
          <w:p>
            <w:pPr>
              <w:jc w:val="center"/>
              <w:ind w:right="5"/>
              <w:spacing w:after="0"/>
              <w:rPr>
                <w:sz w:val="20"/>
                <w:szCs w:val="20"/>
                <w:color w:val="auto"/>
              </w:rPr>
            </w:pPr>
            <w:r>
              <w:rPr>
                <w:rFonts w:ascii="Arial" w:cs="Arial" w:eastAsia="Arial" w:hAnsi="Arial"/>
                <w:sz w:val="15"/>
                <w:szCs w:val="15"/>
                <w:b w:val="1"/>
                <w:bCs w:val="1"/>
                <w:color w:val="FFFFFF"/>
              </w:rPr>
              <w:t>Notice</w:t>
            </w:r>
          </w:p>
        </w:tc>
        <w:tc>
          <w:tcPr>
            <w:tcW w:w="1160" w:type="dxa"/>
            <w:vAlign w:val="bottom"/>
            <w:shd w:val="clear" w:color="auto" w:fill="153A57"/>
          </w:tcPr>
          <w:p>
            <w:pPr>
              <w:spacing w:after="0"/>
              <w:rPr>
                <w:sz w:val="18"/>
                <w:szCs w:val="18"/>
                <w:color w:val="auto"/>
              </w:rPr>
            </w:pPr>
          </w:p>
        </w:tc>
        <w:tc>
          <w:tcPr>
            <w:tcW w:w="1120" w:type="dxa"/>
            <w:vAlign w:val="bottom"/>
            <w:shd w:val="clear" w:color="auto" w:fill="153A57"/>
          </w:tcPr>
          <w:p>
            <w:pPr>
              <w:spacing w:after="0"/>
              <w:rPr>
                <w:sz w:val="18"/>
                <w:szCs w:val="18"/>
                <w:color w:val="auto"/>
              </w:rPr>
            </w:pPr>
          </w:p>
        </w:tc>
        <w:tc>
          <w:tcPr>
            <w:tcW w:w="1120" w:type="dxa"/>
            <w:vAlign w:val="bottom"/>
            <w:shd w:val="clear" w:color="auto" w:fill="153A57"/>
          </w:tcPr>
          <w:p>
            <w:pPr>
              <w:spacing w:after="0"/>
              <w:rPr>
                <w:sz w:val="18"/>
                <w:szCs w:val="18"/>
                <w:color w:val="auto"/>
              </w:rPr>
            </w:pPr>
          </w:p>
        </w:tc>
        <w:tc>
          <w:tcPr>
            <w:tcW w:w="320" w:type="dxa"/>
            <w:vAlign w:val="bottom"/>
            <w:shd w:val="clear" w:color="auto" w:fill="153A57"/>
          </w:tcPr>
          <w:p>
            <w:pPr>
              <w:spacing w:after="0"/>
              <w:rPr>
                <w:sz w:val="18"/>
                <w:szCs w:val="18"/>
                <w:color w:val="auto"/>
              </w:rPr>
            </w:pPr>
          </w:p>
        </w:tc>
      </w:tr>
      <w:tr>
        <w:trPr>
          <w:trHeight w:val="226"/>
        </w:trPr>
        <w:tc>
          <w:tcPr>
            <w:tcW w:w="3800" w:type="dxa"/>
            <w:vAlign w:val="bottom"/>
            <w:shd w:val="clear" w:color="auto" w:fill="153A57"/>
          </w:tcPr>
          <w:p>
            <w:pPr>
              <w:spacing w:after="0"/>
              <w:rPr>
                <w:sz w:val="19"/>
                <w:szCs w:val="19"/>
                <w:color w:val="auto"/>
              </w:rPr>
            </w:pPr>
          </w:p>
        </w:tc>
        <w:tc>
          <w:tcPr>
            <w:tcW w:w="900" w:type="dxa"/>
            <w:vAlign w:val="bottom"/>
            <w:shd w:val="clear" w:color="auto" w:fill="153A57"/>
          </w:tcPr>
          <w:p>
            <w:pPr>
              <w:spacing w:after="0"/>
              <w:rPr>
                <w:sz w:val="19"/>
                <w:szCs w:val="19"/>
                <w:color w:val="auto"/>
              </w:rPr>
            </w:pPr>
          </w:p>
        </w:tc>
        <w:tc>
          <w:tcPr>
            <w:tcW w:w="1140" w:type="dxa"/>
            <w:vAlign w:val="bottom"/>
            <w:shd w:val="clear" w:color="auto" w:fill="153A57"/>
          </w:tcPr>
          <w:p>
            <w:pPr>
              <w:jc w:val="center"/>
              <w:ind w:right="5"/>
              <w:spacing w:after="0"/>
              <w:rPr>
                <w:sz w:val="20"/>
                <w:szCs w:val="20"/>
                <w:color w:val="auto"/>
              </w:rPr>
            </w:pPr>
            <w:r>
              <w:rPr>
                <w:rFonts w:ascii="Arial" w:cs="Arial" w:eastAsia="Arial" w:hAnsi="Arial"/>
                <w:sz w:val="15"/>
                <w:szCs w:val="15"/>
                <w:b w:val="1"/>
                <w:bCs w:val="1"/>
                <w:color w:val="FFFFFF"/>
              </w:rPr>
              <w:t>Period and</w:t>
            </w:r>
          </w:p>
        </w:tc>
        <w:tc>
          <w:tcPr>
            <w:tcW w:w="1160" w:type="dxa"/>
            <w:vAlign w:val="bottom"/>
            <w:shd w:val="clear" w:color="auto" w:fill="153A57"/>
          </w:tcPr>
          <w:p>
            <w:pPr>
              <w:spacing w:after="0"/>
              <w:rPr>
                <w:sz w:val="19"/>
                <w:szCs w:val="19"/>
                <w:color w:val="auto"/>
              </w:rPr>
            </w:pPr>
          </w:p>
        </w:tc>
        <w:tc>
          <w:tcPr>
            <w:tcW w:w="1120" w:type="dxa"/>
            <w:vAlign w:val="bottom"/>
            <w:shd w:val="clear" w:color="auto" w:fill="153A57"/>
          </w:tcPr>
          <w:p>
            <w:pPr>
              <w:spacing w:after="0"/>
              <w:rPr>
                <w:sz w:val="19"/>
                <w:szCs w:val="19"/>
                <w:color w:val="auto"/>
              </w:rPr>
            </w:pPr>
          </w:p>
        </w:tc>
        <w:tc>
          <w:tcPr>
            <w:tcW w:w="1120" w:type="dxa"/>
            <w:vAlign w:val="bottom"/>
            <w:shd w:val="clear" w:color="auto" w:fill="153A57"/>
          </w:tcPr>
          <w:p>
            <w:pPr>
              <w:jc w:val="center"/>
              <w:ind w:right="65"/>
              <w:spacing w:after="0"/>
              <w:rPr>
                <w:sz w:val="20"/>
                <w:szCs w:val="20"/>
                <w:color w:val="auto"/>
              </w:rPr>
            </w:pPr>
            <w:r>
              <w:rPr>
                <w:rFonts w:ascii="Arial" w:cs="Arial" w:eastAsia="Arial" w:hAnsi="Arial"/>
                <w:sz w:val="15"/>
                <w:szCs w:val="15"/>
                <w:b w:val="1"/>
                <w:bCs w:val="1"/>
                <w:color w:val="FFFFFF"/>
              </w:rPr>
              <w:t>Accelerated</w:t>
            </w:r>
          </w:p>
        </w:tc>
        <w:tc>
          <w:tcPr>
            <w:tcW w:w="320" w:type="dxa"/>
            <w:vAlign w:val="bottom"/>
            <w:shd w:val="clear" w:color="auto" w:fill="153A57"/>
          </w:tcPr>
          <w:p>
            <w:pPr>
              <w:spacing w:after="0"/>
              <w:rPr>
                <w:sz w:val="19"/>
                <w:szCs w:val="19"/>
                <w:color w:val="auto"/>
              </w:rPr>
            </w:pPr>
          </w:p>
        </w:tc>
      </w:tr>
      <w:tr>
        <w:trPr>
          <w:trHeight w:val="226"/>
        </w:trPr>
        <w:tc>
          <w:tcPr>
            <w:tcW w:w="3800" w:type="dxa"/>
            <w:vAlign w:val="bottom"/>
            <w:shd w:val="clear" w:color="auto" w:fill="153A57"/>
          </w:tcPr>
          <w:p>
            <w:pPr>
              <w:spacing w:after="0"/>
              <w:rPr>
                <w:sz w:val="19"/>
                <w:szCs w:val="19"/>
                <w:color w:val="auto"/>
              </w:rPr>
            </w:pPr>
          </w:p>
        </w:tc>
        <w:tc>
          <w:tcPr>
            <w:tcW w:w="900" w:type="dxa"/>
            <w:vAlign w:val="bottom"/>
            <w:shd w:val="clear" w:color="auto" w:fill="153A57"/>
          </w:tcPr>
          <w:p>
            <w:pPr>
              <w:jc w:val="center"/>
              <w:spacing w:after="0"/>
              <w:rPr>
                <w:sz w:val="20"/>
                <w:szCs w:val="20"/>
                <w:color w:val="auto"/>
              </w:rPr>
            </w:pPr>
            <w:r>
              <w:rPr>
                <w:rFonts w:ascii="Arial" w:cs="Arial" w:eastAsia="Arial" w:hAnsi="Arial"/>
                <w:sz w:val="15"/>
                <w:szCs w:val="15"/>
                <w:b w:val="1"/>
                <w:bCs w:val="1"/>
                <w:color w:val="FFFFFF"/>
                <w:w w:val="98"/>
              </w:rPr>
              <w:t>Cash</w:t>
            </w:r>
          </w:p>
        </w:tc>
        <w:tc>
          <w:tcPr>
            <w:tcW w:w="1140" w:type="dxa"/>
            <w:vAlign w:val="bottom"/>
            <w:shd w:val="clear" w:color="auto" w:fill="153A57"/>
          </w:tcPr>
          <w:p>
            <w:pPr>
              <w:jc w:val="center"/>
              <w:ind w:right="5"/>
              <w:spacing w:after="0"/>
              <w:rPr>
                <w:sz w:val="20"/>
                <w:szCs w:val="20"/>
                <w:color w:val="auto"/>
              </w:rPr>
            </w:pPr>
            <w:r>
              <w:rPr>
                <w:rFonts w:ascii="Arial" w:cs="Arial" w:eastAsia="Arial" w:hAnsi="Arial"/>
                <w:sz w:val="15"/>
                <w:szCs w:val="15"/>
                <w:b w:val="1"/>
                <w:bCs w:val="1"/>
                <w:color w:val="FFFFFF"/>
                <w:w w:val="99"/>
              </w:rPr>
              <w:t>Non-Compete</w:t>
            </w:r>
          </w:p>
        </w:tc>
        <w:tc>
          <w:tcPr>
            <w:tcW w:w="1160" w:type="dxa"/>
            <w:vAlign w:val="bottom"/>
            <w:shd w:val="clear" w:color="auto" w:fill="153A57"/>
          </w:tcPr>
          <w:p>
            <w:pPr>
              <w:jc w:val="center"/>
              <w:ind w:right="45"/>
              <w:spacing w:after="0"/>
              <w:rPr>
                <w:sz w:val="20"/>
                <w:szCs w:val="20"/>
                <w:color w:val="auto"/>
              </w:rPr>
            </w:pPr>
            <w:r>
              <w:rPr>
                <w:rFonts w:ascii="Arial" w:cs="Arial" w:eastAsia="Arial" w:hAnsi="Arial"/>
                <w:sz w:val="15"/>
                <w:szCs w:val="15"/>
                <w:b w:val="1"/>
                <w:bCs w:val="1"/>
                <w:color w:val="FFFFFF"/>
                <w:w w:val="99"/>
              </w:rPr>
              <w:t>Continuation</w:t>
            </w:r>
          </w:p>
        </w:tc>
        <w:tc>
          <w:tcPr>
            <w:tcW w:w="1120" w:type="dxa"/>
            <w:vAlign w:val="bottom"/>
            <w:shd w:val="clear" w:color="auto" w:fill="153A57"/>
          </w:tcPr>
          <w:p>
            <w:pPr>
              <w:jc w:val="center"/>
              <w:ind w:right="85"/>
              <w:spacing w:after="0"/>
              <w:rPr>
                <w:sz w:val="20"/>
                <w:szCs w:val="20"/>
                <w:color w:val="auto"/>
              </w:rPr>
            </w:pPr>
            <w:r>
              <w:rPr>
                <w:rFonts w:ascii="Arial" w:cs="Arial" w:eastAsia="Arial" w:hAnsi="Arial"/>
                <w:sz w:val="15"/>
                <w:szCs w:val="15"/>
                <w:b w:val="1"/>
                <w:bCs w:val="1"/>
                <w:color w:val="FFFFFF"/>
                <w:w w:val="98"/>
              </w:rPr>
              <w:t>Short-Term</w:t>
            </w:r>
          </w:p>
        </w:tc>
        <w:tc>
          <w:tcPr>
            <w:tcW w:w="1120" w:type="dxa"/>
            <w:vAlign w:val="bottom"/>
            <w:shd w:val="clear" w:color="auto" w:fill="153A57"/>
          </w:tcPr>
          <w:p>
            <w:pPr>
              <w:jc w:val="center"/>
              <w:ind w:right="65"/>
              <w:spacing w:after="0"/>
              <w:rPr>
                <w:sz w:val="20"/>
                <w:szCs w:val="20"/>
                <w:color w:val="auto"/>
              </w:rPr>
            </w:pPr>
            <w:r>
              <w:rPr>
                <w:rFonts w:ascii="Arial" w:cs="Arial" w:eastAsia="Arial" w:hAnsi="Arial"/>
                <w:sz w:val="15"/>
                <w:szCs w:val="15"/>
                <w:b w:val="1"/>
                <w:bCs w:val="1"/>
                <w:color w:val="FFFFFF"/>
                <w:w w:val="99"/>
              </w:rPr>
              <w:t>Vesting</w:t>
            </w:r>
          </w:p>
        </w:tc>
        <w:tc>
          <w:tcPr>
            <w:tcW w:w="320" w:type="dxa"/>
            <w:vAlign w:val="bottom"/>
            <w:shd w:val="clear" w:color="auto" w:fill="153A57"/>
          </w:tcPr>
          <w:p>
            <w:pPr>
              <w:spacing w:after="0"/>
              <w:rPr>
                <w:sz w:val="19"/>
                <w:szCs w:val="19"/>
                <w:color w:val="auto"/>
              </w:rPr>
            </w:pPr>
          </w:p>
        </w:tc>
      </w:tr>
      <w:tr>
        <w:trPr>
          <w:trHeight w:val="226"/>
        </w:trPr>
        <w:tc>
          <w:tcPr>
            <w:tcW w:w="3800" w:type="dxa"/>
            <w:vAlign w:val="bottom"/>
            <w:shd w:val="clear" w:color="auto" w:fill="153A57"/>
          </w:tcPr>
          <w:p>
            <w:pPr>
              <w:spacing w:after="0"/>
              <w:rPr>
                <w:sz w:val="19"/>
                <w:szCs w:val="19"/>
                <w:color w:val="auto"/>
              </w:rPr>
            </w:pPr>
          </w:p>
        </w:tc>
        <w:tc>
          <w:tcPr>
            <w:tcW w:w="900" w:type="dxa"/>
            <w:vAlign w:val="bottom"/>
            <w:shd w:val="clear" w:color="auto" w:fill="153A57"/>
          </w:tcPr>
          <w:p>
            <w:pPr>
              <w:jc w:val="center"/>
              <w:spacing w:after="0"/>
              <w:rPr>
                <w:sz w:val="20"/>
                <w:szCs w:val="20"/>
                <w:color w:val="auto"/>
              </w:rPr>
            </w:pPr>
            <w:r>
              <w:rPr>
                <w:rFonts w:ascii="Arial" w:cs="Arial" w:eastAsia="Arial" w:hAnsi="Arial"/>
                <w:sz w:val="15"/>
                <w:szCs w:val="15"/>
                <w:b w:val="1"/>
                <w:bCs w:val="1"/>
                <w:color w:val="FFFFFF"/>
              </w:rPr>
              <w:t>Severance</w:t>
            </w:r>
          </w:p>
        </w:tc>
        <w:tc>
          <w:tcPr>
            <w:tcW w:w="1140" w:type="dxa"/>
            <w:vAlign w:val="bottom"/>
            <w:shd w:val="clear" w:color="auto" w:fill="153A57"/>
          </w:tcPr>
          <w:p>
            <w:pPr>
              <w:jc w:val="center"/>
              <w:ind w:right="5"/>
              <w:spacing w:after="0"/>
              <w:rPr>
                <w:sz w:val="20"/>
                <w:szCs w:val="20"/>
                <w:color w:val="auto"/>
              </w:rPr>
            </w:pPr>
            <w:r>
              <w:rPr>
                <w:rFonts w:ascii="Arial" w:cs="Arial" w:eastAsia="Arial" w:hAnsi="Arial"/>
                <w:sz w:val="15"/>
                <w:szCs w:val="15"/>
                <w:b w:val="1"/>
                <w:bCs w:val="1"/>
                <w:color w:val="FFFFFF"/>
                <w:w w:val="98"/>
              </w:rPr>
              <w:t>Payements</w:t>
            </w:r>
          </w:p>
        </w:tc>
        <w:tc>
          <w:tcPr>
            <w:tcW w:w="1160" w:type="dxa"/>
            <w:vAlign w:val="bottom"/>
            <w:shd w:val="clear" w:color="auto" w:fill="153A57"/>
          </w:tcPr>
          <w:p>
            <w:pPr>
              <w:jc w:val="center"/>
              <w:ind w:right="65"/>
              <w:spacing w:after="0"/>
              <w:rPr>
                <w:sz w:val="20"/>
                <w:szCs w:val="20"/>
                <w:color w:val="auto"/>
              </w:rPr>
            </w:pPr>
            <w:r>
              <w:rPr>
                <w:rFonts w:ascii="Arial" w:cs="Arial" w:eastAsia="Arial" w:hAnsi="Arial"/>
                <w:sz w:val="15"/>
                <w:szCs w:val="15"/>
                <w:b w:val="1"/>
                <w:bCs w:val="1"/>
                <w:color w:val="FFFFFF"/>
              </w:rPr>
              <w:t>of Benefits</w:t>
            </w:r>
          </w:p>
        </w:tc>
        <w:tc>
          <w:tcPr>
            <w:tcW w:w="1120" w:type="dxa"/>
            <w:vAlign w:val="bottom"/>
            <w:shd w:val="clear" w:color="auto" w:fill="153A57"/>
          </w:tcPr>
          <w:p>
            <w:pPr>
              <w:jc w:val="center"/>
              <w:ind w:right="85"/>
              <w:spacing w:after="0"/>
              <w:rPr>
                <w:sz w:val="20"/>
                <w:szCs w:val="20"/>
                <w:color w:val="auto"/>
              </w:rPr>
            </w:pPr>
            <w:r>
              <w:rPr>
                <w:rFonts w:ascii="Arial" w:cs="Arial" w:eastAsia="Arial" w:hAnsi="Arial"/>
                <w:sz w:val="15"/>
                <w:szCs w:val="15"/>
                <w:b w:val="1"/>
                <w:bCs w:val="1"/>
                <w:color w:val="FFFFFF"/>
                <w:w w:val="98"/>
              </w:rPr>
              <w:t>Incentive</w:t>
            </w:r>
          </w:p>
        </w:tc>
        <w:tc>
          <w:tcPr>
            <w:tcW w:w="1120" w:type="dxa"/>
            <w:vAlign w:val="bottom"/>
            <w:shd w:val="clear" w:color="auto" w:fill="153A57"/>
          </w:tcPr>
          <w:p>
            <w:pPr>
              <w:jc w:val="center"/>
              <w:ind w:right="45"/>
              <w:spacing w:after="0"/>
              <w:rPr>
                <w:sz w:val="20"/>
                <w:szCs w:val="20"/>
                <w:color w:val="auto"/>
              </w:rPr>
            </w:pPr>
            <w:r>
              <w:rPr>
                <w:rFonts w:ascii="Arial" w:cs="Arial" w:eastAsia="Arial" w:hAnsi="Arial"/>
                <w:sz w:val="15"/>
                <w:szCs w:val="15"/>
                <w:b w:val="1"/>
                <w:bCs w:val="1"/>
                <w:color w:val="FFFFFF"/>
                <w:w w:val="99"/>
              </w:rPr>
              <w:t>of Equity</w:t>
            </w:r>
          </w:p>
        </w:tc>
        <w:tc>
          <w:tcPr>
            <w:tcW w:w="320" w:type="dxa"/>
            <w:vAlign w:val="bottom"/>
            <w:shd w:val="clear" w:color="auto" w:fill="153A57"/>
          </w:tcPr>
          <w:p>
            <w:pPr>
              <w:jc w:val="right"/>
              <w:spacing w:after="0"/>
              <w:rPr>
                <w:sz w:val="20"/>
                <w:szCs w:val="20"/>
                <w:color w:val="auto"/>
              </w:rPr>
            </w:pPr>
            <w:r>
              <w:rPr>
                <w:rFonts w:ascii="Arial" w:cs="Arial" w:eastAsia="Arial" w:hAnsi="Arial"/>
                <w:sz w:val="15"/>
                <w:szCs w:val="15"/>
                <w:b w:val="1"/>
                <w:bCs w:val="1"/>
                <w:color w:val="FFFFFF"/>
              </w:rPr>
              <w:t>T</w:t>
            </w:r>
          </w:p>
        </w:tc>
      </w:tr>
      <w:tr>
        <w:trPr>
          <w:trHeight w:val="258"/>
        </w:trPr>
        <w:tc>
          <w:tcPr>
            <w:tcW w:w="3800" w:type="dxa"/>
            <w:vAlign w:val="bottom"/>
            <w:shd w:val="clear" w:color="auto" w:fill="153A57"/>
          </w:tcPr>
          <w:p>
            <w:pPr>
              <w:ind w:left="100"/>
              <w:spacing w:after="0"/>
              <w:rPr>
                <w:sz w:val="20"/>
                <w:szCs w:val="20"/>
                <w:color w:val="auto"/>
              </w:rPr>
            </w:pPr>
            <w:r>
              <w:rPr>
                <w:rFonts w:ascii="Arial" w:cs="Arial" w:eastAsia="Arial" w:hAnsi="Arial"/>
                <w:sz w:val="15"/>
                <w:szCs w:val="15"/>
                <w:b w:val="1"/>
                <w:bCs w:val="1"/>
                <w:color w:val="FFFFFF"/>
              </w:rPr>
              <w:t>Name / Event of Termination</w:t>
            </w:r>
          </w:p>
        </w:tc>
        <w:tc>
          <w:tcPr>
            <w:tcW w:w="900" w:type="dxa"/>
            <w:vAlign w:val="bottom"/>
            <w:shd w:val="clear" w:color="auto" w:fill="153A57"/>
          </w:tcPr>
          <w:p>
            <w:pPr>
              <w:jc w:val="center"/>
              <w:spacing w:after="0"/>
              <w:rPr>
                <w:sz w:val="20"/>
                <w:szCs w:val="20"/>
                <w:color w:val="auto"/>
              </w:rPr>
            </w:pPr>
            <w:r>
              <w:rPr>
                <w:rFonts w:ascii="Arial" w:cs="Arial" w:eastAsia="Arial" w:hAnsi="Arial"/>
                <w:sz w:val="15"/>
                <w:szCs w:val="15"/>
                <w:b w:val="1"/>
                <w:bCs w:val="1"/>
                <w:color w:val="FFFFFF"/>
                <w:w w:val="95"/>
              </w:rPr>
              <w:t>US$</w:t>
            </w:r>
          </w:p>
        </w:tc>
        <w:tc>
          <w:tcPr>
            <w:tcW w:w="1140" w:type="dxa"/>
            <w:vAlign w:val="bottom"/>
            <w:shd w:val="clear" w:color="auto" w:fill="153A57"/>
          </w:tcPr>
          <w:p>
            <w:pPr>
              <w:jc w:val="center"/>
              <w:ind w:right="5"/>
              <w:spacing w:after="0"/>
              <w:rPr>
                <w:sz w:val="20"/>
                <w:szCs w:val="20"/>
                <w:color w:val="auto"/>
              </w:rPr>
            </w:pPr>
            <w:r>
              <w:rPr>
                <w:rFonts w:ascii="Arial" w:cs="Arial" w:eastAsia="Arial" w:hAnsi="Arial"/>
                <w:sz w:val="15"/>
                <w:szCs w:val="15"/>
                <w:b w:val="1"/>
                <w:bCs w:val="1"/>
                <w:color w:val="FFFFFF"/>
              </w:rPr>
              <w:t>US$</w:t>
            </w:r>
          </w:p>
        </w:tc>
        <w:tc>
          <w:tcPr>
            <w:tcW w:w="1160" w:type="dxa"/>
            <w:vAlign w:val="bottom"/>
            <w:shd w:val="clear" w:color="auto" w:fill="153A57"/>
          </w:tcPr>
          <w:p>
            <w:pPr>
              <w:jc w:val="center"/>
              <w:ind w:right="65"/>
              <w:spacing w:after="0"/>
              <w:rPr>
                <w:sz w:val="20"/>
                <w:szCs w:val="20"/>
                <w:color w:val="auto"/>
              </w:rPr>
            </w:pPr>
            <w:r>
              <w:rPr>
                <w:rFonts w:ascii="Arial" w:cs="Arial" w:eastAsia="Arial" w:hAnsi="Arial"/>
                <w:sz w:val="15"/>
                <w:szCs w:val="15"/>
                <w:b w:val="1"/>
                <w:bCs w:val="1"/>
                <w:color w:val="FFFFFF"/>
              </w:rPr>
              <w:t>US$</w:t>
            </w:r>
          </w:p>
        </w:tc>
        <w:tc>
          <w:tcPr>
            <w:tcW w:w="1120" w:type="dxa"/>
            <w:vAlign w:val="bottom"/>
            <w:shd w:val="clear" w:color="auto" w:fill="153A57"/>
          </w:tcPr>
          <w:p>
            <w:pPr>
              <w:jc w:val="center"/>
              <w:ind w:right="65"/>
              <w:spacing w:after="0"/>
              <w:rPr>
                <w:sz w:val="20"/>
                <w:szCs w:val="20"/>
                <w:color w:val="auto"/>
              </w:rPr>
            </w:pPr>
            <w:r>
              <w:rPr>
                <w:rFonts w:ascii="Arial" w:cs="Arial" w:eastAsia="Arial" w:hAnsi="Arial"/>
                <w:sz w:val="15"/>
                <w:szCs w:val="15"/>
                <w:b w:val="1"/>
                <w:bCs w:val="1"/>
                <w:color w:val="FFFFFF"/>
              </w:rPr>
              <w:t>US$</w:t>
            </w:r>
          </w:p>
        </w:tc>
        <w:tc>
          <w:tcPr>
            <w:tcW w:w="1120" w:type="dxa"/>
            <w:vAlign w:val="bottom"/>
            <w:shd w:val="clear" w:color="auto" w:fill="153A57"/>
          </w:tcPr>
          <w:p>
            <w:pPr>
              <w:jc w:val="center"/>
              <w:ind w:right="65"/>
              <w:spacing w:after="0"/>
              <w:rPr>
                <w:sz w:val="20"/>
                <w:szCs w:val="20"/>
                <w:color w:val="auto"/>
              </w:rPr>
            </w:pPr>
            <w:r>
              <w:rPr>
                <w:rFonts w:ascii="Arial" w:cs="Arial" w:eastAsia="Arial" w:hAnsi="Arial"/>
                <w:sz w:val="15"/>
                <w:szCs w:val="15"/>
                <w:b w:val="1"/>
                <w:bCs w:val="1"/>
                <w:color w:val="FFFFFF"/>
                <w:w w:val="92"/>
              </w:rPr>
              <w:t>US$</w:t>
            </w:r>
            <w:r>
              <w:rPr>
                <w:rFonts w:ascii="Arial" w:cs="Arial" w:eastAsia="Arial" w:hAnsi="Arial"/>
                <w:sz w:val="20"/>
                <w:szCs w:val="20"/>
                <w:b w:val="1"/>
                <w:bCs w:val="1"/>
                <w:color w:val="FFFFFF"/>
                <w:w w:val="92"/>
                <w:vertAlign w:val="superscript"/>
              </w:rPr>
              <w:t>(3)</w:t>
            </w:r>
          </w:p>
        </w:tc>
        <w:tc>
          <w:tcPr>
            <w:tcW w:w="320" w:type="dxa"/>
            <w:vAlign w:val="bottom"/>
            <w:shd w:val="clear" w:color="auto" w:fill="153A57"/>
          </w:tcPr>
          <w:p>
            <w:pPr>
              <w:jc w:val="right"/>
              <w:spacing w:after="0"/>
              <w:rPr>
                <w:sz w:val="20"/>
                <w:szCs w:val="20"/>
                <w:color w:val="auto"/>
              </w:rPr>
            </w:pPr>
            <w:r>
              <w:rPr>
                <w:rFonts w:ascii="Arial" w:cs="Arial" w:eastAsia="Arial" w:hAnsi="Arial"/>
                <w:sz w:val="15"/>
                <w:szCs w:val="15"/>
                <w:b w:val="1"/>
                <w:bCs w:val="1"/>
                <w:color w:val="FFFFFF"/>
              </w:rPr>
              <w:t>U</w:t>
            </w:r>
          </w:p>
        </w:tc>
      </w:tr>
      <w:tr>
        <w:trPr>
          <w:trHeight w:val="265"/>
        </w:trPr>
        <w:tc>
          <w:tcPr>
            <w:tcW w:w="3800" w:type="dxa"/>
            <w:vAlign w:val="bottom"/>
          </w:tcPr>
          <w:p>
            <w:pPr>
              <w:ind w:left="100"/>
              <w:spacing w:after="0"/>
              <w:rPr>
                <w:sz w:val="20"/>
                <w:szCs w:val="20"/>
                <w:color w:val="auto"/>
              </w:rPr>
            </w:pPr>
            <w:r>
              <w:rPr>
                <w:rFonts w:ascii="Arial" w:cs="Arial" w:eastAsia="Arial" w:hAnsi="Arial"/>
                <w:sz w:val="15"/>
                <w:szCs w:val="15"/>
                <w:b w:val="1"/>
                <w:bCs w:val="1"/>
                <w:color w:val="auto"/>
              </w:rPr>
              <w:t>John Kanellitsas, Executive Chair</w:t>
            </w:r>
            <w:r>
              <w:rPr>
                <w:rFonts w:ascii="Arial" w:cs="Arial" w:eastAsia="Arial" w:hAnsi="Arial"/>
                <w:sz w:val="20"/>
                <w:szCs w:val="20"/>
                <w:b w:val="1"/>
                <w:bCs w:val="1"/>
                <w:color w:val="auto"/>
                <w:vertAlign w:val="superscript"/>
              </w:rPr>
              <w:t>(4)</w:t>
            </w: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185"/>
        </w:trPr>
        <w:tc>
          <w:tcPr>
            <w:tcW w:w="3800" w:type="dxa"/>
            <w:vAlign w:val="bottom"/>
          </w:tcPr>
          <w:p>
            <w:pPr>
              <w:ind w:left="100"/>
              <w:spacing w:after="0"/>
              <w:rPr>
                <w:sz w:val="20"/>
                <w:szCs w:val="20"/>
                <w:color w:val="auto"/>
              </w:rPr>
            </w:pPr>
            <w:r>
              <w:rPr>
                <w:rFonts w:ascii="Arial" w:cs="Arial" w:eastAsia="Arial" w:hAnsi="Arial"/>
                <w:sz w:val="15"/>
                <w:szCs w:val="15"/>
                <w:color w:val="auto"/>
              </w:rPr>
              <w:t>Termination "For Cause"</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r>
      <w:tr>
        <w:trPr>
          <w:trHeight w:val="241"/>
        </w:trPr>
        <w:tc>
          <w:tcPr>
            <w:tcW w:w="3800" w:type="dxa"/>
            <w:vAlign w:val="bottom"/>
          </w:tcPr>
          <w:p>
            <w:pPr>
              <w:ind w:left="100"/>
              <w:spacing w:after="0"/>
              <w:rPr>
                <w:sz w:val="20"/>
                <w:szCs w:val="20"/>
                <w:color w:val="auto"/>
              </w:rPr>
            </w:pPr>
            <w:r>
              <w:rPr>
                <w:rFonts w:ascii="Arial" w:cs="Arial" w:eastAsia="Arial" w:hAnsi="Arial"/>
                <w:sz w:val="15"/>
                <w:szCs w:val="15"/>
                <w:color w:val="auto"/>
              </w:rPr>
              <w:t>Termination "Without Cause" or "For Good Reason"</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$1,635,380</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$58,887</w:t>
            </w:r>
          </w:p>
        </w:tc>
        <w:tc>
          <w:tcPr>
            <w:tcW w:w="1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$1,844,106</w:t>
            </w:r>
          </w:p>
        </w:tc>
        <w:tc>
          <w:tcPr>
            <w:tcW w:w="32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97"/>
        </w:trPr>
        <w:tc>
          <w:tcPr>
            <w:tcW w:w="3800" w:type="dxa"/>
            <w:vAlign w:val="bottom"/>
          </w:tcPr>
          <w:p>
            <w:pPr>
              <w:ind w:left="100"/>
              <w:spacing w:after="0"/>
              <w:rPr>
                <w:sz w:val="20"/>
                <w:szCs w:val="20"/>
                <w:color w:val="auto"/>
              </w:rPr>
            </w:pPr>
            <w:r>
              <w:rPr>
                <w:rFonts w:ascii="Arial" w:cs="Arial" w:eastAsia="Arial" w:hAnsi="Arial"/>
                <w:sz w:val="15"/>
                <w:szCs w:val="15"/>
                <w:color w:val="auto"/>
              </w:rPr>
              <w:t>Termination Related to Change of Control</w:t>
            </w:r>
            <w:r>
              <w:rPr>
                <w:rFonts w:ascii="Arial" w:cs="Arial" w:eastAsia="Arial" w:hAnsi="Arial"/>
                <w:sz w:val="20"/>
                <w:szCs w:val="20"/>
                <w:color w:val="auto"/>
                <w:vertAlign w:val="superscript"/>
              </w:rPr>
              <w:t>(1)(2)</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$9,402,308</w:t>
            </w:r>
          </w:p>
        </w:tc>
        <w:tc>
          <w:tcPr>
            <w:tcW w:w="320" w:type="dxa"/>
            <w:vAlign w:val="bottom"/>
          </w:tcPr>
          <w:p>
            <w:pPr>
              <w:jc w:val="right"/>
              <w:spacing w:after="0"/>
              <w:rPr>
                <w:sz w:val="20"/>
                <w:szCs w:val="20"/>
                <w:color w:val="auto"/>
              </w:rPr>
            </w:pPr>
            <w:r>
              <w:rPr>
                <w:rFonts w:ascii="Arial" w:cs="Arial" w:eastAsia="Arial" w:hAnsi="Arial"/>
                <w:sz w:val="15"/>
                <w:szCs w:val="15"/>
                <w:color w:val="auto"/>
              </w:rPr>
              <w:t>$9,4</w:t>
            </w:r>
          </w:p>
        </w:tc>
      </w:tr>
      <w:tr>
        <w:trPr>
          <w:trHeight w:val="185"/>
        </w:trPr>
        <w:tc>
          <w:tcPr>
            <w:tcW w:w="3800" w:type="dxa"/>
            <w:vAlign w:val="bottom"/>
          </w:tcPr>
          <w:p>
            <w:pPr>
              <w:ind w:left="100"/>
              <w:spacing w:after="0"/>
              <w:rPr>
                <w:sz w:val="20"/>
                <w:szCs w:val="20"/>
                <w:color w:val="auto"/>
              </w:rPr>
            </w:pPr>
            <w:r>
              <w:rPr>
                <w:rFonts w:ascii="Arial" w:cs="Arial" w:eastAsia="Arial" w:hAnsi="Arial"/>
                <w:sz w:val="15"/>
                <w:szCs w:val="15"/>
                <w:color w:val="auto"/>
              </w:rPr>
              <w:t>Resignation</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r>
      <w:tr>
        <w:trPr>
          <w:trHeight w:val="307"/>
        </w:trPr>
        <w:tc>
          <w:tcPr>
            <w:tcW w:w="3800" w:type="dxa"/>
            <w:vAlign w:val="bottom"/>
          </w:tcPr>
          <w:p>
            <w:pPr>
              <w:ind w:left="100"/>
              <w:spacing w:after="0"/>
              <w:rPr>
                <w:sz w:val="20"/>
                <w:szCs w:val="20"/>
                <w:color w:val="auto"/>
              </w:rPr>
            </w:pPr>
            <w:r>
              <w:rPr>
                <w:rFonts w:ascii="Arial" w:cs="Arial" w:eastAsia="Arial" w:hAnsi="Arial"/>
                <w:sz w:val="15"/>
                <w:szCs w:val="15"/>
                <w:b w:val="1"/>
                <w:bCs w:val="1"/>
                <w:color w:val="auto"/>
                <w:w w:val="99"/>
              </w:rPr>
              <w:t>Sam Pigott, President and Chief Executive Officer</w:t>
            </w:r>
            <w:r>
              <w:rPr>
                <w:rFonts w:ascii="Arial" w:cs="Arial" w:eastAsia="Arial" w:hAnsi="Arial"/>
                <w:sz w:val="20"/>
                <w:szCs w:val="20"/>
                <w:b w:val="1"/>
                <w:bCs w:val="1"/>
                <w:color w:val="auto"/>
                <w:w w:val="99"/>
                <w:vertAlign w:val="superscript"/>
              </w:rPr>
              <w:t>(5)</w:t>
            </w: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85"/>
        </w:trPr>
        <w:tc>
          <w:tcPr>
            <w:tcW w:w="3800" w:type="dxa"/>
            <w:vAlign w:val="bottom"/>
          </w:tcPr>
          <w:p>
            <w:pPr>
              <w:ind w:left="100"/>
              <w:spacing w:after="0"/>
              <w:rPr>
                <w:sz w:val="20"/>
                <w:szCs w:val="20"/>
                <w:color w:val="auto"/>
              </w:rPr>
            </w:pPr>
            <w:r>
              <w:rPr>
                <w:rFonts w:ascii="Arial" w:cs="Arial" w:eastAsia="Arial" w:hAnsi="Arial"/>
                <w:sz w:val="15"/>
                <w:szCs w:val="15"/>
                <w:color w:val="auto"/>
              </w:rPr>
              <w:t>Termination "For Cause"</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r>
      <w:tr>
        <w:trPr>
          <w:trHeight w:val="241"/>
        </w:trPr>
        <w:tc>
          <w:tcPr>
            <w:tcW w:w="3800" w:type="dxa"/>
            <w:vAlign w:val="bottom"/>
          </w:tcPr>
          <w:p>
            <w:pPr>
              <w:ind w:left="100"/>
              <w:spacing w:after="0"/>
              <w:rPr>
                <w:sz w:val="20"/>
                <w:szCs w:val="20"/>
                <w:color w:val="auto"/>
              </w:rPr>
            </w:pPr>
            <w:r>
              <w:rPr>
                <w:rFonts w:ascii="Arial" w:cs="Arial" w:eastAsia="Arial" w:hAnsi="Arial"/>
                <w:sz w:val="15"/>
                <w:szCs w:val="15"/>
                <w:color w:val="auto"/>
              </w:rPr>
              <w:t>Termination "Without Cause" or "For Good Reason"</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$2,081,528</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$7,160</w:t>
            </w:r>
          </w:p>
        </w:tc>
        <w:tc>
          <w:tcPr>
            <w:tcW w:w="1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$2,508,991</w:t>
            </w:r>
          </w:p>
        </w:tc>
        <w:tc>
          <w:tcPr>
            <w:tcW w:w="32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97"/>
        </w:trPr>
        <w:tc>
          <w:tcPr>
            <w:tcW w:w="3800" w:type="dxa"/>
            <w:vAlign w:val="bottom"/>
          </w:tcPr>
          <w:p>
            <w:pPr>
              <w:ind w:left="100"/>
              <w:spacing w:after="0"/>
              <w:rPr>
                <w:sz w:val="20"/>
                <w:szCs w:val="20"/>
                <w:color w:val="auto"/>
              </w:rPr>
            </w:pPr>
            <w:r>
              <w:rPr>
                <w:rFonts w:ascii="Arial" w:cs="Arial" w:eastAsia="Arial" w:hAnsi="Arial"/>
                <w:sz w:val="15"/>
                <w:szCs w:val="15"/>
                <w:color w:val="auto"/>
              </w:rPr>
              <w:t>Termination Related to Change of Control</w:t>
            </w:r>
            <w:r>
              <w:rPr>
                <w:rFonts w:ascii="Arial" w:cs="Arial" w:eastAsia="Arial" w:hAnsi="Arial"/>
                <w:sz w:val="20"/>
                <w:szCs w:val="20"/>
                <w:color w:val="auto"/>
                <w:vertAlign w:val="superscript"/>
              </w:rPr>
              <w:t>(1)(2)</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$6,630,939</w:t>
            </w:r>
          </w:p>
        </w:tc>
        <w:tc>
          <w:tcPr>
            <w:tcW w:w="32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185"/>
        </w:trPr>
        <w:tc>
          <w:tcPr>
            <w:tcW w:w="3800" w:type="dxa"/>
            <w:vAlign w:val="bottom"/>
          </w:tcPr>
          <w:p>
            <w:pPr>
              <w:ind w:left="100"/>
              <w:spacing w:after="0"/>
              <w:rPr>
                <w:sz w:val="20"/>
                <w:szCs w:val="20"/>
                <w:color w:val="auto"/>
              </w:rPr>
            </w:pPr>
            <w:r>
              <w:rPr>
                <w:rFonts w:ascii="Arial" w:cs="Arial" w:eastAsia="Arial" w:hAnsi="Arial"/>
                <w:sz w:val="15"/>
                <w:szCs w:val="15"/>
                <w:color w:val="auto"/>
              </w:rPr>
              <w:t>Resignation</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r>
      <w:tr>
        <w:trPr>
          <w:trHeight w:val="251"/>
        </w:trPr>
        <w:tc>
          <w:tcPr>
            <w:tcW w:w="3800" w:type="dxa"/>
            <w:vAlign w:val="bottom"/>
          </w:tcPr>
          <w:p>
            <w:pPr>
              <w:ind w:left="100"/>
              <w:spacing w:after="0"/>
              <w:rPr>
                <w:sz w:val="20"/>
                <w:szCs w:val="20"/>
                <w:color w:val="auto"/>
              </w:rPr>
            </w:pPr>
            <w:r>
              <w:rPr>
                <w:rFonts w:ascii="Arial" w:cs="Arial" w:eastAsia="Arial" w:hAnsi="Arial"/>
                <w:sz w:val="15"/>
                <w:szCs w:val="15"/>
                <w:b w:val="1"/>
                <w:bCs w:val="1"/>
                <w:color w:val="auto"/>
              </w:rPr>
              <w:t>Alex Shulga, Vice President and Chief Financial</w:t>
            </w: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26"/>
        </w:trPr>
        <w:tc>
          <w:tcPr>
            <w:tcW w:w="3800" w:type="dxa"/>
            <w:vAlign w:val="bottom"/>
          </w:tcPr>
          <w:p>
            <w:pPr>
              <w:ind w:left="100"/>
              <w:spacing w:after="0"/>
              <w:rPr>
                <w:sz w:val="20"/>
                <w:szCs w:val="20"/>
                <w:color w:val="auto"/>
              </w:rPr>
            </w:pPr>
            <w:r>
              <w:rPr>
                <w:rFonts w:ascii="Arial" w:cs="Arial" w:eastAsia="Arial" w:hAnsi="Arial"/>
                <w:sz w:val="15"/>
                <w:szCs w:val="15"/>
                <w:b w:val="1"/>
                <w:bCs w:val="1"/>
                <w:color w:val="auto"/>
              </w:rPr>
              <w:t>Officer</w:t>
            </w: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41"/>
        </w:trPr>
        <w:tc>
          <w:tcPr>
            <w:tcW w:w="3800" w:type="dxa"/>
            <w:vAlign w:val="bottom"/>
          </w:tcPr>
          <w:p>
            <w:pPr>
              <w:ind w:left="100"/>
              <w:spacing w:after="0"/>
              <w:rPr>
                <w:sz w:val="20"/>
                <w:szCs w:val="20"/>
                <w:color w:val="auto"/>
              </w:rPr>
            </w:pPr>
            <w:r>
              <w:rPr>
                <w:rFonts w:ascii="Arial" w:cs="Arial" w:eastAsia="Arial" w:hAnsi="Arial"/>
                <w:sz w:val="15"/>
                <w:szCs w:val="15"/>
                <w:color w:val="auto"/>
              </w:rPr>
              <w:t>Termination "For Cause"</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0"/>
                <w:szCs w:val="20"/>
                <w:color w:val="auto"/>
              </w:rPr>
            </w:pPr>
          </w:p>
        </w:tc>
      </w:tr>
      <w:tr>
        <w:trPr>
          <w:trHeight w:val="241"/>
        </w:trPr>
        <w:tc>
          <w:tcPr>
            <w:tcW w:w="3800" w:type="dxa"/>
            <w:vAlign w:val="bottom"/>
          </w:tcPr>
          <w:p>
            <w:pPr>
              <w:ind w:left="100"/>
              <w:spacing w:after="0"/>
              <w:rPr>
                <w:sz w:val="20"/>
                <w:szCs w:val="20"/>
                <w:color w:val="auto"/>
              </w:rPr>
            </w:pPr>
            <w:r>
              <w:rPr>
                <w:rFonts w:ascii="Arial" w:cs="Arial" w:eastAsia="Arial" w:hAnsi="Arial"/>
                <w:sz w:val="15"/>
                <w:szCs w:val="15"/>
                <w:color w:val="auto"/>
              </w:rPr>
              <w:t>Termination "Without Cause" or "For Good Reason"</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$1,355,261</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$21,005</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$1,580,663</w:t>
            </w:r>
          </w:p>
        </w:tc>
        <w:tc>
          <w:tcPr>
            <w:tcW w:w="32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97"/>
        </w:trPr>
        <w:tc>
          <w:tcPr>
            <w:tcW w:w="3800" w:type="dxa"/>
            <w:vAlign w:val="bottom"/>
          </w:tcPr>
          <w:p>
            <w:pPr>
              <w:ind w:left="100"/>
              <w:spacing w:after="0"/>
              <w:rPr>
                <w:sz w:val="20"/>
                <w:szCs w:val="20"/>
                <w:color w:val="auto"/>
              </w:rPr>
            </w:pPr>
            <w:r>
              <w:rPr>
                <w:rFonts w:ascii="Arial" w:cs="Arial" w:eastAsia="Arial" w:hAnsi="Arial"/>
                <w:sz w:val="15"/>
                <w:szCs w:val="15"/>
                <w:color w:val="auto"/>
              </w:rPr>
              <w:t>Termination Related to Change of Control</w:t>
            </w:r>
            <w:r>
              <w:rPr>
                <w:rFonts w:ascii="Arial" w:cs="Arial" w:eastAsia="Arial" w:hAnsi="Arial"/>
                <w:sz w:val="20"/>
                <w:szCs w:val="20"/>
                <w:color w:val="auto"/>
                <w:vertAlign w:val="superscript"/>
              </w:rPr>
              <w:t>(1)(2)</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$4,456,749</w:t>
            </w:r>
          </w:p>
        </w:tc>
        <w:tc>
          <w:tcPr>
            <w:tcW w:w="32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185"/>
        </w:trPr>
        <w:tc>
          <w:tcPr>
            <w:tcW w:w="3800" w:type="dxa"/>
            <w:vAlign w:val="bottom"/>
          </w:tcPr>
          <w:p>
            <w:pPr>
              <w:ind w:left="100"/>
              <w:spacing w:after="0"/>
              <w:rPr>
                <w:sz w:val="20"/>
                <w:szCs w:val="20"/>
                <w:color w:val="auto"/>
              </w:rPr>
            </w:pPr>
            <w:r>
              <w:rPr>
                <w:rFonts w:ascii="Arial" w:cs="Arial" w:eastAsia="Arial" w:hAnsi="Arial"/>
                <w:sz w:val="15"/>
                <w:szCs w:val="15"/>
                <w:color w:val="auto"/>
              </w:rPr>
              <w:t>Resignation</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r>
      <w:tr>
        <w:trPr>
          <w:trHeight w:val="251"/>
        </w:trPr>
        <w:tc>
          <w:tcPr>
            <w:tcW w:w="3800" w:type="dxa"/>
            <w:vAlign w:val="bottom"/>
          </w:tcPr>
          <w:p>
            <w:pPr>
              <w:ind w:left="100"/>
              <w:spacing w:after="0"/>
              <w:rPr>
                <w:sz w:val="20"/>
                <w:szCs w:val="20"/>
                <w:color w:val="auto"/>
              </w:rPr>
            </w:pPr>
            <w:r>
              <w:rPr>
                <w:rFonts w:ascii="Arial" w:cs="Arial" w:eastAsia="Arial" w:hAnsi="Arial"/>
                <w:sz w:val="15"/>
                <w:szCs w:val="15"/>
                <w:b w:val="1"/>
                <w:bCs w:val="1"/>
                <w:color w:val="auto"/>
              </w:rPr>
              <w:t>Mariano Chiappori, Vice President and Chief</w:t>
            </w: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26"/>
        </w:trPr>
        <w:tc>
          <w:tcPr>
            <w:tcW w:w="3800" w:type="dxa"/>
            <w:vAlign w:val="bottom"/>
          </w:tcPr>
          <w:p>
            <w:pPr>
              <w:ind w:left="100"/>
              <w:spacing w:after="0"/>
              <w:rPr>
                <w:sz w:val="20"/>
                <w:szCs w:val="20"/>
                <w:color w:val="auto"/>
              </w:rPr>
            </w:pPr>
            <w:r>
              <w:rPr>
                <w:rFonts w:ascii="Arial" w:cs="Arial" w:eastAsia="Arial" w:hAnsi="Arial"/>
                <w:sz w:val="15"/>
                <w:szCs w:val="15"/>
                <w:b w:val="1"/>
                <w:bCs w:val="1"/>
                <w:color w:val="auto"/>
              </w:rPr>
              <w:t>Operating Officer</w:t>
            </w: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41"/>
        </w:trPr>
        <w:tc>
          <w:tcPr>
            <w:tcW w:w="3800" w:type="dxa"/>
            <w:vAlign w:val="bottom"/>
          </w:tcPr>
          <w:p>
            <w:pPr>
              <w:ind w:left="100"/>
              <w:spacing w:after="0"/>
              <w:rPr>
                <w:sz w:val="20"/>
                <w:szCs w:val="20"/>
                <w:color w:val="auto"/>
              </w:rPr>
            </w:pPr>
            <w:r>
              <w:rPr>
                <w:rFonts w:ascii="Arial" w:cs="Arial" w:eastAsia="Arial" w:hAnsi="Arial"/>
                <w:sz w:val="15"/>
                <w:szCs w:val="15"/>
                <w:color w:val="auto"/>
              </w:rPr>
              <w:t>Termination "For Cause"</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0"/>
                <w:szCs w:val="20"/>
                <w:color w:val="auto"/>
              </w:rPr>
            </w:pPr>
          </w:p>
        </w:tc>
      </w:tr>
      <w:tr>
        <w:trPr>
          <w:trHeight w:val="241"/>
        </w:trPr>
        <w:tc>
          <w:tcPr>
            <w:tcW w:w="3800" w:type="dxa"/>
            <w:vAlign w:val="bottom"/>
          </w:tcPr>
          <w:p>
            <w:pPr>
              <w:ind w:left="100"/>
              <w:spacing w:after="0"/>
              <w:rPr>
                <w:sz w:val="20"/>
                <w:szCs w:val="20"/>
                <w:color w:val="auto"/>
              </w:rPr>
            </w:pPr>
            <w:r>
              <w:rPr>
                <w:rFonts w:ascii="Arial" w:cs="Arial" w:eastAsia="Arial" w:hAnsi="Arial"/>
                <w:sz w:val="15"/>
                <w:szCs w:val="15"/>
                <w:color w:val="auto"/>
              </w:rPr>
              <w:t>Termination "Without Cause" or "For Good Reason"</w:t>
            </w:r>
          </w:p>
        </w:tc>
        <w:tc>
          <w:tcPr>
            <w:tcW w:w="900" w:type="dxa"/>
            <w:vAlign w:val="bottom"/>
          </w:tcPr>
          <w:p>
            <w:pPr>
              <w:jc w:val="right"/>
              <w:spacing w:after="0"/>
              <w:rPr>
                <w:sz w:val="20"/>
                <w:szCs w:val="20"/>
                <w:color w:val="auto"/>
              </w:rPr>
            </w:pPr>
            <w:r>
              <w:rPr>
                <w:rFonts w:ascii="Arial" w:cs="Arial" w:eastAsia="Arial" w:hAnsi="Arial"/>
                <w:sz w:val="15"/>
                <w:szCs w:val="15"/>
                <w:color w:val="auto"/>
              </w:rPr>
              <w:t>$373,750</w:t>
            </w: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$442,113</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297"/>
        </w:trPr>
        <w:tc>
          <w:tcPr>
            <w:tcW w:w="3800" w:type="dxa"/>
            <w:vAlign w:val="bottom"/>
          </w:tcPr>
          <w:p>
            <w:pPr>
              <w:ind w:left="100"/>
              <w:spacing w:after="0"/>
              <w:rPr>
                <w:sz w:val="20"/>
                <w:szCs w:val="20"/>
                <w:color w:val="auto"/>
              </w:rPr>
            </w:pPr>
            <w:r>
              <w:rPr>
                <w:rFonts w:ascii="Arial" w:cs="Arial" w:eastAsia="Arial" w:hAnsi="Arial"/>
                <w:sz w:val="15"/>
                <w:szCs w:val="15"/>
                <w:color w:val="auto"/>
              </w:rPr>
              <w:t>Termination Related to Change of Control</w:t>
            </w:r>
            <w:r>
              <w:rPr>
                <w:rFonts w:ascii="Arial" w:cs="Arial" w:eastAsia="Arial" w:hAnsi="Arial"/>
                <w:sz w:val="20"/>
                <w:szCs w:val="20"/>
                <w:color w:val="auto"/>
                <w:vertAlign w:val="superscript"/>
              </w:rPr>
              <w:t>(1)(2)</w:t>
            </w:r>
          </w:p>
        </w:tc>
        <w:tc>
          <w:tcPr>
            <w:tcW w:w="900" w:type="dxa"/>
            <w:vAlign w:val="bottom"/>
          </w:tcPr>
          <w:p>
            <w:pPr>
              <w:jc w:val="right"/>
              <w:spacing w:after="0"/>
              <w:rPr>
                <w:sz w:val="20"/>
                <w:szCs w:val="20"/>
                <w:color w:val="auto"/>
              </w:rPr>
            </w:pPr>
            <w:r>
              <w:rPr>
                <w:rFonts w:ascii="Arial" w:cs="Arial" w:eastAsia="Arial" w:hAnsi="Arial"/>
                <w:sz w:val="15"/>
                <w:szCs w:val="15"/>
                <w:color w:val="auto"/>
              </w:rPr>
              <w:t>$560,625</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$663,170</w:t>
            </w:r>
          </w:p>
        </w:tc>
        <w:tc>
          <w:tcPr>
            <w:tcW w:w="1120" w:type="dxa"/>
            <w:vAlign w:val="bottom"/>
          </w:tcPr>
          <w:p>
            <w:pPr>
              <w:jc w:val="right"/>
              <w:spacing w:after="0"/>
              <w:rPr>
                <w:sz w:val="20"/>
                <w:szCs w:val="20"/>
                <w:color w:val="auto"/>
              </w:rPr>
            </w:pPr>
            <w:r>
              <w:rPr>
                <w:rFonts w:ascii="Arial" w:cs="Arial" w:eastAsia="Arial" w:hAnsi="Arial"/>
                <w:sz w:val="15"/>
                <w:szCs w:val="15"/>
                <w:color w:val="auto"/>
              </w:rPr>
              <w:t>$2,409,148</w:t>
            </w:r>
          </w:p>
        </w:tc>
        <w:tc>
          <w:tcPr>
            <w:tcW w:w="32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185"/>
        </w:trPr>
        <w:tc>
          <w:tcPr>
            <w:tcW w:w="3800" w:type="dxa"/>
            <w:vAlign w:val="bottom"/>
          </w:tcPr>
          <w:p>
            <w:pPr>
              <w:ind w:left="100"/>
              <w:spacing w:after="0"/>
              <w:rPr>
                <w:sz w:val="20"/>
                <w:szCs w:val="20"/>
                <w:color w:val="auto"/>
              </w:rPr>
            </w:pPr>
            <w:r>
              <w:rPr>
                <w:rFonts w:ascii="Arial" w:cs="Arial" w:eastAsia="Arial" w:hAnsi="Arial"/>
                <w:sz w:val="15"/>
                <w:szCs w:val="15"/>
                <w:color w:val="auto"/>
              </w:rPr>
              <w:t>Resignation</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r>
      <w:tr>
        <w:trPr>
          <w:trHeight w:val="251"/>
        </w:trPr>
        <w:tc>
          <w:tcPr>
            <w:tcW w:w="3800" w:type="dxa"/>
            <w:vAlign w:val="bottom"/>
          </w:tcPr>
          <w:p>
            <w:pPr>
              <w:ind w:left="100"/>
              <w:spacing w:after="0"/>
              <w:rPr>
                <w:sz w:val="20"/>
                <w:szCs w:val="20"/>
                <w:color w:val="auto"/>
              </w:rPr>
            </w:pPr>
            <w:r>
              <w:rPr>
                <w:rFonts w:ascii="Arial" w:cs="Arial" w:eastAsia="Arial" w:hAnsi="Arial"/>
                <w:sz w:val="15"/>
                <w:szCs w:val="15"/>
                <w:b w:val="1"/>
                <w:bCs w:val="1"/>
                <w:color w:val="auto"/>
              </w:rPr>
              <w:t>Alec Meikle, Executive Vice President, Corporate</w:t>
            </w: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82"/>
        </w:trPr>
        <w:tc>
          <w:tcPr>
            <w:tcW w:w="3800" w:type="dxa"/>
            <w:vAlign w:val="bottom"/>
          </w:tcPr>
          <w:p>
            <w:pPr>
              <w:ind w:left="100"/>
              <w:spacing w:after="0"/>
              <w:rPr>
                <w:sz w:val="20"/>
                <w:szCs w:val="20"/>
                <w:color w:val="auto"/>
              </w:rPr>
            </w:pPr>
            <w:r>
              <w:rPr>
                <w:rFonts w:ascii="Arial" w:cs="Arial" w:eastAsia="Arial" w:hAnsi="Arial"/>
                <w:sz w:val="15"/>
                <w:szCs w:val="15"/>
                <w:b w:val="1"/>
                <w:bCs w:val="1"/>
                <w:color w:val="auto"/>
              </w:rPr>
              <w:t>Development</w:t>
            </w:r>
            <w:r>
              <w:rPr>
                <w:rFonts w:ascii="Arial" w:cs="Arial" w:eastAsia="Arial" w:hAnsi="Arial"/>
                <w:sz w:val="20"/>
                <w:szCs w:val="20"/>
                <w:b w:val="1"/>
                <w:bCs w:val="1"/>
                <w:color w:val="auto"/>
                <w:vertAlign w:val="superscript"/>
              </w:rPr>
              <w:t>(6)</w:t>
            </w: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85"/>
        </w:trPr>
        <w:tc>
          <w:tcPr>
            <w:tcW w:w="3800" w:type="dxa"/>
            <w:vAlign w:val="bottom"/>
          </w:tcPr>
          <w:p>
            <w:pPr>
              <w:ind w:left="100"/>
              <w:spacing w:after="0"/>
              <w:rPr>
                <w:sz w:val="20"/>
                <w:szCs w:val="20"/>
                <w:color w:val="auto"/>
              </w:rPr>
            </w:pPr>
            <w:r>
              <w:rPr>
                <w:rFonts w:ascii="Arial" w:cs="Arial" w:eastAsia="Arial" w:hAnsi="Arial"/>
                <w:sz w:val="15"/>
                <w:szCs w:val="15"/>
                <w:color w:val="auto"/>
              </w:rPr>
              <w:t>Termination "For Cause"</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6"/>
                <w:szCs w:val="16"/>
                <w:color w:val="auto"/>
              </w:rPr>
            </w:pPr>
          </w:p>
        </w:tc>
      </w:tr>
      <w:tr>
        <w:trPr>
          <w:trHeight w:val="241"/>
        </w:trPr>
        <w:tc>
          <w:tcPr>
            <w:tcW w:w="3800" w:type="dxa"/>
            <w:vAlign w:val="bottom"/>
          </w:tcPr>
          <w:p>
            <w:pPr>
              <w:ind w:left="100"/>
              <w:spacing w:after="0"/>
              <w:rPr>
                <w:sz w:val="20"/>
                <w:szCs w:val="20"/>
                <w:color w:val="auto"/>
              </w:rPr>
            </w:pPr>
            <w:r>
              <w:rPr>
                <w:rFonts w:ascii="Arial" w:cs="Arial" w:eastAsia="Arial" w:hAnsi="Arial"/>
                <w:sz w:val="15"/>
                <w:szCs w:val="15"/>
                <w:color w:val="auto"/>
              </w:rPr>
              <w:t>Termination "Without Cause" or "For Good Reason"</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$1,417,063</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$4,875,475</w:t>
            </w:r>
          </w:p>
        </w:tc>
        <w:tc>
          <w:tcPr>
            <w:tcW w:w="32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297"/>
        </w:trPr>
        <w:tc>
          <w:tcPr>
            <w:tcW w:w="3800" w:type="dxa"/>
            <w:vAlign w:val="bottom"/>
          </w:tcPr>
          <w:p>
            <w:pPr>
              <w:ind w:left="100"/>
              <w:spacing w:after="0"/>
              <w:rPr>
                <w:sz w:val="20"/>
                <w:szCs w:val="20"/>
                <w:color w:val="auto"/>
              </w:rPr>
            </w:pPr>
            <w:r>
              <w:rPr>
                <w:rFonts w:ascii="Arial" w:cs="Arial" w:eastAsia="Arial" w:hAnsi="Arial"/>
                <w:sz w:val="15"/>
                <w:szCs w:val="15"/>
                <w:color w:val="auto"/>
              </w:rPr>
              <w:t>Termination Related to Change of Control</w:t>
            </w:r>
            <w:r>
              <w:rPr>
                <w:rFonts w:ascii="Arial" w:cs="Arial" w:eastAsia="Arial" w:hAnsi="Arial"/>
                <w:sz w:val="20"/>
                <w:szCs w:val="20"/>
                <w:color w:val="auto"/>
                <w:vertAlign w:val="superscript"/>
              </w:rPr>
              <w:t>(1)(2)</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$7,236,434</w:t>
            </w:r>
          </w:p>
        </w:tc>
        <w:tc>
          <w:tcPr>
            <w:tcW w:w="320" w:type="dxa"/>
            <w:vAlign w:val="bottom"/>
          </w:tcPr>
          <w:p>
            <w:pPr>
              <w:jc w:val="right"/>
              <w:spacing w:after="0"/>
              <w:rPr>
                <w:sz w:val="20"/>
                <w:szCs w:val="20"/>
                <w:color w:val="auto"/>
              </w:rPr>
            </w:pPr>
            <w:r>
              <w:rPr>
                <w:rFonts w:ascii="Arial" w:cs="Arial" w:eastAsia="Arial" w:hAnsi="Arial"/>
                <w:sz w:val="15"/>
                <w:szCs w:val="15"/>
                <w:color w:val="auto"/>
              </w:rPr>
              <w:t>$7,2</w:t>
            </w:r>
          </w:p>
        </w:tc>
      </w:tr>
      <w:tr>
        <w:trPr>
          <w:trHeight w:val="198"/>
        </w:trPr>
        <w:tc>
          <w:tcPr>
            <w:tcW w:w="3800" w:type="dxa"/>
            <w:vAlign w:val="bottom"/>
          </w:tcPr>
          <w:p>
            <w:pPr>
              <w:ind w:left="100"/>
              <w:spacing w:after="0"/>
              <w:rPr>
                <w:sz w:val="20"/>
                <w:szCs w:val="20"/>
                <w:color w:val="auto"/>
              </w:rPr>
            </w:pPr>
            <w:r>
              <w:rPr>
                <w:rFonts w:ascii="Arial" w:cs="Arial" w:eastAsia="Arial" w:hAnsi="Arial"/>
                <w:sz w:val="16"/>
                <w:szCs w:val="16"/>
                <w:color w:val="auto"/>
              </w:rPr>
              <w:t>Resignation</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-3502025</wp:posOffset>
            </wp:positionV>
            <wp:extent cx="6078220" cy="6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3">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-2731135</wp:posOffset>
            </wp:positionV>
            <wp:extent cx="6078220" cy="63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4">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-1816735</wp:posOffset>
            </wp:positionV>
            <wp:extent cx="6078220" cy="6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5">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-901700</wp:posOffset>
            </wp:positionV>
            <wp:extent cx="6078220" cy="6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6">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21590</wp:posOffset>
            </wp:positionV>
            <wp:extent cx="6078220" cy="63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7">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357"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Notes:</w:t>
      </w:r>
    </w:p>
    <w:p>
      <w:pPr>
        <w:spacing w:after="0" w:line="123" w:lineRule="exact"/>
        <w:rPr>
          <w:sz w:val="20"/>
          <w:szCs w:val="20"/>
          <w:color w:val="auto"/>
        </w:rPr>
      </w:pPr>
    </w:p>
    <w:p>
      <w:pPr>
        <w:jc w:val="both"/>
        <w:ind w:left="1260" w:hanging="366"/>
        <w:spacing w:after="0" w:line="372" w:lineRule="auto"/>
        <w:tabs>
          <w:tab w:leader="none" w:pos="1260"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entitlement of the named executives to payment upon a change of control is not necessari substitution for, and may be in addition to, amounts payable to such named executives upon terminatio the Company.</w:t>
      </w:r>
    </w:p>
    <w:p>
      <w:pPr>
        <w:spacing w:after="0" w:line="10" w:lineRule="exact"/>
        <w:rPr>
          <w:rFonts w:ascii="Arial" w:cs="Arial" w:eastAsia="Arial" w:hAnsi="Arial"/>
          <w:sz w:val="20"/>
          <w:szCs w:val="20"/>
          <w:color w:val="auto"/>
        </w:rPr>
      </w:pPr>
    </w:p>
    <w:p>
      <w:pPr>
        <w:ind w:left="1260" w:right="120" w:hanging="366"/>
        <w:spacing w:after="0" w:line="368" w:lineRule="auto"/>
        <w:tabs>
          <w:tab w:leader="none" w:pos="1260" w:val="left"/>
        </w:tabs>
        <w:numPr>
          <w:ilvl w:val="0"/>
          <w:numId w:val="94"/>
        </w:numPr>
        <w:rPr>
          <w:rFonts w:ascii="Arial" w:cs="Arial" w:eastAsia="Arial" w:hAnsi="Arial"/>
          <w:sz w:val="20"/>
          <w:szCs w:val="20"/>
          <w:color w:val="auto"/>
        </w:rPr>
      </w:pPr>
      <w:r>
        <w:rPr>
          <w:rFonts w:ascii="Arial" w:cs="Arial" w:eastAsia="Arial" w:hAnsi="Arial"/>
          <w:sz w:val="20"/>
          <w:szCs w:val="20"/>
          <w:color w:val="auto"/>
        </w:rPr>
        <w:t>Amounts above include, among other things, amounts payable in lieu of bonuses that would have earned during the applicable severance period.</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51 / 59</w:t>
      </w:r>
    </w:p>
    <w:p>
      <w:pPr>
        <w:sectPr>
          <w:pgSz w:w="11900" w:h="16838" w:orient="portrait"/>
          <w:cols w:equalWidth="0" w:num="1">
            <w:col w:w="10460"/>
          </w:cols>
          <w:pgMar w:left="1440" w:top="1440" w:right="6" w:bottom="0" w:gutter="0" w:footer="0" w:header="0"/>
          <w:type w:val="continuous"/>
        </w:sectPr>
      </w:pPr>
    </w:p>
    <w:bookmarkStart w:id="221" w:name="page222"/>
    <w:bookmarkEnd w:id="221"/>
    <w:p>
      <w:pPr>
        <w:jc w:val="both"/>
        <w:ind w:left="1260" w:hanging="366"/>
        <w:spacing w:after="0" w:line="374" w:lineRule="auto"/>
        <w:tabs>
          <w:tab w:leader="none" w:pos="1260" w:val="left"/>
        </w:tabs>
        <w:numPr>
          <w:ilvl w:val="0"/>
          <w:numId w:val="95"/>
        </w:numPr>
        <w:rPr>
          <w:rFonts w:ascii="Arial" w:cs="Arial" w:eastAsia="Arial" w:hAnsi="Arial"/>
          <w:sz w:val="20"/>
          <w:szCs w:val="20"/>
          <w:color w:val="auto"/>
        </w:rPr>
      </w:pPr>
      <w:r>
        <w:rPr>
          <w:rFonts w:ascii="Arial" w:cs="Arial" w:eastAsia="Arial" w:hAnsi="Arial"/>
          <w:sz w:val="20"/>
          <w:szCs w:val="20"/>
          <w:color w:val="auto"/>
        </w:rPr>
        <w:t>For the equity component, the amount represents the realizable value as of December 31, 2025, of Opt RSUs and PSUs which are subject to accelerated vesting. The value of unexercised “in-the-money optio calculated on the basis of the difference between the closing price of the Common Shares on the NYS December 31, 2025, of $5.58 and the exercise price of the Options. The value of accelerated RSUs PSUs is calculated on the basis of the closing price of the Shares on the NYSE on December 31, 202 $5.58. Will transition to non-Executive Chair on March 31, 2026.</w:t>
      </w:r>
    </w:p>
    <w:p>
      <w:pPr>
        <w:spacing w:after="0" w:line="10" w:lineRule="exact"/>
        <w:rPr>
          <w:sz w:val="20"/>
          <w:szCs w:val="20"/>
          <w:color w:val="auto"/>
        </w:rPr>
      </w:pPr>
    </w:p>
    <w:p>
      <w:pPr>
        <w:ind w:left="1260" w:hanging="366"/>
        <w:spacing w:after="0" w:line="368" w:lineRule="auto"/>
        <w:tabs>
          <w:tab w:leader="none" w:pos="1260" w:val="left"/>
        </w:tabs>
        <w:numPr>
          <w:ilvl w:val="0"/>
          <w:numId w:val="96"/>
        </w:numPr>
        <w:rPr>
          <w:rFonts w:ascii="Arial" w:cs="Arial" w:eastAsia="Arial" w:hAnsi="Arial"/>
          <w:sz w:val="20"/>
          <w:szCs w:val="20"/>
          <w:color w:val="auto"/>
        </w:rPr>
      </w:pPr>
      <w:r>
        <w:rPr>
          <w:rFonts w:ascii="Arial" w:cs="Arial" w:eastAsia="Arial" w:hAnsi="Arial"/>
          <w:sz w:val="20"/>
          <w:szCs w:val="20"/>
          <w:color w:val="auto"/>
        </w:rPr>
        <w:t>Appointed CEO effective from March 19, 2024. Ceased to be President and remains solely CEO a January 1, 2026.</w:t>
      </w:r>
    </w:p>
    <w:p>
      <w:pPr>
        <w:spacing w:after="0" w:line="14" w:lineRule="exact"/>
        <w:rPr>
          <w:rFonts w:ascii="Arial" w:cs="Arial" w:eastAsia="Arial" w:hAnsi="Arial"/>
          <w:sz w:val="20"/>
          <w:szCs w:val="20"/>
          <w:color w:val="auto"/>
        </w:rPr>
      </w:pPr>
    </w:p>
    <w:p>
      <w:pPr>
        <w:ind w:left="1260" w:hanging="366"/>
        <w:spacing w:after="0" w:line="368" w:lineRule="auto"/>
        <w:tabs>
          <w:tab w:leader="none" w:pos="1260" w:val="left"/>
        </w:tabs>
        <w:numPr>
          <w:ilvl w:val="0"/>
          <w:numId w:val="96"/>
        </w:numPr>
        <w:rPr>
          <w:rFonts w:ascii="Arial" w:cs="Arial" w:eastAsia="Arial" w:hAnsi="Arial"/>
          <w:sz w:val="20"/>
          <w:szCs w:val="20"/>
          <w:color w:val="auto"/>
        </w:rPr>
      </w:pPr>
      <w:r>
        <w:rPr>
          <w:rFonts w:ascii="Arial" w:cs="Arial" w:eastAsia="Arial" w:hAnsi="Arial"/>
          <w:sz w:val="20"/>
          <w:szCs w:val="20"/>
          <w:color w:val="auto"/>
        </w:rPr>
        <w:t>Appointed Executive Vice President, Corporate Development on July 31, 2024. Promoted to Presi effective as of January 1, 2026.</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Management Contracts</w:t>
      </w:r>
    </w:p>
    <w:p>
      <w:pPr>
        <w:spacing w:after="0" w:line="279" w:lineRule="exact"/>
        <w:rPr>
          <w:sz w:val="20"/>
          <w:szCs w:val="20"/>
          <w:color w:val="auto"/>
        </w:rPr>
      </w:pPr>
    </w:p>
    <w:p>
      <w:pPr>
        <w:ind w:left="900" w:right="80"/>
        <w:spacing w:after="0" w:line="307" w:lineRule="auto"/>
        <w:rPr>
          <w:sz w:val="20"/>
          <w:szCs w:val="20"/>
          <w:color w:val="auto"/>
        </w:rPr>
      </w:pPr>
      <w:r>
        <w:rPr>
          <w:rFonts w:ascii="Arial" w:cs="Arial" w:eastAsia="Arial" w:hAnsi="Arial"/>
          <w:sz w:val="20"/>
          <w:szCs w:val="20"/>
          <w:color w:val="auto"/>
        </w:rPr>
        <w:t>No management functions of the Company or its subsidiaries are to any substantial degree performed person or company other than the directors and officers of the Company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1091565</wp:posOffset>
            </wp:positionV>
            <wp:extent cx="6764020" cy="190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0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21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52 / 59</w:t>
      </w:r>
    </w:p>
    <w:p>
      <w:pPr>
        <w:sectPr>
          <w:pgSz w:w="11900" w:h="16838" w:orient="portrait"/>
          <w:cols w:equalWidth="0" w:num="1">
            <w:col w:w="10460"/>
          </w:cols>
          <w:pgMar w:left="1440" w:top="1215" w:right="6" w:bottom="0" w:gutter="0" w:footer="0" w:header="0"/>
          <w:type w:val="continuous"/>
        </w:sectPr>
      </w:pPr>
    </w:p>
    <w:bookmarkStart w:id="222" w:name="page223"/>
    <w:bookmarkEnd w:id="2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Securities Authorized For Issuance Under Equity Incentive Plans</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Under the conditional capital for equity incentive plans under the Articles, the Company may issue u 16,193,223 Common Shares. The current Incentive Plan is the Company’s only equity incentive plan and go all equity incentives awarded by the Company, including RSUs, PSUs, DSUs and Options. The aggre number of Common Shares that may be subject to issuance, together with any other securities-b compensation arrangements of the Company under the Incentive Plan, must not exceed 8% of the issued outstanding Common Shares from time to time. Based on the number of outstanding Common Shares issu of December 31, 2025, 12,992,552 Shares may be reserved for issuance under the Incentive Plan.</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following information is as at the Company’s financial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236220</wp:posOffset>
            </wp:positionV>
            <wp:extent cx="6350" cy="138938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09">
                      <a:extLst>
                        <a:ext uri="{28A0092B-C50C-407E-A947-70E740481C1C}"/>
                      </a:extLst>
                    </a:blip>
                    <a:srcRect/>
                    <a:stretch>
                      <a:fillRect/>
                    </a:stretch>
                  </pic:blipFill>
                  <pic:spPr bwMode="auto">
                    <a:xfrm>
                      <a:off x="0" y="0"/>
                      <a:ext cx="6350" cy="138938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236220</wp:posOffset>
            </wp:positionV>
            <wp:extent cx="6350" cy="138938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0">
                      <a:extLst>
                        <a:ext uri="{28A0092B-C50C-407E-A947-70E740481C1C}"/>
                      </a:extLst>
                    </a:blip>
                    <a:srcRect/>
                    <a:stretch>
                      <a:fillRect/>
                    </a:stretch>
                  </pic:blipFill>
                  <pic:spPr bwMode="auto">
                    <a:xfrm>
                      <a:off x="0" y="0"/>
                      <a:ext cx="6350" cy="1389380"/>
                    </a:xfrm>
                    <a:prstGeom prst="rect">
                      <a:avLst/>
                    </a:prstGeom>
                    <a:noFill/>
                  </pic:spPr>
                </pic:pic>
              </a:graphicData>
            </a:graphic>
          </wp:anchor>
        </w:drawing>
        <w:drawing>
          <wp:anchor simplePos="0" relativeHeight="251657728" behindDoc="1" locked="0" layoutInCell="0" allowOverlap="1">
            <wp:simplePos x="0" y="0"/>
            <wp:positionH relativeFrom="column">
              <wp:posOffset>5400675</wp:posOffset>
            </wp:positionH>
            <wp:positionV relativeFrom="paragraph">
              <wp:posOffset>236220</wp:posOffset>
            </wp:positionV>
            <wp:extent cx="6350" cy="138938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1">
                      <a:extLst>
                        <a:ext uri="{28A0092B-C50C-407E-A947-70E740481C1C}"/>
                      </a:extLst>
                    </a:blip>
                    <a:srcRect/>
                    <a:stretch>
                      <a:fillRect/>
                    </a:stretch>
                  </pic:blipFill>
                  <pic:spPr bwMode="auto">
                    <a:xfrm>
                      <a:off x="0" y="0"/>
                      <a:ext cx="6350" cy="1389380"/>
                    </a:xfrm>
                    <a:prstGeom prst="rect">
                      <a:avLst/>
                    </a:prstGeom>
                    <a:noFill/>
                  </pic:spPr>
                </pic:pic>
              </a:graphicData>
            </a:graphic>
          </wp:anchor>
        </w:drawing>
      </w:r>
    </w:p>
    <w:p>
      <w:pPr>
        <w:spacing w:after="0" w:line="352" w:lineRule="exact"/>
        <w:rPr>
          <w:sz w:val="20"/>
          <w:szCs w:val="20"/>
          <w:color w:val="auto"/>
        </w:rPr>
      </w:pPr>
    </w:p>
    <w:tbl>
      <w:tblPr>
        <w:tblLayout w:type="fixed"/>
        <w:tblInd w:w="900" w:type="dxa"/>
        <w:tblCellMar>
          <w:top w:w="0" w:type="dxa"/>
          <w:left w:w="0" w:type="dxa"/>
          <w:bottom w:w="0" w:type="dxa"/>
          <w:right w:w="0" w:type="dxa"/>
        </w:tblCellMar>
      </w:tblPr>
      <w:tr>
        <w:trPr>
          <w:trHeight w:val="250"/>
        </w:trPr>
        <w:tc>
          <w:tcPr>
            <w:tcW w:w="3880" w:type="dxa"/>
            <w:vAlign w:val="bottom"/>
            <w:shd w:val="clear" w:color="auto" w:fill="153A57"/>
          </w:tcPr>
          <w:p>
            <w:pPr>
              <w:spacing w:after="0"/>
              <w:rPr>
                <w:sz w:val="21"/>
                <w:szCs w:val="21"/>
                <w:color w:val="auto"/>
              </w:rPr>
            </w:pPr>
          </w:p>
        </w:tc>
        <w:tc>
          <w:tcPr>
            <w:tcW w:w="2300" w:type="dxa"/>
            <w:vAlign w:val="bottom"/>
            <w:shd w:val="clear" w:color="auto" w:fill="153A57"/>
          </w:tcPr>
          <w:p>
            <w:pPr>
              <w:spacing w:after="0"/>
              <w:rPr>
                <w:sz w:val="21"/>
                <w:szCs w:val="21"/>
                <w:color w:val="auto"/>
              </w:rPr>
            </w:pPr>
          </w:p>
        </w:tc>
        <w:tc>
          <w:tcPr>
            <w:tcW w:w="1380" w:type="dxa"/>
            <w:vAlign w:val="bottom"/>
            <w:shd w:val="clear" w:color="auto" w:fill="153A57"/>
          </w:tcPr>
          <w:p>
            <w:pPr>
              <w:ind w:left="60"/>
              <w:spacing w:after="0"/>
              <w:rPr>
                <w:sz w:val="20"/>
                <w:szCs w:val="20"/>
                <w:color w:val="auto"/>
              </w:rPr>
            </w:pPr>
            <w:r>
              <w:rPr>
                <w:rFonts w:ascii="Arial" w:cs="Arial" w:eastAsia="Arial" w:hAnsi="Arial"/>
                <w:sz w:val="18"/>
                <w:szCs w:val="18"/>
                <w:b w:val="1"/>
                <w:bCs w:val="1"/>
                <w:color w:val="FFFFFF"/>
              </w:rPr>
              <w:t>Weighted-</w:t>
            </w:r>
          </w:p>
        </w:tc>
        <w:tc>
          <w:tcPr>
            <w:tcW w:w="2000" w:type="dxa"/>
            <w:vAlign w:val="bottom"/>
            <w:shd w:val="clear" w:color="auto" w:fill="153A57"/>
          </w:tcPr>
          <w:p>
            <w:pPr>
              <w:spacing w:after="0"/>
              <w:rPr>
                <w:sz w:val="21"/>
                <w:szCs w:val="21"/>
                <w:color w:val="auto"/>
              </w:rPr>
            </w:pPr>
          </w:p>
        </w:tc>
      </w:tr>
      <w:tr>
        <w:trPr>
          <w:trHeight w:val="272"/>
        </w:trPr>
        <w:tc>
          <w:tcPr>
            <w:tcW w:w="3880" w:type="dxa"/>
            <w:vAlign w:val="bottom"/>
            <w:shd w:val="clear" w:color="auto" w:fill="153A57"/>
          </w:tcPr>
          <w:p>
            <w:pPr>
              <w:spacing w:after="0"/>
              <w:rPr>
                <w:sz w:val="23"/>
                <w:szCs w:val="23"/>
                <w:color w:val="auto"/>
              </w:rPr>
            </w:pPr>
          </w:p>
        </w:tc>
        <w:tc>
          <w:tcPr>
            <w:tcW w:w="2300" w:type="dxa"/>
            <w:vAlign w:val="bottom"/>
            <w:shd w:val="clear" w:color="auto" w:fill="153A57"/>
          </w:tcPr>
          <w:p>
            <w:pPr>
              <w:ind w:left="300"/>
              <w:spacing w:after="0"/>
              <w:rPr>
                <w:sz w:val="20"/>
                <w:szCs w:val="20"/>
                <w:color w:val="auto"/>
              </w:rPr>
            </w:pPr>
            <w:r>
              <w:rPr>
                <w:rFonts w:ascii="Arial" w:cs="Arial" w:eastAsia="Arial" w:hAnsi="Arial"/>
                <w:sz w:val="18"/>
                <w:szCs w:val="18"/>
                <w:b w:val="1"/>
                <w:bCs w:val="1"/>
                <w:color w:val="FFFFFF"/>
              </w:rPr>
              <w:t>Number of securities</w:t>
            </w:r>
          </w:p>
        </w:tc>
        <w:tc>
          <w:tcPr>
            <w:tcW w:w="1380" w:type="dxa"/>
            <w:vAlign w:val="bottom"/>
            <w:shd w:val="clear" w:color="auto" w:fill="153A57"/>
          </w:tcPr>
          <w:p>
            <w:pPr>
              <w:ind w:left="60"/>
              <w:spacing w:after="0"/>
              <w:rPr>
                <w:sz w:val="20"/>
                <w:szCs w:val="20"/>
                <w:color w:val="auto"/>
              </w:rPr>
            </w:pPr>
            <w:r>
              <w:rPr>
                <w:rFonts w:ascii="Arial" w:cs="Arial" w:eastAsia="Arial" w:hAnsi="Arial"/>
                <w:sz w:val="18"/>
                <w:szCs w:val="18"/>
                <w:b w:val="1"/>
                <w:bCs w:val="1"/>
                <w:color w:val="FFFFFF"/>
              </w:rPr>
              <w:t>average</w:t>
            </w:r>
          </w:p>
        </w:tc>
        <w:tc>
          <w:tcPr>
            <w:tcW w:w="2000" w:type="dxa"/>
            <w:vAlign w:val="bottom"/>
            <w:shd w:val="clear" w:color="auto" w:fill="153A57"/>
          </w:tcPr>
          <w:p>
            <w:pPr>
              <w:ind w:left="60"/>
              <w:spacing w:after="0"/>
              <w:rPr>
                <w:sz w:val="20"/>
                <w:szCs w:val="20"/>
                <w:color w:val="auto"/>
              </w:rPr>
            </w:pPr>
            <w:r>
              <w:rPr>
                <w:rFonts w:ascii="Arial" w:cs="Arial" w:eastAsia="Arial" w:hAnsi="Arial"/>
                <w:sz w:val="18"/>
                <w:szCs w:val="18"/>
                <w:b w:val="1"/>
                <w:bCs w:val="1"/>
                <w:color w:val="FFFFFF"/>
              </w:rPr>
              <w:t>Number of securities</w:t>
            </w:r>
          </w:p>
        </w:tc>
      </w:tr>
      <w:tr>
        <w:trPr>
          <w:trHeight w:val="272"/>
        </w:trPr>
        <w:tc>
          <w:tcPr>
            <w:tcW w:w="3880" w:type="dxa"/>
            <w:vAlign w:val="bottom"/>
            <w:shd w:val="clear" w:color="auto" w:fill="153A57"/>
          </w:tcPr>
          <w:p>
            <w:pPr>
              <w:spacing w:after="0"/>
              <w:rPr>
                <w:sz w:val="23"/>
                <w:szCs w:val="23"/>
                <w:color w:val="auto"/>
              </w:rPr>
            </w:pPr>
          </w:p>
        </w:tc>
        <w:tc>
          <w:tcPr>
            <w:tcW w:w="2300" w:type="dxa"/>
            <w:vAlign w:val="bottom"/>
            <w:shd w:val="clear" w:color="auto" w:fill="153A57"/>
          </w:tcPr>
          <w:p>
            <w:pPr>
              <w:ind w:left="300"/>
              <w:spacing w:after="0"/>
              <w:rPr>
                <w:sz w:val="20"/>
                <w:szCs w:val="20"/>
                <w:color w:val="auto"/>
              </w:rPr>
            </w:pPr>
            <w:r>
              <w:rPr>
                <w:rFonts w:ascii="Arial" w:cs="Arial" w:eastAsia="Arial" w:hAnsi="Arial"/>
                <w:sz w:val="18"/>
                <w:szCs w:val="18"/>
                <w:b w:val="1"/>
                <w:bCs w:val="1"/>
                <w:color w:val="FFFFFF"/>
              </w:rPr>
              <w:t>to be issued upon</w:t>
            </w:r>
          </w:p>
        </w:tc>
        <w:tc>
          <w:tcPr>
            <w:tcW w:w="1380" w:type="dxa"/>
            <w:vAlign w:val="bottom"/>
            <w:shd w:val="clear" w:color="auto" w:fill="153A57"/>
          </w:tcPr>
          <w:p>
            <w:pPr>
              <w:ind w:left="60"/>
              <w:spacing w:after="0"/>
              <w:rPr>
                <w:sz w:val="20"/>
                <w:szCs w:val="20"/>
                <w:color w:val="auto"/>
              </w:rPr>
            </w:pPr>
            <w:r>
              <w:rPr>
                <w:rFonts w:ascii="Arial" w:cs="Arial" w:eastAsia="Arial" w:hAnsi="Arial"/>
                <w:sz w:val="18"/>
                <w:szCs w:val="18"/>
                <w:b w:val="1"/>
                <w:bCs w:val="1"/>
                <w:color w:val="FFFFFF"/>
              </w:rPr>
              <w:t>exercise</w:t>
            </w:r>
          </w:p>
        </w:tc>
        <w:tc>
          <w:tcPr>
            <w:tcW w:w="2000" w:type="dxa"/>
            <w:vAlign w:val="bottom"/>
            <w:shd w:val="clear" w:color="auto" w:fill="153A57"/>
          </w:tcPr>
          <w:p>
            <w:pPr>
              <w:ind w:left="60"/>
              <w:spacing w:after="0"/>
              <w:rPr>
                <w:sz w:val="20"/>
                <w:szCs w:val="20"/>
                <w:color w:val="auto"/>
              </w:rPr>
            </w:pPr>
            <w:r>
              <w:rPr>
                <w:rFonts w:ascii="Arial" w:cs="Arial" w:eastAsia="Arial" w:hAnsi="Arial"/>
                <w:sz w:val="18"/>
                <w:szCs w:val="18"/>
                <w:b w:val="1"/>
                <w:bCs w:val="1"/>
                <w:color w:val="FFFFFF"/>
                <w:w w:val="97"/>
              </w:rPr>
              <w:t>remaining available for</w:t>
            </w:r>
          </w:p>
        </w:tc>
      </w:tr>
      <w:tr>
        <w:trPr>
          <w:trHeight w:val="272"/>
        </w:trPr>
        <w:tc>
          <w:tcPr>
            <w:tcW w:w="3880" w:type="dxa"/>
            <w:vAlign w:val="bottom"/>
            <w:shd w:val="clear" w:color="auto" w:fill="153A57"/>
          </w:tcPr>
          <w:p>
            <w:pPr>
              <w:spacing w:after="0"/>
              <w:rPr>
                <w:sz w:val="23"/>
                <w:szCs w:val="23"/>
                <w:color w:val="auto"/>
              </w:rPr>
            </w:pPr>
          </w:p>
        </w:tc>
        <w:tc>
          <w:tcPr>
            <w:tcW w:w="2300" w:type="dxa"/>
            <w:vAlign w:val="bottom"/>
            <w:shd w:val="clear" w:color="auto" w:fill="153A57"/>
          </w:tcPr>
          <w:p>
            <w:pPr>
              <w:ind w:left="300"/>
              <w:spacing w:after="0"/>
              <w:rPr>
                <w:sz w:val="20"/>
                <w:szCs w:val="20"/>
                <w:color w:val="auto"/>
              </w:rPr>
            </w:pPr>
            <w:r>
              <w:rPr>
                <w:rFonts w:ascii="Arial" w:cs="Arial" w:eastAsia="Arial" w:hAnsi="Arial"/>
                <w:sz w:val="18"/>
                <w:szCs w:val="18"/>
                <w:b w:val="1"/>
                <w:bCs w:val="1"/>
                <w:color w:val="FFFFFF"/>
              </w:rPr>
              <w:t>exercise of</w:t>
            </w:r>
          </w:p>
        </w:tc>
        <w:tc>
          <w:tcPr>
            <w:tcW w:w="1380" w:type="dxa"/>
            <w:vAlign w:val="bottom"/>
            <w:shd w:val="clear" w:color="auto" w:fill="153A57"/>
          </w:tcPr>
          <w:p>
            <w:pPr>
              <w:ind w:left="60"/>
              <w:spacing w:after="0"/>
              <w:rPr>
                <w:sz w:val="20"/>
                <w:szCs w:val="20"/>
                <w:color w:val="auto"/>
              </w:rPr>
            </w:pPr>
            <w:r>
              <w:rPr>
                <w:rFonts w:ascii="Arial" w:cs="Arial" w:eastAsia="Arial" w:hAnsi="Arial"/>
                <w:sz w:val="18"/>
                <w:szCs w:val="18"/>
                <w:b w:val="1"/>
                <w:bCs w:val="1"/>
                <w:color w:val="FFFFFF"/>
              </w:rPr>
              <w:t>price of</w:t>
            </w:r>
          </w:p>
        </w:tc>
        <w:tc>
          <w:tcPr>
            <w:tcW w:w="2000" w:type="dxa"/>
            <w:vAlign w:val="bottom"/>
            <w:shd w:val="clear" w:color="auto" w:fill="153A57"/>
          </w:tcPr>
          <w:p>
            <w:pPr>
              <w:ind w:left="60"/>
              <w:spacing w:after="0"/>
              <w:rPr>
                <w:sz w:val="20"/>
                <w:szCs w:val="20"/>
                <w:color w:val="auto"/>
              </w:rPr>
            </w:pPr>
            <w:r>
              <w:rPr>
                <w:rFonts w:ascii="Arial" w:cs="Arial" w:eastAsia="Arial" w:hAnsi="Arial"/>
                <w:sz w:val="18"/>
                <w:szCs w:val="18"/>
                <w:b w:val="1"/>
                <w:bCs w:val="1"/>
                <w:color w:val="FFFFFF"/>
              </w:rPr>
              <w:t>future issuance under</w:t>
            </w:r>
          </w:p>
        </w:tc>
      </w:tr>
      <w:tr>
        <w:trPr>
          <w:trHeight w:val="272"/>
        </w:trPr>
        <w:tc>
          <w:tcPr>
            <w:tcW w:w="3880" w:type="dxa"/>
            <w:vAlign w:val="bottom"/>
            <w:shd w:val="clear" w:color="auto" w:fill="153A57"/>
          </w:tcPr>
          <w:p>
            <w:pPr>
              <w:spacing w:after="0"/>
              <w:rPr>
                <w:sz w:val="23"/>
                <w:szCs w:val="23"/>
                <w:color w:val="auto"/>
              </w:rPr>
            </w:pPr>
          </w:p>
        </w:tc>
        <w:tc>
          <w:tcPr>
            <w:tcW w:w="2300" w:type="dxa"/>
            <w:vAlign w:val="bottom"/>
            <w:shd w:val="clear" w:color="auto" w:fill="153A57"/>
          </w:tcPr>
          <w:p>
            <w:pPr>
              <w:ind w:left="300"/>
              <w:spacing w:after="0"/>
              <w:rPr>
                <w:sz w:val="20"/>
                <w:szCs w:val="20"/>
                <w:color w:val="auto"/>
              </w:rPr>
            </w:pPr>
            <w:r>
              <w:rPr>
                <w:rFonts w:ascii="Arial" w:cs="Arial" w:eastAsia="Arial" w:hAnsi="Arial"/>
                <w:sz w:val="18"/>
                <w:szCs w:val="18"/>
                <w:b w:val="1"/>
                <w:bCs w:val="1"/>
                <w:color w:val="FFFFFF"/>
              </w:rPr>
              <w:t>outstanding</w:t>
            </w:r>
          </w:p>
        </w:tc>
        <w:tc>
          <w:tcPr>
            <w:tcW w:w="1380" w:type="dxa"/>
            <w:vAlign w:val="bottom"/>
            <w:shd w:val="clear" w:color="auto" w:fill="153A57"/>
          </w:tcPr>
          <w:p>
            <w:pPr>
              <w:ind w:left="60"/>
              <w:spacing w:after="0"/>
              <w:rPr>
                <w:sz w:val="20"/>
                <w:szCs w:val="20"/>
                <w:color w:val="auto"/>
              </w:rPr>
            </w:pPr>
            <w:r>
              <w:rPr>
                <w:rFonts w:ascii="Arial" w:cs="Arial" w:eastAsia="Arial" w:hAnsi="Arial"/>
                <w:sz w:val="18"/>
                <w:szCs w:val="18"/>
                <w:b w:val="1"/>
                <w:bCs w:val="1"/>
                <w:color w:val="FFFFFF"/>
              </w:rPr>
              <w:t>outstanding</w:t>
            </w:r>
          </w:p>
        </w:tc>
        <w:tc>
          <w:tcPr>
            <w:tcW w:w="2000" w:type="dxa"/>
            <w:vAlign w:val="bottom"/>
            <w:shd w:val="clear" w:color="auto" w:fill="153A57"/>
          </w:tcPr>
          <w:p>
            <w:pPr>
              <w:ind w:left="60"/>
              <w:spacing w:after="0"/>
              <w:rPr>
                <w:sz w:val="20"/>
                <w:szCs w:val="20"/>
                <w:color w:val="auto"/>
              </w:rPr>
            </w:pPr>
            <w:r>
              <w:rPr>
                <w:rFonts w:ascii="Arial" w:cs="Arial" w:eastAsia="Arial" w:hAnsi="Arial"/>
                <w:sz w:val="18"/>
                <w:szCs w:val="18"/>
                <w:b w:val="1"/>
                <w:bCs w:val="1"/>
                <w:color w:val="FFFFFF"/>
                <w:w w:val="97"/>
              </w:rPr>
              <w:t>equity compensation p</w:t>
            </w:r>
          </w:p>
        </w:tc>
      </w:tr>
      <w:tr>
        <w:trPr>
          <w:trHeight w:val="272"/>
        </w:trPr>
        <w:tc>
          <w:tcPr>
            <w:tcW w:w="3880" w:type="dxa"/>
            <w:vAlign w:val="bottom"/>
            <w:shd w:val="clear" w:color="auto" w:fill="153A57"/>
          </w:tcPr>
          <w:p>
            <w:pPr>
              <w:spacing w:after="0"/>
              <w:rPr>
                <w:sz w:val="23"/>
                <w:szCs w:val="23"/>
                <w:color w:val="auto"/>
              </w:rPr>
            </w:pPr>
          </w:p>
        </w:tc>
        <w:tc>
          <w:tcPr>
            <w:tcW w:w="2300" w:type="dxa"/>
            <w:vAlign w:val="bottom"/>
            <w:shd w:val="clear" w:color="auto" w:fill="153A57"/>
          </w:tcPr>
          <w:p>
            <w:pPr>
              <w:ind w:left="300"/>
              <w:spacing w:after="0"/>
              <w:rPr>
                <w:sz w:val="20"/>
                <w:szCs w:val="20"/>
                <w:color w:val="auto"/>
              </w:rPr>
            </w:pPr>
            <w:r>
              <w:rPr>
                <w:rFonts w:ascii="Arial" w:cs="Arial" w:eastAsia="Arial" w:hAnsi="Arial"/>
                <w:sz w:val="18"/>
                <w:szCs w:val="18"/>
                <w:b w:val="1"/>
                <w:bCs w:val="1"/>
                <w:color w:val="FFFFFF"/>
              </w:rPr>
              <w:t>Options, RSUs, DSUs</w:t>
            </w:r>
          </w:p>
        </w:tc>
        <w:tc>
          <w:tcPr>
            <w:tcW w:w="1380" w:type="dxa"/>
            <w:vAlign w:val="bottom"/>
            <w:shd w:val="clear" w:color="auto" w:fill="153A57"/>
          </w:tcPr>
          <w:p>
            <w:pPr>
              <w:ind w:left="60"/>
              <w:spacing w:after="0"/>
              <w:rPr>
                <w:sz w:val="20"/>
                <w:szCs w:val="20"/>
                <w:color w:val="auto"/>
              </w:rPr>
            </w:pPr>
            <w:r>
              <w:rPr>
                <w:rFonts w:ascii="Arial" w:cs="Arial" w:eastAsia="Arial" w:hAnsi="Arial"/>
                <w:sz w:val="18"/>
                <w:szCs w:val="18"/>
                <w:b w:val="1"/>
                <w:bCs w:val="1"/>
                <w:color w:val="FFFFFF"/>
              </w:rPr>
              <w:t>Options</w:t>
            </w:r>
          </w:p>
        </w:tc>
        <w:tc>
          <w:tcPr>
            <w:tcW w:w="2000" w:type="dxa"/>
            <w:vAlign w:val="bottom"/>
            <w:shd w:val="clear" w:color="auto" w:fill="153A57"/>
          </w:tcPr>
          <w:p>
            <w:pPr>
              <w:ind w:left="60"/>
              <w:spacing w:after="0"/>
              <w:rPr>
                <w:sz w:val="20"/>
                <w:szCs w:val="20"/>
                <w:color w:val="auto"/>
              </w:rPr>
            </w:pPr>
            <w:r>
              <w:rPr>
                <w:rFonts w:ascii="Arial" w:cs="Arial" w:eastAsia="Arial" w:hAnsi="Arial"/>
                <w:sz w:val="18"/>
                <w:szCs w:val="18"/>
                <w:b w:val="1"/>
                <w:bCs w:val="1"/>
                <w:color w:val="FFFFFF"/>
              </w:rPr>
              <w:t>(excluding securities</w:t>
            </w:r>
          </w:p>
        </w:tc>
      </w:tr>
      <w:tr>
        <w:trPr>
          <w:trHeight w:val="272"/>
        </w:trPr>
        <w:tc>
          <w:tcPr>
            <w:tcW w:w="3880" w:type="dxa"/>
            <w:vAlign w:val="bottom"/>
            <w:shd w:val="clear" w:color="auto" w:fill="153A57"/>
          </w:tcPr>
          <w:p>
            <w:pPr>
              <w:spacing w:after="0"/>
              <w:rPr>
                <w:sz w:val="23"/>
                <w:szCs w:val="23"/>
                <w:color w:val="auto"/>
              </w:rPr>
            </w:pPr>
          </w:p>
        </w:tc>
        <w:tc>
          <w:tcPr>
            <w:tcW w:w="2300" w:type="dxa"/>
            <w:vAlign w:val="bottom"/>
            <w:shd w:val="clear" w:color="auto" w:fill="153A57"/>
          </w:tcPr>
          <w:p>
            <w:pPr>
              <w:ind w:left="300"/>
              <w:spacing w:after="0"/>
              <w:rPr>
                <w:sz w:val="20"/>
                <w:szCs w:val="20"/>
                <w:color w:val="auto"/>
              </w:rPr>
            </w:pPr>
            <w:r>
              <w:rPr>
                <w:rFonts w:ascii="Arial" w:cs="Arial" w:eastAsia="Arial" w:hAnsi="Arial"/>
                <w:sz w:val="18"/>
                <w:szCs w:val="18"/>
                <w:b w:val="1"/>
                <w:bCs w:val="1"/>
                <w:color w:val="FFFFFF"/>
              </w:rPr>
              <w:t>PSUs and rights</w:t>
            </w:r>
          </w:p>
        </w:tc>
        <w:tc>
          <w:tcPr>
            <w:tcW w:w="1380" w:type="dxa"/>
            <w:vAlign w:val="bottom"/>
            <w:shd w:val="clear" w:color="auto" w:fill="153A57"/>
          </w:tcPr>
          <w:p>
            <w:pPr>
              <w:ind w:left="60"/>
              <w:spacing w:after="0"/>
              <w:rPr>
                <w:sz w:val="20"/>
                <w:szCs w:val="20"/>
                <w:color w:val="auto"/>
              </w:rPr>
            </w:pPr>
            <w:r>
              <w:rPr>
                <w:rFonts w:ascii="Arial" w:cs="Arial" w:eastAsia="Arial" w:hAnsi="Arial"/>
                <w:sz w:val="18"/>
                <w:szCs w:val="18"/>
                <w:b w:val="1"/>
                <w:bCs w:val="1"/>
                <w:color w:val="FFFFFF"/>
              </w:rPr>
              <w:t>US$</w:t>
            </w:r>
          </w:p>
        </w:tc>
        <w:tc>
          <w:tcPr>
            <w:tcW w:w="2000" w:type="dxa"/>
            <w:vAlign w:val="bottom"/>
            <w:shd w:val="clear" w:color="auto" w:fill="153A57"/>
          </w:tcPr>
          <w:p>
            <w:pPr>
              <w:ind w:left="60"/>
              <w:spacing w:after="0"/>
              <w:rPr>
                <w:sz w:val="20"/>
                <w:szCs w:val="20"/>
                <w:color w:val="auto"/>
              </w:rPr>
            </w:pPr>
            <w:r>
              <w:rPr>
                <w:rFonts w:ascii="Arial" w:cs="Arial" w:eastAsia="Arial" w:hAnsi="Arial"/>
                <w:sz w:val="18"/>
                <w:szCs w:val="18"/>
                <w:b w:val="1"/>
                <w:bCs w:val="1"/>
                <w:color w:val="FFFFFF"/>
                <w:w w:val="96"/>
              </w:rPr>
              <w:t>reflected in column (a))</w:t>
            </w:r>
          </w:p>
        </w:tc>
      </w:tr>
      <w:tr>
        <w:trPr>
          <w:trHeight w:val="288"/>
        </w:trPr>
        <w:tc>
          <w:tcPr>
            <w:tcW w:w="3880" w:type="dxa"/>
            <w:vAlign w:val="bottom"/>
            <w:tcBorders>
              <w:bottom w:val="single" w:sz="8" w:color="153A57"/>
            </w:tcBorders>
            <w:shd w:val="clear" w:color="auto" w:fill="153A57"/>
          </w:tcPr>
          <w:p>
            <w:pPr>
              <w:ind w:left="100"/>
              <w:spacing w:after="0"/>
              <w:rPr>
                <w:sz w:val="20"/>
                <w:szCs w:val="20"/>
                <w:color w:val="auto"/>
              </w:rPr>
            </w:pPr>
            <w:r>
              <w:rPr>
                <w:rFonts w:ascii="Arial" w:cs="Arial" w:eastAsia="Arial" w:hAnsi="Arial"/>
                <w:sz w:val="18"/>
                <w:szCs w:val="18"/>
                <w:b w:val="1"/>
                <w:bCs w:val="1"/>
                <w:color w:val="FFFFFF"/>
              </w:rPr>
              <w:t>Plan Category</w:t>
            </w:r>
          </w:p>
        </w:tc>
        <w:tc>
          <w:tcPr>
            <w:tcW w:w="2300" w:type="dxa"/>
            <w:vAlign w:val="bottom"/>
            <w:tcBorders>
              <w:bottom w:val="single" w:sz="8" w:color="153A57"/>
            </w:tcBorders>
            <w:shd w:val="clear" w:color="auto" w:fill="153A57"/>
          </w:tcPr>
          <w:p>
            <w:pPr>
              <w:ind w:left="300"/>
              <w:spacing w:after="0"/>
              <w:rPr>
                <w:sz w:val="20"/>
                <w:szCs w:val="20"/>
                <w:color w:val="auto"/>
              </w:rPr>
            </w:pPr>
            <w:r>
              <w:rPr>
                <w:rFonts w:ascii="Arial" w:cs="Arial" w:eastAsia="Arial" w:hAnsi="Arial"/>
                <w:sz w:val="18"/>
                <w:szCs w:val="18"/>
                <w:b w:val="1"/>
                <w:bCs w:val="1"/>
                <w:color w:val="FFFFFF"/>
              </w:rPr>
              <w:t>(a)</w:t>
            </w:r>
          </w:p>
        </w:tc>
        <w:tc>
          <w:tcPr>
            <w:tcW w:w="1380" w:type="dxa"/>
            <w:vAlign w:val="bottom"/>
            <w:tcBorders>
              <w:bottom w:val="single" w:sz="8" w:color="153A57"/>
            </w:tcBorders>
            <w:shd w:val="clear" w:color="auto" w:fill="153A57"/>
          </w:tcPr>
          <w:p>
            <w:pPr>
              <w:ind w:left="60"/>
              <w:spacing w:after="0"/>
              <w:rPr>
                <w:sz w:val="20"/>
                <w:szCs w:val="20"/>
                <w:color w:val="auto"/>
              </w:rPr>
            </w:pPr>
            <w:r>
              <w:rPr>
                <w:rFonts w:ascii="Arial" w:cs="Arial" w:eastAsia="Arial" w:hAnsi="Arial"/>
                <w:sz w:val="18"/>
                <w:szCs w:val="18"/>
                <w:b w:val="1"/>
                <w:bCs w:val="1"/>
                <w:color w:val="FFFFFF"/>
              </w:rPr>
              <w:t>(b)</w:t>
            </w:r>
          </w:p>
        </w:tc>
        <w:tc>
          <w:tcPr>
            <w:tcW w:w="2000" w:type="dxa"/>
            <w:vAlign w:val="bottom"/>
            <w:tcBorders>
              <w:bottom w:val="single" w:sz="8" w:color="153A57"/>
            </w:tcBorders>
            <w:shd w:val="clear" w:color="auto" w:fill="153A57"/>
          </w:tcPr>
          <w:p>
            <w:pPr>
              <w:ind w:left="60"/>
              <w:spacing w:after="0"/>
              <w:rPr>
                <w:sz w:val="20"/>
                <w:szCs w:val="20"/>
                <w:color w:val="auto"/>
              </w:rPr>
            </w:pPr>
            <w:r>
              <w:rPr>
                <w:rFonts w:ascii="Arial" w:cs="Arial" w:eastAsia="Arial" w:hAnsi="Arial"/>
                <w:sz w:val="18"/>
                <w:szCs w:val="18"/>
                <w:b w:val="1"/>
                <w:bCs w:val="1"/>
                <w:color w:val="FFFFFF"/>
              </w:rPr>
              <w:t>(c)</w:t>
            </w:r>
          </w:p>
        </w:tc>
      </w:tr>
      <w:tr>
        <w:trPr>
          <w:trHeight w:val="250"/>
        </w:trPr>
        <w:tc>
          <w:tcPr>
            <w:tcW w:w="3880" w:type="dxa"/>
            <w:vAlign w:val="bottom"/>
          </w:tcPr>
          <w:p>
            <w:pPr>
              <w:ind w:left="100"/>
              <w:spacing w:after="0"/>
              <w:rPr>
                <w:sz w:val="20"/>
                <w:szCs w:val="20"/>
                <w:color w:val="auto"/>
              </w:rPr>
            </w:pPr>
            <w:r>
              <w:rPr>
                <w:rFonts w:ascii="Arial" w:cs="Arial" w:eastAsia="Arial" w:hAnsi="Arial"/>
                <w:sz w:val="18"/>
                <w:szCs w:val="18"/>
                <w:color w:val="auto"/>
              </w:rPr>
              <w:t>Equity compensation plans approved by</w:t>
            </w:r>
          </w:p>
        </w:tc>
        <w:tc>
          <w:tcPr>
            <w:tcW w:w="2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2"/>
        </w:trPr>
        <w:tc>
          <w:tcPr>
            <w:tcW w:w="3880" w:type="dxa"/>
            <w:vAlign w:val="bottom"/>
          </w:tcPr>
          <w:p>
            <w:pPr>
              <w:ind w:left="100"/>
              <w:spacing w:after="0"/>
              <w:rPr>
                <w:sz w:val="20"/>
                <w:szCs w:val="20"/>
                <w:color w:val="auto"/>
              </w:rPr>
            </w:pPr>
            <w:r>
              <w:rPr>
                <w:rFonts w:ascii="Arial" w:cs="Arial" w:eastAsia="Arial" w:hAnsi="Arial"/>
                <w:sz w:val="18"/>
                <w:szCs w:val="18"/>
                <w:color w:val="auto"/>
              </w:rPr>
              <w:t>the securityholders</w:t>
            </w:r>
          </w:p>
        </w:tc>
        <w:tc>
          <w:tcPr>
            <w:tcW w:w="2300" w:type="dxa"/>
            <w:vAlign w:val="bottom"/>
          </w:tcPr>
          <w:p>
            <w:pPr>
              <w:jc w:val="right"/>
              <w:spacing w:after="0"/>
              <w:rPr>
                <w:sz w:val="20"/>
                <w:szCs w:val="20"/>
                <w:color w:val="auto"/>
              </w:rPr>
            </w:pPr>
            <w:r>
              <w:rPr>
                <w:rFonts w:ascii="Arial" w:cs="Arial" w:eastAsia="Arial" w:hAnsi="Arial"/>
                <w:sz w:val="18"/>
                <w:szCs w:val="18"/>
                <w:color w:val="auto"/>
              </w:rPr>
              <w:t>11,241,363</w:t>
            </w:r>
          </w:p>
        </w:tc>
        <w:tc>
          <w:tcPr>
            <w:tcW w:w="1380" w:type="dxa"/>
            <w:vAlign w:val="bottom"/>
          </w:tcPr>
          <w:p>
            <w:pPr>
              <w:jc w:val="right"/>
              <w:spacing w:after="0"/>
              <w:rPr>
                <w:sz w:val="20"/>
                <w:szCs w:val="20"/>
                <w:color w:val="auto"/>
              </w:rPr>
            </w:pPr>
            <w:r>
              <w:rPr>
                <w:rFonts w:ascii="Arial" w:cs="Arial" w:eastAsia="Arial" w:hAnsi="Arial"/>
                <w:sz w:val="18"/>
                <w:szCs w:val="18"/>
                <w:color w:val="auto"/>
              </w:rPr>
              <w:t>4.86</w:t>
            </w:r>
          </w:p>
        </w:tc>
        <w:tc>
          <w:tcPr>
            <w:tcW w:w="2000" w:type="dxa"/>
            <w:vAlign w:val="bottom"/>
          </w:tcPr>
          <w:p>
            <w:pPr>
              <w:ind w:left="1600"/>
              <w:spacing w:after="0"/>
              <w:rPr>
                <w:sz w:val="20"/>
                <w:szCs w:val="20"/>
                <w:color w:val="auto"/>
              </w:rPr>
            </w:pPr>
            <w:r>
              <w:rPr>
                <w:rFonts w:ascii="Arial" w:cs="Arial" w:eastAsia="Arial" w:hAnsi="Arial"/>
                <w:sz w:val="18"/>
                <w:szCs w:val="18"/>
                <w:color w:val="auto"/>
                <w:w w:val="84"/>
              </w:rPr>
              <w:t>1,751</w:t>
            </w:r>
          </w:p>
        </w:tc>
      </w:tr>
      <w:tr>
        <w:trPr>
          <w:trHeight w:val="286"/>
        </w:trPr>
        <w:tc>
          <w:tcPr>
            <w:tcW w:w="3880" w:type="dxa"/>
            <w:vAlign w:val="bottom"/>
          </w:tcPr>
          <w:p>
            <w:pPr>
              <w:ind w:left="100"/>
              <w:spacing w:after="0"/>
              <w:rPr>
                <w:sz w:val="20"/>
                <w:szCs w:val="20"/>
                <w:color w:val="auto"/>
              </w:rPr>
            </w:pPr>
            <w:r>
              <w:rPr>
                <w:rFonts w:ascii="Arial" w:cs="Arial" w:eastAsia="Arial" w:hAnsi="Arial"/>
                <w:sz w:val="18"/>
                <w:szCs w:val="18"/>
                <w:color w:val="auto"/>
              </w:rPr>
              <w:t>Equity compensation plans not approved by</w:t>
            </w:r>
          </w:p>
        </w:tc>
        <w:tc>
          <w:tcPr>
            <w:tcW w:w="2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72"/>
        </w:trPr>
        <w:tc>
          <w:tcPr>
            <w:tcW w:w="3880" w:type="dxa"/>
            <w:vAlign w:val="bottom"/>
          </w:tcPr>
          <w:p>
            <w:pPr>
              <w:ind w:left="100"/>
              <w:spacing w:after="0"/>
              <w:rPr>
                <w:sz w:val="20"/>
                <w:szCs w:val="20"/>
                <w:color w:val="auto"/>
              </w:rPr>
            </w:pPr>
            <w:r>
              <w:rPr>
                <w:rFonts w:ascii="Arial" w:cs="Arial" w:eastAsia="Arial" w:hAnsi="Arial"/>
                <w:sz w:val="18"/>
                <w:szCs w:val="18"/>
                <w:color w:val="auto"/>
              </w:rPr>
              <w:t>the securityholders</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23"/>
                <w:szCs w:val="23"/>
                <w:color w:val="auto"/>
              </w:rPr>
            </w:pPr>
          </w:p>
        </w:tc>
      </w:tr>
      <w:tr>
        <w:trPr>
          <w:trHeight w:val="286"/>
        </w:trPr>
        <w:tc>
          <w:tcPr>
            <w:tcW w:w="3880" w:type="dxa"/>
            <w:vAlign w:val="bottom"/>
          </w:tcPr>
          <w:p>
            <w:pPr>
              <w:ind w:left="100"/>
              <w:spacing w:after="0"/>
              <w:rPr>
                <w:sz w:val="20"/>
                <w:szCs w:val="20"/>
                <w:color w:val="auto"/>
              </w:rPr>
            </w:pPr>
            <w:r>
              <w:rPr>
                <w:rFonts w:ascii="Arial" w:cs="Arial" w:eastAsia="Arial" w:hAnsi="Arial"/>
                <w:sz w:val="18"/>
                <w:szCs w:val="18"/>
                <w:color w:val="auto"/>
              </w:rPr>
              <w:t>Total</w:t>
            </w:r>
          </w:p>
        </w:tc>
        <w:tc>
          <w:tcPr>
            <w:tcW w:w="2300" w:type="dxa"/>
            <w:vAlign w:val="bottom"/>
          </w:tcPr>
          <w:p>
            <w:pPr>
              <w:jc w:val="right"/>
              <w:spacing w:after="0"/>
              <w:rPr>
                <w:sz w:val="20"/>
                <w:szCs w:val="20"/>
                <w:color w:val="auto"/>
              </w:rPr>
            </w:pPr>
            <w:r>
              <w:rPr>
                <w:rFonts w:ascii="Arial" w:cs="Arial" w:eastAsia="Arial" w:hAnsi="Arial"/>
                <w:sz w:val="18"/>
                <w:szCs w:val="18"/>
                <w:color w:val="auto"/>
              </w:rPr>
              <w:t>11,241,363</w:t>
            </w:r>
          </w:p>
        </w:tc>
        <w:tc>
          <w:tcPr>
            <w:tcW w:w="1380" w:type="dxa"/>
            <w:vAlign w:val="bottom"/>
          </w:tcPr>
          <w:p>
            <w:pPr>
              <w:jc w:val="right"/>
              <w:spacing w:after="0"/>
              <w:rPr>
                <w:sz w:val="20"/>
                <w:szCs w:val="20"/>
                <w:color w:val="auto"/>
              </w:rPr>
            </w:pPr>
            <w:r>
              <w:rPr>
                <w:rFonts w:ascii="Arial" w:cs="Arial" w:eastAsia="Arial" w:hAnsi="Arial"/>
                <w:sz w:val="18"/>
                <w:szCs w:val="18"/>
                <w:color w:val="auto"/>
              </w:rPr>
              <w:t>4.86</w:t>
            </w:r>
          </w:p>
        </w:tc>
        <w:tc>
          <w:tcPr>
            <w:tcW w:w="2000" w:type="dxa"/>
            <w:vAlign w:val="bottom"/>
          </w:tcPr>
          <w:p>
            <w:pPr>
              <w:ind w:left="1600"/>
              <w:spacing w:after="0"/>
              <w:rPr>
                <w:sz w:val="20"/>
                <w:szCs w:val="20"/>
                <w:color w:val="auto"/>
              </w:rPr>
            </w:pPr>
            <w:r>
              <w:rPr>
                <w:rFonts w:ascii="Arial" w:cs="Arial" w:eastAsia="Arial" w:hAnsi="Arial"/>
                <w:sz w:val="18"/>
                <w:szCs w:val="18"/>
                <w:color w:val="auto"/>
                <w:w w:val="84"/>
              </w:rPr>
              <w:t>1,751</w:t>
            </w:r>
          </w:p>
        </w:tc>
      </w:tr>
    </w:tbl>
    <w:p>
      <w:pPr>
        <w:spacing w:after="0" w:line="369"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Annual Burn Rate</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annual burn rate of the Incentive Plan for the last three financial years is set out below. This figu calculated by dividing (i) the number of Awards granted under the Incentive Plan during the applicable fina year, by (ii) the weighted average number of Shares outstanding for the applicable financial year. “Awards” f purposes of this calculation means all RSUs, PSUs, DSUs and Options.</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This calculation does not reflect the new replacement incentive securities issued in exchange for old ince securities as part of the Separation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196215</wp:posOffset>
            </wp:positionV>
            <wp:extent cx="6350" cy="6991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2">
                      <a:extLst>
                        <a:ext uri="{28A0092B-C50C-407E-A947-70E740481C1C}"/>
                      </a:extLst>
                    </a:blip>
                    <a:srcRect/>
                    <a:stretch>
                      <a:fillRect/>
                    </a:stretch>
                  </pic:blipFill>
                  <pic:spPr bwMode="auto">
                    <a:xfrm>
                      <a:off x="0" y="0"/>
                      <a:ext cx="6350" cy="69913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196215</wp:posOffset>
            </wp:positionV>
            <wp:extent cx="6350" cy="6991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3">
                      <a:extLst>
                        <a:ext uri="{28A0092B-C50C-407E-A947-70E740481C1C}"/>
                      </a:extLst>
                    </a:blip>
                    <a:srcRect/>
                    <a:stretch>
                      <a:fillRect/>
                    </a:stretch>
                  </pic:blipFill>
                  <pic:spPr bwMode="auto">
                    <a:xfrm>
                      <a:off x="0" y="0"/>
                      <a:ext cx="6350" cy="699135"/>
                    </a:xfrm>
                    <a:prstGeom prst="rect">
                      <a:avLst/>
                    </a:prstGeom>
                    <a:noFill/>
                  </pic:spPr>
                </pic:pic>
              </a:graphicData>
            </a:graphic>
          </wp:anchor>
        </w:drawing>
        <w:drawing>
          <wp:anchor simplePos="0" relativeHeight="251657728" behindDoc="1" locked="0" layoutInCell="0" allowOverlap="1">
            <wp:simplePos x="0" y="0"/>
            <wp:positionH relativeFrom="column">
              <wp:posOffset>6086475</wp:posOffset>
            </wp:positionH>
            <wp:positionV relativeFrom="paragraph">
              <wp:posOffset>196215</wp:posOffset>
            </wp:positionV>
            <wp:extent cx="6350" cy="6991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4">
                      <a:extLst>
                        <a:ext uri="{28A0092B-C50C-407E-A947-70E740481C1C}"/>
                      </a:extLst>
                    </a:blip>
                    <a:srcRect/>
                    <a:stretch>
                      <a:fillRect/>
                    </a:stretch>
                  </pic:blipFill>
                  <pic:spPr bwMode="auto">
                    <a:xfrm>
                      <a:off x="0" y="0"/>
                      <a:ext cx="6350" cy="699135"/>
                    </a:xfrm>
                    <a:prstGeom prst="rect">
                      <a:avLst/>
                    </a:prstGeom>
                    <a:noFill/>
                  </pic:spPr>
                </pic:pic>
              </a:graphicData>
            </a:graphic>
          </wp:anchor>
        </w:drawing>
      </w:r>
    </w:p>
    <w:p>
      <w:pPr>
        <w:spacing w:after="0" w:line="289" w:lineRule="exact"/>
        <w:rPr>
          <w:sz w:val="20"/>
          <w:szCs w:val="20"/>
          <w:color w:val="auto"/>
        </w:rPr>
      </w:pPr>
    </w:p>
    <w:tbl>
      <w:tblPr>
        <w:tblLayout w:type="fixed"/>
        <w:tblInd w:w="900" w:type="dxa"/>
        <w:tblCellMar>
          <w:top w:w="0" w:type="dxa"/>
          <w:left w:w="0" w:type="dxa"/>
          <w:bottom w:w="0" w:type="dxa"/>
          <w:right w:w="0" w:type="dxa"/>
        </w:tblCellMar>
      </w:tblPr>
      <w:tr>
        <w:trPr>
          <w:trHeight w:val="250"/>
        </w:trPr>
        <w:tc>
          <w:tcPr>
            <w:tcW w:w="520" w:type="dxa"/>
            <w:vAlign w:val="bottom"/>
            <w:shd w:val="clear" w:color="auto" w:fill="153A57"/>
          </w:tcPr>
          <w:p>
            <w:pPr>
              <w:spacing w:after="0"/>
              <w:rPr>
                <w:sz w:val="21"/>
                <w:szCs w:val="21"/>
                <w:color w:val="auto"/>
              </w:rPr>
            </w:pPr>
          </w:p>
        </w:tc>
        <w:tc>
          <w:tcPr>
            <w:tcW w:w="3080" w:type="dxa"/>
            <w:vAlign w:val="bottom"/>
            <w:shd w:val="clear" w:color="auto" w:fill="153A57"/>
          </w:tcPr>
          <w:p>
            <w:pPr>
              <w:spacing w:after="0"/>
              <w:rPr>
                <w:sz w:val="21"/>
                <w:szCs w:val="21"/>
                <w:color w:val="auto"/>
              </w:rPr>
            </w:pPr>
          </w:p>
        </w:tc>
        <w:tc>
          <w:tcPr>
            <w:tcW w:w="2480" w:type="dxa"/>
            <w:vAlign w:val="bottom"/>
            <w:shd w:val="clear" w:color="auto" w:fill="153A57"/>
          </w:tcPr>
          <w:p>
            <w:pPr>
              <w:ind w:left="500"/>
              <w:spacing w:after="0"/>
              <w:rPr>
                <w:sz w:val="20"/>
                <w:szCs w:val="20"/>
                <w:color w:val="auto"/>
              </w:rPr>
            </w:pPr>
            <w:r>
              <w:rPr>
                <w:rFonts w:ascii="Arial" w:cs="Arial" w:eastAsia="Arial" w:hAnsi="Arial"/>
                <w:sz w:val="18"/>
                <w:szCs w:val="18"/>
                <w:b w:val="1"/>
                <w:bCs w:val="1"/>
                <w:color w:val="FFFFFF"/>
              </w:rPr>
              <w:t>Number of Awards</w:t>
            </w:r>
          </w:p>
        </w:tc>
        <w:tc>
          <w:tcPr>
            <w:tcW w:w="2600" w:type="dxa"/>
            <w:vAlign w:val="bottom"/>
            <w:shd w:val="clear" w:color="auto" w:fill="153A57"/>
          </w:tcPr>
          <w:p>
            <w:pPr>
              <w:spacing w:after="0"/>
              <w:rPr>
                <w:sz w:val="20"/>
                <w:szCs w:val="20"/>
                <w:color w:val="auto"/>
              </w:rPr>
            </w:pPr>
            <w:r>
              <w:rPr>
                <w:rFonts w:ascii="Arial" w:cs="Arial" w:eastAsia="Arial" w:hAnsi="Arial"/>
                <w:sz w:val="18"/>
                <w:szCs w:val="18"/>
                <w:b w:val="1"/>
                <w:bCs w:val="1"/>
                <w:color w:val="FFFFFF"/>
              </w:rPr>
              <w:t>Weighted average number of</w:t>
            </w:r>
          </w:p>
        </w:tc>
        <w:tc>
          <w:tcPr>
            <w:tcW w:w="880" w:type="dxa"/>
            <w:vAlign w:val="bottom"/>
            <w:shd w:val="clear" w:color="auto" w:fill="153A57"/>
          </w:tcPr>
          <w:p>
            <w:pPr>
              <w:ind w:left="20"/>
              <w:spacing w:after="0"/>
              <w:rPr>
                <w:sz w:val="20"/>
                <w:szCs w:val="20"/>
                <w:color w:val="auto"/>
              </w:rPr>
            </w:pPr>
            <w:r>
              <w:rPr>
                <w:rFonts w:ascii="Arial" w:cs="Arial" w:eastAsia="Arial" w:hAnsi="Arial"/>
                <w:sz w:val="18"/>
                <w:szCs w:val="18"/>
                <w:b w:val="1"/>
                <w:bCs w:val="1"/>
                <w:color w:val="FFFFFF"/>
                <w:w w:val="95"/>
              </w:rPr>
              <w:t>Annual bu</w:t>
            </w:r>
          </w:p>
        </w:tc>
      </w:tr>
      <w:tr>
        <w:trPr>
          <w:trHeight w:val="272"/>
        </w:trPr>
        <w:tc>
          <w:tcPr>
            <w:tcW w:w="520" w:type="dxa"/>
            <w:vAlign w:val="bottom"/>
            <w:shd w:val="clear" w:color="auto" w:fill="153A57"/>
          </w:tcPr>
          <w:p>
            <w:pPr>
              <w:spacing w:after="0"/>
              <w:rPr>
                <w:sz w:val="23"/>
                <w:szCs w:val="23"/>
                <w:color w:val="auto"/>
              </w:rPr>
            </w:pPr>
          </w:p>
        </w:tc>
        <w:tc>
          <w:tcPr>
            <w:tcW w:w="3080" w:type="dxa"/>
            <w:vAlign w:val="bottom"/>
            <w:shd w:val="clear" w:color="auto" w:fill="153A57"/>
          </w:tcPr>
          <w:p>
            <w:pPr>
              <w:spacing w:after="0"/>
              <w:rPr>
                <w:sz w:val="23"/>
                <w:szCs w:val="23"/>
                <w:color w:val="auto"/>
              </w:rPr>
            </w:pPr>
          </w:p>
        </w:tc>
        <w:tc>
          <w:tcPr>
            <w:tcW w:w="2480" w:type="dxa"/>
            <w:vAlign w:val="bottom"/>
            <w:shd w:val="clear" w:color="auto" w:fill="153A57"/>
          </w:tcPr>
          <w:p>
            <w:pPr>
              <w:ind w:left="500"/>
              <w:spacing w:after="0"/>
              <w:rPr>
                <w:sz w:val="20"/>
                <w:szCs w:val="20"/>
                <w:color w:val="auto"/>
              </w:rPr>
            </w:pPr>
            <w:r>
              <w:rPr>
                <w:rFonts w:ascii="Arial" w:cs="Arial" w:eastAsia="Arial" w:hAnsi="Arial"/>
                <w:sz w:val="18"/>
                <w:szCs w:val="18"/>
                <w:b w:val="1"/>
                <w:bCs w:val="1"/>
                <w:color w:val="FFFFFF"/>
              </w:rPr>
              <w:t>awarded under the</w:t>
            </w:r>
          </w:p>
        </w:tc>
        <w:tc>
          <w:tcPr>
            <w:tcW w:w="2600" w:type="dxa"/>
            <w:vAlign w:val="bottom"/>
            <w:shd w:val="clear" w:color="auto" w:fill="153A57"/>
          </w:tcPr>
          <w:p>
            <w:pPr>
              <w:spacing w:after="0"/>
              <w:rPr>
                <w:sz w:val="20"/>
                <w:szCs w:val="20"/>
                <w:color w:val="auto"/>
              </w:rPr>
            </w:pPr>
            <w:r>
              <w:rPr>
                <w:rFonts w:ascii="Arial" w:cs="Arial" w:eastAsia="Arial" w:hAnsi="Arial"/>
                <w:sz w:val="18"/>
                <w:szCs w:val="18"/>
                <w:b w:val="1"/>
                <w:bCs w:val="1"/>
                <w:color w:val="FFFFFF"/>
              </w:rPr>
              <w:t>Shares outstanding during</w:t>
            </w:r>
          </w:p>
        </w:tc>
        <w:tc>
          <w:tcPr>
            <w:tcW w:w="880" w:type="dxa"/>
            <w:vAlign w:val="bottom"/>
            <w:shd w:val="clear" w:color="auto" w:fill="153A57"/>
          </w:tcPr>
          <w:p>
            <w:pPr>
              <w:ind w:left="20"/>
              <w:spacing w:after="0"/>
              <w:rPr>
                <w:sz w:val="20"/>
                <w:szCs w:val="20"/>
                <w:color w:val="auto"/>
              </w:rPr>
            </w:pPr>
            <w:r>
              <w:rPr>
                <w:rFonts w:ascii="Arial" w:cs="Arial" w:eastAsia="Arial" w:hAnsi="Arial"/>
                <w:sz w:val="18"/>
                <w:szCs w:val="18"/>
                <w:b w:val="1"/>
                <w:bCs w:val="1"/>
                <w:color w:val="FFFFFF"/>
              </w:rPr>
              <w:t>rate</w:t>
            </w:r>
          </w:p>
        </w:tc>
      </w:tr>
      <w:tr>
        <w:trPr>
          <w:trHeight w:val="272"/>
        </w:trPr>
        <w:tc>
          <w:tcPr>
            <w:tcW w:w="520" w:type="dxa"/>
            <w:vAlign w:val="bottom"/>
            <w:shd w:val="clear" w:color="auto" w:fill="153A57"/>
          </w:tcPr>
          <w:p>
            <w:pPr>
              <w:spacing w:after="0"/>
              <w:rPr>
                <w:sz w:val="23"/>
                <w:szCs w:val="23"/>
                <w:color w:val="auto"/>
              </w:rPr>
            </w:pPr>
          </w:p>
        </w:tc>
        <w:tc>
          <w:tcPr>
            <w:tcW w:w="3080" w:type="dxa"/>
            <w:vAlign w:val="bottom"/>
            <w:shd w:val="clear" w:color="auto" w:fill="153A57"/>
          </w:tcPr>
          <w:p>
            <w:pPr>
              <w:spacing w:after="0"/>
              <w:rPr>
                <w:sz w:val="23"/>
                <w:szCs w:val="23"/>
                <w:color w:val="auto"/>
              </w:rPr>
            </w:pPr>
          </w:p>
        </w:tc>
        <w:tc>
          <w:tcPr>
            <w:tcW w:w="2480" w:type="dxa"/>
            <w:vAlign w:val="bottom"/>
            <w:shd w:val="clear" w:color="auto" w:fill="153A57"/>
          </w:tcPr>
          <w:p>
            <w:pPr>
              <w:ind w:left="500"/>
              <w:spacing w:after="0"/>
              <w:rPr>
                <w:sz w:val="20"/>
                <w:szCs w:val="20"/>
                <w:color w:val="auto"/>
              </w:rPr>
            </w:pPr>
            <w:r>
              <w:rPr>
                <w:rFonts w:ascii="Arial" w:cs="Arial" w:eastAsia="Arial" w:hAnsi="Arial"/>
                <w:sz w:val="18"/>
                <w:szCs w:val="18"/>
                <w:b w:val="1"/>
                <w:bCs w:val="1"/>
                <w:color w:val="FFFFFF"/>
              </w:rPr>
              <w:t>Incentive Plan</w:t>
            </w:r>
          </w:p>
        </w:tc>
        <w:tc>
          <w:tcPr>
            <w:tcW w:w="2600" w:type="dxa"/>
            <w:vAlign w:val="bottom"/>
            <w:shd w:val="clear" w:color="auto" w:fill="153A57"/>
          </w:tcPr>
          <w:p>
            <w:pPr>
              <w:spacing w:after="0"/>
              <w:rPr>
                <w:sz w:val="20"/>
                <w:szCs w:val="20"/>
                <w:color w:val="auto"/>
              </w:rPr>
            </w:pPr>
            <w:r>
              <w:rPr>
                <w:rFonts w:ascii="Arial" w:cs="Arial" w:eastAsia="Arial" w:hAnsi="Arial"/>
                <w:sz w:val="18"/>
                <w:szCs w:val="18"/>
                <w:b w:val="1"/>
                <w:bCs w:val="1"/>
                <w:color w:val="FFFFFF"/>
              </w:rPr>
              <w:t>the applicable financial year</w:t>
            </w:r>
          </w:p>
        </w:tc>
        <w:tc>
          <w:tcPr>
            <w:tcW w:w="880" w:type="dxa"/>
            <w:vAlign w:val="bottom"/>
            <w:shd w:val="clear" w:color="auto" w:fill="153A57"/>
          </w:tcPr>
          <w:p>
            <w:pPr>
              <w:ind w:left="20"/>
              <w:spacing w:after="0"/>
              <w:rPr>
                <w:sz w:val="20"/>
                <w:szCs w:val="20"/>
                <w:color w:val="auto"/>
              </w:rPr>
            </w:pPr>
            <w:r>
              <w:rPr>
                <w:rFonts w:ascii="Arial" w:cs="Arial" w:eastAsia="Arial" w:hAnsi="Arial"/>
                <w:sz w:val="18"/>
                <w:szCs w:val="18"/>
                <w:b w:val="1"/>
                <w:bCs w:val="1"/>
                <w:color w:val="FFFFFF"/>
              </w:rPr>
              <w:t>((a)/(b))</w:t>
            </w:r>
          </w:p>
        </w:tc>
      </w:tr>
      <w:tr>
        <w:trPr>
          <w:trHeight w:val="288"/>
        </w:trPr>
        <w:tc>
          <w:tcPr>
            <w:tcW w:w="3600" w:type="dxa"/>
            <w:vAlign w:val="bottom"/>
            <w:tcBorders>
              <w:bottom w:val="single" w:sz="8" w:color="153A57"/>
            </w:tcBorders>
            <w:gridSpan w:val="2"/>
            <w:shd w:val="clear" w:color="auto" w:fill="153A57"/>
          </w:tcPr>
          <w:p>
            <w:pPr>
              <w:ind w:left="100"/>
              <w:spacing w:after="0"/>
              <w:rPr>
                <w:sz w:val="20"/>
                <w:szCs w:val="20"/>
                <w:color w:val="auto"/>
              </w:rPr>
            </w:pPr>
            <w:r>
              <w:rPr>
                <w:rFonts w:ascii="Arial" w:cs="Arial" w:eastAsia="Arial" w:hAnsi="Arial"/>
                <w:sz w:val="18"/>
                <w:szCs w:val="18"/>
                <w:b w:val="1"/>
                <w:bCs w:val="1"/>
                <w:color w:val="FFFFFF"/>
              </w:rPr>
              <w:t>Financial Year ended December 31</w:t>
            </w:r>
          </w:p>
        </w:tc>
        <w:tc>
          <w:tcPr>
            <w:tcW w:w="2480" w:type="dxa"/>
            <w:vAlign w:val="bottom"/>
            <w:tcBorders>
              <w:bottom w:val="single" w:sz="8" w:color="153A57"/>
            </w:tcBorders>
            <w:shd w:val="clear" w:color="auto" w:fill="153A57"/>
          </w:tcPr>
          <w:p>
            <w:pPr>
              <w:ind w:left="500"/>
              <w:spacing w:after="0"/>
              <w:rPr>
                <w:sz w:val="20"/>
                <w:szCs w:val="20"/>
                <w:color w:val="auto"/>
              </w:rPr>
            </w:pPr>
            <w:r>
              <w:rPr>
                <w:rFonts w:ascii="Arial" w:cs="Arial" w:eastAsia="Arial" w:hAnsi="Arial"/>
                <w:sz w:val="18"/>
                <w:szCs w:val="18"/>
                <w:b w:val="1"/>
                <w:bCs w:val="1"/>
                <w:color w:val="FFFFFF"/>
              </w:rPr>
              <w:t>(a)</w:t>
            </w:r>
          </w:p>
        </w:tc>
        <w:tc>
          <w:tcPr>
            <w:tcW w:w="2600" w:type="dxa"/>
            <w:vAlign w:val="bottom"/>
            <w:tcBorders>
              <w:bottom w:val="single" w:sz="8" w:color="153A57"/>
            </w:tcBorders>
            <w:shd w:val="clear" w:color="auto" w:fill="153A57"/>
          </w:tcPr>
          <w:p>
            <w:pPr>
              <w:spacing w:after="0"/>
              <w:rPr>
                <w:sz w:val="20"/>
                <w:szCs w:val="20"/>
                <w:color w:val="auto"/>
              </w:rPr>
            </w:pPr>
            <w:r>
              <w:rPr>
                <w:rFonts w:ascii="Arial" w:cs="Arial" w:eastAsia="Arial" w:hAnsi="Arial"/>
                <w:sz w:val="18"/>
                <w:szCs w:val="18"/>
                <w:b w:val="1"/>
                <w:bCs w:val="1"/>
                <w:color w:val="FFFFFF"/>
              </w:rPr>
              <w:t>(b)</w:t>
            </w:r>
          </w:p>
        </w:tc>
        <w:tc>
          <w:tcPr>
            <w:tcW w:w="880" w:type="dxa"/>
            <w:vAlign w:val="bottom"/>
            <w:tcBorders>
              <w:bottom w:val="single" w:sz="8" w:color="153A57"/>
            </w:tcBorders>
            <w:shd w:val="clear" w:color="auto" w:fill="153A57"/>
          </w:tcPr>
          <w:p>
            <w:pPr>
              <w:ind w:left="20"/>
              <w:spacing w:after="0"/>
              <w:rPr>
                <w:sz w:val="20"/>
                <w:szCs w:val="20"/>
                <w:color w:val="auto"/>
              </w:rPr>
            </w:pPr>
            <w:r>
              <w:rPr>
                <w:rFonts w:ascii="Arial" w:cs="Arial" w:eastAsia="Arial" w:hAnsi="Arial"/>
                <w:sz w:val="18"/>
                <w:szCs w:val="18"/>
                <w:b w:val="1"/>
                <w:bCs w:val="1"/>
                <w:color w:val="FFFFFF"/>
              </w:rPr>
              <w:t>(c)</w:t>
            </w:r>
          </w:p>
        </w:tc>
      </w:tr>
      <w:tr>
        <w:trPr>
          <w:trHeight w:val="250"/>
        </w:trPr>
        <w:tc>
          <w:tcPr>
            <w:tcW w:w="520" w:type="dxa"/>
            <w:vAlign w:val="bottom"/>
          </w:tcPr>
          <w:p>
            <w:pPr>
              <w:ind w:left="100"/>
              <w:spacing w:after="0"/>
              <w:rPr>
                <w:sz w:val="20"/>
                <w:szCs w:val="20"/>
                <w:color w:val="auto"/>
              </w:rPr>
            </w:pPr>
            <w:r>
              <w:rPr>
                <w:rFonts w:ascii="Arial" w:cs="Arial" w:eastAsia="Arial" w:hAnsi="Arial"/>
                <w:sz w:val="18"/>
                <w:szCs w:val="18"/>
                <w:b w:val="1"/>
                <w:bCs w:val="1"/>
                <w:color w:val="auto"/>
                <w:w w:val="99"/>
              </w:rPr>
              <w:t>2025</w:t>
            </w:r>
          </w:p>
        </w:tc>
        <w:tc>
          <w:tcPr>
            <w:tcW w:w="308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4,858,119</w:t>
            </w:r>
          </w:p>
        </w:tc>
        <w:tc>
          <w:tcPr>
            <w:tcW w:w="2600" w:type="dxa"/>
            <w:vAlign w:val="bottom"/>
          </w:tcPr>
          <w:p>
            <w:pPr>
              <w:jc w:val="right"/>
              <w:spacing w:after="0"/>
              <w:rPr>
                <w:sz w:val="20"/>
                <w:szCs w:val="20"/>
                <w:color w:val="auto"/>
              </w:rPr>
            </w:pPr>
            <w:r>
              <w:rPr>
                <w:rFonts w:ascii="Arial" w:cs="Arial" w:eastAsia="Arial" w:hAnsi="Arial"/>
                <w:sz w:val="18"/>
                <w:szCs w:val="18"/>
                <w:color w:val="auto"/>
              </w:rPr>
              <w:t>162,171,992</w:t>
            </w:r>
          </w:p>
        </w:tc>
        <w:tc>
          <w:tcPr>
            <w:tcW w:w="880" w:type="dxa"/>
            <w:vAlign w:val="bottom"/>
          </w:tcPr>
          <w:p>
            <w:pPr>
              <w:spacing w:after="0"/>
              <w:rPr>
                <w:sz w:val="21"/>
                <w:szCs w:val="21"/>
                <w:color w:val="auto"/>
              </w:rPr>
            </w:pPr>
          </w:p>
        </w:tc>
      </w:tr>
      <w:tr>
        <w:trPr>
          <w:trHeight w:val="286"/>
        </w:trPr>
        <w:tc>
          <w:tcPr>
            <w:tcW w:w="520" w:type="dxa"/>
            <w:vAlign w:val="bottom"/>
          </w:tcPr>
          <w:p>
            <w:pPr>
              <w:ind w:left="100"/>
              <w:spacing w:after="0"/>
              <w:rPr>
                <w:sz w:val="20"/>
                <w:szCs w:val="20"/>
                <w:color w:val="auto"/>
              </w:rPr>
            </w:pPr>
            <w:r>
              <w:rPr>
                <w:rFonts w:ascii="Arial" w:cs="Arial" w:eastAsia="Arial" w:hAnsi="Arial"/>
                <w:sz w:val="18"/>
                <w:szCs w:val="18"/>
                <w:b w:val="1"/>
                <w:bCs w:val="1"/>
                <w:color w:val="auto"/>
                <w:w w:val="99"/>
              </w:rPr>
              <w:t>2024</w:t>
            </w:r>
          </w:p>
        </w:tc>
        <w:tc>
          <w:tcPr>
            <w:tcW w:w="308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3,209,025</w:t>
            </w:r>
          </w:p>
        </w:tc>
        <w:tc>
          <w:tcPr>
            <w:tcW w:w="2600" w:type="dxa"/>
            <w:vAlign w:val="bottom"/>
          </w:tcPr>
          <w:p>
            <w:pPr>
              <w:jc w:val="right"/>
              <w:spacing w:after="0"/>
              <w:rPr>
                <w:sz w:val="20"/>
                <w:szCs w:val="20"/>
                <w:color w:val="auto"/>
              </w:rPr>
            </w:pPr>
            <w:r>
              <w:rPr>
                <w:rFonts w:ascii="Arial" w:cs="Arial" w:eastAsia="Arial" w:hAnsi="Arial"/>
                <w:sz w:val="18"/>
                <w:szCs w:val="18"/>
                <w:color w:val="auto"/>
              </w:rPr>
              <w:t>161,338,014</w:t>
            </w:r>
          </w:p>
        </w:tc>
        <w:tc>
          <w:tcPr>
            <w:tcW w:w="880" w:type="dxa"/>
            <w:vAlign w:val="bottom"/>
          </w:tcPr>
          <w:p>
            <w:pPr>
              <w:spacing w:after="0"/>
              <w:rPr>
                <w:sz w:val="24"/>
                <w:szCs w:val="24"/>
                <w:color w:val="auto"/>
              </w:rPr>
            </w:pPr>
          </w:p>
        </w:tc>
      </w:tr>
      <w:tr>
        <w:trPr>
          <w:trHeight w:val="286"/>
        </w:trPr>
        <w:tc>
          <w:tcPr>
            <w:tcW w:w="520" w:type="dxa"/>
            <w:vAlign w:val="bottom"/>
          </w:tcPr>
          <w:p>
            <w:pPr>
              <w:ind w:left="100"/>
              <w:spacing w:after="0"/>
              <w:rPr>
                <w:sz w:val="20"/>
                <w:szCs w:val="20"/>
                <w:color w:val="auto"/>
              </w:rPr>
            </w:pPr>
            <w:r>
              <w:rPr>
                <w:rFonts w:ascii="Arial" w:cs="Arial" w:eastAsia="Arial" w:hAnsi="Arial"/>
                <w:sz w:val="18"/>
                <w:szCs w:val="18"/>
                <w:b w:val="1"/>
                <w:bCs w:val="1"/>
                <w:color w:val="auto"/>
                <w:w w:val="99"/>
              </w:rPr>
              <w:t>2023</w:t>
            </w:r>
          </w:p>
        </w:tc>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(Post-Separation Transaction)</w:t>
            </w:r>
          </w:p>
        </w:tc>
        <w:tc>
          <w:tcPr>
            <w:tcW w:w="2480" w:type="dxa"/>
            <w:vAlign w:val="bottom"/>
          </w:tcPr>
          <w:p>
            <w:pPr>
              <w:jc w:val="right"/>
              <w:spacing w:after="0"/>
              <w:rPr>
                <w:sz w:val="20"/>
                <w:szCs w:val="20"/>
                <w:color w:val="auto"/>
              </w:rPr>
            </w:pPr>
            <w:r>
              <w:rPr>
                <w:rFonts w:ascii="Arial" w:cs="Arial" w:eastAsia="Arial" w:hAnsi="Arial"/>
                <w:sz w:val="18"/>
                <w:szCs w:val="18"/>
                <w:color w:val="auto"/>
              </w:rPr>
              <w:t>2,943,500</w:t>
            </w:r>
          </w:p>
        </w:tc>
        <w:tc>
          <w:tcPr>
            <w:tcW w:w="2600" w:type="dxa"/>
            <w:vAlign w:val="bottom"/>
          </w:tcPr>
          <w:p>
            <w:pPr>
              <w:jc w:val="right"/>
              <w:spacing w:after="0"/>
              <w:rPr>
                <w:sz w:val="20"/>
                <w:szCs w:val="20"/>
                <w:color w:val="auto"/>
              </w:rPr>
            </w:pPr>
            <w:r>
              <w:rPr>
                <w:rFonts w:ascii="Arial" w:cs="Arial" w:eastAsia="Arial" w:hAnsi="Arial"/>
                <w:sz w:val="18"/>
                <w:szCs w:val="18"/>
                <w:color w:val="auto"/>
              </w:rPr>
              <w:t>155,331,000</w:t>
            </w:r>
          </w:p>
        </w:tc>
        <w:tc>
          <w:tcPr>
            <w:tcW w:w="880" w:type="dxa"/>
            <w:vAlign w:val="bottom"/>
          </w:tcPr>
          <w:p>
            <w:pPr>
              <w:spacing w:after="0"/>
              <w:rPr>
                <w:sz w:val="24"/>
                <w:szCs w:val="24"/>
                <w:color w:val="auto"/>
              </w:rPr>
            </w:pPr>
          </w:p>
        </w:tc>
      </w:tr>
      <w:tr>
        <w:trPr>
          <w:trHeight w:val="286"/>
        </w:trPr>
        <w:tc>
          <w:tcPr>
            <w:tcW w:w="520" w:type="dxa"/>
            <w:vAlign w:val="bottom"/>
          </w:tcPr>
          <w:p>
            <w:pPr>
              <w:ind w:left="100"/>
              <w:spacing w:after="0"/>
              <w:rPr>
                <w:sz w:val="20"/>
                <w:szCs w:val="20"/>
                <w:color w:val="auto"/>
              </w:rPr>
            </w:pPr>
            <w:r>
              <w:rPr>
                <w:rFonts w:ascii="Arial" w:cs="Arial" w:eastAsia="Arial" w:hAnsi="Arial"/>
                <w:sz w:val="18"/>
                <w:szCs w:val="18"/>
                <w:b w:val="1"/>
                <w:bCs w:val="1"/>
                <w:color w:val="auto"/>
                <w:w w:val="99"/>
              </w:rPr>
              <w:t>2023</w:t>
            </w:r>
          </w:p>
        </w:tc>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(Pre-Separation Transaction)</w:t>
            </w:r>
          </w:p>
        </w:tc>
        <w:tc>
          <w:tcPr>
            <w:tcW w:w="2480" w:type="dxa"/>
            <w:vAlign w:val="bottom"/>
          </w:tcPr>
          <w:p>
            <w:pPr>
              <w:jc w:val="right"/>
              <w:spacing w:after="0"/>
              <w:rPr>
                <w:sz w:val="20"/>
                <w:szCs w:val="20"/>
                <w:color w:val="auto"/>
              </w:rPr>
            </w:pPr>
            <w:r>
              <w:rPr>
                <w:rFonts w:ascii="Arial" w:cs="Arial" w:eastAsia="Arial" w:hAnsi="Arial"/>
                <w:sz w:val="18"/>
                <w:szCs w:val="18"/>
                <w:color w:val="auto"/>
              </w:rPr>
              <w:t>598,408</w:t>
            </w:r>
          </w:p>
        </w:tc>
        <w:tc>
          <w:tcPr>
            <w:tcW w:w="2600" w:type="dxa"/>
            <w:vAlign w:val="bottom"/>
          </w:tcPr>
          <w:p>
            <w:pPr>
              <w:jc w:val="right"/>
              <w:spacing w:after="0"/>
              <w:rPr>
                <w:sz w:val="20"/>
                <w:szCs w:val="20"/>
                <w:color w:val="auto"/>
              </w:rPr>
            </w:pPr>
            <w:r>
              <w:rPr>
                <w:rFonts w:ascii="Arial" w:cs="Arial" w:eastAsia="Arial" w:hAnsi="Arial"/>
                <w:sz w:val="18"/>
                <w:szCs w:val="18"/>
                <w:color w:val="auto"/>
              </w:rPr>
              <w:t>153,129,000</w:t>
            </w:r>
          </w:p>
        </w:tc>
        <w:tc>
          <w:tcPr>
            <w:tcW w:w="880" w:type="dxa"/>
            <w:vAlign w:val="bottom"/>
          </w:tcPr>
          <w:p>
            <w:pPr>
              <w:spacing w:after="0"/>
              <w:rPr>
                <w:sz w:val="24"/>
                <w:szCs w:val="24"/>
                <w:color w:val="auto"/>
              </w:rPr>
            </w:pPr>
          </w:p>
        </w:tc>
      </w:tr>
      <w:tr>
        <w:trPr>
          <w:trHeight w:val="286"/>
        </w:trPr>
        <w:tc>
          <w:tcPr>
            <w:tcW w:w="520" w:type="dxa"/>
            <w:vAlign w:val="bottom"/>
          </w:tcPr>
          <w:p>
            <w:pPr>
              <w:ind w:left="100"/>
              <w:spacing w:after="0"/>
              <w:rPr>
                <w:sz w:val="20"/>
                <w:szCs w:val="20"/>
                <w:color w:val="auto"/>
              </w:rPr>
            </w:pPr>
            <w:r>
              <w:rPr>
                <w:rFonts w:ascii="Arial" w:cs="Arial" w:eastAsia="Arial" w:hAnsi="Arial"/>
                <w:sz w:val="18"/>
                <w:szCs w:val="18"/>
                <w:b w:val="1"/>
                <w:bCs w:val="1"/>
                <w:color w:val="auto"/>
                <w:w w:val="99"/>
              </w:rPr>
              <w:t>2022</w:t>
            </w:r>
          </w:p>
        </w:tc>
        <w:tc>
          <w:tcPr>
            <w:tcW w:w="308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236,195</w:t>
            </w:r>
          </w:p>
        </w:tc>
        <w:tc>
          <w:tcPr>
            <w:tcW w:w="2600" w:type="dxa"/>
            <w:vAlign w:val="bottom"/>
          </w:tcPr>
          <w:p>
            <w:pPr>
              <w:jc w:val="right"/>
              <w:spacing w:after="0"/>
              <w:rPr>
                <w:sz w:val="20"/>
                <w:szCs w:val="20"/>
                <w:color w:val="auto"/>
              </w:rPr>
            </w:pPr>
            <w:r>
              <w:rPr>
                <w:rFonts w:ascii="Arial" w:cs="Arial" w:eastAsia="Arial" w:hAnsi="Arial"/>
                <w:sz w:val="18"/>
                <w:szCs w:val="18"/>
                <w:color w:val="auto"/>
              </w:rPr>
              <w:t>133,709,000</w:t>
            </w:r>
          </w:p>
        </w:tc>
        <w:tc>
          <w:tcPr>
            <w:tcW w:w="8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6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53 / 59</w:t>
      </w:r>
    </w:p>
    <w:p>
      <w:pPr>
        <w:sectPr>
          <w:pgSz w:w="11900" w:h="16838" w:orient="portrait"/>
          <w:cols w:equalWidth="0" w:num="1">
            <w:col w:w="10460"/>
          </w:cols>
          <w:pgMar w:left="1440" w:top="1440" w:right="6" w:bottom="0" w:gutter="0" w:footer="0" w:header="0"/>
          <w:type w:val="continuous"/>
        </w:sectPr>
      </w:pPr>
    </w:p>
    <w:bookmarkStart w:id="223" w:name="page224"/>
    <w:bookmarkEnd w:id="223"/>
    <w:p>
      <w:pPr>
        <w:spacing w:after="0" w:line="187"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Securities Authorized For Issuance Under Equity Compensation Plans</w:t>
      </w:r>
    </w:p>
    <w:p>
      <w:pPr>
        <w:spacing w:after="0" w:line="23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Overview</w:t>
      </w:r>
    </w:p>
    <w:p>
      <w:pPr>
        <w:spacing w:after="0" w:line="239" w:lineRule="exact"/>
        <w:rPr>
          <w:sz w:val="20"/>
          <w:szCs w:val="20"/>
          <w:color w:val="auto"/>
        </w:rPr>
      </w:pPr>
    </w:p>
    <w:p>
      <w:pPr>
        <w:jc w:val="both"/>
        <w:ind w:left="900"/>
        <w:spacing w:after="0" w:line="332" w:lineRule="auto"/>
        <w:rPr>
          <w:sz w:val="20"/>
          <w:szCs w:val="20"/>
          <w:color w:val="auto"/>
        </w:rPr>
      </w:pPr>
      <w:r>
        <w:rPr>
          <w:rFonts w:ascii="Arial" w:cs="Arial" w:eastAsia="Arial" w:hAnsi="Arial"/>
          <w:sz w:val="19"/>
          <w:szCs w:val="19"/>
          <w:color w:val="auto"/>
        </w:rPr>
        <w:t>Below is a summary of the material terms of the Second Amended and Restated Equity Incentive Plan “</w:t>
      </w:r>
      <w:r>
        <w:rPr>
          <w:rFonts w:ascii="Arial" w:cs="Arial" w:eastAsia="Arial" w:hAnsi="Arial"/>
          <w:sz w:val="19"/>
          <w:szCs w:val="19"/>
          <w:b w:val="1"/>
          <w:bCs w:val="1"/>
          <w:color w:val="auto"/>
        </w:rPr>
        <w:t>Incentive Plan</w:t>
      </w:r>
      <w:r>
        <w:rPr>
          <w:rFonts w:ascii="Arial" w:cs="Arial" w:eastAsia="Arial" w:hAnsi="Arial"/>
          <w:sz w:val="19"/>
          <w:szCs w:val="19"/>
          <w:color w:val="auto"/>
        </w:rPr>
        <w:t>”) as last amended and approved by the Board on January 23, 2025. Amendments to Incentive Plan consisted primarily of changing references of “Lithium Americas (Argentina) Corp. to “Lit Argentina AG” in connection with the continuation to Switzerland, revising the definition of “fair market value changes necessary to comply with Swiss law in connection with the continuation to Switzerland. The amend were made without Shareholder approval pursuant to the amendment provisions of the Incentive Plan an TSX Company Manual. The amendments were accepted by the TSX. Shareholders last approved the Ince Plan on June 20, 2024. Terms not herein defined shall have the meaning ascribed to them in the Incentive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1079500</wp:posOffset>
            </wp:positionV>
            <wp:extent cx="6764020" cy="190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54 / 59</w:t>
      </w:r>
    </w:p>
    <w:p>
      <w:pPr>
        <w:sectPr>
          <w:pgSz w:w="11900" w:h="16838" w:orient="portrait"/>
          <w:cols w:equalWidth="0" w:num="1">
            <w:col w:w="10460"/>
          </w:cols>
          <w:pgMar w:left="1440" w:top="1440" w:right="6" w:bottom="0" w:gutter="0" w:footer="0" w:header="0"/>
          <w:type w:val="continuous"/>
        </w:sectPr>
      </w:pPr>
    </w:p>
    <w:bookmarkStart w:id="224" w:name="page225"/>
    <w:bookmarkEnd w:id="2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900"/>
        <w:spacing w:after="0" w:line="332" w:lineRule="auto"/>
        <w:rPr>
          <w:sz w:val="20"/>
          <w:szCs w:val="20"/>
          <w:color w:val="auto"/>
        </w:rPr>
      </w:pPr>
      <w:r>
        <w:rPr>
          <w:rFonts w:ascii="Arial" w:cs="Arial" w:eastAsia="Arial" w:hAnsi="Arial"/>
          <w:sz w:val="20"/>
          <w:szCs w:val="20"/>
          <w:color w:val="auto"/>
        </w:rPr>
        <w:t>The Incentive is the Company’s equity incentive plan and governs all equity incentives awarded by Lit Argentina, including Options, DSUs, and Restricted Share Rights, whether time based or in the form of P The Company is permitted to issue an aggregate of 8% of the Common Shares based on the current numb Common Shares outstanding.</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Summary of the Second Amended and Restated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236220</wp:posOffset>
            </wp:positionV>
            <wp:extent cx="6045835" cy="2679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6">
                      <a:extLst>
                        <a:ext uri="{28A0092B-C50C-407E-A947-70E740481C1C}"/>
                      </a:extLst>
                    </a:blip>
                    <a:srcRect/>
                    <a:stretch>
                      <a:fillRect/>
                    </a:stretch>
                  </pic:blipFill>
                  <pic:spPr bwMode="auto">
                    <a:xfrm>
                      <a:off x="0" y="0"/>
                      <a:ext cx="6045835" cy="26797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FFFFFF"/>
        </w:rPr>
        <w:t>SECOND AMENDED AND RESTATED EQUITY INCENTIVE PLAN SUMMARY</w:t>
      </w:r>
    </w:p>
    <w:p>
      <w:pPr>
        <w:spacing w:after="0" w:line="131" w:lineRule="exact"/>
        <w:rPr>
          <w:sz w:val="20"/>
          <w:szCs w:val="20"/>
          <w:color w:val="auto"/>
        </w:rPr>
      </w:pPr>
    </w:p>
    <w:tbl>
      <w:tblPr>
        <w:tblLayout w:type="fixed"/>
        <w:tblInd w:w="940" w:type="dxa"/>
        <w:tblCellMar>
          <w:top w:w="0" w:type="dxa"/>
          <w:left w:w="0" w:type="dxa"/>
          <w:bottom w:w="0" w:type="dxa"/>
          <w:right w:w="0" w:type="dxa"/>
        </w:tblCellMar>
      </w:tblPr>
      <w:tr>
        <w:trPr>
          <w:trHeight w:val="321"/>
        </w:trPr>
        <w:tc>
          <w:tcPr>
            <w:tcW w:w="3040" w:type="dxa"/>
            <w:vAlign w:val="bottom"/>
            <w:shd w:val="clear" w:color="auto" w:fill="153A57"/>
          </w:tcPr>
          <w:p>
            <w:pPr>
              <w:ind w:left="140"/>
              <w:spacing w:after="0"/>
              <w:rPr>
                <w:sz w:val="20"/>
                <w:szCs w:val="20"/>
                <w:color w:val="auto"/>
              </w:rPr>
            </w:pPr>
            <w:r>
              <w:rPr>
                <w:rFonts w:ascii="Arial" w:cs="Arial" w:eastAsia="Arial" w:hAnsi="Arial"/>
                <w:sz w:val="20"/>
                <w:szCs w:val="20"/>
                <w:b w:val="1"/>
                <w:bCs w:val="1"/>
                <w:color w:val="FFFFFF"/>
              </w:rPr>
              <w:t>Plan Type and Shares</w:t>
            </w: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Subject to the conditional capital of the Company for equity incentive pla</w:t>
            </w:r>
          </w:p>
        </w:tc>
      </w:tr>
      <w:tr>
        <w:trPr>
          <w:trHeight w:val="302"/>
        </w:trPr>
        <w:tc>
          <w:tcPr>
            <w:tcW w:w="3040" w:type="dxa"/>
            <w:vAlign w:val="bottom"/>
            <w:shd w:val="clear" w:color="auto" w:fill="153A57"/>
          </w:tcPr>
          <w:p>
            <w:pPr>
              <w:ind w:left="140"/>
              <w:spacing w:after="0"/>
              <w:rPr>
                <w:sz w:val="20"/>
                <w:szCs w:val="20"/>
                <w:color w:val="auto"/>
              </w:rPr>
            </w:pPr>
            <w:r>
              <w:rPr>
                <w:rFonts w:ascii="Arial" w:cs="Arial" w:eastAsia="Arial" w:hAnsi="Arial"/>
                <w:sz w:val="20"/>
                <w:szCs w:val="20"/>
                <w:b w:val="1"/>
                <w:bCs w:val="1"/>
                <w:color w:val="FFFFFF"/>
              </w:rPr>
              <w:t>Available for Award Grants</w:t>
            </w:r>
          </w:p>
        </w:tc>
        <w:tc>
          <w:tcPr>
            <w:tcW w:w="6480" w:type="dxa"/>
            <w:vAlign w:val="bottom"/>
          </w:tcPr>
          <w:p>
            <w:pPr>
              <w:ind w:left="140"/>
              <w:spacing w:after="0"/>
              <w:rPr>
                <w:sz w:val="20"/>
                <w:szCs w:val="20"/>
                <w:color w:val="auto"/>
              </w:rPr>
            </w:pPr>
            <w:r>
              <w:rPr>
                <w:rFonts w:ascii="Arial" w:cs="Arial" w:eastAsia="Arial" w:hAnsi="Arial"/>
                <w:sz w:val="20"/>
                <w:szCs w:val="20"/>
                <w:color w:val="auto"/>
              </w:rPr>
              <w:t>under the Company’s Articles of Association, our plan is an 8% “rolling”</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equity compensation plan, with maximum number of equity awards discl</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in the next table, pursuant to TSX and NYSE requirements. Any increas</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the percentage number of awards must be cleared with TSX and NYSE</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would generally require shareholder approval.</w:t>
            </w:r>
          </w:p>
        </w:tc>
      </w:tr>
      <w:tr>
        <w:trPr>
          <w:trHeight w:val="36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8"/>
              </w:rPr>
              <w:t>For greater certainty, any increase in the issued and outstanding Shares</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result in an increase in the available number of Shares issuable under t</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Second Amended and Restated Equity Incentive Plan, and the exercise</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settlement of awards under the Second Amended and Restated Equity</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Incentive Plan will make new grants available under the Second Amend</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and Restated Equity Incentive Plan.</w:t>
            </w:r>
          </w:p>
        </w:tc>
      </w:tr>
      <w:tr>
        <w:trPr>
          <w:trHeight w:val="437"/>
        </w:trPr>
        <w:tc>
          <w:tcPr>
            <w:tcW w:w="3040" w:type="dxa"/>
            <w:vAlign w:val="bottom"/>
            <w:shd w:val="clear" w:color="auto" w:fill="153A57"/>
          </w:tcPr>
          <w:p>
            <w:pPr>
              <w:ind w:left="140"/>
              <w:spacing w:after="0"/>
              <w:rPr>
                <w:sz w:val="20"/>
                <w:szCs w:val="20"/>
                <w:color w:val="auto"/>
              </w:rPr>
            </w:pPr>
            <w:r>
              <w:rPr>
                <w:rFonts w:ascii="Arial" w:cs="Arial" w:eastAsia="Arial" w:hAnsi="Arial"/>
                <w:sz w:val="20"/>
                <w:szCs w:val="20"/>
                <w:b w:val="1"/>
                <w:bCs w:val="1"/>
                <w:color w:val="FFFFFF"/>
              </w:rPr>
              <w:t>Eligible Participants</w:t>
            </w: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Directors, executive officers, employees and consultants of the Compan</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and our subsidiaries are eligible for awards under the Second Amended</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Restated Equity Incentive Plan.</w:t>
            </w:r>
          </w:p>
        </w:tc>
      </w:tr>
      <w:tr>
        <w:trPr>
          <w:trHeight w:val="101"/>
        </w:trPr>
        <w:tc>
          <w:tcPr>
            <w:tcW w:w="3040" w:type="dxa"/>
            <w:vAlign w:val="bottom"/>
            <w:shd w:val="clear" w:color="auto" w:fill="153A57"/>
          </w:tcPr>
          <w:p>
            <w:pPr>
              <w:spacing w:after="0"/>
              <w:rPr>
                <w:sz w:val="8"/>
                <w:szCs w:val="8"/>
                <w:color w:val="auto"/>
              </w:rPr>
            </w:pPr>
          </w:p>
        </w:tc>
        <w:tc>
          <w:tcPr>
            <w:tcW w:w="6480" w:type="dxa"/>
            <w:vAlign w:val="bottom"/>
          </w:tcPr>
          <w:p>
            <w:pPr>
              <w:spacing w:after="0"/>
              <w:rPr>
                <w:sz w:val="8"/>
                <w:szCs w:val="8"/>
                <w:color w:val="auto"/>
              </w:rPr>
            </w:pPr>
          </w:p>
        </w:tc>
      </w:tr>
      <w:tr>
        <w:trPr>
          <w:trHeight w:val="30"/>
        </w:trPr>
        <w:tc>
          <w:tcPr>
            <w:tcW w:w="3040" w:type="dxa"/>
            <w:vAlign w:val="bottom"/>
          </w:tcPr>
          <w:p>
            <w:pPr>
              <w:spacing w:after="0"/>
              <w:rPr>
                <w:sz w:val="2"/>
                <w:szCs w:val="2"/>
                <w:color w:val="auto"/>
              </w:rPr>
            </w:pPr>
          </w:p>
        </w:tc>
        <w:tc>
          <w:tcPr>
            <w:tcW w:w="6480" w:type="dxa"/>
            <w:vAlign w:val="bottom"/>
          </w:tcPr>
          <w:p>
            <w:pPr>
              <w:spacing w:after="0"/>
              <w:rPr>
                <w:sz w:val="2"/>
                <w:szCs w:val="2"/>
                <w:color w:val="auto"/>
              </w:rPr>
            </w:pPr>
          </w:p>
        </w:tc>
      </w:tr>
      <w:tr>
        <w:trPr>
          <w:trHeight w:val="321"/>
        </w:trPr>
        <w:tc>
          <w:tcPr>
            <w:tcW w:w="3040" w:type="dxa"/>
            <w:vAlign w:val="bottom"/>
            <w:shd w:val="clear" w:color="auto" w:fill="153A57"/>
          </w:tcPr>
          <w:p>
            <w:pPr>
              <w:ind w:left="140"/>
              <w:spacing w:after="0"/>
              <w:rPr>
                <w:sz w:val="20"/>
                <w:szCs w:val="20"/>
                <w:color w:val="auto"/>
              </w:rPr>
            </w:pPr>
            <w:r>
              <w:rPr>
                <w:rFonts w:ascii="Arial" w:cs="Arial" w:eastAsia="Arial" w:hAnsi="Arial"/>
                <w:sz w:val="20"/>
                <w:szCs w:val="20"/>
                <w:b w:val="1"/>
                <w:bCs w:val="1"/>
                <w:color w:val="FFFFFF"/>
              </w:rPr>
              <w:t>Award Types</w:t>
            </w:r>
          </w:p>
        </w:tc>
        <w:tc>
          <w:tcPr>
            <w:tcW w:w="6480" w:type="dxa"/>
            <w:vAlign w:val="bottom"/>
          </w:tcPr>
          <w:p>
            <w:pPr>
              <w:ind w:left="140"/>
              <w:spacing w:after="0"/>
              <w:rPr>
                <w:sz w:val="20"/>
                <w:szCs w:val="20"/>
                <w:color w:val="auto"/>
              </w:rPr>
            </w:pPr>
            <w:r>
              <w:rPr>
                <w:rFonts w:ascii="Arial" w:cs="Arial" w:eastAsia="Arial" w:hAnsi="Arial"/>
                <w:sz w:val="20"/>
                <w:szCs w:val="20"/>
                <w:color w:val="auto"/>
              </w:rPr>
              <w:t>Options, DSUs, RSUs or PSUs may be awarded under the Second</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Amended and Restated Equity Incentive Plan to all eligible participants.</w:t>
            </w:r>
          </w:p>
        </w:tc>
      </w:tr>
      <w:tr>
        <w:trPr>
          <w:trHeight w:val="101"/>
        </w:trPr>
        <w:tc>
          <w:tcPr>
            <w:tcW w:w="3040" w:type="dxa"/>
            <w:vAlign w:val="bottom"/>
            <w:shd w:val="clear" w:color="auto" w:fill="153A57"/>
          </w:tcPr>
          <w:p>
            <w:pPr>
              <w:spacing w:after="0"/>
              <w:rPr>
                <w:sz w:val="8"/>
                <w:szCs w:val="8"/>
                <w:color w:val="auto"/>
              </w:rPr>
            </w:pPr>
          </w:p>
        </w:tc>
        <w:tc>
          <w:tcPr>
            <w:tcW w:w="6480" w:type="dxa"/>
            <w:vAlign w:val="bottom"/>
          </w:tcPr>
          <w:p>
            <w:pPr>
              <w:spacing w:after="0"/>
              <w:rPr>
                <w:sz w:val="8"/>
                <w:szCs w:val="8"/>
                <w:color w:val="auto"/>
              </w:rPr>
            </w:pPr>
          </w:p>
        </w:tc>
      </w:tr>
      <w:tr>
        <w:trPr>
          <w:trHeight w:val="30"/>
        </w:trPr>
        <w:tc>
          <w:tcPr>
            <w:tcW w:w="3040" w:type="dxa"/>
            <w:vAlign w:val="bottom"/>
          </w:tcPr>
          <w:p>
            <w:pPr>
              <w:spacing w:after="0"/>
              <w:rPr>
                <w:sz w:val="2"/>
                <w:szCs w:val="2"/>
                <w:color w:val="auto"/>
              </w:rPr>
            </w:pPr>
          </w:p>
        </w:tc>
        <w:tc>
          <w:tcPr>
            <w:tcW w:w="6480" w:type="dxa"/>
            <w:vAlign w:val="bottom"/>
          </w:tcPr>
          <w:p>
            <w:pPr>
              <w:spacing w:after="0"/>
              <w:rPr>
                <w:sz w:val="2"/>
                <w:szCs w:val="2"/>
                <w:color w:val="auto"/>
              </w:rPr>
            </w:pPr>
          </w:p>
        </w:tc>
      </w:tr>
      <w:tr>
        <w:trPr>
          <w:trHeight w:val="321"/>
        </w:trPr>
        <w:tc>
          <w:tcPr>
            <w:tcW w:w="3040" w:type="dxa"/>
            <w:vAlign w:val="bottom"/>
            <w:shd w:val="clear" w:color="auto" w:fill="153A57"/>
          </w:tcPr>
          <w:p>
            <w:pPr>
              <w:ind w:left="140"/>
              <w:spacing w:after="0"/>
              <w:rPr>
                <w:sz w:val="20"/>
                <w:szCs w:val="20"/>
                <w:color w:val="auto"/>
              </w:rPr>
            </w:pPr>
            <w:r>
              <w:rPr>
                <w:rFonts w:ascii="Arial" w:cs="Arial" w:eastAsia="Arial" w:hAnsi="Arial"/>
                <w:sz w:val="20"/>
                <w:szCs w:val="20"/>
                <w:b w:val="1"/>
                <w:bCs w:val="1"/>
                <w:color w:val="FFFFFF"/>
              </w:rPr>
              <w:t>Approval of Award Grants</w:t>
            </w: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Under the Second Amended and Restated Equity Incentive Plan, award</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grants (number, vesting conditions and periods, exercise price, etc.) are</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8"/>
              </w:rPr>
              <w:t>generally approved by the Board, on the recommendation of the GNCLC</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The CEO also has delegated authority from the Board to approve the gr</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of a fixed, nominal number of Restricted Share Rights, without Board</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approval of individual grants. This is generally used for grants to new hir</w:t>
            </w:r>
          </w:p>
        </w:tc>
      </w:tr>
      <w:tr>
        <w:trPr>
          <w:trHeight w:val="101"/>
        </w:trPr>
        <w:tc>
          <w:tcPr>
            <w:tcW w:w="3040" w:type="dxa"/>
            <w:vAlign w:val="bottom"/>
            <w:shd w:val="clear" w:color="auto" w:fill="153A57"/>
          </w:tcPr>
          <w:p>
            <w:pPr>
              <w:spacing w:after="0"/>
              <w:rPr>
                <w:sz w:val="8"/>
                <w:szCs w:val="8"/>
                <w:color w:val="auto"/>
              </w:rPr>
            </w:pPr>
          </w:p>
        </w:tc>
        <w:tc>
          <w:tcPr>
            <w:tcW w:w="64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-2384425</wp:posOffset>
            </wp:positionV>
            <wp:extent cx="1926590" cy="952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7">
                      <a:extLst>
                        <a:ext uri="{28A0092B-C50C-407E-A947-70E740481C1C}"/>
                      </a:extLst>
                    </a:blip>
                    <a:srcRect/>
                    <a:stretch>
                      <a:fillRect/>
                    </a:stretch>
                  </pic:blipFill>
                  <pic:spPr bwMode="auto">
                    <a:xfrm>
                      <a:off x="0" y="0"/>
                      <a:ext cx="1926590" cy="952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55 / 59</w:t>
      </w:r>
    </w:p>
    <w:p>
      <w:pPr>
        <w:sectPr>
          <w:pgSz w:w="11900" w:h="16838" w:orient="portrait"/>
          <w:cols w:equalWidth="0" w:num="1">
            <w:col w:w="10460"/>
          </w:cols>
          <w:pgMar w:left="1440" w:top="1440" w:right="6" w:bottom="0" w:gutter="0" w:footer="0" w:header="0"/>
          <w:type w:val="continuous"/>
        </w:sectPr>
      </w:pPr>
    </w:p>
    <w:bookmarkStart w:id="225" w:name="page226"/>
    <w:bookmarkEnd w:id="225"/>
    <w:p>
      <w:pPr>
        <w:ind w:left="1080"/>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1513840</wp:posOffset>
            </wp:positionH>
            <wp:positionV relativeFrom="page">
              <wp:posOffset>720090</wp:posOffset>
            </wp:positionV>
            <wp:extent cx="1926590" cy="3181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18">
                      <a:extLst>
                        <a:ext uri="{28A0092B-C50C-407E-A947-70E740481C1C}"/>
                      </a:extLst>
                    </a:blip>
                    <a:srcRect/>
                    <a:stretch>
                      <a:fillRect/>
                    </a:stretch>
                  </pic:blipFill>
                  <pic:spPr bwMode="auto">
                    <a:xfrm>
                      <a:off x="0" y="0"/>
                      <a:ext cx="1926590" cy="3181350"/>
                    </a:xfrm>
                    <a:prstGeom prst="rect">
                      <a:avLst/>
                    </a:prstGeom>
                    <a:noFill/>
                  </pic:spPr>
                </pic:pic>
              </a:graphicData>
            </a:graphic>
          </wp:anchor>
        </w:drawing>
        <w:t>Vesting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2996565</wp:posOffset>
            </wp:positionV>
            <wp:extent cx="1926590" cy="9963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19">
                      <a:extLst>
                        <a:ext uri="{28A0092B-C50C-407E-A947-70E740481C1C}"/>
                      </a:extLst>
                    </a:blip>
                    <a:srcRect/>
                    <a:stretch>
                      <a:fillRect/>
                    </a:stretch>
                  </pic:blipFill>
                  <pic:spPr bwMode="auto">
                    <a:xfrm>
                      <a:off x="0" y="0"/>
                      <a:ext cx="1926590" cy="996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80"/>
        <w:spacing w:after="0" w:line="312" w:lineRule="auto"/>
        <w:rPr>
          <w:sz w:val="20"/>
          <w:szCs w:val="20"/>
          <w:color w:val="auto"/>
        </w:rPr>
      </w:pPr>
      <w:r>
        <w:rPr>
          <w:rFonts w:ascii="Arial" w:cs="Arial" w:eastAsia="Arial" w:hAnsi="Arial"/>
          <w:sz w:val="20"/>
          <w:szCs w:val="20"/>
          <w:b w:val="1"/>
          <w:bCs w:val="1"/>
          <w:color w:val="FFFFFF"/>
        </w:rPr>
        <w:t>Options – Term, Grant Date, Exercise Price and Expiry Date Extension for Blackout Periods</w:t>
      </w:r>
    </w:p>
    <w:p>
      <w:pPr>
        <w:spacing w:after="0" w:line="20" w:lineRule="exact"/>
        <w:rPr>
          <w:sz w:val="20"/>
          <w:szCs w:val="20"/>
          <w:color w:val="auto"/>
        </w:rPr>
      </w:pPr>
      <w:r>
        <w:rPr>
          <w:sz w:val="20"/>
          <w:szCs w:val="20"/>
          <w:color w:val="auto"/>
        </w:rPr>
        <w:br w:type="column"/>
      </w:r>
    </w:p>
    <w:p>
      <w:pPr>
        <w:spacing w:after="0" w:line="336" w:lineRule="auto"/>
        <w:rPr>
          <w:sz w:val="20"/>
          <w:szCs w:val="20"/>
          <w:color w:val="auto"/>
        </w:rPr>
      </w:pPr>
      <w:r>
        <w:rPr>
          <w:rFonts w:ascii="Arial" w:cs="Arial" w:eastAsia="Arial" w:hAnsi="Arial"/>
          <w:sz w:val="19"/>
          <w:szCs w:val="19"/>
          <w:color w:val="auto"/>
        </w:rPr>
        <w:t>Vesting periods are determined by the Board, on the recommendation o GNCLC. Vesting of restricted Share Rights is determined by the Board time of grant and shall be specified in the Restricted Share Grant Letter. The Second Amended and Restated Equity Incentive Plan provides that unless otherwise determined from time to time by the Board, on the recommendation of the GNCLC, Options shall vest and may be exercise each case to the nearest full Share) during the period which an Option i outstanding (the “</w:t>
      </w:r>
      <w:r>
        <w:rPr>
          <w:rFonts w:ascii="Arial" w:cs="Arial" w:eastAsia="Arial" w:hAnsi="Arial"/>
          <w:sz w:val="19"/>
          <w:szCs w:val="19"/>
          <w:b w:val="1"/>
          <w:bCs w:val="1"/>
          <w:color w:val="auto"/>
        </w:rPr>
        <w:t>Option Period</w:t>
      </w:r>
      <w:r>
        <w:rPr>
          <w:rFonts w:ascii="Arial" w:cs="Arial" w:eastAsia="Arial" w:hAnsi="Arial"/>
          <w:sz w:val="19"/>
          <w:szCs w:val="19"/>
          <w:color w:val="auto"/>
        </w:rPr>
        <w:t>”) as follows: (a) at any time during the six (6) months of the Option Period, the optionee may purchase up to 25 the total number of Shares reserved for issuance pursuant to his or her Option; and (b) at any time during each additional six (6) month period o Option Period the optionee may purchase an additional 25% of the total number of Shares reserved for issuance pursuant to his or her Option pl any Shares not purchased in accordance with the preceding subsection and this subsection (b) until, after the 18th month of the Option Period, 1 of the Option will be exercisable.</w:t>
      </w:r>
    </w:p>
    <w:p>
      <w:pPr>
        <w:spacing w:after="0" w:line="146" w:lineRule="exact"/>
        <w:rPr>
          <w:sz w:val="20"/>
          <w:szCs w:val="20"/>
          <w:color w:val="auto"/>
        </w:rPr>
      </w:pPr>
    </w:p>
    <w:p>
      <w:pPr>
        <w:jc w:val="both"/>
        <w:spacing w:after="0" w:line="332" w:lineRule="auto"/>
        <w:rPr>
          <w:sz w:val="20"/>
          <w:szCs w:val="20"/>
          <w:color w:val="auto"/>
        </w:rPr>
      </w:pPr>
      <w:r>
        <w:rPr>
          <w:rFonts w:ascii="Arial" w:cs="Arial" w:eastAsia="Arial" w:hAnsi="Arial"/>
          <w:sz w:val="19"/>
          <w:szCs w:val="19"/>
          <w:color w:val="auto"/>
        </w:rPr>
        <w:t>The Second Amended and Restated Equity Incentive Plan provides that Options generally have a term of five years for exercise upon the payme an exercise price that is set at the time of grant. At the end of the exerci period, Options expire. The grant date is generally set as (i) the date the GNCLC recommended the Option award to the Board for approval; (ii)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1080770</wp:posOffset>
            </wp:positionV>
            <wp:extent cx="6764020" cy="190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60" w:space="360"/>
            <w:col w:w="6340"/>
          </w:cols>
          <w:pgMar w:left="1440" w:top="122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56 / 59</w:t>
      </w:r>
    </w:p>
    <w:p>
      <w:pPr>
        <w:sectPr>
          <w:pgSz w:w="11900" w:h="16838" w:orient="portrait"/>
          <w:cols w:equalWidth="0" w:num="1">
            <w:col w:w="10460"/>
          </w:cols>
          <w:pgMar w:left="1440" w:top="1225" w:right="6" w:bottom="0" w:gutter="0" w:footer="0" w:header="0"/>
          <w:type w:val="continuous"/>
        </w:sectPr>
      </w:pPr>
    </w:p>
    <w:bookmarkStart w:id="226" w:name="page227"/>
    <w:bookmarkEnd w:id="2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261"/>
        </w:trPr>
        <w:tc>
          <w:tcPr>
            <w:tcW w:w="3040" w:type="dxa"/>
            <w:vAlign w:val="bottom"/>
            <w:shd w:val="clear" w:color="auto" w:fill="153A57"/>
          </w:tcPr>
          <w:p>
            <w:pPr>
              <w:spacing w:after="0"/>
              <w:rPr>
                <w:sz w:val="22"/>
                <w:szCs w:val="22"/>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grant date set by the Board; or (iii) for awards approved during a blacko</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period with issuance to follow post-blackout period end, the date of issu</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post-blackout period end.</w:t>
            </w:r>
          </w:p>
        </w:tc>
      </w:tr>
      <w:tr>
        <w:trPr>
          <w:trHeight w:val="36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The exercise price for Options granted under the Second Amended and</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Restated Equity Incentive Plan cannot be less than the closing price of t</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Shares on NYSE on the day immediately prior to the grant date.</w:t>
            </w:r>
          </w:p>
        </w:tc>
      </w:tr>
      <w:tr>
        <w:trPr>
          <w:trHeight w:val="36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Options that expire during a blackout period or within 10 days of one en</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have their exercise period extended until 10 business days after the end</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the blackout period.</w:t>
            </w:r>
          </w:p>
        </w:tc>
      </w:tr>
      <w:tr>
        <w:trPr>
          <w:trHeight w:val="101"/>
        </w:trPr>
        <w:tc>
          <w:tcPr>
            <w:tcW w:w="3040" w:type="dxa"/>
            <w:vAlign w:val="bottom"/>
            <w:shd w:val="clear" w:color="auto" w:fill="153A57"/>
          </w:tcPr>
          <w:p>
            <w:pPr>
              <w:spacing w:after="0"/>
              <w:rPr>
                <w:sz w:val="8"/>
                <w:szCs w:val="8"/>
                <w:color w:val="auto"/>
              </w:rPr>
            </w:pPr>
          </w:p>
        </w:tc>
        <w:tc>
          <w:tcPr>
            <w:tcW w:w="6480" w:type="dxa"/>
            <w:vAlign w:val="bottom"/>
          </w:tcPr>
          <w:p>
            <w:pPr>
              <w:spacing w:after="0"/>
              <w:rPr>
                <w:sz w:val="8"/>
                <w:szCs w:val="8"/>
                <w:color w:val="auto"/>
              </w:rPr>
            </w:pPr>
          </w:p>
        </w:tc>
      </w:tr>
      <w:tr>
        <w:trPr>
          <w:trHeight w:val="30"/>
        </w:trPr>
        <w:tc>
          <w:tcPr>
            <w:tcW w:w="3040" w:type="dxa"/>
            <w:vAlign w:val="bottom"/>
          </w:tcPr>
          <w:p>
            <w:pPr>
              <w:spacing w:after="0"/>
              <w:rPr>
                <w:sz w:val="2"/>
                <w:szCs w:val="2"/>
                <w:color w:val="auto"/>
              </w:rPr>
            </w:pPr>
          </w:p>
        </w:tc>
        <w:tc>
          <w:tcPr>
            <w:tcW w:w="6480" w:type="dxa"/>
            <w:vAlign w:val="bottom"/>
          </w:tcPr>
          <w:p>
            <w:pPr>
              <w:spacing w:after="0"/>
              <w:rPr>
                <w:sz w:val="2"/>
                <w:szCs w:val="2"/>
                <w:color w:val="auto"/>
              </w:rPr>
            </w:pPr>
          </w:p>
        </w:tc>
      </w:tr>
      <w:tr>
        <w:trPr>
          <w:trHeight w:val="321"/>
        </w:trPr>
        <w:tc>
          <w:tcPr>
            <w:tcW w:w="3040" w:type="dxa"/>
            <w:vAlign w:val="bottom"/>
            <w:shd w:val="clear" w:color="auto" w:fill="153A57"/>
          </w:tcPr>
          <w:p>
            <w:pPr>
              <w:ind w:left="140"/>
              <w:spacing w:after="0"/>
              <w:rPr>
                <w:sz w:val="20"/>
                <w:szCs w:val="20"/>
                <w:color w:val="auto"/>
              </w:rPr>
            </w:pPr>
            <w:r>
              <w:rPr>
                <w:rFonts w:ascii="Arial" w:cs="Arial" w:eastAsia="Arial" w:hAnsi="Arial"/>
                <w:sz w:val="20"/>
                <w:szCs w:val="20"/>
                <w:b w:val="1"/>
                <w:bCs w:val="1"/>
                <w:color w:val="FFFFFF"/>
              </w:rPr>
              <w:t>Cashless Surrender of</w:t>
            </w: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Subject to payment of the applicable share par value, the Second Amen</w:t>
            </w:r>
          </w:p>
        </w:tc>
      </w:tr>
      <w:tr>
        <w:trPr>
          <w:trHeight w:val="302"/>
        </w:trPr>
        <w:tc>
          <w:tcPr>
            <w:tcW w:w="3040" w:type="dxa"/>
            <w:vAlign w:val="bottom"/>
            <w:shd w:val="clear" w:color="auto" w:fill="153A57"/>
          </w:tcPr>
          <w:p>
            <w:pPr>
              <w:ind w:left="140"/>
              <w:spacing w:after="0"/>
              <w:rPr>
                <w:sz w:val="20"/>
                <w:szCs w:val="20"/>
                <w:color w:val="auto"/>
              </w:rPr>
            </w:pPr>
            <w:r>
              <w:rPr>
                <w:rFonts w:ascii="Arial" w:cs="Arial" w:eastAsia="Arial" w:hAnsi="Arial"/>
                <w:sz w:val="20"/>
                <w:szCs w:val="20"/>
                <w:b w:val="1"/>
                <w:bCs w:val="1"/>
                <w:color w:val="FFFFFF"/>
              </w:rPr>
              <w:t>Options</w:t>
            </w:r>
          </w:p>
        </w:tc>
        <w:tc>
          <w:tcPr>
            <w:tcW w:w="6480" w:type="dxa"/>
            <w:vAlign w:val="bottom"/>
          </w:tcPr>
          <w:p>
            <w:pPr>
              <w:ind w:left="140"/>
              <w:spacing w:after="0"/>
              <w:rPr>
                <w:sz w:val="20"/>
                <w:szCs w:val="20"/>
                <w:color w:val="auto"/>
              </w:rPr>
            </w:pPr>
            <w:r>
              <w:rPr>
                <w:rFonts w:ascii="Arial" w:cs="Arial" w:eastAsia="Arial" w:hAnsi="Arial"/>
                <w:sz w:val="20"/>
                <w:szCs w:val="20"/>
                <w:color w:val="auto"/>
              </w:rPr>
              <w:t>and Restated Equity Incentive Plan provides for cashless surrender of</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Options by allowing the holder to forego their Options in exchange for</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receiving a set number of Shares determined by calculating the “in the</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money” value of the Options (i.e. the fair market value of the Shares on</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business day prior to the date of exercise, less the Option exercise price</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times the number of outstanding Options, divided by such fair market va</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of the Shares.</w:t>
            </w:r>
          </w:p>
        </w:tc>
      </w:tr>
      <w:tr>
        <w:trPr>
          <w:trHeight w:val="101"/>
        </w:trPr>
        <w:tc>
          <w:tcPr>
            <w:tcW w:w="3040" w:type="dxa"/>
            <w:vAlign w:val="bottom"/>
            <w:shd w:val="clear" w:color="auto" w:fill="153A57"/>
          </w:tcPr>
          <w:p>
            <w:pPr>
              <w:spacing w:after="0"/>
              <w:rPr>
                <w:sz w:val="8"/>
                <w:szCs w:val="8"/>
                <w:color w:val="auto"/>
              </w:rPr>
            </w:pPr>
          </w:p>
        </w:tc>
        <w:tc>
          <w:tcPr>
            <w:tcW w:w="6480" w:type="dxa"/>
            <w:vAlign w:val="bottom"/>
          </w:tcPr>
          <w:p>
            <w:pPr>
              <w:spacing w:after="0"/>
              <w:rPr>
                <w:sz w:val="8"/>
                <w:szCs w:val="8"/>
                <w:color w:val="auto"/>
              </w:rPr>
            </w:pPr>
          </w:p>
        </w:tc>
      </w:tr>
      <w:tr>
        <w:trPr>
          <w:trHeight w:val="30"/>
        </w:trPr>
        <w:tc>
          <w:tcPr>
            <w:tcW w:w="3040" w:type="dxa"/>
            <w:vAlign w:val="bottom"/>
          </w:tcPr>
          <w:p>
            <w:pPr>
              <w:spacing w:after="0"/>
              <w:rPr>
                <w:sz w:val="2"/>
                <w:szCs w:val="2"/>
                <w:color w:val="auto"/>
              </w:rPr>
            </w:pPr>
          </w:p>
        </w:tc>
        <w:tc>
          <w:tcPr>
            <w:tcW w:w="6480" w:type="dxa"/>
            <w:vAlign w:val="bottom"/>
          </w:tcPr>
          <w:p>
            <w:pPr>
              <w:spacing w:after="0"/>
              <w:rPr>
                <w:sz w:val="2"/>
                <w:szCs w:val="2"/>
                <w:color w:val="auto"/>
              </w:rPr>
            </w:pPr>
          </w:p>
        </w:tc>
      </w:tr>
      <w:tr>
        <w:trPr>
          <w:trHeight w:val="321"/>
        </w:trPr>
        <w:tc>
          <w:tcPr>
            <w:tcW w:w="3040" w:type="dxa"/>
            <w:vAlign w:val="bottom"/>
            <w:shd w:val="clear" w:color="auto" w:fill="153A57"/>
          </w:tcPr>
          <w:p>
            <w:pPr>
              <w:ind w:left="140"/>
              <w:spacing w:after="0"/>
              <w:rPr>
                <w:sz w:val="20"/>
                <w:szCs w:val="20"/>
                <w:color w:val="auto"/>
              </w:rPr>
            </w:pPr>
            <w:r>
              <w:rPr>
                <w:rFonts w:ascii="Arial" w:cs="Arial" w:eastAsia="Arial" w:hAnsi="Arial"/>
                <w:sz w:val="20"/>
                <w:szCs w:val="20"/>
                <w:b w:val="1"/>
                <w:bCs w:val="1"/>
                <w:color w:val="FFFFFF"/>
              </w:rPr>
              <w:t>Restricted Share Rights</w:t>
            </w:r>
          </w:p>
        </w:tc>
        <w:tc>
          <w:tcPr>
            <w:tcW w:w="6480" w:type="dxa"/>
            <w:vAlign w:val="bottom"/>
          </w:tcPr>
          <w:p>
            <w:pPr>
              <w:ind w:left="140"/>
              <w:spacing w:after="0"/>
              <w:rPr>
                <w:sz w:val="20"/>
                <w:szCs w:val="20"/>
                <w:color w:val="auto"/>
              </w:rPr>
            </w:pPr>
            <w:r>
              <w:rPr>
                <w:rFonts w:ascii="Arial" w:cs="Arial" w:eastAsia="Arial" w:hAnsi="Arial"/>
                <w:sz w:val="20"/>
                <w:szCs w:val="20"/>
                <w:color w:val="auto"/>
              </w:rPr>
              <w:t>Vested Restricted Share Rights are settled in Shares issued by the</w:t>
            </w:r>
          </w:p>
        </w:tc>
      </w:tr>
      <w:tr>
        <w:trPr>
          <w:trHeight w:val="302"/>
        </w:trPr>
        <w:tc>
          <w:tcPr>
            <w:tcW w:w="3040" w:type="dxa"/>
            <w:vAlign w:val="bottom"/>
            <w:shd w:val="clear" w:color="auto" w:fill="153A57"/>
          </w:tcPr>
          <w:p>
            <w:pPr>
              <w:ind w:left="140"/>
              <w:spacing w:after="0"/>
              <w:rPr>
                <w:sz w:val="20"/>
                <w:szCs w:val="20"/>
                <w:color w:val="auto"/>
              </w:rPr>
            </w:pPr>
            <w:r>
              <w:rPr>
                <w:rFonts w:ascii="Arial" w:cs="Arial" w:eastAsia="Arial" w:hAnsi="Arial"/>
                <w:sz w:val="20"/>
                <w:szCs w:val="20"/>
                <w:b w:val="1"/>
                <w:bCs w:val="1"/>
                <w:color w:val="FFFFFF"/>
              </w:rPr>
              <w:t>Terms</w:t>
            </w:r>
          </w:p>
        </w:tc>
        <w:tc>
          <w:tcPr>
            <w:tcW w:w="6480" w:type="dxa"/>
            <w:vAlign w:val="bottom"/>
          </w:tcPr>
          <w:p>
            <w:pPr>
              <w:ind w:left="140"/>
              <w:spacing w:after="0"/>
              <w:rPr>
                <w:sz w:val="20"/>
                <w:szCs w:val="20"/>
                <w:color w:val="auto"/>
              </w:rPr>
            </w:pPr>
            <w:r>
              <w:rPr>
                <w:rFonts w:ascii="Arial" w:cs="Arial" w:eastAsia="Arial" w:hAnsi="Arial"/>
                <w:sz w:val="20"/>
                <w:szCs w:val="20"/>
                <w:color w:val="auto"/>
                <w:w w:val="98"/>
              </w:rPr>
              <w:t>Company, subject to payment of the applicable share par value. Holders</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who are Canadian residents or generally non-U.S. residents (as permitt</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the Board) may defer settlement for any length of time, while holders wh</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are U.S. residents generally must effect settlement during the tax year i</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which the Restricted Share Rights vest for tax purposes.</w:t>
            </w:r>
          </w:p>
        </w:tc>
      </w:tr>
      <w:tr>
        <w:trPr>
          <w:trHeight w:val="101"/>
        </w:trPr>
        <w:tc>
          <w:tcPr>
            <w:tcW w:w="3040" w:type="dxa"/>
            <w:vAlign w:val="bottom"/>
            <w:shd w:val="clear" w:color="auto" w:fill="153A57"/>
          </w:tcPr>
          <w:p>
            <w:pPr>
              <w:spacing w:after="0"/>
              <w:rPr>
                <w:sz w:val="8"/>
                <w:szCs w:val="8"/>
                <w:color w:val="auto"/>
              </w:rPr>
            </w:pPr>
          </w:p>
        </w:tc>
        <w:tc>
          <w:tcPr>
            <w:tcW w:w="6480" w:type="dxa"/>
            <w:vAlign w:val="bottom"/>
          </w:tcPr>
          <w:p>
            <w:pPr>
              <w:spacing w:after="0"/>
              <w:rPr>
                <w:sz w:val="8"/>
                <w:szCs w:val="8"/>
                <w:color w:val="auto"/>
              </w:rPr>
            </w:pPr>
          </w:p>
        </w:tc>
      </w:tr>
      <w:tr>
        <w:trPr>
          <w:trHeight w:val="30"/>
        </w:trPr>
        <w:tc>
          <w:tcPr>
            <w:tcW w:w="3040" w:type="dxa"/>
            <w:vAlign w:val="bottom"/>
          </w:tcPr>
          <w:p>
            <w:pPr>
              <w:spacing w:after="0"/>
              <w:rPr>
                <w:sz w:val="2"/>
                <w:szCs w:val="2"/>
                <w:color w:val="auto"/>
              </w:rPr>
            </w:pPr>
          </w:p>
        </w:tc>
        <w:tc>
          <w:tcPr>
            <w:tcW w:w="6480" w:type="dxa"/>
            <w:vAlign w:val="bottom"/>
          </w:tcPr>
          <w:p>
            <w:pPr>
              <w:spacing w:after="0"/>
              <w:rPr>
                <w:sz w:val="2"/>
                <w:szCs w:val="2"/>
                <w:color w:val="auto"/>
              </w:rPr>
            </w:pPr>
          </w:p>
        </w:tc>
      </w:tr>
      <w:tr>
        <w:trPr>
          <w:trHeight w:val="321"/>
        </w:trPr>
        <w:tc>
          <w:tcPr>
            <w:tcW w:w="3040" w:type="dxa"/>
            <w:vAlign w:val="bottom"/>
            <w:shd w:val="clear" w:color="auto" w:fill="153A57"/>
          </w:tcPr>
          <w:p>
            <w:pPr>
              <w:ind w:left="140"/>
              <w:spacing w:after="0"/>
              <w:rPr>
                <w:sz w:val="20"/>
                <w:szCs w:val="20"/>
                <w:color w:val="auto"/>
              </w:rPr>
            </w:pPr>
            <w:r>
              <w:rPr>
                <w:rFonts w:ascii="Arial" w:cs="Arial" w:eastAsia="Arial" w:hAnsi="Arial"/>
                <w:sz w:val="20"/>
                <w:szCs w:val="20"/>
                <w:b w:val="1"/>
                <w:bCs w:val="1"/>
                <w:color w:val="FFFFFF"/>
              </w:rPr>
              <w:t>Performance Share Units</w:t>
            </w:r>
          </w:p>
        </w:tc>
        <w:tc>
          <w:tcPr>
            <w:tcW w:w="6480" w:type="dxa"/>
            <w:vAlign w:val="bottom"/>
          </w:tcPr>
          <w:p>
            <w:pPr>
              <w:ind w:left="140"/>
              <w:spacing w:after="0"/>
              <w:rPr>
                <w:sz w:val="20"/>
                <w:szCs w:val="20"/>
                <w:color w:val="auto"/>
              </w:rPr>
            </w:pPr>
            <w:r>
              <w:rPr>
                <w:rFonts w:ascii="Arial" w:cs="Arial" w:eastAsia="Arial" w:hAnsi="Arial"/>
                <w:sz w:val="20"/>
                <w:szCs w:val="20"/>
                <w:color w:val="auto"/>
                <w:w w:val="98"/>
              </w:rPr>
              <w:t>PSUs are generally awarded as Restricted Share Rights under the Seco</w:t>
            </w:r>
          </w:p>
        </w:tc>
      </w:tr>
      <w:tr>
        <w:trPr>
          <w:trHeight w:val="302"/>
        </w:trPr>
        <w:tc>
          <w:tcPr>
            <w:tcW w:w="3040" w:type="dxa"/>
            <w:vAlign w:val="bottom"/>
            <w:shd w:val="clear" w:color="auto" w:fill="153A57"/>
          </w:tcPr>
          <w:p>
            <w:pPr>
              <w:ind w:left="140"/>
              <w:spacing w:after="0"/>
              <w:rPr>
                <w:sz w:val="20"/>
                <w:szCs w:val="20"/>
                <w:color w:val="auto"/>
              </w:rPr>
            </w:pPr>
            <w:r>
              <w:rPr>
                <w:rFonts w:ascii="Arial" w:cs="Arial" w:eastAsia="Arial" w:hAnsi="Arial"/>
                <w:sz w:val="20"/>
                <w:szCs w:val="20"/>
                <w:b w:val="1"/>
                <w:bCs w:val="1"/>
                <w:color w:val="FFFFFF"/>
              </w:rPr>
              <w:t>Terms</w:t>
            </w:r>
          </w:p>
        </w:tc>
        <w:tc>
          <w:tcPr>
            <w:tcW w:w="6480" w:type="dxa"/>
            <w:vAlign w:val="bottom"/>
          </w:tcPr>
          <w:p>
            <w:pPr>
              <w:ind w:left="140"/>
              <w:spacing w:after="0"/>
              <w:rPr>
                <w:sz w:val="20"/>
                <w:szCs w:val="20"/>
                <w:color w:val="auto"/>
              </w:rPr>
            </w:pPr>
            <w:r>
              <w:rPr>
                <w:rFonts w:ascii="Arial" w:cs="Arial" w:eastAsia="Arial" w:hAnsi="Arial"/>
                <w:sz w:val="20"/>
                <w:szCs w:val="20"/>
                <w:color w:val="auto"/>
              </w:rPr>
              <w:t>Amended and Restated Equity Incentive Plan with performance vesting</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conditions.</w:t>
            </w:r>
          </w:p>
        </w:tc>
      </w:tr>
      <w:tr>
        <w:trPr>
          <w:trHeight w:val="36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PSUs vests three years after grant and are subject to vesting conditions</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to the Share price performance relative to the share price performance</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PSUs peer group of public companies.</w:t>
            </w:r>
          </w:p>
        </w:tc>
      </w:tr>
      <w:tr>
        <w:trPr>
          <w:trHeight w:val="36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Vested PSUs are settled by the Company issuing an equivalent number</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underlying Shares, subject to payment of the applicable par value. Hold</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who are Canadian residents or generally non-U.S. residents may defer</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settlement for any length of time, while holders who are U.S. residents</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generally must effect settlement during the tax year in which the PSUs v</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for tax purposes.</w:t>
            </w:r>
          </w:p>
        </w:tc>
      </w:tr>
      <w:tr>
        <w:trPr>
          <w:trHeight w:val="101"/>
        </w:trPr>
        <w:tc>
          <w:tcPr>
            <w:tcW w:w="3040" w:type="dxa"/>
            <w:vAlign w:val="bottom"/>
            <w:shd w:val="clear" w:color="auto" w:fill="153A57"/>
          </w:tcPr>
          <w:p>
            <w:pPr>
              <w:spacing w:after="0"/>
              <w:rPr>
                <w:sz w:val="8"/>
                <w:szCs w:val="8"/>
                <w:color w:val="auto"/>
              </w:rPr>
            </w:pPr>
          </w:p>
        </w:tc>
        <w:tc>
          <w:tcPr>
            <w:tcW w:w="6480" w:type="dxa"/>
            <w:vAlign w:val="bottom"/>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57 / 59</w:t>
      </w:r>
    </w:p>
    <w:p>
      <w:pPr>
        <w:sectPr>
          <w:pgSz w:w="11900" w:h="16838" w:orient="portrait"/>
          <w:cols w:equalWidth="0" w:num="1">
            <w:col w:w="10460"/>
          </w:cols>
          <w:pgMar w:left="1440" w:top="1440" w:right="6" w:bottom="0" w:gutter="0" w:footer="0" w:header="0"/>
          <w:type w:val="continuous"/>
        </w:sectPr>
      </w:pPr>
    </w:p>
    <w:bookmarkStart w:id="227" w:name="page228"/>
    <w:bookmarkEnd w:id="227"/>
    <w:p>
      <w:pPr>
        <w:ind w:left="4120" w:right="20" w:hanging="3033"/>
        <w:spacing w:after="0" w:line="313" w:lineRule="auto"/>
        <w:tabs>
          <w:tab w:leader="none" w:pos="4100" w:val="left"/>
        </w:tabs>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1513840</wp:posOffset>
            </wp:positionH>
            <wp:positionV relativeFrom="page">
              <wp:posOffset>720090</wp:posOffset>
            </wp:positionV>
            <wp:extent cx="1926590" cy="164782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1">
                      <a:extLst>
                        <a:ext uri="{28A0092B-C50C-407E-A947-70E740481C1C}"/>
                      </a:extLst>
                    </a:blip>
                    <a:srcRect/>
                    <a:stretch>
                      <a:fillRect/>
                    </a:stretch>
                  </pic:blipFill>
                  <pic:spPr bwMode="auto">
                    <a:xfrm>
                      <a:off x="0" y="0"/>
                      <a:ext cx="1926590" cy="1647825"/>
                    </a:xfrm>
                    <a:prstGeom prst="rect">
                      <a:avLst/>
                    </a:prstGeom>
                    <a:noFill/>
                  </pic:spPr>
                </pic:pic>
              </a:graphicData>
            </a:graphic>
          </wp:anchor>
        </w:drawing>
        <w:t>Deferred Share Units Terms</w:t>
      </w:r>
      <w:r>
        <w:rPr>
          <w:sz w:val="20"/>
          <w:szCs w:val="20"/>
          <w:color w:val="auto"/>
        </w:rPr>
        <w:tab/>
      </w:r>
      <w:r>
        <w:rPr>
          <w:rFonts w:ascii="Arial" w:cs="Arial" w:eastAsia="Arial" w:hAnsi="Arial"/>
          <w:sz w:val="20"/>
          <w:szCs w:val="20"/>
          <w:color w:val="auto"/>
        </w:rPr>
        <w:t>DSUs are generally granted to independent directors on the Board (dire who are not also employees of the Company) only, as part of our Board compensation program. The number of DSUs granted is determined by five-day VWAP of the Shares immediately prior to the date of Board approval of the grant.</w:t>
      </w:r>
    </w:p>
    <w:p>
      <w:pPr>
        <w:spacing w:after="0" w:line="70" w:lineRule="exact"/>
        <w:rPr>
          <w:sz w:val="20"/>
          <w:szCs w:val="20"/>
          <w:color w:val="auto"/>
        </w:rPr>
      </w:pPr>
    </w:p>
    <w:p>
      <w:pPr>
        <w:ind w:left="4120"/>
        <w:spacing w:after="0" w:line="311" w:lineRule="auto"/>
        <w:rPr>
          <w:sz w:val="20"/>
          <w:szCs w:val="20"/>
          <w:color w:val="auto"/>
        </w:rPr>
      </w:pPr>
      <w:r>
        <w:rPr>
          <w:rFonts w:ascii="Arial" w:cs="Arial" w:eastAsia="Arial" w:hAnsi="Arial"/>
          <w:sz w:val="20"/>
          <w:szCs w:val="20"/>
          <w:color w:val="auto"/>
        </w:rPr>
        <w:t>DSUs vest and are settled in Shares on a one-for-one basis on the 20th business day after an independent Board director ceases to hold the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40005</wp:posOffset>
            </wp:positionV>
            <wp:extent cx="1926590" cy="180149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2">
                      <a:extLst>
                        <a:ext uri="{28A0092B-C50C-407E-A947-70E740481C1C}"/>
                      </a:extLst>
                    </a:blip>
                    <a:srcRect/>
                    <a:stretch>
                      <a:fillRect/>
                    </a:stretch>
                  </pic:blipFill>
                  <pic:spPr bwMode="auto">
                    <a:xfrm>
                      <a:off x="0" y="0"/>
                      <a:ext cx="1926590" cy="1801495"/>
                    </a:xfrm>
                    <a:prstGeom prst="rect">
                      <a:avLst/>
                    </a:prstGeom>
                    <a:noFill/>
                  </pic:spPr>
                </pic:pic>
              </a:graphicData>
            </a:graphic>
          </wp:anchor>
        </w:drawing>
      </w:r>
    </w:p>
    <w:p>
      <w:pPr>
        <w:spacing w:after="0" w:line="135" w:lineRule="exact"/>
        <w:rPr>
          <w:sz w:val="20"/>
          <w:szCs w:val="20"/>
          <w:color w:val="auto"/>
        </w:rPr>
      </w:pPr>
    </w:p>
    <w:p>
      <w:pPr>
        <w:ind w:left="1080"/>
        <w:spacing w:after="0"/>
        <w:tabs>
          <w:tab w:leader="none" w:pos="4100" w:val="left"/>
        </w:tabs>
        <w:rPr>
          <w:sz w:val="20"/>
          <w:szCs w:val="20"/>
          <w:color w:val="auto"/>
        </w:rPr>
      </w:pPr>
      <w:r>
        <w:rPr>
          <w:rFonts w:ascii="Arial" w:cs="Arial" w:eastAsia="Arial" w:hAnsi="Arial"/>
          <w:sz w:val="20"/>
          <w:szCs w:val="20"/>
          <w:b w:val="1"/>
          <w:bCs w:val="1"/>
          <w:color w:val="FFFFFF"/>
        </w:rPr>
        <w:t>Change of Control Vesting</w:t>
      </w:r>
      <w:r>
        <w:rPr>
          <w:sz w:val="20"/>
          <w:szCs w:val="20"/>
          <w:color w:val="auto"/>
        </w:rPr>
        <w:tab/>
      </w:r>
      <w:r>
        <w:rPr>
          <w:rFonts w:ascii="Arial" w:cs="Arial" w:eastAsia="Arial" w:hAnsi="Arial"/>
          <w:sz w:val="19"/>
          <w:szCs w:val="19"/>
          <w:color w:val="auto"/>
        </w:rPr>
        <w:t>In the event of a Change of Control (as defined in the Second Amended</w:t>
      </w:r>
    </w:p>
    <w:p>
      <w:pPr>
        <w:spacing w:after="0" w:line="79" w:lineRule="exact"/>
        <w:rPr>
          <w:sz w:val="20"/>
          <w:szCs w:val="20"/>
          <w:color w:val="auto"/>
        </w:rPr>
      </w:pPr>
    </w:p>
    <w:p>
      <w:pPr>
        <w:ind w:left="4120" w:hanging="3039"/>
        <w:spacing w:after="0" w:line="322" w:lineRule="auto"/>
        <w:tabs>
          <w:tab w:leader="none" w:pos="4100" w:val="left"/>
        </w:tabs>
        <w:rPr>
          <w:sz w:val="20"/>
          <w:szCs w:val="20"/>
          <w:color w:val="auto"/>
        </w:rPr>
      </w:pPr>
      <w:r>
        <w:rPr>
          <w:rFonts w:ascii="Arial" w:cs="Arial" w:eastAsia="Arial" w:hAnsi="Arial"/>
          <w:sz w:val="20"/>
          <w:szCs w:val="20"/>
          <w:b w:val="1"/>
          <w:bCs w:val="1"/>
          <w:color w:val="FFFFFF"/>
        </w:rPr>
        <w:t>Acceleration</w:t>
      </w:r>
      <w:r>
        <w:rPr>
          <w:sz w:val="20"/>
          <w:szCs w:val="20"/>
          <w:color w:val="auto"/>
        </w:rPr>
        <w:tab/>
      </w:r>
      <w:r>
        <w:rPr>
          <w:rFonts w:ascii="Arial" w:cs="Arial" w:eastAsia="Arial" w:hAnsi="Arial"/>
          <w:sz w:val="20"/>
          <w:szCs w:val="20"/>
          <w:color w:val="auto"/>
        </w:rPr>
        <w:t>Restated Equity Incentive Plan) pursuant to the dissolution and liquidati the Company, all Options outstanding will immediately vest and become exercisable on the date of such Change of Control, and all RSUs and P outstanding will immediately vest and be settled by the issuance of Shar If a Triggering Event (as defined in the Second Amended and Restated Equity Incentive Plan) occurs within the 12 months period immediately following other categories of a Change of Control (excluding the dissolut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1085850</wp:posOffset>
            </wp:positionV>
            <wp:extent cx="6764020" cy="190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23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58 / 59</w:t>
      </w:r>
    </w:p>
    <w:p>
      <w:pPr>
        <w:sectPr>
          <w:pgSz w:w="11900" w:h="16838" w:orient="portrait"/>
          <w:cols w:equalWidth="0" w:num="1">
            <w:col w:w="10460"/>
          </w:cols>
          <w:pgMar w:left="1440" w:top="1232" w:right="6" w:bottom="0" w:gutter="0" w:footer="0" w:header="0"/>
          <w:type w:val="continuous"/>
        </w:sectPr>
      </w:pPr>
    </w:p>
    <w:bookmarkStart w:id="228" w:name="page229"/>
    <w:bookmarkEnd w:id="2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261"/>
        </w:trPr>
        <w:tc>
          <w:tcPr>
            <w:tcW w:w="3040" w:type="dxa"/>
            <w:vAlign w:val="bottom"/>
            <w:shd w:val="clear" w:color="auto" w:fill="153A57"/>
          </w:tcPr>
          <w:p>
            <w:pPr>
              <w:spacing w:after="0"/>
              <w:rPr>
                <w:sz w:val="22"/>
                <w:szCs w:val="22"/>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liquidation of the Company), all outstanding Options will immediately ve</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and become exercisable on the date of such Triggering Event, and all</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outstanding RSUs or PSUs will vest immediately and be settled by the</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 xml:space="preserve">issuance of Shares. PSUs will be settled in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to the performance</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measurement periods completed prior to the Change of Control and on</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one for one basis for future performance measurement periods, if any.</w:t>
            </w:r>
          </w:p>
        </w:tc>
      </w:tr>
      <w:tr>
        <w:trPr>
          <w:trHeight w:val="36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DSUs are not covered by a change of control provision under the Secon</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Amended and Restated Equity Incentive Plan as they vest upon departu</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a board director who is the holder. Board director departures may or ma</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occur as part of a change of control event, depending on the circumstan</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of the event.</w:t>
            </w:r>
          </w:p>
        </w:tc>
      </w:tr>
      <w:tr>
        <w:trPr>
          <w:trHeight w:val="101"/>
        </w:trPr>
        <w:tc>
          <w:tcPr>
            <w:tcW w:w="3040" w:type="dxa"/>
            <w:vAlign w:val="bottom"/>
            <w:shd w:val="clear" w:color="auto" w:fill="153A57"/>
          </w:tcPr>
          <w:p>
            <w:pPr>
              <w:spacing w:after="0"/>
              <w:rPr>
                <w:sz w:val="8"/>
                <w:szCs w:val="8"/>
                <w:color w:val="auto"/>
              </w:rPr>
            </w:pPr>
          </w:p>
        </w:tc>
        <w:tc>
          <w:tcPr>
            <w:tcW w:w="6480" w:type="dxa"/>
            <w:vAlign w:val="bottom"/>
          </w:tcPr>
          <w:p>
            <w:pPr>
              <w:spacing w:after="0"/>
              <w:rPr>
                <w:sz w:val="8"/>
                <w:szCs w:val="8"/>
                <w:color w:val="auto"/>
              </w:rPr>
            </w:pPr>
          </w:p>
        </w:tc>
      </w:tr>
      <w:tr>
        <w:trPr>
          <w:trHeight w:val="30"/>
        </w:trPr>
        <w:tc>
          <w:tcPr>
            <w:tcW w:w="3040" w:type="dxa"/>
            <w:vAlign w:val="bottom"/>
          </w:tcPr>
          <w:p>
            <w:pPr>
              <w:spacing w:after="0"/>
              <w:rPr>
                <w:sz w:val="2"/>
                <w:szCs w:val="2"/>
                <w:color w:val="auto"/>
              </w:rPr>
            </w:pPr>
          </w:p>
        </w:tc>
        <w:tc>
          <w:tcPr>
            <w:tcW w:w="6480" w:type="dxa"/>
            <w:vAlign w:val="bottom"/>
          </w:tcPr>
          <w:p>
            <w:pPr>
              <w:spacing w:after="0"/>
              <w:rPr>
                <w:sz w:val="2"/>
                <w:szCs w:val="2"/>
                <w:color w:val="auto"/>
              </w:rPr>
            </w:pPr>
          </w:p>
        </w:tc>
      </w:tr>
      <w:tr>
        <w:trPr>
          <w:trHeight w:val="321"/>
        </w:trPr>
        <w:tc>
          <w:tcPr>
            <w:tcW w:w="3040" w:type="dxa"/>
            <w:vAlign w:val="bottom"/>
            <w:shd w:val="clear" w:color="auto" w:fill="153A57"/>
          </w:tcPr>
          <w:p>
            <w:pPr>
              <w:ind w:left="140"/>
              <w:spacing w:after="0"/>
              <w:rPr>
                <w:sz w:val="20"/>
                <w:szCs w:val="20"/>
                <w:color w:val="auto"/>
              </w:rPr>
            </w:pPr>
            <w:r>
              <w:rPr>
                <w:rFonts w:ascii="Arial" w:cs="Arial" w:eastAsia="Arial" w:hAnsi="Arial"/>
                <w:sz w:val="20"/>
                <w:szCs w:val="20"/>
                <w:b w:val="1"/>
                <w:bCs w:val="1"/>
                <w:color w:val="FFFFFF"/>
              </w:rPr>
              <w:t>Dividends</w:t>
            </w:r>
          </w:p>
        </w:tc>
        <w:tc>
          <w:tcPr>
            <w:tcW w:w="6480" w:type="dxa"/>
            <w:vAlign w:val="bottom"/>
          </w:tcPr>
          <w:p>
            <w:pPr>
              <w:ind w:left="140"/>
              <w:spacing w:after="0"/>
              <w:rPr>
                <w:sz w:val="20"/>
                <w:szCs w:val="20"/>
                <w:color w:val="auto"/>
              </w:rPr>
            </w:pPr>
            <w:r>
              <w:rPr>
                <w:rFonts w:ascii="Arial" w:cs="Arial" w:eastAsia="Arial" w:hAnsi="Arial"/>
                <w:sz w:val="20"/>
                <w:szCs w:val="20"/>
                <w:color w:val="auto"/>
              </w:rPr>
              <w:t>If our Board declares dividends, holders of vested RSUs, PSUs and DS</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not settled in Shares as of the applicable dividend record date may, at t</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discretion of the Board, be entitled to receive dividends in the form of</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additional securities of the same type held. The number of securities wil</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determined based on the five-day VWAP of the Shares on the NYSE.</w:t>
            </w:r>
          </w:p>
        </w:tc>
      </w:tr>
      <w:tr>
        <w:trPr>
          <w:trHeight w:val="101"/>
        </w:trPr>
        <w:tc>
          <w:tcPr>
            <w:tcW w:w="3040" w:type="dxa"/>
            <w:vAlign w:val="bottom"/>
            <w:shd w:val="clear" w:color="auto" w:fill="153A57"/>
          </w:tcPr>
          <w:p>
            <w:pPr>
              <w:spacing w:after="0"/>
              <w:rPr>
                <w:sz w:val="8"/>
                <w:szCs w:val="8"/>
                <w:color w:val="auto"/>
              </w:rPr>
            </w:pPr>
          </w:p>
        </w:tc>
        <w:tc>
          <w:tcPr>
            <w:tcW w:w="6480" w:type="dxa"/>
            <w:vAlign w:val="bottom"/>
          </w:tcPr>
          <w:p>
            <w:pPr>
              <w:spacing w:after="0"/>
              <w:rPr>
                <w:sz w:val="8"/>
                <w:szCs w:val="8"/>
                <w:color w:val="auto"/>
              </w:rPr>
            </w:pPr>
          </w:p>
        </w:tc>
      </w:tr>
      <w:tr>
        <w:trPr>
          <w:trHeight w:val="30"/>
        </w:trPr>
        <w:tc>
          <w:tcPr>
            <w:tcW w:w="3040" w:type="dxa"/>
            <w:vAlign w:val="bottom"/>
          </w:tcPr>
          <w:p>
            <w:pPr>
              <w:spacing w:after="0"/>
              <w:rPr>
                <w:sz w:val="2"/>
                <w:szCs w:val="2"/>
                <w:color w:val="auto"/>
              </w:rPr>
            </w:pPr>
          </w:p>
        </w:tc>
        <w:tc>
          <w:tcPr>
            <w:tcW w:w="6480" w:type="dxa"/>
            <w:vAlign w:val="bottom"/>
          </w:tcPr>
          <w:p>
            <w:pPr>
              <w:spacing w:after="0"/>
              <w:rPr>
                <w:sz w:val="2"/>
                <w:szCs w:val="2"/>
                <w:color w:val="auto"/>
              </w:rPr>
            </w:pPr>
          </w:p>
        </w:tc>
      </w:tr>
      <w:tr>
        <w:trPr>
          <w:trHeight w:val="321"/>
        </w:trPr>
        <w:tc>
          <w:tcPr>
            <w:tcW w:w="3040" w:type="dxa"/>
            <w:vAlign w:val="bottom"/>
            <w:shd w:val="clear" w:color="auto" w:fill="153A57"/>
          </w:tcPr>
          <w:p>
            <w:pPr>
              <w:ind w:left="140"/>
              <w:spacing w:after="0"/>
              <w:rPr>
                <w:sz w:val="20"/>
                <w:szCs w:val="20"/>
                <w:color w:val="auto"/>
              </w:rPr>
            </w:pPr>
            <w:r>
              <w:rPr>
                <w:rFonts w:ascii="Arial" w:cs="Arial" w:eastAsia="Arial" w:hAnsi="Arial"/>
                <w:sz w:val="20"/>
                <w:szCs w:val="20"/>
                <w:b w:val="1"/>
                <w:bCs w:val="1"/>
                <w:color w:val="FFFFFF"/>
              </w:rPr>
              <w:t>Insider and Non-Employee</w:t>
            </w:r>
          </w:p>
        </w:tc>
        <w:tc>
          <w:tcPr>
            <w:tcW w:w="6480" w:type="dxa"/>
            <w:vAlign w:val="bottom"/>
          </w:tcPr>
          <w:p>
            <w:pPr>
              <w:ind w:left="140"/>
              <w:spacing w:after="0"/>
              <w:rPr>
                <w:sz w:val="20"/>
                <w:szCs w:val="20"/>
                <w:color w:val="auto"/>
              </w:rPr>
            </w:pPr>
            <w:r>
              <w:rPr>
                <w:rFonts w:ascii="Arial" w:cs="Arial" w:eastAsia="Arial" w:hAnsi="Arial"/>
                <w:sz w:val="20"/>
                <w:szCs w:val="20"/>
                <w:color w:val="auto"/>
              </w:rPr>
              <w:t>Shares issued or issuable to insiders under the Second Amended and</w:t>
            </w:r>
          </w:p>
        </w:tc>
      </w:tr>
      <w:tr>
        <w:trPr>
          <w:trHeight w:val="302"/>
        </w:trPr>
        <w:tc>
          <w:tcPr>
            <w:tcW w:w="3040" w:type="dxa"/>
            <w:vAlign w:val="bottom"/>
            <w:shd w:val="clear" w:color="auto" w:fill="153A57"/>
          </w:tcPr>
          <w:p>
            <w:pPr>
              <w:ind w:left="140"/>
              <w:spacing w:after="0"/>
              <w:rPr>
                <w:sz w:val="20"/>
                <w:szCs w:val="20"/>
                <w:color w:val="auto"/>
              </w:rPr>
            </w:pPr>
            <w:r>
              <w:rPr>
                <w:rFonts w:ascii="Arial" w:cs="Arial" w:eastAsia="Arial" w:hAnsi="Arial"/>
                <w:sz w:val="20"/>
                <w:szCs w:val="20"/>
                <w:b w:val="1"/>
                <w:bCs w:val="1"/>
                <w:color w:val="FFFFFF"/>
              </w:rPr>
              <w:t>Director Award Limits</w:t>
            </w:r>
          </w:p>
        </w:tc>
        <w:tc>
          <w:tcPr>
            <w:tcW w:w="6480" w:type="dxa"/>
            <w:vAlign w:val="bottom"/>
          </w:tcPr>
          <w:p>
            <w:pPr>
              <w:ind w:left="140"/>
              <w:spacing w:after="0"/>
              <w:rPr>
                <w:sz w:val="20"/>
                <w:szCs w:val="20"/>
                <w:color w:val="auto"/>
              </w:rPr>
            </w:pPr>
            <w:r>
              <w:rPr>
                <w:rFonts w:ascii="Arial" w:cs="Arial" w:eastAsia="Arial" w:hAnsi="Arial"/>
                <w:sz w:val="20"/>
                <w:szCs w:val="20"/>
                <w:color w:val="auto"/>
              </w:rPr>
              <w:t>Restated Equity Incentive Plan are subject to the following upper limits,</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expressed as a percentage of issued and outstanding Shares: a 10% ca</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all insiders as a group, at any given time; a 10% cap for all insiders as a</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group within any one-year period; a 5% cap for any one insider and the</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insider’s associates in any one-year period; and a 5% cap for any indivi</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at any given time.</w:t>
            </w:r>
          </w:p>
        </w:tc>
      </w:tr>
      <w:tr>
        <w:trPr>
          <w:trHeight w:val="36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The aggregate number of Options that may be granted under the Secon</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Amended and Restated Equity Incentive Plan to any one non-employee</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director within any one-year period will not exceed a maximum value of</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US$100,000 worth of securities, and together with any Restricted Share</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Rights, PSUs and DSUs granted under the Second Amended and Rest</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Equity Incentive Plan and any securities granted under all other securiti</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based compensation arrangements, such aggregate value will not exce</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US$150,000 in any one-year period, subject to caveats set out in the</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Amended and Restated Incentive Plan.</w:t>
            </w:r>
          </w:p>
        </w:tc>
      </w:tr>
      <w:tr>
        <w:trPr>
          <w:trHeight w:val="101"/>
        </w:trPr>
        <w:tc>
          <w:tcPr>
            <w:tcW w:w="3040" w:type="dxa"/>
            <w:vAlign w:val="bottom"/>
            <w:shd w:val="clear" w:color="auto" w:fill="153A57"/>
          </w:tcPr>
          <w:p>
            <w:pPr>
              <w:spacing w:after="0"/>
              <w:rPr>
                <w:sz w:val="8"/>
                <w:szCs w:val="8"/>
                <w:color w:val="auto"/>
              </w:rPr>
            </w:pPr>
          </w:p>
        </w:tc>
        <w:tc>
          <w:tcPr>
            <w:tcW w:w="6480" w:type="dxa"/>
            <w:vAlign w:val="bottom"/>
          </w:tcPr>
          <w:p>
            <w:pPr>
              <w:spacing w:after="0"/>
              <w:rPr>
                <w:sz w:val="8"/>
                <w:szCs w:val="8"/>
                <w:color w:val="auto"/>
              </w:rPr>
            </w:pPr>
          </w:p>
        </w:tc>
      </w:tr>
      <w:tr>
        <w:trPr>
          <w:trHeight w:val="30"/>
        </w:trPr>
        <w:tc>
          <w:tcPr>
            <w:tcW w:w="3040" w:type="dxa"/>
            <w:vAlign w:val="bottom"/>
          </w:tcPr>
          <w:p>
            <w:pPr>
              <w:spacing w:after="0"/>
              <w:rPr>
                <w:sz w:val="2"/>
                <w:szCs w:val="2"/>
                <w:color w:val="auto"/>
              </w:rPr>
            </w:pPr>
          </w:p>
        </w:tc>
        <w:tc>
          <w:tcPr>
            <w:tcW w:w="6480" w:type="dxa"/>
            <w:vAlign w:val="bottom"/>
          </w:tcPr>
          <w:p>
            <w:pPr>
              <w:spacing w:after="0"/>
              <w:rPr>
                <w:sz w:val="2"/>
                <w:szCs w:val="2"/>
                <w:color w:val="auto"/>
              </w:rPr>
            </w:pPr>
          </w:p>
        </w:tc>
      </w:tr>
      <w:tr>
        <w:trPr>
          <w:trHeight w:val="321"/>
        </w:trPr>
        <w:tc>
          <w:tcPr>
            <w:tcW w:w="3040" w:type="dxa"/>
            <w:vAlign w:val="bottom"/>
            <w:shd w:val="clear" w:color="auto" w:fill="153A57"/>
          </w:tcPr>
          <w:p>
            <w:pPr>
              <w:ind w:left="140"/>
              <w:spacing w:after="0"/>
              <w:rPr>
                <w:sz w:val="20"/>
                <w:szCs w:val="20"/>
                <w:color w:val="auto"/>
              </w:rPr>
            </w:pPr>
            <w:r>
              <w:rPr>
                <w:rFonts w:ascii="Arial" w:cs="Arial" w:eastAsia="Arial" w:hAnsi="Arial"/>
                <w:sz w:val="20"/>
                <w:szCs w:val="20"/>
                <w:b w:val="1"/>
                <w:bCs w:val="1"/>
                <w:color w:val="FFFFFF"/>
              </w:rPr>
              <w:t>Awards Transfers and</w:t>
            </w:r>
          </w:p>
        </w:tc>
        <w:tc>
          <w:tcPr>
            <w:tcW w:w="6480" w:type="dxa"/>
            <w:vAlign w:val="bottom"/>
          </w:tcPr>
          <w:p>
            <w:pPr>
              <w:ind w:left="140"/>
              <w:spacing w:after="0"/>
              <w:rPr>
                <w:sz w:val="20"/>
                <w:szCs w:val="20"/>
                <w:color w:val="auto"/>
              </w:rPr>
            </w:pPr>
            <w:r>
              <w:rPr>
                <w:rFonts w:ascii="Arial" w:cs="Arial" w:eastAsia="Arial" w:hAnsi="Arial"/>
                <w:sz w:val="20"/>
                <w:szCs w:val="20"/>
                <w:color w:val="auto"/>
              </w:rPr>
              <w:t>Transfers of awards under the Second Amended and Restated Equity</w:t>
            </w:r>
          </w:p>
        </w:tc>
      </w:tr>
      <w:tr>
        <w:trPr>
          <w:trHeight w:val="302"/>
        </w:trPr>
        <w:tc>
          <w:tcPr>
            <w:tcW w:w="3040" w:type="dxa"/>
            <w:vAlign w:val="bottom"/>
            <w:shd w:val="clear" w:color="auto" w:fill="153A57"/>
          </w:tcPr>
          <w:p>
            <w:pPr>
              <w:ind w:left="140"/>
              <w:spacing w:after="0"/>
              <w:rPr>
                <w:sz w:val="20"/>
                <w:szCs w:val="20"/>
                <w:color w:val="auto"/>
              </w:rPr>
            </w:pPr>
            <w:r>
              <w:rPr>
                <w:rFonts w:ascii="Arial" w:cs="Arial" w:eastAsia="Arial" w:hAnsi="Arial"/>
                <w:sz w:val="20"/>
                <w:szCs w:val="20"/>
                <w:b w:val="1"/>
                <w:bCs w:val="1"/>
                <w:color w:val="FFFFFF"/>
              </w:rPr>
              <w:t>Exercises</w:t>
            </w: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Incentive Plan are generally not permitted, except if a holder dies. Gene</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only holders can exercise awards under the Second Amended and Rest</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Equity Incentive Plan.</w:t>
            </w:r>
          </w:p>
        </w:tc>
      </w:tr>
      <w:tr>
        <w:trPr>
          <w:trHeight w:val="101"/>
        </w:trPr>
        <w:tc>
          <w:tcPr>
            <w:tcW w:w="3040" w:type="dxa"/>
            <w:vAlign w:val="bottom"/>
            <w:shd w:val="clear" w:color="auto" w:fill="153A57"/>
          </w:tcPr>
          <w:p>
            <w:pPr>
              <w:spacing w:after="0"/>
              <w:rPr>
                <w:sz w:val="8"/>
                <w:szCs w:val="8"/>
                <w:color w:val="auto"/>
              </w:rPr>
            </w:pPr>
          </w:p>
        </w:tc>
        <w:tc>
          <w:tcPr>
            <w:tcW w:w="6480" w:type="dxa"/>
            <w:vAlign w:val="bottom"/>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59 / 59</w:t>
      </w:r>
    </w:p>
    <w:p>
      <w:pPr>
        <w:sectPr>
          <w:pgSz w:w="11900" w:h="16838" w:orient="portrait"/>
          <w:cols w:equalWidth="0" w:num="1">
            <w:col w:w="10460"/>
          </w:cols>
          <w:pgMar w:left="1440" w:top="1440" w:right="6" w:bottom="0" w:gutter="0" w:footer="0" w:header="0"/>
          <w:type w:val="continuous"/>
        </w:sectPr>
      </w:pPr>
    </w:p>
    <w:bookmarkStart w:id="229" w:name="page230"/>
    <w:bookmarkEnd w:id="229"/>
    <w:p>
      <w:pPr>
        <w:spacing w:after="0" w:line="304" w:lineRule="exact"/>
        <w:rPr>
          <w:sz w:val="20"/>
          <w:szCs w:val="20"/>
          <w:color w:val="auto"/>
        </w:rPr>
      </w:pPr>
    </w:p>
    <w:p>
      <w:pPr>
        <w:jc w:val="both"/>
        <w:ind w:right="60"/>
        <w:spacing w:after="0" w:line="313" w:lineRule="auto"/>
        <w:rPr>
          <w:sz w:val="20"/>
          <w:szCs w:val="20"/>
          <w:color w:val="auto"/>
        </w:rPr>
      </w:pPr>
      <w:r>
        <w:rPr>
          <w:rFonts w:ascii="Arial" w:cs="Arial" w:eastAsia="Arial" w:hAnsi="Arial"/>
          <w:sz w:val="20"/>
          <w:szCs w:val="20"/>
          <w:color w:val="auto"/>
        </w:rPr>
        <w:t>Generally, subject to applicable employment agreements, any unvested awards under the Second Amended and Restated Equity Incentive Plan are forfeited if the holder retires or is terminated prior to the vesting date of the award. The Board has the discretion to accelerate vesting in such cases or allow the awards to continue for their full term. Vesting of Restricted Share Rights and PSUs is automatically accelerated if there is a total disability or death of a holder.</w:t>
      </w:r>
    </w:p>
    <w:p>
      <w:pPr>
        <w:spacing w:after="0" w:line="7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If a participant ceases to be employed by the Company or a Designated Affiliate for cause, no Option held by such participant will, unless otherwise determined by the Board be exercisable following the date on which such Participant ceases to be so engaged. If a participant ceases to be employed by the Company, or act as a director of, the Company for any reason other than cause then, unless otherwise determined by the Board any Option held by such Participant at the effective date thereof shall become exercisable for a period of up to 12 months thereafter or prior to the expiration of the Option period in respect thereof, whichever is sooner.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1166495</wp:posOffset>
            </wp:positionV>
            <wp:extent cx="6764020" cy="190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240"/>
          </w:cols>
          <w:pgMar w:left="140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 / 139</w:t>
      </w:r>
    </w:p>
    <w:p>
      <w:pPr>
        <w:sectPr>
          <w:pgSz w:w="11900" w:h="16838" w:orient="portrait"/>
          <w:cols w:equalWidth="0" w:num="1">
            <w:col w:w="9240"/>
          </w:cols>
          <w:pgMar w:left="1400" w:top="1440" w:right="1266" w:bottom="0" w:gutter="0" w:footer="0" w:header="0"/>
          <w:type w:val="continuous"/>
        </w:sectPr>
      </w:pPr>
    </w:p>
    <w:bookmarkStart w:id="230" w:name="page231"/>
    <w:bookmarkEnd w:id="2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940" w:type="dxa"/>
        <w:tblCellMar>
          <w:top w:w="0" w:type="dxa"/>
          <w:left w:w="0" w:type="dxa"/>
          <w:bottom w:w="0" w:type="dxa"/>
          <w:right w:w="0" w:type="dxa"/>
        </w:tblCellMar>
      </w:tblPr>
      <w:tr>
        <w:trPr>
          <w:trHeight w:val="321"/>
        </w:trPr>
        <w:tc>
          <w:tcPr>
            <w:tcW w:w="3040" w:type="dxa"/>
            <w:vAlign w:val="bottom"/>
            <w:shd w:val="clear" w:color="auto" w:fill="153A57"/>
          </w:tcPr>
          <w:p>
            <w:pPr>
              <w:ind w:left="140"/>
              <w:spacing w:after="0"/>
              <w:rPr>
                <w:sz w:val="20"/>
                <w:szCs w:val="20"/>
                <w:color w:val="auto"/>
              </w:rPr>
            </w:pPr>
            <w:r>
              <w:rPr>
                <w:rFonts w:ascii="Arial" w:cs="Arial" w:eastAsia="Arial" w:hAnsi="Arial"/>
                <w:sz w:val="20"/>
                <w:szCs w:val="20"/>
                <w:b w:val="1"/>
                <w:bCs w:val="1"/>
                <w:color w:val="FFFFFF"/>
              </w:rPr>
              <w:t>Plan Amendments</w:t>
            </w:r>
          </w:p>
        </w:tc>
        <w:tc>
          <w:tcPr>
            <w:tcW w:w="6480" w:type="dxa"/>
            <w:vAlign w:val="bottom"/>
          </w:tcPr>
          <w:p>
            <w:pPr>
              <w:ind w:left="140"/>
              <w:spacing w:after="0"/>
              <w:rPr>
                <w:sz w:val="20"/>
                <w:szCs w:val="20"/>
                <w:color w:val="auto"/>
              </w:rPr>
            </w:pPr>
            <w:r>
              <w:rPr>
                <w:rFonts w:ascii="Arial" w:cs="Arial" w:eastAsia="Arial" w:hAnsi="Arial"/>
                <w:sz w:val="20"/>
                <w:szCs w:val="20"/>
                <w:color w:val="auto"/>
                <w:w w:val="98"/>
              </w:rPr>
              <w:t>The Board may amend, suspend or terminate the Second Amended and</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Restated Equity Incentive Plan without approval of Shareholders, provid</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the changes comply with applicable stock exchange requirements; do n</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negatively impact any awards outstanding under the Second Amended</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Restated Equity Incentive Plan; and the period to exercise outstanding</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Options generally cannot be extended beyond ten (10) years.</w:t>
            </w:r>
          </w:p>
        </w:tc>
      </w:tr>
      <w:tr>
        <w:trPr>
          <w:trHeight w:val="36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Without limitation to the foregoing, the types of Second Amended and</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Restated Equity Incentive Plan changes that could be made by the Boar</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without Shareholder approval generally include: clerical changes or gra</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corrections, changes to eligible participants, or changes to requirements</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about vesting, term of any grant, termination, exercise price and cashles</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exercise.</w:t>
            </w:r>
          </w:p>
        </w:tc>
      </w:tr>
      <w:tr>
        <w:trPr>
          <w:trHeight w:val="36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Shareholder approval is required if the rolling number of awards availab</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grant under the Second Amended and Restated Equity Incentive Plan w</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increased; changes will be made to insider award limits, or increase</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participation limits on non-employee directors under the Second Amend</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and Restated Equity Incentive Plan; changes to reduce the exercise pric</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8"/>
              </w:rPr>
              <w:t>permit the cancellation and re issuance of outstanding Options; changes</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extend the expiry date of Options beyond their original expiry; changes t</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permit any amendment to permit Options to be transferred other than fo</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normal estate settlement purposes; and changes to reduce the range of</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w w:val="99"/>
              </w:rPr>
              <w:t>amendments requiring shareholder approval, all as described in the Sec</w:t>
            </w:r>
          </w:p>
        </w:tc>
      </w:tr>
      <w:tr>
        <w:trPr>
          <w:trHeight w:val="302"/>
        </w:trPr>
        <w:tc>
          <w:tcPr>
            <w:tcW w:w="3040" w:type="dxa"/>
            <w:vAlign w:val="bottom"/>
            <w:shd w:val="clear" w:color="auto" w:fill="153A57"/>
          </w:tcPr>
          <w:p>
            <w:pPr>
              <w:spacing w:after="0"/>
              <w:rPr>
                <w:sz w:val="24"/>
                <w:szCs w:val="24"/>
                <w:color w:val="auto"/>
              </w:rPr>
            </w:pPr>
          </w:p>
        </w:tc>
        <w:tc>
          <w:tcPr>
            <w:tcW w:w="6480" w:type="dxa"/>
            <w:vAlign w:val="bottom"/>
          </w:tcPr>
          <w:p>
            <w:pPr>
              <w:ind w:left="140"/>
              <w:spacing w:after="0"/>
              <w:rPr>
                <w:sz w:val="20"/>
                <w:szCs w:val="20"/>
                <w:color w:val="auto"/>
              </w:rPr>
            </w:pPr>
            <w:r>
              <w:rPr>
                <w:rFonts w:ascii="Arial" w:cs="Arial" w:eastAsia="Arial" w:hAnsi="Arial"/>
                <w:sz w:val="20"/>
                <w:szCs w:val="20"/>
                <w:color w:val="auto"/>
              </w:rPr>
              <w:t>Amended and Restated Equity Incentive Plan.</w:t>
            </w:r>
          </w:p>
        </w:tc>
      </w:tr>
      <w:tr>
        <w:trPr>
          <w:trHeight w:val="101"/>
        </w:trPr>
        <w:tc>
          <w:tcPr>
            <w:tcW w:w="3040" w:type="dxa"/>
            <w:vAlign w:val="bottom"/>
            <w:shd w:val="clear" w:color="auto" w:fill="153A57"/>
          </w:tcPr>
          <w:p>
            <w:pPr>
              <w:spacing w:after="0"/>
              <w:rPr>
                <w:sz w:val="8"/>
                <w:szCs w:val="8"/>
                <w:color w:val="auto"/>
              </w:rPr>
            </w:pPr>
          </w:p>
        </w:tc>
        <w:tc>
          <w:tcPr>
            <w:tcW w:w="6480" w:type="dxa"/>
            <w:vAlign w:val="bottom"/>
          </w:tcPr>
          <w:p>
            <w:pPr>
              <w:spacing w:after="0"/>
              <w:rPr>
                <w:sz w:val="8"/>
                <w:szCs w:val="8"/>
                <w:color w:val="auto"/>
              </w:rPr>
            </w:pPr>
          </w:p>
        </w:tc>
      </w:tr>
    </w:tbl>
    <w:p>
      <w:pPr>
        <w:spacing w:after="0" w:line="333"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Second Amended and Restated Equity Incentive Plan Grants and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236220</wp:posOffset>
            </wp:positionV>
            <wp:extent cx="6078220" cy="97663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5">
                      <a:extLst>
                        <a:ext uri="{28A0092B-C50C-407E-A947-70E740481C1C}"/>
                      </a:extLst>
                    </a:blip>
                    <a:srcRect/>
                    <a:stretch>
                      <a:fillRect/>
                    </a:stretch>
                  </pic:blipFill>
                  <pic:spPr bwMode="auto">
                    <a:xfrm>
                      <a:off x="0" y="0"/>
                      <a:ext cx="6078220" cy="97663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25" w:lineRule="exact"/>
        <w:rPr>
          <w:sz w:val="20"/>
          <w:szCs w:val="20"/>
          <w:color w:val="auto"/>
        </w:rPr>
      </w:pPr>
    </w:p>
    <w:p>
      <w:pPr>
        <w:ind w:left="1000" w:right="40"/>
        <w:spacing w:after="0" w:line="313" w:lineRule="auto"/>
        <w:rPr>
          <w:sz w:val="20"/>
          <w:szCs w:val="20"/>
          <w:color w:val="auto"/>
        </w:rPr>
      </w:pPr>
      <w:r>
        <w:rPr>
          <w:rFonts w:ascii="Arial" w:cs="Arial" w:eastAsia="Arial" w:hAnsi="Arial"/>
          <w:sz w:val="20"/>
          <w:szCs w:val="20"/>
          <w:b w:val="1"/>
          <w:bCs w:val="1"/>
          <w:color w:val="FFFFFF"/>
        </w:rPr>
        <w:t>Maximum aggregate number of Shares that may be granted under the Second Amended and Restated Equity Incentive Plan, together with any other securities-based compensation arrangements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34925</wp:posOffset>
            </wp:positionV>
            <wp:extent cx="3200400" cy="2165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6">
                      <a:extLst>
                        <a:ext uri="{28A0092B-C50C-407E-A947-70E740481C1C}"/>
                      </a:extLst>
                    </a:blip>
                    <a:srcRect/>
                    <a:stretch>
                      <a:fillRect/>
                    </a:stretch>
                  </pic:blipFill>
                  <pic:spPr bwMode="auto">
                    <a:xfrm>
                      <a:off x="0" y="0"/>
                      <a:ext cx="3200400" cy="216535"/>
                    </a:xfrm>
                    <a:prstGeom prst="rect">
                      <a:avLst/>
                    </a:prstGeom>
                    <a:noFill/>
                  </pic:spPr>
                </pic:pic>
              </a:graphicData>
            </a:graphic>
          </wp:anchor>
        </w:drawing>
      </w:r>
    </w:p>
    <w:p>
      <w:pPr>
        <w:spacing w:after="0" w:line="80" w:lineRule="exact"/>
        <w:rPr>
          <w:sz w:val="20"/>
          <w:szCs w:val="20"/>
          <w:color w:val="auto"/>
        </w:rPr>
      </w:pPr>
    </w:p>
    <w:p>
      <w:pPr>
        <w:ind w:left="1000"/>
        <w:spacing w:after="0"/>
        <w:rPr>
          <w:sz w:val="20"/>
          <w:szCs w:val="20"/>
          <w:color w:val="auto"/>
        </w:rPr>
      </w:pPr>
      <w:r>
        <w:rPr>
          <w:rFonts w:ascii="Arial" w:cs="Arial" w:eastAsia="Arial" w:hAnsi="Arial"/>
          <w:sz w:val="20"/>
          <w:szCs w:val="20"/>
          <w:b w:val="1"/>
          <w:bCs w:val="1"/>
          <w:color w:val="FFFFFF"/>
        </w:rPr>
        <w:t>Options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85090</wp:posOffset>
            </wp:positionV>
            <wp:extent cx="3200400" cy="5930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7">
                      <a:extLst>
                        <a:ext uri="{28A0092B-C50C-407E-A947-70E740481C1C}"/>
                      </a:extLst>
                    </a:blip>
                    <a:srcRect/>
                    <a:stretch>
                      <a:fillRect/>
                    </a:stretch>
                  </pic:blipFill>
                  <pic:spPr bwMode="auto">
                    <a:xfrm>
                      <a:off x="0" y="0"/>
                      <a:ext cx="3200400" cy="593090"/>
                    </a:xfrm>
                    <a:prstGeom prst="rect">
                      <a:avLst/>
                    </a:prstGeom>
                    <a:noFill/>
                  </pic:spPr>
                </pic:pic>
              </a:graphicData>
            </a:graphic>
          </wp:anchor>
        </w:drawing>
      </w:r>
    </w:p>
    <w:p>
      <w:pPr>
        <w:spacing w:after="0" w:line="167" w:lineRule="exact"/>
        <w:rPr>
          <w:sz w:val="20"/>
          <w:szCs w:val="20"/>
          <w:color w:val="auto"/>
        </w:rPr>
      </w:pPr>
    </w:p>
    <w:p>
      <w:pPr>
        <w:ind w:left="1000"/>
        <w:spacing w:after="0" w:line="311" w:lineRule="auto"/>
        <w:rPr>
          <w:sz w:val="20"/>
          <w:szCs w:val="20"/>
          <w:color w:val="auto"/>
        </w:rPr>
      </w:pPr>
      <w:r>
        <w:rPr>
          <w:rFonts w:ascii="Arial" w:cs="Arial" w:eastAsia="Arial" w:hAnsi="Arial"/>
          <w:sz w:val="20"/>
          <w:szCs w:val="20"/>
          <w:b w:val="1"/>
          <w:bCs w:val="1"/>
          <w:color w:val="FFFFFF"/>
        </w:rPr>
        <w:t>Restricted Share Rights as of December 31, 2025, including the maximum number of Shares issuable pursuant to outstanding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36195</wp:posOffset>
            </wp:positionV>
            <wp:extent cx="3200400" cy="2165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28">
                      <a:extLst>
                        <a:ext uri="{28A0092B-C50C-407E-A947-70E740481C1C}"/>
                      </a:extLst>
                    </a:blip>
                    <a:srcRect/>
                    <a:stretch>
                      <a:fillRect/>
                    </a:stretch>
                  </pic:blipFill>
                  <pic:spPr bwMode="auto">
                    <a:xfrm>
                      <a:off x="0" y="0"/>
                      <a:ext cx="3200400" cy="216535"/>
                    </a:xfrm>
                    <a:prstGeom prst="rect">
                      <a:avLst/>
                    </a:prstGeom>
                    <a:noFill/>
                  </pic:spPr>
                </pic:pic>
              </a:graphicData>
            </a:graphic>
          </wp:anchor>
        </w:drawing>
      </w:r>
    </w:p>
    <w:p>
      <w:pPr>
        <w:spacing w:after="0" w:line="82" w:lineRule="exact"/>
        <w:rPr>
          <w:sz w:val="20"/>
          <w:szCs w:val="20"/>
          <w:color w:val="auto"/>
        </w:rPr>
      </w:pPr>
    </w:p>
    <w:p>
      <w:pPr>
        <w:ind w:left="1000"/>
        <w:spacing w:after="0"/>
        <w:rPr>
          <w:sz w:val="20"/>
          <w:szCs w:val="20"/>
          <w:color w:val="auto"/>
        </w:rPr>
      </w:pPr>
      <w:r>
        <w:rPr>
          <w:rFonts w:ascii="Arial" w:cs="Arial" w:eastAsia="Arial" w:hAnsi="Arial"/>
          <w:sz w:val="20"/>
          <w:szCs w:val="20"/>
          <w:b w:val="1"/>
          <w:bCs w:val="1"/>
          <w:color w:val="FFFFFF"/>
        </w:rPr>
        <w:t>DSUs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85090</wp:posOffset>
            </wp:positionV>
            <wp:extent cx="3200400" cy="4019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29">
                      <a:extLst>
                        <a:ext uri="{28A0092B-C50C-407E-A947-70E740481C1C}"/>
                      </a:extLst>
                    </a:blip>
                    <a:srcRect/>
                    <a:stretch>
                      <a:fillRect/>
                    </a:stretch>
                  </pic:blipFill>
                  <pic:spPr bwMode="auto">
                    <a:xfrm>
                      <a:off x="0" y="0"/>
                      <a:ext cx="3200400" cy="401955"/>
                    </a:xfrm>
                    <a:prstGeom prst="rect">
                      <a:avLst/>
                    </a:prstGeom>
                    <a:noFill/>
                  </pic:spPr>
                </pic:pic>
              </a:graphicData>
            </a:graphic>
          </wp:anchor>
        </w:drawing>
      </w:r>
    </w:p>
    <w:p>
      <w:pPr>
        <w:spacing w:after="0" w:line="167" w:lineRule="exact"/>
        <w:rPr>
          <w:sz w:val="20"/>
          <w:szCs w:val="20"/>
          <w:color w:val="auto"/>
        </w:rPr>
      </w:pPr>
    </w:p>
    <w:p>
      <w:pPr>
        <w:ind w:left="1000" w:right="60"/>
        <w:spacing w:after="0" w:line="307" w:lineRule="auto"/>
        <w:rPr>
          <w:sz w:val="20"/>
          <w:szCs w:val="20"/>
          <w:color w:val="auto"/>
        </w:rPr>
      </w:pPr>
      <w:r>
        <w:rPr>
          <w:rFonts w:ascii="Arial" w:cs="Arial" w:eastAsia="Arial" w:hAnsi="Arial"/>
          <w:sz w:val="20"/>
          <w:szCs w:val="20"/>
          <w:b w:val="1"/>
          <w:bCs w:val="1"/>
          <w:color w:val="FFFFFF"/>
        </w:rPr>
        <w:t>Shares issuable pursuant to outstanding Awards under the Equity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12,992,552</w:t>
      </w:r>
    </w:p>
    <w:p>
      <w:pPr>
        <w:spacing w:after="0" w:line="79" w:lineRule="exact"/>
        <w:rPr>
          <w:sz w:val="20"/>
          <w:szCs w:val="20"/>
          <w:color w:val="auto"/>
        </w:rPr>
      </w:pPr>
    </w:p>
    <w:p>
      <w:pPr>
        <w:ind w:left="980" w:hanging="1328"/>
        <w:spacing w:after="0" w:line="307" w:lineRule="auto"/>
        <w:rPr>
          <w:sz w:val="20"/>
          <w:szCs w:val="20"/>
          <w:color w:val="auto"/>
        </w:rPr>
      </w:pPr>
      <w:r>
        <w:rPr>
          <w:rFonts w:ascii="Arial" w:cs="Arial" w:eastAsia="Arial" w:hAnsi="Arial"/>
          <w:sz w:val="20"/>
          <w:szCs w:val="20"/>
          <w:i w:val="1"/>
          <w:iCs w:val="1"/>
          <w:color w:val="auto"/>
        </w:rPr>
        <w:t xml:space="preserve">(represents 8% of issued and outstanding Shares of </w:t>
      </w:r>
      <w:r>
        <w:rPr>
          <w:rFonts w:ascii="Arial" w:cs="Arial" w:eastAsia="Arial" w:hAnsi="Arial"/>
          <w:sz w:val="20"/>
          <w:szCs w:val="20"/>
          <w:color w:val="auto"/>
        </w:rPr>
        <w:t>December 31, 2025</w:t>
      </w:r>
      <w:r>
        <w:rPr>
          <w:rFonts w:ascii="Arial" w:cs="Arial" w:eastAsia="Arial" w:hAnsi="Arial"/>
          <w:sz w:val="20"/>
          <w:szCs w:val="20"/>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365125</wp:posOffset>
            </wp:positionV>
            <wp:extent cx="2877820" cy="63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0">
                      <a:extLst>
                        <a:ext uri="{28A0092B-C50C-407E-A947-70E740481C1C}"/>
                      </a:extLst>
                    </a:blip>
                    <a:srcRect/>
                    <a:stretch>
                      <a:fillRect/>
                    </a:stretch>
                  </pic:blipFill>
                  <pic:spPr bwMode="auto">
                    <a:xfrm>
                      <a:off x="0" y="0"/>
                      <a:ext cx="2877820" cy="6350"/>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408940</wp:posOffset>
            </wp:positionV>
            <wp:extent cx="2877820" cy="63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1">
                      <a:extLst>
                        <a:ext uri="{28A0092B-C50C-407E-A947-70E740481C1C}"/>
                      </a:extLst>
                    </a:blip>
                    <a:srcRect/>
                    <a:stretch>
                      <a:fillRect/>
                    </a:stretch>
                  </pic:blipFill>
                  <pic:spPr bwMode="auto">
                    <a:xfrm>
                      <a:off x="0" y="0"/>
                      <a:ext cx="28778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2,715,000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34925</wp:posOffset>
            </wp:positionV>
            <wp:extent cx="2877820" cy="63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2">
                      <a:extLst>
                        <a:ext uri="{28A0092B-C50C-407E-A947-70E740481C1C}"/>
                      </a:extLst>
                    </a:blip>
                    <a:srcRect/>
                    <a:stretch>
                      <a:fillRect/>
                    </a:stretch>
                  </pic:blipFill>
                  <pic:spPr bwMode="auto">
                    <a:xfrm>
                      <a:off x="0" y="0"/>
                      <a:ext cx="2877820" cy="6350"/>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78740</wp:posOffset>
            </wp:positionV>
            <wp:extent cx="2877820" cy="6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3">
                      <a:extLst>
                        <a:ext uri="{28A0092B-C50C-407E-A947-70E740481C1C}"/>
                      </a:extLst>
                    </a:blip>
                    <a:srcRect/>
                    <a:stretch>
                      <a:fillRect/>
                    </a:stretch>
                  </pic:blipFill>
                  <pic:spPr bwMode="auto">
                    <a:xfrm>
                      <a:off x="0" y="0"/>
                      <a:ext cx="2877820" cy="6350"/>
                    </a:xfrm>
                    <a:prstGeom prst="rect">
                      <a:avLst/>
                    </a:prstGeom>
                    <a:noFill/>
                  </pic:spPr>
                </pic:pic>
              </a:graphicData>
            </a:graphic>
          </wp:anchor>
        </w:drawing>
      </w:r>
    </w:p>
    <w:p>
      <w:pPr>
        <w:spacing w:after="0" w:line="160"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7,562,200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412115</wp:posOffset>
            </wp:positionV>
            <wp:extent cx="2877820" cy="63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4">
                      <a:extLst>
                        <a:ext uri="{28A0092B-C50C-407E-A947-70E740481C1C}"/>
                      </a:extLst>
                    </a:blip>
                    <a:srcRect/>
                    <a:stretch>
                      <a:fillRect/>
                    </a:stretch>
                  </pic:blipFill>
                  <pic:spPr bwMode="auto">
                    <a:xfrm>
                      <a:off x="0" y="0"/>
                      <a:ext cx="2877820" cy="6350"/>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455930</wp:posOffset>
            </wp:positionV>
            <wp:extent cx="2877820" cy="63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5">
                      <a:extLst>
                        <a:ext uri="{28A0092B-C50C-407E-A947-70E740481C1C}"/>
                      </a:extLst>
                    </a:blip>
                    <a:srcRect/>
                    <a:stretch>
                      <a:fillRect/>
                    </a:stretch>
                  </pic:blipFill>
                  <pic:spPr bwMode="auto">
                    <a:xfrm>
                      <a:off x="0" y="0"/>
                      <a:ext cx="28778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964,163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34925</wp:posOffset>
            </wp:positionV>
            <wp:extent cx="2877820" cy="63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6">
                      <a:extLst>
                        <a:ext uri="{28A0092B-C50C-407E-A947-70E740481C1C}"/>
                      </a:extLst>
                    </a:blip>
                    <a:srcRect/>
                    <a:stretch>
                      <a:fillRect/>
                    </a:stretch>
                  </pic:blipFill>
                  <pic:spPr bwMode="auto">
                    <a:xfrm>
                      <a:off x="0" y="0"/>
                      <a:ext cx="2877820" cy="6350"/>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78740</wp:posOffset>
            </wp:positionV>
            <wp:extent cx="2877820" cy="63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7">
                      <a:extLst>
                        <a:ext uri="{28A0092B-C50C-407E-A947-70E740481C1C}"/>
                      </a:extLst>
                    </a:blip>
                    <a:srcRect/>
                    <a:stretch>
                      <a:fillRect/>
                    </a:stretch>
                  </pic:blipFill>
                  <pic:spPr bwMode="auto">
                    <a:xfrm>
                      <a:off x="0" y="0"/>
                      <a:ext cx="2877820" cy="635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11,241,363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220345</wp:posOffset>
            </wp:positionV>
            <wp:extent cx="2877820" cy="63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38">
                      <a:extLst>
                        <a:ext uri="{28A0092B-C50C-407E-A947-70E740481C1C}"/>
                      </a:extLst>
                    </a:blip>
                    <a:srcRect/>
                    <a:stretch>
                      <a:fillRect/>
                    </a:stretch>
                  </pic:blipFill>
                  <pic:spPr bwMode="auto">
                    <a:xfrm>
                      <a:off x="0" y="0"/>
                      <a:ext cx="2877820" cy="6350"/>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264160</wp:posOffset>
            </wp:positionV>
            <wp:extent cx="2877820" cy="63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39">
                      <a:extLst>
                        <a:ext uri="{28A0092B-C50C-407E-A947-70E740481C1C}"/>
                      </a:extLst>
                    </a:blip>
                    <a:srcRect/>
                    <a:stretch>
                      <a:fillRect/>
                    </a:stretch>
                  </pic:blipFill>
                  <pic:spPr bwMode="auto">
                    <a:xfrm>
                      <a:off x="0" y="0"/>
                      <a:ext cx="2877820" cy="6350"/>
                    </a:xfrm>
                    <a:prstGeom prst="rect">
                      <a:avLst/>
                    </a:prstGeom>
                    <a:noFill/>
                  </pic:spPr>
                </pic:pic>
              </a:graphicData>
            </a:graphic>
          </wp:anchor>
        </w:drawing>
      </w:r>
    </w:p>
    <w:p>
      <w:pPr>
        <w:spacing w:after="0" w:line="565" w:lineRule="exact"/>
        <w:rPr>
          <w:sz w:val="20"/>
          <w:szCs w:val="20"/>
          <w:color w:val="auto"/>
        </w:rPr>
      </w:pPr>
    </w:p>
    <w:p>
      <w:pPr>
        <w:sectPr>
          <w:pgSz w:w="11900" w:h="16838" w:orient="portrait"/>
          <w:cols w:equalWidth="0" w:num="2">
            <w:col w:w="5720" w:space="720"/>
            <w:col w:w="402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 / 139</w:t>
      </w:r>
    </w:p>
    <w:p>
      <w:pPr>
        <w:sectPr>
          <w:pgSz w:w="11900" w:h="16838" w:orient="portrait"/>
          <w:cols w:equalWidth="0" w:num="1">
            <w:col w:w="10460"/>
          </w:cols>
          <w:pgMar w:left="1440" w:top="1440" w:right="6" w:bottom="0" w:gutter="0" w:footer="0" w:header="0"/>
          <w:type w:val="continuous"/>
        </w:sectPr>
      </w:pPr>
    </w:p>
    <w:bookmarkStart w:id="231" w:name="page232"/>
    <w:bookmarkEnd w:id="231"/>
    <w:tbl>
      <w:tblPr>
        <w:tblLayout w:type="fixed"/>
        <w:tblInd w:w="900" w:type="dxa"/>
        <w:tblCellMar>
          <w:top w:w="0" w:type="dxa"/>
          <w:left w:w="0" w:type="dxa"/>
          <w:bottom w:w="0" w:type="dxa"/>
          <w:right w:w="0" w:type="dxa"/>
        </w:tblCellMar>
      </w:tblPr>
      <w:tr>
        <w:trPr>
          <w:trHeight w:val="276"/>
        </w:trPr>
        <w:tc>
          <w:tcPr>
            <w:tcW w:w="5040" w:type="dxa"/>
            <w:vAlign w:val="bottom"/>
            <w:shd w:val="clear" w:color="auto" w:fill="153A57"/>
          </w:tcPr>
          <w:p>
            <w:pPr>
              <w:ind w:left="100"/>
              <w:spacing w:after="0"/>
              <w:rPr>
                <w:sz w:val="20"/>
                <w:szCs w:val="20"/>
                <w:color w:val="auto"/>
              </w:rPr>
            </w:pPr>
            <w:r>
              <w:rPr>
                <w:rFonts w:ascii="Arial" w:cs="Arial" w:eastAsia="Arial" w:hAnsi="Arial"/>
                <w:sz w:val="20"/>
                <w:szCs w:val="20"/>
                <w:b w:val="1"/>
                <w:bCs w:val="1"/>
                <w:color w:val="FFFFFF"/>
              </w:rPr>
              <w:t>Number of securities remaining available for</w:t>
            </w:r>
          </w:p>
        </w:tc>
        <w:tc>
          <w:tcPr>
            <w:tcW w:w="4520" w:type="dxa"/>
            <w:vAlign w:val="bottom"/>
          </w:tcPr>
          <w:p>
            <w:pPr>
              <w:jc w:val="right"/>
              <w:ind w:right="1460"/>
              <w:spacing w:after="0"/>
              <w:rPr>
                <w:sz w:val="20"/>
                <w:szCs w:val="20"/>
                <w:color w:val="auto"/>
              </w:rPr>
            </w:pPr>
            <w:r>
              <w:rPr>
                <w:rFonts w:ascii="Arial" w:cs="Arial" w:eastAsia="Arial" w:hAnsi="Arial"/>
                <w:sz w:val="20"/>
                <w:szCs w:val="20"/>
                <w:color w:val="auto"/>
              </w:rPr>
              <w:t>1,751,189</w:t>
            </w:r>
          </w:p>
        </w:tc>
      </w:tr>
      <w:tr>
        <w:trPr>
          <w:trHeight w:val="302"/>
        </w:trPr>
        <w:tc>
          <w:tcPr>
            <w:tcW w:w="5040" w:type="dxa"/>
            <w:vAlign w:val="bottom"/>
            <w:shd w:val="clear" w:color="auto" w:fill="153A57"/>
          </w:tcPr>
          <w:p>
            <w:pPr>
              <w:ind w:left="100"/>
              <w:spacing w:after="0"/>
              <w:rPr>
                <w:sz w:val="20"/>
                <w:szCs w:val="20"/>
                <w:color w:val="auto"/>
              </w:rPr>
            </w:pPr>
            <w:r>
              <w:rPr>
                <w:rFonts w:ascii="Arial" w:cs="Arial" w:eastAsia="Arial" w:hAnsi="Arial"/>
                <w:sz w:val="20"/>
                <w:szCs w:val="20"/>
                <w:b w:val="1"/>
                <w:bCs w:val="1"/>
                <w:color w:val="FFFFFF"/>
              </w:rPr>
              <w:t>future issuance under equity compensation plans</w:t>
            </w:r>
          </w:p>
        </w:tc>
        <w:tc>
          <w:tcPr>
            <w:tcW w:w="4520" w:type="dxa"/>
            <w:vAlign w:val="bottom"/>
          </w:tcPr>
          <w:p>
            <w:pPr>
              <w:jc w:val="right"/>
              <w:spacing w:after="0"/>
              <w:rPr>
                <w:sz w:val="20"/>
                <w:szCs w:val="20"/>
                <w:color w:val="auto"/>
              </w:rPr>
            </w:pPr>
            <w:r>
              <w:rPr>
                <w:rFonts w:ascii="Arial" w:cs="Arial" w:eastAsia="Arial" w:hAnsi="Arial"/>
                <w:sz w:val="20"/>
                <w:szCs w:val="20"/>
                <w:i w:val="1"/>
                <w:iCs w:val="1"/>
                <w:color w:val="auto"/>
              </w:rPr>
              <w:t>(represents approximately 1.08% of issued and</w:t>
            </w:r>
          </w:p>
        </w:tc>
      </w:tr>
      <w:tr>
        <w:trPr>
          <w:trHeight w:val="302"/>
        </w:trPr>
        <w:tc>
          <w:tcPr>
            <w:tcW w:w="5040" w:type="dxa"/>
            <w:vAlign w:val="bottom"/>
            <w:shd w:val="clear" w:color="auto" w:fill="153A57"/>
          </w:tcPr>
          <w:p>
            <w:pPr>
              <w:spacing w:after="0"/>
              <w:rPr>
                <w:sz w:val="24"/>
                <w:szCs w:val="24"/>
                <w:color w:val="auto"/>
              </w:rPr>
            </w:pPr>
          </w:p>
        </w:tc>
        <w:tc>
          <w:tcPr>
            <w:tcW w:w="4520" w:type="dxa"/>
            <w:vAlign w:val="bottom"/>
          </w:tcPr>
          <w:p>
            <w:pPr>
              <w:jc w:val="right"/>
              <w:spacing w:after="0"/>
              <w:rPr>
                <w:sz w:val="20"/>
                <w:szCs w:val="20"/>
                <w:color w:val="auto"/>
              </w:rPr>
            </w:pPr>
            <w:r>
              <w:rPr>
                <w:rFonts w:ascii="Arial" w:cs="Arial" w:eastAsia="Arial" w:hAnsi="Arial"/>
                <w:sz w:val="20"/>
                <w:szCs w:val="20"/>
                <w:i w:val="1"/>
                <w:iCs w:val="1"/>
                <w:color w:val="auto"/>
              </w:rPr>
              <w:t xml:space="preserve">outstanding Shares as of </w:t>
            </w:r>
            <w:r>
              <w:rPr>
                <w:rFonts w:ascii="Arial" w:cs="Arial" w:eastAsia="Arial" w:hAnsi="Arial"/>
                <w:sz w:val="20"/>
                <w:szCs w:val="20"/>
                <w:color w:val="auto"/>
              </w:rPr>
              <w:t>December 31, 2025</w:t>
            </w:r>
            <w:r>
              <w:rPr>
                <w:rFonts w:ascii="Arial" w:cs="Arial" w:eastAsia="Arial" w:hAnsi="Arial"/>
                <w:sz w:val="20"/>
                <w:szCs w:val="20"/>
                <w:i w:val="1"/>
                <w:iCs w:val="1"/>
                <w:color w:val="auto"/>
              </w:rPr>
              <w:t>)</w:t>
            </w:r>
          </w:p>
        </w:tc>
      </w:tr>
      <w:tr>
        <w:trPr>
          <w:trHeight w:val="65"/>
        </w:trPr>
        <w:tc>
          <w:tcPr>
            <w:tcW w:w="5040" w:type="dxa"/>
            <w:vAlign w:val="bottom"/>
            <w:shd w:val="clear" w:color="auto" w:fill="153A57"/>
          </w:tcPr>
          <w:p>
            <w:pPr>
              <w:spacing w:after="0"/>
              <w:rPr>
                <w:sz w:val="5"/>
                <w:szCs w:val="5"/>
                <w:color w:val="auto"/>
              </w:rPr>
            </w:pPr>
          </w:p>
        </w:tc>
        <w:tc>
          <w:tcPr>
            <w:tcW w:w="4520" w:type="dxa"/>
            <w:vAlign w:val="bottom"/>
          </w:tcPr>
          <w:p>
            <w:pPr>
              <w:spacing w:after="0"/>
              <w:rPr>
                <w:sz w:val="5"/>
                <w:szCs w:val="5"/>
                <w:color w:val="auto"/>
              </w:rPr>
            </w:pPr>
          </w:p>
        </w:tc>
      </w:tr>
      <w:tr>
        <w:trPr>
          <w:trHeight w:val="461"/>
        </w:trPr>
        <w:tc>
          <w:tcPr>
            <w:tcW w:w="5040" w:type="dxa"/>
            <w:vAlign w:val="bottom"/>
          </w:tcPr>
          <w:p>
            <w:pPr>
              <w:spacing w:after="0"/>
              <w:rPr>
                <w:sz w:val="20"/>
                <w:szCs w:val="20"/>
                <w:color w:val="auto"/>
              </w:rPr>
            </w:pPr>
            <w:r>
              <w:rPr>
                <w:rFonts w:ascii="Arial" w:cs="Arial" w:eastAsia="Arial" w:hAnsi="Arial"/>
                <w:sz w:val="20"/>
                <w:szCs w:val="20"/>
                <w:b w:val="1"/>
                <w:bCs w:val="1"/>
                <w:color w:val="auto"/>
              </w:rPr>
              <w:t>C. Board Practices</w:t>
            </w:r>
          </w:p>
        </w:tc>
        <w:tc>
          <w:tcPr>
            <w:tcW w:w="4520" w:type="dxa"/>
            <w:vAlign w:val="bottom"/>
          </w:tcPr>
          <w:p>
            <w:pPr>
              <w:spacing w:after="0"/>
              <w:rPr>
                <w:sz w:val="24"/>
                <w:szCs w:val="24"/>
                <w:color w:val="auto"/>
              </w:rPr>
            </w:pPr>
          </w:p>
        </w:tc>
      </w:tr>
      <w:tr>
        <w:trPr>
          <w:trHeight w:val="502"/>
        </w:trPr>
        <w:tc>
          <w:tcPr>
            <w:tcW w:w="5040" w:type="dxa"/>
            <w:vAlign w:val="bottom"/>
          </w:tcPr>
          <w:p>
            <w:pPr>
              <w:spacing w:after="0"/>
              <w:rPr>
                <w:sz w:val="20"/>
                <w:szCs w:val="20"/>
                <w:color w:val="auto"/>
              </w:rPr>
            </w:pPr>
            <w:r>
              <w:rPr>
                <w:rFonts w:ascii="Arial" w:cs="Arial" w:eastAsia="Arial" w:hAnsi="Arial"/>
                <w:sz w:val="20"/>
                <w:szCs w:val="20"/>
                <w:b w:val="1"/>
                <w:bCs w:val="1"/>
                <w:color w:val="auto"/>
              </w:rPr>
              <w:t>About the Board</w:t>
            </w:r>
          </w:p>
        </w:tc>
        <w:tc>
          <w:tcPr>
            <w:tcW w:w="4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4676140</wp:posOffset>
            </wp:positionH>
            <wp:positionV relativeFrom="page">
              <wp:posOffset>720090</wp:posOffset>
            </wp:positionV>
            <wp:extent cx="6350" cy="5994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0">
                      <a:extLst>
                        <a:ext uri="{28A0092B-C50C-407E-A947-70E740481C1C}"/>
                      </a:extLst>
                    </a:blip>
                    <a:srcRect/>
                    <a:stretch>
                      <a:fillRect/>
                    </a:stretch>
                  </pic:blipFill>
                  <pic:spPr bwMode="auto">
                    <a:xfrm>
                      <a:off x="0" y="0"/>
                      <a:ext cx="6350" cy="59944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-617220</wp:posOffset>
            </wp:positionV>
            <wp:extent cx="2877820" cy="63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1">
                      <a:extLst>
                        <a:ext uri="{28A0092B-C50C-407E-A947-70E740481C1C}"/>
                      </a:extLst>
                    </a:blip>
                    <a:srcRect/>
                    <a:stretch>
                      <a:fillRect/>
                    </a:stretch>
                  </pic:blipFill>
                  <pic:spPr bwMode="auto">
                    <a:xfrm>
                      <a:off x="0" y="0"/>
                      <a:ext cx="2877820" cy="6350"/>
                    </a:xfrm>
                    <a:prstGeom prst="rect">
                      <a:avLst/>
                    </a:prstGeom>
                    <a:noFill/>
                  </pic:spPr>
                </pic:pic>
              </a:graphicData>
            </a:graphic>
          </wp:anchor>
        </w:drawing>
      </w:r>
    </w:p>
    <w:p>
      <w:pPr>
        <w:spacing w:after="0" w:line="25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Board consists of eight directors whose terms expire annually. John Kanellitsas, George Ireland and Fr Mignacco have served as directors since 2015 and Diego Lopez Casanello, Robert Doyle and Calum Mor have served as directors since 2023. On March 19, 2024, Sam Pigott and Monica Moretto were appointed t Board. Each director nominee elected will hold office until their successor is elected at the next annual meeti Shareholders, or any postponement(s) or adjournment(s) thereof, or until their successor is otherwise elect appointed. There are no directors’ service contracts with the Company or any of its subsidiaries providin benefits upon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1090295</wp:posOffset>
            </wp:positionV>
            <wp:extent cx="6764020" cy="190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33"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 / 139</w:t>
      </w:r>
    </w:p>
    <w:p>
      <w:pPr>
        <w:sectPr>
          <w:pgSz w:w="11900" w:h="16838" w:orient="portrait"/>
          <w:cols w:equalWidth="0" w:num="1">
            <w:col w:w="10460"/>
          </w:cols>
          <w:pgMar w:left="1440" w:top="1133" w:right="6" w:bottom="0" w:gutter="0" w:footer="0" w:header="0"/>
          <w:type w:val="continuous"/>
        </w:sectPr>
      </w:pPr>
    </w:p>
    <w:bookmarkStart w:id="232" w:name="page233"/>
    <w:bookmarkEnd w:id="2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Role and Mandate</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Board has overall responsibility for corporate governance matters by virtue of its responsibility for:</w:t>
      </w:r>
    </w:p>
    <w:p>
      <w:pPr>
        <w:spacing w:after="0" w:line="236" w:lineRule="exact"/>
        <w:rPr>
          <w:sz w:val="20"/>
          <w:szCs w:val="20"/>
          <w:color w:val="auto"/>
        </w:rPr>
      </w:pPr>
    </w:p>
    <w:p>
      <w:pPr>
        <w:ind w:left="1620" w:hanging="366"/>
        <w:spacing w:after="0"/>
        <w:tabs>
          <w:tab w:leader="none" w:pos="16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developing and approving corporate policies and guidelines;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assisting in the definition of corporate objectives and assessing corporate strategies and key plans;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overseeing material risks of the Company and its business;</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overseeing the integrity of our internal financial controls and management information systems;</w:t>
      </w:r>
    </w:p>
    <w:p>
      <w:pPr>
        <w:spacing w:after="0" w:line="257"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evaluating the Company's performance and the performance of the Board, its committees and indiv directors; and</w:t>
      </w:r>
    </w:p>
    <w:p>
      <w:pPr>
        <w:spacing w:after="0" w:line="127" w:lineRule="exact"/>
        <w:rPr>
          <w:rFonts w:ascii="Arial" w:cs="Arial" w:eastAsia="Arial" w:hAnsi="Arial"/>
          <w:sz w:val="20"/>
          <w:szCs w:val="20"/>
          <w:color w:val="auto"/>
        </w:rPr>
      </w:pPr>
    </w:p>
    <w:p>
      <w:pPr>
        <w:ind w:left="1620" w:hanging="366"/>
        <w:spacing w:after="0"/>
        <w:tabs>
          <w:tab w:leader="none" w:pos="16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appointing executive officers and, together with the relevant committee, reviewing their performance</w:t>
      </w:r>
    </w:p>
    <w:p>
      <w:pPr>
        <w:spacing w:after="0" w:line="293"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Board has adopted a Corporate Governance Framework where the Board has outlined its responsibilitie board mandate. The board mandate and structural parameters of the Board is available in Lithium Argent Corporate Governance Framework on our website (www.lithium-argentina.com).</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Independence</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Board currently has eight (8) members of whom five (5) qualify as independent directors, being a maj under the Corporate Governance Disclosure Rules. This includes our Lead Independent Director, George Ire Except for our Sustainable Development Committee, our committees are all comprised entirely of indepen directors, including the Chairs of each committee. The independent directors are: George Ireland, Diego L Casanello, Robert Doyle, Calum Morrison and Monica Moretto.</w:t>
      </w:r>
    </w:p>
    <w:p>
      <w:pPr>
        <w:spacing w:after="0" w:line="210" w:lineRule="exact"/>
        <w:rPr>
          <w:sz w:val="20"/>
          <w:szCs w:val="20"/>
          <w:color w:val="auto"/>
        </w:rPr>
      </w:pPr>
    </w:p>
    <w:p>
      <w:pPr>
        <w:ind w:left="900"/>
        <w:spacing w:after="0" w:line="311" w:lineRule="auto"/>
        <w:rPr>
          <w:sz w:val="20"/>
          <w:szCs w:val="20"/>
          <w:color w:val="auto"/>
        </w:rPr>
      </w:pPr>
      <w:r>
        <w:rPr>
          <w:rFonts w:ascii="Arial" w:cs="Arial" w:eastAsia="Arial" w:hAnsi="Arial"/>
          <w:sz w:val="20"/>
          <w:szCs w:val="20"/>
          <w:color w:val="auto"/>
        </w:rPr>
        <w:t>The non-independent directors of the Company are Sam Pigott, who is the CEO of the Company; Kanellitsas, who was the Executive Chair; and Franco Mignacco, who was the President of Exar, which significant equity investee of the Company, and is now the Chair of the Shareholder Committee of Exar.</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Generally independence of a director means that the individual is not an employee or member of manageme the company or any subsidiary, receives no compensation from the company or a subsidiary ex compensation for serving as a director on the Board, and generally the individual has no conflicts of intere other ties to management, the company or a subsidiary that would lead to a determination that the individ unable to exercise judgement independent of management. These same considerations extend to imme family members of the individual.</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Directors on our Board with an interest in a material transaction or agreement are required to declare their in and abstain from voting on the transaction or agreement at issue. The Board also forms special committee needed, comprised of only independent directors, to evaluate proposed related party transactions and ensur independent judgement is used to evaluate the transaction, free of any potential or actual conflict of interest, other purposes as needed and determined by the Board in its sole discretion.</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 / 139</w:t>
      </w:r>
    </w:p>
    <w:p>
      <w:pPr>
        <w:sectPr>
          <w:pgSz w:w="11900" w:h="16838" w:orient="portrait"/>
          <w:cols w:equalWidth="0" w:num="1">
            <w:col w:w="10460"/>
          </w:cols>
          <w:pgMar w:left="1440" w:top="1440" w:right="6" w:bottom="0" w:gutter="0" w:footer="0" w:header="0"/>
          <w:type w:val="continuous"/>
        </w:sectPr>
      </w:pPr>
    </w:p>
    <w:bookmarkStart w:id="233" w:name="page234"/>
    <w:bookmarkEnd w:id="233"/>
    <w:p>
      <w:pPr>
        <w:ind w:left="900"/>
        <w:spacing w:after="0" w:line="332" w:lineRule="auto"/>
        <w:rPr>
          <w:sz w:val="20"/>
          <w:szCs w:val="20"/>
          <w:color w:val="auto"/>
        </w:rPr>
      </w:pPr>
      <w:r>
        <w:rPr>
          <w:rFonts w:ascii="Arial" w:cs="Arial" w:eastAsia="Arial" w:hAnsi="Arial"/>
          <w:sz w:val="19"/>
          <w:szCs w:val="19"/>
          <w:color w:val="auto"/>
        </w:rPr>
        <w:t>Our Shares are dual-listed in Canada and the U.S. NYSE requirements and U.S. securities laws set out diff requirements for determining director independence than TSX requirements and securities laws in Canada. “foreign private issuer” under U.S. securities laws, the Company is permitted to follow Swiss requirements (a home country) instead of certain NYSE corporate governance standards, including director independence bu does not apply to audit committee independence requirements under U.S. securities laws. The three (3) me of our Audit and Risk Committee satisfy the independence requirements of Rule 10A-3 under the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1080135</wp:posOffset>
            </wp:positionV>
            <wp:extent cx="6764020" cy="190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 / 139</w:t>
      </w:r>
    </w:p>
    <w:p>
      <w:pPr>
        <w:sectPr>
          <w:pgSz w:w="11900" w:h="16838" w:orient="portrait"/>
          <w:cols w:equalWidth="0" w:num="1">
            <w:col w:w="10460"/>
          </w:cols>
          <w:pgMar w:left="1440" w:top="1172" w:right="6" w:bottom="0" w:gutter="0" w:footer="0" w:header="0"/>
          <w:type w:val="continuous"/>
        </w:sectPr>
      </w:pPr>
    </w:p>
    <w:bookmarkStart w:id="234" w:name="page235"/>
    <w:bookmarkEnd w:id="2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Role of the Chair and the Independent Lead Director</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Board Chair leads the Board and is responsible for managing the affairs of the Board to ensure t functions effectively and efficiently. The Company has developed a written description for the role of the C The responsibilities of this role include:</w:t>
      </w:r>
    </w:p>
    <w:p>
      <w:pPr>
        <w:spacing w:after="0" w:line="175" w:lineRule="exact"/>
        <w:rPr>
          <w:sz w:val="20"/>
          <w:szCs w:val="20"/>
          <w:color w:val="auto"/>
        </w:rPr>
      </w:pPr>
    </w:p>
    <w:p>
      <w:pPr>
        <w:ind w:left="1620" w:hanging="366"/>
        <w:spacing w:after="0" w:line="368" w:lineRule="auto"/>
        <w:tabs>
          <w:tab w:leader="none" w:pos="16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Provide leadership to enable Board to act in carrying out its duties and responsibilities as described i Board charter and as otherwise may be appropriate;</w:t>
      </w:r>
    </w:p>
    <w:p>
      <w:pPr>
        <w:spacing w:after="0" w:line="134"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Work with the CEO and other officers to monitor progress on the business plan, annual budgets, p implementation and succession planning;</w:t>
      </w:r>
    </w:p>
    <w:p>
      <w:pPr>
        <w:spacing w:after="0" w:line="127" w:lineRule="exact"/>
        <w:rPr>
          <w:rFonts w:ascii="Arial" w:cs="Arial" w:eastAsia="Arial" w:hAnsi="Arial"/>
          <w:sz w:val="20"/>
          <w:szCs w:val="20"/>
          <w:color w:val="auto"/>
        </w:rPr>
      </w:pPr>
    </w:p>
    <w:p>
      <w:pPr>
        <w:ind w:left="1620" w:hanging="366"/>
        <w:spacing w:after="0"/>
        <w:tabs>
          <w:tab w:leader="none" w:pos="16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Providing advice and mentorship to the CEO;</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Provide advice, counsel mentorship to the CEO and fellow members of the Board;</w:t>
      </w:r>
    </w:p>
    <w:p>
      <w:pPr>
        <w:spacing w:after="0" w:line="257"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Chairing Board meetings and liaising with the Corporate Secretary in respect of meeting logistics, a ensure all required business and items requiring approval are brought before the Board;</w:t>
      </w:r>
    </w:p>
    <w:p>
      <w:pPr>
        <w:spacing w:after="0" w:line="127" w:lineRule="exact"/>
        <w:rPr>
          <w:rFonts w:ascii="Arial" w:cs="Arial" w:eastAsia="Arial" w:hAnsi="Arial"/>
          <w:sz w:val="20"/>
          <w:szCs w:val="20"/>
          <w:color w:val="auto"/>
        </w:rPr>
      </w:pPr>
    </w:p>
    <w:p>
      <w:pPr>
        <w:ind w:left="1620" w:hanging="366"/>
        <w:spacing w:after="0"/>
        <w:tabs>
          <w:tab w:leader="none" w:pos="16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Facilitating in-camera sessions at Board meetings without the presence of management;</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Ensuring the proper flow of information between management and the Board;</w:t>
      </w:r>
    </w:p>
    <w:p>
      <w:pPr>
        <w:spacing w:after="0" w:line="250" w:lineRule="exact"/>
        <w:rPr>
          <w:rFonts w:ascii="Arial" w:cs="Arial" w:eastAsia="Arial" w:hAnsi="Arial"/>
          <w:sz w:val="20"/>
          <w:szCs w:val="20"/>
          <w:color w:val="auto"/>
        </w:rPr>
      </w:pPr>
    </w:p>
    <w:p>
      <w:pPr>
        <w:ind w:left="1620" w:hanging="366"/>
        <w:spacing w:after="0"/>
        <w:tabs>
          <w:tab w:leader="none" w:pos="16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Chair the annual, and any special meeting, of the Shareholders; and</w:t>
      </w:r>
    </w:p>
    <w:p>
      <w:pPr>
        <w:spacing w:after="0" w:line="257" w:lineRule="exact"/>
        <w:rPr>
          <w:rFonts w:ascii="Arial" w:cs="Arial" w:eastAsia="Arial" w:hAnsi="Arial"/>
          <w:sz w:val="20"/>
          <w:szCs w:val="20"/>
          <w:color w:val="auto"/>
        </w:rPr>
      </w:pPr>
    </w:p>
    <w:p>
      <w:pPr>
        <w:ind w:left="1620" w:right="20" w:hanging="366"/>
        <w:spacing w:after="0" w:line="368" w:lineRule="auto"/>
        <w:tabs>
          <w:tab w:leader="none" w:pos="16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Exercise the authority of the CEO in the unlikely event that the CEO is absent and is unable to ac action on the part of the CEO when required to protect the interests of the Company.</w:t>
      </w:r>
    </w:p>
    <w:p>
      <w:pPr>
        <w:spacing w:after="0" w:line="171"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Board has also appointed an Independent Lead Director to assist the Board Chair and provide leadersh that the Board can function independently. The Independent Lead Director is responsible for coordinatin activities of the other independent directors and perform such other duties and responsibilities as the Board determine.</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Strategic Planning</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Board and management generally conduct an annual strategic planning session to discuss updates t Company's corporate strategy. The strategic planning session typically occurs prior to the budget app process for the following year to facilitate the review of the Board of proposed budgets, taking into consider the overall corporate strategy and direction of the Company. Financial forecasts for the Company are presented to the Board together with a fulsome review of the Company's risk assessment matrix unde enterprise risk management system.</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Board exercises its oversight of management's performance on execution of the Company's strateg receiving:</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6 / 139</w:t>
      </w:r>
    </w:p>
    <w:p>
      <w:pPr>
        <w:sectPr>
          <w:pgSz w:w="11900" w:h="16838" w:orient="portrait"/>
          <w:cols w:equalWidth="0" w:num="1">
            <w:col w:w="10460"/>
          </w:cols>
          <w:pgMar w:left="1440" w:top="1440" w:right="6" w:bottom="0" w:gutter="0" w:footer="0" w:header="0"/>
          <w:type w:val="continuous"/>
        </w:sectPr>
      </w:pPr>
    </w:p>
    <w:bookmarkStart w:id="235" w:name="page236"/>
    <w:bookmarkEnd w:id="235"/>
    <w:p>
      <w:pPr>
        <w:jc w:val="both"/>
        <w:ind w:left="1620" w:hanging="366"/>
        <w:spacing w:after="0" w:line="397" w:lineRule="auto"/>
        <w:tabs>
          <w:tab w:leader="none" w:pos="1620" w:val="left"/>
        </w:tabs>
        <w:numPr>
          <w:ilvl w:val="0"/>
          <w:numId w:val="99"/>
        </w:numPr>
        <w:rPr>
          <w:rFonts w:ascii="Arial" w:cs="Arial" w:eastAsia="Arial" w:hAnsi="Arial"/>
          <w:sz w:val="19"/>
          <w:szCs w:val="19"/>
          <w:color w:val="auto"/>
        </w:rPr>
      </w:pPr>
      <w:r>
        <w:rPr>
          <w:rFonts w:ascii="Arial" w:cs="Arial" w:eastAsia="Arial" w:hAnsi="Arial"/>
          <w:sz w:val="19"/>
          <w:szCs w:val="19"/>
          <w:color w:val="auto"/>
        </w:rPr>
        <w:t>Presentations from management at least quarterly on items including the status of the Compa projects and development operations including construction and development activities, bu performance to date, safety and health, community relations, the environment and sustainability, litig involving the Company's material projects, investor relations matters, and human resources; and</w:t>
      </w:r>
    </w:p>
    <w:p>
      <w:pPr>
        <w:spacing w:after="0" w:line="107" w:lineRule="exact"/>
        <w:rPr>
          <w:rFonts w:ascii="Arial" w:cs="Arial" w:eastAsia="Arial" w:hAnsi="Arial"/>
          <w:sz w:val="19"/>
          <w:szCs w:val="19"/>
          <w:color w:val="auto"/>
        </w:rPr>
      </w:pPr>
    </w:p>
    <w:p>
      <w:pPr>
        <w:ind w:left="1620" w:hanging="366"/>
        <w:spacing w:after="0"/>
        <w:tabs>
          <w:tab w:leader="none" w:pos="16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Informal updates from management on material developments or items of interest to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1141095</wp:posOffset>
            </wp:positionV>
            <wp:extent cx="6764020" cy="190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33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7 / 139</w:t>
      </w:r>
    </w:p>
    <w:p>
      <w:pPr>
        <w:sectPr>
          <w:pgSz w:w="11900" w:h="16838" w:orient="portrait"/>
          <w:cols w:equalWidth="0" w:num="1">
            <w:col w:w="10460"/>
          </w:cols>
          <w:pgMar w:left="1440" w:top="1335" w:right="6" w:bottom="0" w:gutter="0" w:footer="0" w:header="0"/>
          <w:type w:val="continuous"/>
        </w:sectPr>
      </w:pPr>
    </w:p>
    <w:bookmarkStart w:id="236" w:name="page237"/>
    <w:bookmarkEnd w:id="2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Committees of the Board</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Board has three (3) standing committees, each with a written charter setting out the duties responsibilities for the committee and its members, areas of committee oversight and the process for reporti the Board. Directors are appointed annually to the committees after the annual meeting of Shareholders. current members of each committee and their independence status are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3758565</wp:posOffset>
            </wp:positionH>
            <wp:positionV relativeFrom="paragraph">
              <wp:posOffset>193675</wp:posOffset>
            </wp:positionV>
            <wp:extent cx="9525" cy="2667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5">
                      <a:extLst>
                        <a:ext uri="{28A0092B-C50C-407E-A947-70E740481C1C}"/>
                      </a:extLst>
                    </a:blip>
                    <a:srcRect/>
                    <a:stretch>
                      <a:fillRect/>
                    </a:stretch>
                  </pic:blipFill>
                  <pic:spPr bwMode="auto">
                    <a:xfrm>
                      <a:off x="0" y="0"/>
                      <a:ext cx="9525" cy="266700"/>
                    </a:xfrm>
                    <a:prstGeom prst="rect">
                      <a:avLst/>
                    </a:prstGeom>
                    <a:noFill/>
                  </pic:spPr>
                </pic:pic>
              </a:graphicData>
            </a:graphic>
          </wp:anchor>
        </w:drawing>
        <w:drawing>
          <wp:anchor simplePos="0" relativeHeight="251657728" behindDoc="1" locked="0" layoutInCell="0" allowOverlap="1">
            <wp:simplePos x="0" y="0"/>
            <wp:positionH relativeFrom="column">
              <wp:posOffset>5550535</wp:posOffset>
            </wp:positionH>
            <wp:positionV relativeFrom="paragraph">
              <wp:posOffset>193675</wp:posOffset>
            </wp:positionV>
            <wp:extent cx="9525" cy="2667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6">
                      <a:extLst>
                        <a:ext uri="{28A0092B-C50C-407E-A947-70E740481C1C}"/>
                      </a:extLst>
                    </a:blip>
                    <a:srcRect/>
                    <a:stretch>
                      <a:fillRect/>
                    </a:stretch>
                  </pic:blipFill>
                  <pic:spPr bwMode="auto">
                    <a:xfrm>
                      <a:off x="0" y="0"/>
                      <a:ext cx="9525" cy="266700"/>
                    </a:xfrm>
                    <a:prstGeom prst="rect">
                      <a:avLst/>
                    </a:prstGeom>
                    <a:noFill/>
                  </pic:spPr>
                </pic:pic>
              </a:graphicData>
            </a:graphic>
          </wp:anchor>
        </w:drawing>
      </w:r>
    </w:p>
    <w:p>
      <w:pPr>
        <w:spacing w:after="0" w:line="285" w:lineRule="exact"/>
        <w:rPr>
          <w:sz w:val="20"/>
          <w:szCs w:val="20"/>
          <w:color w:val="auto"/>
        </w:rPr>
      </w:pPr>
    </w:p>
    <w:tbl>
      <w:tblPr>
        <w:tblLayout w:type="fixed"/>
        <w:tblInd w:w="900" w:type="dxa"/>
        <w:tblCellMar>
          <w:top w:w="0" w:type="dxa"/>
          <w:left w:w="0" w:type="dxa"/>
          <w:bottom w:w="0" w:type="dxa"/>
          <w:right w:w="0" w:type="dxa"/>
        </w:tblCellMar>
      </w:tblPr>
      <w:tr>
        <w:trPr>
          <w:trHeight w:val="310"/>
        </w:trPr>
        <w:tc>
          <w:tcPr>
            <w:tcW w:w="4580" w:type="dxa"/>
            <w:vAlign w:val="bottom"/>
            <w:shd w:val="clear" w:color="auto" w:fill="153A57"/>
          </w:tcPr>
          <w:p>
            <w:pPr>
              <w:ind w:left="100"/>
              <w:spacing w:after="0"/>
              <w:rPr>
                <w:sz w:val="20"/>
                <w:szCs w:val="20"/>
                <w:color w:val="auto"/>
              </w:rPr>
            </w:pPr>
            <w:r>
              <w:rPr>
                <w:rFonts w:ascii="Arial" w:cs="Arial" w:eastAsia="Arial" w:hAnsi="Arial"/>
                <w:sz w:val="18"/>
                <w:szCs w:val="18"/>
                <w:b w:val="1"/>
                <w:bCs w:val="1"/>
                <w:color w:val="FFFFFF"/>
              </w:rPr>
              <w:t>Committee</w:t>
            </w:r>
          </w:p>
        </w:tc>
        <w:tc>
          <w:tcPr>
            <w:tcW w:w="3400" w:type="dxa"/>
            <w:vAlign w:val="bottom"/>
            <w:shd w:val="clear" w:color="auto" w:fill="153A57"/>
          </w:tcPr>
          <w:p>
            <w:pPr>
              <w:jc w:val="center"/>
              <w:ind w:left="230"/>
              <w:spacing w:after="0"/>
              <w:rPr>
                <w:sz w:val="20"/>
                <w:szCs w:val="20"/>
                <w:color w:val="auto"/>
              </w:rPr>
            </w:pPr>
            <w:r>
              <w:rPr>
                <w:rFonts w:ascii="Arial" w:cs="Arial" w:eastAsia="Arial" w:hAnsi="Arial"/>
                <w:sz w:val="18"/>
                <w:szCs w:val="18"/>
                <w:b w:val="1"/>
                <w:bCs w:val="1"/>
                <w:color w:val="FFFFFF"/>
              </w:rPr>
              <w:t>Members</w:t>
            </w:r>
          </w:p>
        </w:tc>
        <w:tc>
          <w:tcPr>
            <w:tcW w:w="1580" w:type="dxa"/>
            <w:vAlign w:val="bottom"/>
            <w:shd w:val="clear" w:color="auto" w:fill="153A57"/>
          </w:tcPr>
          <w:p>
            <w:pPr>
              <w:jc w:val="center"/>
              <w:ind w:left="290"/>
              <w:spacing w:after="0"/>
              <w:rPr>
                <w:sz w:val="20"/>
                <w:szCs w:val="20"/>
                <w:color w:val="auto"/>
              </w:rPr>
            </w:pPr>
            <w:r>
              <w:rPr>
                <w:rFonts w:ascii="Arial" w:cs="Arial" w:eastAsia="Arial" w:hAnsi="Arial"/>
                <w:sz w:val="18"/>
                <w:szCs w:val="18"/>
                <w:b w:val="1"/>
                <w:bCs w:val="1"/>
                <w:color w:val="FFFFFF"/>
                <w:w w:val="99"/>
              </w:rPr>
              <w:t>Independence</w:t>
            </w:r>
          </w:p>
        </w:tc>
        <w:tc>
          <w:tcPr>
            <w:tcW w:w="0" w:type="dxa"/>
            <w:vAlign w:val="bottom"/>
          </w:tcPr>
          <w:p>
            <w:pPr>
              <w:spacing w:after="0"/>
              <w:rPr>
                <w:sz w:val="1"/>
                <w:szCs w:val="1"/>
                <w:color w:val="auto"/>
              </w:rPr>
            </w:pPr>
          </w:p>
        </w:tc>
      </w:tr>
      <w:tr>
        <w:trPr>
          <w:trHeight w:val="111"/>
        </w:trPr>
        <w:tc>
          <w:tcPr>
            <w:tcW w:w="4580" w:type="dxa"/>
            <w:vAlign w:val="bottom"/>
            <w:shd w:val="clear" w:color="auto" w:fill="153A57"/>
          </w:tcPr>
          <w:p>
            <w:pPr>
              <w:spacing w:after="0"/>
              <w:rPr>
                <w:sz w:val="9"/>
                <w:szCs w:val="9"/>
                <w:color w:val="auto"/>
              </w:rPr>
            </w:pPr>
          </w:p>
        </w:tc>
        <w:tc>
          <w:tcPr>
            <w:tcW w:w="3400" w:type="dxa"/>
            <w:vAlign w:val="bottom"/>
            <w:shd w:val="clear" w:color="auto" w:fill="153A57"/>
          </w:tcPr>
          <w:p>
            <w:pPr>
              <w:spacing w:after="0"/>
              <w:rPr>
                <w:sz w:val="9"/>
                <w:szCs w:val="9"/>
                <w:color w:val="auto"/>
              </w:rPr>
            </w:pPr>
          </w:p>
        </w:tc>
        <w:tc>
          <w:tcPr>
            <w:tcW w:w="1580" w:type="dxa"/>
            <w:vAlign w:val="bottom"/>
            <w:shd w:val="clear" w:color="auto" w:fill="153A57"/>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4580" w:type="dxa"/>
            <w:vAlign w:val="bottom"/>
          </w:tcPr>
          <w:p>
            <w:pPr>
              <w:ind w:left="100"/>
              <w:spacing w:after="0"/>
              <w:rPr>
                <w:sz w:val="20"/>
                <w:szCs w:val="20"/>
                <w:color w:val="auto"/>
              </w:rPr>
            </w:pPr>
            <w:r>
              <w:rPr>
                <w:rFonts w:ascii="Arial" w:cs="Arial" w:eastAsia="Arial" w:hAnsi="Arial"/>
                <w:sz w:val="18"/>
                <w:szCs w:val="18"/>
                <w:b w:val="1"/>
                <w:bCs w:val="1"/>
                <w:color w:val="auto"/>
              </w:rPr>
              <w:t>Audit and Risk Committee</w:t>
            </w:r>
          </w:p>
        </w:tc>
        <w:tc>
          <w:tcPr>
            <w:tcW w:w="3400" w:type="dxa"/>
            <w:vAlign w:val="bottom"/>
          </w:tcPr>
          <w:p>
            <w:pPr>
              <w:jc w:val="center"/>
              <w:ind w:left="250"/>
              <w:spacing w:after="0"/>
              <w:rPr>
                <w:sz w:val="20"/>
                <w:szCs w:val="20"/>
                <w:color w:val="auto"/>
              </w:rPr>
            </w:pPr>
            <w:r>
              <w:rPr>
                <w:rFonts w:ascii="Arial" w:cs="Arial" w:eastAsia="Arial" w:hAnsi="Arial"/>
                <w:sz w:val="18"/>
                <w:szCs w:val="18"/>
                <w:color w:val="auto"/>
              </w:rPr>
              <w:t>Robert Doyle (Chair)</w:t>
            </w:r>
          </w:p>
        </w:tc>
        <w:tc>
          <w:tcPr>
            <w:tcW w:w="1580" w:type="dxa"/>
            <w:vAlign w:val="bottom"/>
          </w:tcPr>
          <w:p>
            <w:pPr>
              <w:jc w:val="center"/>
              <w:ind w:left="290"/>
              <w:spacing w:after="0"/>
              <w:rPr>
                <w:sz w:val="20"/>
                <w:szCs w:val="20"/>
                <w:color w:val="auto"/>
              </w:rPr>
            </w:pPr>
            <w:r>
              <w:rPr>
                <w:rFonts w:ascii="Arial" w:cs="Arial" w:eastAsia="Arial" w:hAnsi="Arial"/>
                <w:sz w:val="18"/>
                <w:szCs w:val="18"/>
                <w:color w:val="auto"/>
                <w:w w:val="99"/>
              </w:rPr>
              <w:t>Independent</w:t>
            </w:r>
          </w:p>
        </w:tc>
        <w:tc>
          <w:tcPr>
            <w:tcW w:w="0" w:type="dxa"/>
            <w:vAlign w:val="bottom"/>
          </w:tcPr>
          <w:p>
            <w:pPr>
              <w:spacing w:after="0"/>
              <w:rPr>
                <w:sz w:val="1"/>
                <w:szCs w:val="1"/>
                <w:color w:val="auto"/>
              </w:rPr>
            </w:pPr>
          </w:p>
        </w:tc>
      </w:tr>
      <w:tr>
        <w:trPr>
          <w:trHeight w:val="332"/>
        </w:trPr>
        <w:tc>
          <w:tcPr>
            <w:tcW w:w="4580" w:type="dxa"/>
            <w:vAlign w:val="bottom"/>
          </w:tcPr>
          <w:p>
            <w:pPr>
              <w:spacing w:after="0"/>
              <w:rPr>
                <w:sz w:val="24"/>
                <w:szCs w:val="24"/>
                <w:color w:val="auto"/>
              </w:rPr>
            </w:pPr>
          </w:p>
        </w:tc>
        <w:tc>
          <w:tcPr>
            <w:tcW w:w="3400" w:type="dxa"/>
            <w:vAlign w:val="bottom"/>
          </w:tcPr>
          <w:p>
            <w:pPr>
              <w:jc w:val="center"/>
              <w:ind w:left="230"/>
              <w:spacing w:after="0"/>
              <w:rPr>
                <w:sz w:val="20"/>
                <w:szCs w:val="20"/>
                <w:color w:val="auto"/>
              </w:rPr>
            </w:pPr>
            <w:r>
              <w:rPr>
                <w:rFonts w:ascii="Arial" w:cs="Arial" w:eastAsia="Arial" w:hAnsi="Arial"/>
                <w:sz w:val="18"/>
                <w:szCs w:val="18"/>
                <w:color w:val="auto"/>
                <w:w w:val="99"/>
              </w:rPr>
              <w:t>George Ireland</w:t>
            </w:r>
          </w:p>
        </w:tc>
        <w:tc>
          <w:tcPr>
            <w:tcW w:w="1580" w:type="dxa"/>
            <w:vAlign w:val="bottom"/>
          </w:tcPr>
          <w:p>
            <w:pPr>
              <w:jc w:val="center"/>
              <w:ind w:left="290"/>
              <w:spacing w:after="0"/>
              <w:rPr>
                <w:sz w:val="20"/>
                <w:szCs w:val="20"/>
                <w:color w:val="auto"/>
              </w:rPr>
            </w:pPr>
            <w:r>
              <w:rPr>
                <w:rFonts w:ascii="Arial" w:cs="Arial" w:eastAsia="Arial" w:hAnsi="Arial"/>
                <w:sz w:val="18"/>
                <w:szCs w:val="18"/>
                <w:color w:val="auto"/>
                <w:w w:val="99"/>
              </w:rPr>
              <w:t>Independent</w:t>
            </w:r>
          </w:p>
        </w:tc>
        <w:tc>
          <w:tcPr>
            <w:tcW w:w="0" w:type="dxa"/>
            <w:vAlign w:val="bottom"/>
          </w:tcPr>
          <w:p>
            <w:pPr>
              <w:spacing w:after="0"/>
              <w:rPr>
                <w:sz w:val="1"/>
                <w:szCs w:val="1"/>
                <w:color w:val="auto"/>
              </w:rPr>
            </w:pPr>
          </w:p>
        </w:tc>
      </w:tr>
      <w:tr>
        <w:trPr>
          <w:trHeight w:val="332"/>
        </w:trPr>
        <w:tc>
          <w:tcPr>
            <w:tcW w:w="4580" w:type="dxa"/>
            <w:vAlign w:val="bottom"/>
          </w:tcPr>
          <w:p>
            <w:pPr>
              <w:spacing w:after="0"/>
              <w:rPr>
                <w:sz w:val="24"/>
                <w:szCs w:val="24"/>
                <w:color w:val="auto"/>
              </w:rPr>
            </w:pPr>
          </w:p>
        </w:tc>
        <w:tc>
          <w:tcPr>
            <w:tcW w:w="3400" w:type="dxa"/>
            <w:vAlign w:val="bottom"/>
          </w:tcPr>
          <w:p>
            <w:pPr>
              <w:jc w:val="center"/>
              <w:ind w:left="250"/>
              <w:spacing w:after="0"/>
              <w:rPr>
                <w:sz w:val="20"/>
                <w:szCs w:val="20"/>
                <w:color w:val="auto"/>
              </w:rPr>
            </w:pPr>
            <w:r>
              <w:rPr>
                <w:rFonts w:ascii="Arial" w:cs="Arial" w:eastAsia="Arial" w:hAnsi="Arial"/>
                <w:sz w:val="18"/>
                <w:szCs w:val="18"/>
                <w:color w:val="auto"/>
                <w:w w:val="99"/>
              </w:rPr>
              <w:t>Calum Morrison</w:t>
            </w:r>
          </w:p>
        </w:tc>
        <w:tc>
          <w:tcPr>
            <w:tcW w:w="1580" w:type="dxa"/>
            <w:vAlign w:val="bottom"/>
          </w:tcPr>
          <w:p>
            <w:pPr>
              <w:jc w:val="center"/>
              <w:ind w:left="290"/>
              <w:spacing w:after="0"/>
              <w:rPr>
                <w:sz w:val="20"/>
                <w:szCs w:val="20"/>
                <w:color w:val="auto"/>
              </w:rPr>
            </w:pPr>
            <w:r>
              <w:rPr>
                <w:rFonts w:ascii="Arial" w:cs="Arial" w:eastAsia="Arial" w:hAnsi="Arial"/>
                <w:sz w:val="18"/>
                <w:szCs w:val="18"/>
                <w:color w:val="auto"/>
                <w:w w:val="99"/>
              </w:rPr>
              <w:t>Independent</w:t>
            </w:r>
          </w:p>
        </w:tc>
        <w:tc>
          <w:tcPr>
            <w:tcW w:w="0" w:type="dxa"/>
            <w:vAlign w:val="bottom"/>
          </w:tcPr>
          <w:p>
            <w:pPr>
              <w:spacing w:after="0"/>
              <w:rPr>
                <w:sz w:val="1"/>
                <w:szCs w:val="1"/>
                <w:color w:val="auto"/>
              </w:rPr>
            </w:pPr>
          </w:p>
        </w:tc>
      </w:tr>
      <w:tr>
        <w:trPr>
          <w:trHeight w:val="430"/>
        </w:trPr>
        <w:tc>
          <w:tcPr>
            <w:tcW w:w="4580" w:type="dxa"/>
            <w:vAlign w:val="bottom"/>
          </w:tcPr>
          <w:p>
            <w:pPr>
              <w:ind w:left="100"/>
              <w:spacing w:after="0"/>
              <w:rPr>
                <w:sz w:val="20"/>
                <w:szCs w:val="20"/>
                <w:color w:val="auto"/>
              </w:rPr>
            </w:pPr>
            <w:r>
              <w:rPr>
                <w:rFonts w:ascii="Arial" w:cs="Arial" w:eastAsia="Arial" w:hAnsi="Arial"/>
                <w:sz w:val="18"/>
                <w:szCs w:val="18"/>
                <w:b w:val="1"/>
                <w:bCs w:val="1"/>
                <w:color w:val="auto"/>
              </w:rPr>
              <w:t>Governance, Nomination, Compensation and</w:t>
            </w:r>
          </w:p>
        </w:tc>
        <w:tc>
          <w:tcPr>
            <w:tcW w:w="3400" w:type="dxa"/>
            <w:vAlign w:val="bottom"/>
          </w:tcPr>
          <w:p>
            <w:pPr>
              <w:jc w:val="center"/>
              <w:ind w:left="250"/>
              <w:spacing w:after="0"/>
              <w:rPr>
                <w:sz w:val="20"/>
                <w:szCs w:val="20"/>
                <w:color w:val="auto"/>
              </w:rPr>
            </w:pPr>
            <w:r>
              <w:rPr>
                <w:rFonts w:ascii="Arial" w:cs="Arial" w:eastAsia="Arial" w:hAnsi="Arial"/>
                <w:sz w:val="18"/>
                <w:szCs w:val="18"/>
                <w:color w:val="auto"/>
                <w:w w:val="99"/>
              </w:rPr>
              <w:t>Calum Morrison (Chair)</w:t>
            </w:r>
          </w:p>
        </w:tc>
        <w:tc>
          <w:tcPr>
            <w:tcW w:w="1580" w:type="dxa"/>
            <w:vAlign w:val="bottom"/>
          </w:tcPr>
          <w:p>
            <w:pPr>
              <w:jc w:val="center"/>
              <w:ind w:left="290"/>
              <w:spacing w:after="0"/>
              <w:rPr>
                <w:sz w:val="20"/>
                <w:szCs w:val="20"/>
                <w:color w:val="auto"/>
              </w:rPr>
            </w:pPr>
            <w:r>
              <w:rPr>
                <w:rFonts w:ascii="Arial" w:cs="Arial" w:eastAsia="Arial" w:hAnsi="Arial"/>
                <w:sz w:val="18"/>
                <w:szCs w:val="18"/>
                <w:color w:val="auto"/>
                <w:w w:val="99"/>
              </w:rPr>
              <w:t>Independent</w:t>
            </w:r>
          </w:p>
        </w:tc>
        <w:tc>
          <w:tcPr>
            <w:tcW w:w="0" w:type="dxa"/>
            <w:vAlign w:val="bottom"/>
          </w:tcPr>
          <w:p>
            <w:pPr>
              <w:spacing w:after="0"/>
              <w:rPr>
                <w:sz w:val="1"/>
                <w:szCs w:val="1"/>
                <w:color w:val="auto"/>
              </w:rPr>
            </w:pPr>
          </w:p>
        </w:tc>
      </w:tr>
      <w:tr>
        <w:trPr>
          <w:trHeight w:val="272"/>
        </w:trPr>
        <w:tc>
          <w:tcPr>
            <w:tcW w:w="4580" w:type="dxa"/>
            <w:vAlign w:val="bottom"/>
          </w:tcPr>
          <w:p>
            <w:pPr>
              <w:ind w:left="100"/>
              <w:spacing w:after="0"/>
              <w:rPr>
                <w:sz w:val="20"/>
                <w:szCs w:val="20"/>
                <w:color w:val="auto"/>
              </w:rPr>
            </w:pPr>
            <w:r>
              <w:rPr>
                <w:rFonts w:ascii="Arial" w:cs="Arial" w:eastAsia="Arial" w:hAnsi="Arial"/>
                <w:sz w:val="18"/>
                <w:szCs w:val="18"/>
                <w:b w:val="1"/>
                <w:bCs w:val="1"/>
                <w:color w:val="auto"/>
              </w:rPr>
              <w:t>Leadership Committee</w:t>
            </w:r>
          </w:p>
        </w:tc>
        <w:tc>
          <w:tcPr>
            <w:tcW w:w="3400" w:type="dxa"/>
            <w:vAlign w:val="bottom"/>
            <w:vMerge w:val="restart"/>
          </w:tcPr>
          <w:p>
            <w:pPr>
              <w:jc w:val="center"/>
              <w:ind w:left="250"/>
              <w:spacing w:after="0"/>
              <w:rPr>
                <w:sz w:val="20"/>
                <w:szCs w:val="20"/>
                <w:color w:val="auto"/>
              </w:rPr>
            </w:pPr>
            <w:r>
              <w:rPr>
                <w:rFonts w:ascii="Arial" w:cs="Arial" w:eastAsia="Arial" w:hAnsi="Arial"/>
                <w:sz w:val="18"/>
                <w:szCs w:val="18"/>
                <w:color w:val="auto"/>
              </w:rPr>
              <w:t>Robert Doyle</w:t>
            </w:r>
          </w:p>
        </w:tc>
        <w:tc>
          <w:tcPr>
            <w:tcW w:w="1580" w:type="dxa"/>
            <w:vAlign w:val="bottom"/>
            <w:vMerge w:val="restart"/>
          </w:tcPr>
          <w:p>
            <w:pPr>
              <w:jc w:val="center"/>
              <w:ind w:left="290"/>
              <w:spacing w:after="0"/>
              <w:rPr>
                <w:sz w:val="20"/>
                <w:szCs w:val="20"/>
                <w:color w:val="auto"/>
              </w:rPr>
            </w:pPr>
            <w:r>
              <w:rPr>
                <w:rFonts w:ascii="Arial" w:cs="Arial" w:eastAsia="Arial" w:hAnsi="Arial"/>
                <w:sz w:val="18"/>
                <w:szCs w:val="18"/>
                <w:color w:val="auto"/>
                <w:w w:val="99"/>
              </w:rPr>
              <w:t>Independent</w:t>
            </w:r>
          </w:p>
        </w:tc>
        <w:tc>
          <w:tcPr>
            <w:tcW w:w="0" w:type="dxa"/>
            <w:vAlign w:val="bottom"/>
          </w:tcPr>
          <w:p>
            <w:pPr>
              <w:spacing w:after="0"/>
              <w:rPr>
                <w:sz w:val="1"/>
                <w:szCs w:val="1"/>
                <w:color w:val="auto"/>
              </w:rPr>
            </w:pPr>
          </w:p>
        </w:tc>
      </w:tr>
      <w:tr>
        <w:trPr>
          <w:trHeight w:val="60"/>
        </w:trPr>
        <w:tc>
          <w:tcPr>
            <w:tcW w:w="4580" w:type="dxa"/>
            <w:vAlign w:val="bottom"/>
          </w:tcPr>
          <w:p>
            <w:pPr>
              <w:spacing w:after="0"/>
              <w:rPr>
                <w:sz w:val="5"/>
                <w:szCs w:val="5"/>
                <w:color w:val="auto"/>
              </w:rPr>
            </w:pPr>
          </w:p>
        </w:tc>
        <w:tc>
          <w:tcPr>
            <w:tcW w:w="340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2"/>
        </w:trPr>
        <w:tc>
          <w:tcPr>
            <w:tcW w:w="4580" w:type="dxa"/>
            <w:vAlign w:val="bottom"/>
          </w:tcPr>
          <w:p>
            <w:pPr>
              <w:spacing w:after="0"/>
              <w:rPr>
                <w:sz w:val="24"/>
                <w:szCs w:val="24"/>
                <w:color w:val="auto"/>
              </w:rPr>
            </w:pPr>
          </w:p>
        </w:tc>
        <w:tc>
          <w:tcPr>
            <w:tcW w:w="3400" w:type="dxa"/>
            <w:vAlign w:val="bottom"/>
          </w:tcPr>
          <w:p>
            <w:pPr>
              <w:jc w:val="center"/>
              <w:ind w:left="230"/>
              <w:spacing w:after="0"/>
              <w:rPr>
                <w:sz w:val="20"/>
                <w:szCs w:val="20"/>
                <w:color w:val="auto"/>
              </w:rPr>
            </w:pPr>
            <w:r>
              <w:rPr>
                <w:rFonts w:ascii="Arial" w:cs="Arial" w:eastAsia="Arial" w:hAnsi="Arial"/>
                <w:sz w:val="18"/>
                <w:szCs w:val="18"/>
                <w:color w:val="auto"/>
                <w:w w:val="99"/>
              </w:rPr>
              <w:t>George Ireland</w:t>
            </w:r>
          </w:p>
        </w:tc>
        <w:tc>
          <w:tcPr>
            <w:tcW w:w="1580" w:type="dxa"/>
            <w:vAlign w:val="bottom"/>
          </w:tcPr>
          <w:p>
            <w:pPr>
              <w:jc w:val="center"/>
              <w:ind w:left="290"/>
              <w:spacing w:after="0"/>
              <w:rPr>
                <w:sz w:val="20"/>
                <w:szCs w:val="20"/>
                <w:color w:val="auto"/>
              </w:rPr>
            </w:pPr>
            <w:r>
              <w:rPr>
                <w:rFonts w:ascii="Arial" w:cs="Arial" w:eastAsia="Arial" w:hAnsi="Arial"/>
                <w:sz w:val="18"/>
                <w:szCs w:val="18"/>
                <w:color w:val="auto"/>
                <w:w w:val="99"/>
              </w:rPr>
              <w:t>Independent</w:t>
            </w:r>
          </w:p>
        </w:tc>
        <w:tc>
          <w:tcPr>
            <w:tcW w:w="0" w:type="dxa"/>
            <w:vAlign w:val="bottom"/>
          </w:tcPr>
          <w:p>
            <w:pPr>
              <w:spacing w:after="0"/>
              <w:rPr>
                <w:sz w:val="1"/>
                <w:szCs w:val="1"/>
                <w:color w:val="auto"/>
              </w:rPr>
            </w:pPr>
          </w:p>
        </w:tc>
      </w:tr>
      <w:tr>
        <w:trPr>
          <w:trHeight w:val="430"/>
        </w:trPr>
        <w:tc>
          <w:tcPr>
            <w:tcW w:w="4580" w:type="dxa"/>
            <w:vAlign w:val="bottom"/>
          </w:tcPr>
          <w:p>
            <w:pPr>
              <w:ind w:left="100"/>
              <w:spacing w:after="0"/>
              <w:rPr>
                <w:sz w:val="20"/>
                <w:szCs w:val="20"/>
                <w:color w:val="auto"/>
              </w:rPr>
            </w:pPr>
            <w:r>
              <w:rPr>
                <w:rFonts w:ascii="Arial" w:cs="Arial" w:eastAsia="Arial" w:hAnsi="Arial"/>
                <w:sz w:val="18"/>
                <w:szCs w:val="18"/>
                <w:b w:val="1"/>
                <w:bCs w:val="1"/>
                <w:color w:val="auto"/>
              </w:rPr>
              <w:t>Sustainable Development Committee</w:t>
            </w:r>
          </w:p>
        </w:tc>
        <w:tc>
          <w:tcPr>
            <w:tcW w:w="3400" w:type="dxa"/>
            <w:vAlign w:val="bottom"/>
          </w:tcPr>
          <w:p>
            <w:pPr>
              <w:jc w:val="center"/>
              <w:ind w:left="250"/>
              <w:spacing w:after="0"/>
              <w:rPr>
                <w:sz w:val="20"/>
                <w:szCs w:val="20"/>
                <w:color w:val="auto"/>
              </w:rPr>
            </w:pPr>
            <w:r>
              <w:rPr>
                <w:rFonts w:ascii="Arial" w:cs="Arial" w:eastAsia="Arial" w:hAnsi="Arial"/>
                <w:sz w:val="18"/>
                <w:szCs w:val="18"/>
                <w:color w:val="auto"/>
                <w:w w:val="99"/>
              </w:rPr>
              <w:t>Diego Lopez Casanello (Chair)</w:t>
            </w:r>
          </w:p>
        </w:tc>
        <w:tc>
          <w:tcPr>
            <w:tcW w:w="1580" w:type="dxa"/>
            <w:vAlign w:val="bottom"/>
          </w:tcPr>
          <w:p>
            <w:pPr>
              <w:jc w:val="center"/>
              <w:ind w:left="290"/>
              <w:spacing w:after="0"/>
              <w:rPr>
                <w:sz w:val="20"/>
                <w:szCs w:val="20"/>
                <w:color w:val="auto"/>
              </w:rPr>
            </w:pPr>
            <w:r>
              <w:rPr>
                <w:rFonts w:ascii="Arial" w:cs="Arial" w:eastAsia="Arial" w:hAnsi="Arial"/>
                <w:sz w:val="18"/>
                <w:szCs w:val="18"/>
                <w:color w:val="auto"/>
                <w:w w:val="99"/>
              </w:rPr>
              <w:t>Independent</w:t>
            </w:r>
          </w:p>
        </w:tc>
        <w:tc>
          <w:tcPr>
            <w:tcW w:w="0" w:type="dxa"/>
            <w:vAlign w:val="bottom"/>
          </w:tcPr>
          <w:p>
            <w:pPr>
              <w:spacing w:after="0"/>
              <w:rPr>
                <w:sz w:val="1"/>
                <w:szCs w:val="1"/>
                <w:color w:val="auto"/>
              </w:rPr>
            </w:pPr>
          </w:p>
        </w:tc>
      </w:tr>
      <w:tr>
        <w:trPr>
          <w:trHeight w:val="332"/>
        </w:trPr>
        <w:tc>
          <w:tcPr>
            <w:tcW w:w="4580" w:type="dxa"/>
            <w:vAlign w:val="bottom"/>
          </w:tcPr>
          <w:p>
            <w:pPr>
              <w:spacing w:after="0"/>
              <w:rPr>
                <w:sz w:val="24"/>
                <w:szCs w:val="24"/>
                <w:color w:val="auto"/>
              </w:rPr>
            </w:pPr>
          </w:p>
        </w:tc>
        <w:tc>
          <w:tcPr>
            <w:tcW w:w="3400" w:type="dxa"/>
            <w:vAlign w:val="bottom"/>
          </w:tcPr>
          <w:p>
            <w:pPr>
              <w:jc w:val="center"/>
              <w:ind w:left="230"/>
              <w:spacing w:after="0"/>
              <w:rPr>
                <w:sz w:val="20"/>
                <w:szCs w:val="20"/>
                <w:color w:val="auto"/>
              </w:rPr>
            </w:pPr>
            <w:r>
              <w:rPr>
                <w:rFonts w:ascii="Arial" w:cs="Arial" w:eastAsia="Arial" w:hAnsi="Arial"/>
                <w:sz w:val="18"/>
                <w:szCs w:val="18"/>
                <w:color w:val="auto"/>
              </w:rPr>
              <w:t>John Kanellitsas</w:t>
            </w:r>
          </w:p>
        </w:tc>
        <w:tc>
          <w:tcPr>
            <w:tcW w:w="1580" w:type="dxa"/>
            <w:vAlign w:val="bottom"/>
          </w:tcPr>
          <w:p>
            <w:pPr>
              <w:ind w:left="320"/>
              <w:spacing w:after="0"/>
              <w:rPr>
                <w:sz w:val="20"/>
                <w:szCs w:val="20"/>
                <w:color w:val="auto"/>
              </w:rPr>
            </w:pPr>
            <w:r>
              <w:rPr>
                <w:rFonts w:ascii="Arial" w:cs="Arial" w:eastAsia="Arial" w:hAnsi="Arial"/>
                <w:sz w:val="18"/>
                <w:szCs w:val="18"/>
                <w:color w:val="auto"/>
                <w:w w:val="96"/>
              </w:rPr>
              <w:t>Not Independen</w:t>
            </w:r>
          </w:p>
        </w:tc>
        <w:tc>
          <w:tcPr>
            <w:tcW w:w="0" w:type="dxa"/>
            <w:vAlign w:val="bottom"/>
          </w:tcPr>
          <w:p>
            <w:pPr>
              <w:spacing w:after="0"/>
              <w:rPr>
                <w:sz w:val="1"/>
                <w:szCs w:val="1"/>
                <w:color w:val="auto"/>
              </w:rPr>
            </w:pPr>
          </w:p>
        </w:tc>
      </w:tr>
      <w:tr>
        <w:trPr>
          <w:trHeight w:val="332"/>
        </w:trPr>
        <w:tc>
          <w:tcPr>
            <w:tcW w:w="4580" w:type="dxa"/>
            <w:vAlign w:val="bottom"/>
          </w:tcPr>
          <w:p>
            <w:pPr>
              <w:spacing w:after="0"/>
              <w:rPr>
                <w:sz w:val="24"/>
                <w:szCs w:val="24"/>
                <w:color w:val="auto"/>
              </w:rPr>
            </w:pPr>
          </w:p>
        </w:tc>
        <w:tc>
          <w:tcPr>
            <w:tcW w:w="3400" w:type="dxa"/>
            <w:vAlign w:val="bottom"/>
          </w:tcPr>
          <w:p>
            <w:pPr>
              <w:jc w:val="center"/>
              <w:ind w:left="190"/>
              <w:spacing w:after="0"/>
              <w:rPr>
                <w:sz w:val="20"/>
                <w:szCs w:val="20"/>
                <w:color w:val="auto"/>
              </w:rPr>
            </w:pPr>
            <w:r>
              <w:rPr>
                <w:rFonts w:ascii="Arial" w:cs="Arial" w:eastAsia="Arial" w:hAnsi="Arial"/>
                <w:sz w:val="18"/>
                <w:szCs w:val="18"/>
                <w:color w:val="auto"/>
              </w:rPr>
              <w:t>Franco Mignacco</w:t>
            </w:r>
          </w:p>
        </w:tc>
        <w:tc>
          <w:tcPr>
            <w:tcW w:w="1580" w:type="dxa"/>
            <w:vAlign w:val="bottom"/>
          </w:tcPr>
          <w:p>
            <w:pPr>
              <w:ind w:left="320"/>
              <w:spacing w:after="0"/>
              <w:rPr>
                <w:sz w:val="20"/>
                <w:szCs w:val="20"/>
                <w:color w:val="auto"/>
              </w:rPr>
            </w:pPr>
            <w:r>
              <w:rPr>
                <w:rFonts w:ascii="Arial" w:cs="Arial" w:eastAsia="Arial" w:hAnsi="Arial"/>
                <w:sz w:val="18"/>
                <w:szCs w:val="18"/>
                <w:color w:val="auto"/>
                <w:w w:val="96"/>
              </w:rPr>
              <w:t>Not Independen</w:t>
            </w:r>
          </w:p>
        </w:tc>
        <w:tc>
          <w:tcPr>
            <w:tcW w:w="0" w:type="dxa"/>
            <w:vAlign w:val="bottom"/>
          </w:tcPr>
          <w:p>
            <w:pPr>
              <w:spacing w:after="0"/>
              <w:rPr>
                <w:sz w:val="1"/>
                <w:szCs w:val="1"/>
                <w:color w:val="auto"/>
              </w:rPr>
            </w:pPr>
          </w:p>
        </w:tc>
      </w:tr>
      <w:tr>
        <w:trPr>
          <w:trHeight w:val="332"/>
        </w:trPr>
        <w:tc>
          <w:tcPr>
            <w:tcW w:w="4580" w:type="dxa"/>
            <w:vAlign w:val="bottom"/>
          </w:tcPr>
          <w:p>
            <w:pPr>
              <w:spacing w:after="0"/>
              <w:rPr>
                <w:sz w:val="24"/>
                <w:szCs w:val="24"/>
                <w:color w:val="auto"/>
              </w:rPr>
            </w:pPr>
          </w:p>
        </w:tc>
        <w:tc>
          <w:tcPr>
            <w:tcW w:w="3400" w:type="dxa"/>
            <w:vAlign w:val="bottom"/>
          </w:tcPr>
          <w:p>
            <w:pPr>
              <w:jc w:val="center"/>
              <w:ind w:left="230"/>
              <w:spacing w:after="0"/>
              <w:rPr>
                <w:sz w:val="20"/>
                <w:szCs w:val="20"/>
                <w:color w:val="auto"/>
              </w:rPr>
            </w:pPr>
            <w:r>
              <w:rPr>
                <w:rFonts w:ascii="Arial" w:cs="Arial" w:eastAsia="Arial" w:hAnsi="Arial"/>
                <w:sz w:val="18"/>
                <w:szCs w:val="18"/>
                <w:color w:val="auto"/>
                <w:w w:val="99"/>
              </w:rPr>
              <w:t>Monica Moretto</w:t>
            </w:r>
          </w:p>
        </w:tc>
        <w:tc>
          <w:tcPr>
            <w:tcW w:w="1580" w:type="dxa"/>
            <w:vAlign w:val="bottom"/>
          </w:tcPr>
          <w:p>
            <w:pPr>
              <w:jc w:val="center"/>
              <w:ind w:left="290"/>
              <w:spacing w:after="0"/>
              <w:rPr>
                <w:sz w:val="20"/>
                <w:szCs w:val="20"/>
                <w:color w:val="auto"/>
              </w:rPr>
            </w:pPr>
            <w:r>
              <w:rPr>
                <w:rFonts w:ascii="Arial" w:cs="Arial" w:eastAsia="Arial" w:hAnsi="Arial"/>
                <w:sz w:val="18"/>
                <w:szCs w:val="18"/>
                <w:color w:val="auto"/>
                <w:w w:val="99"/>
              </w:rPr>
              <w:t>Independent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-1529080</wp:posOffset>
            </wp:positionV>
            <wp:extent cx="6078220" cy="63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7">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-834390</wp:posOffset>
            </wp:positionV>
            <wp:extent cx="6078220" cy="91122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48">
                      <a:extLst>
                        <a:ext uri="{28A0092B-C50C-407E-A947-70E740481C1C}"/>
                      </a:extLst>
                    </a:blip>
                    <a:srcRect/>
                    <a:stretch>
                      <a:fillRect/>
                    </a:stretch>
                  </pic:blipFill>
                  <pic:spPr bwMode="auto">
                    <a:xfrm>
                      <a:off x="0" y="0"/>
                      <a:ext cx="6078220" cy="91122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Audit and Risk Committee</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Audit and Risk Committee assists the Board in its oversight functions as they relate to the integrity o financial statements and financial reporting, accounting processes, internal controls, and matters conce independent External Auditors, including direct communication with External Auditors.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committee’s primary areas of responsibility include:</w:t>
      </w:r>
    </w:p>
    <w:p>
      <w:pPr>
        <w:spacing w:after="0" w:line="243" w:lineRule="exact"/>
        <w:rPr>
          <w:sz w:val="20"/>
          <w:szCs w:val="20"/>
          <w:color w:val="auto"/>
        </w:rPr>
      </w:pPr>
    </w:p>
    <w:p>
      <w:pPr>
        <w:ind w:left="1620" w:hanging="366"/>
        <w:spacing w:after="0" w:line="368" w:lineRule="auto"/>
        <w:tabs>
          <w:tab w:leader="none" w:pos="162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Overseeing the integrity of the Company’s financial statements and reviewing the Company’s fina disclosure and reporting;</w:t>
      </w:r>
    </w:p>
    <w:p>
      <w:pPr>
        <w:spacing w:after="0" w:line="134"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Overseeing the integrity and performance of the Company’s internal audit processes, including internal audit function;</w:t>
      </w:r>
    </w:p>
    <w:p>
      <w:pPr>
        <w:spacing w:after="0" w:line="127" w:lineRule="exact"/>
        <w:rPr>
          <w:rFonts w:ascii="Arial" w:cs="Arial" w:eastAsia="Arial" w:hAnsi="Arial"/>
          <w:sz w:val="20"/>
          <w:szCs w:val="20"/>
          <w:color w:val="auto"/>
        </w:rPr>
      </w:pPr>
    </w:p>
    <w:p>
      <w:pPr>
        <w:ind w:left="1620" w:hanging="366"/>
        <w:spacing w:after="0"/>
        <w:tabs>
          <w:tab w:leader="none" w:pos="162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Monitoring the qualifications, independence and performance of the Company’s External Auditors;</w:t>
      </w:r>
    </w:p>
    <w:p>
      <w:pPr>
        <w:spacing w:after="0" w:line="257"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Reviewing the integrity and effectiveness of the Company’s systems of internal controls for reportin the Company’s financial condition;</w:t>
      </w:r>
    </w:p>
    <w:p>
      <w:pPr>
        <w:spacing w:after="0" w:line="134"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Monitoring Management’s compliance with legal and regulatory requirements as it relates to financia reporting matters; and</w:t>
      </w:r>
    </w:p>
    <w:p>
      <w:pPr>
        <w:spacing w:after="0" w:line="127" w:lineRule="exact"/>
        <w:rPr>
          <w:rFonts w:ascii="Arial" w:cs="Arial" w:eastAsia="Arial" w:hAnsi="Arial"/>
          <w:sz w:val="20"/>
          <w:szCs w:val="20"/>
          <w:color w:val="auto"/>
        </w:rPr>
      </w:pPr>
    </w:p>
    <w:p>
      <w:pPr>
        <w:ind w:left="1620" w:hanging="366"/>
        <w:spacing w:after="0"/>
        <w:tabs>
          <w:tab w:leader="none" w:pos="162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Overseeing certain risk management systems and practices adopted by the Company.</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8 / 139</w:t>
      </w:r>
    </w:p>
    <w:p>
      <w:pPr>
        <w:sectPr>
          <w:pgSz w:w="11900" w:h="16838" w:orient="portrait"/>
          <w:cols w:equalWidth="0" w:num="1">
            <w:col w:w="10460"/>
          </w:cols>
          <w:pgMar w:left="1440" w:top="1440" w:right="6" w:bottom="0" w:gutter="0" w:footer="0" w:header="0"/>
          <w:type w:val="continuous"/>
        </w:sectPr>
      </w:pPr>
    </w:p>
    <w:bookmarkStart w:id="237" w:name="page238"/>
    <w:bookmarkEnd w:id="237"/>
    <w:p>
      <w:pPr>
        <w:jc w:val="both"/>
        <w:ind w:left="900"/>
        <w:spacing w:after="0" w:line="312" w:lineRule="auto"/>
        <w:rPr>
          <w:sz w:val="20"/>
          <w:szCs w:val="20"/>
          <w:color w:val="auto"/>
        </w:rPr>
      </w:pPr>
      <w:r>
        <w:rPr>
          <w:rFonts w:ascii="Arial" w:cs="Arial" w:eastAsia="Arial" w:hAnsi="Arial"/>
          <w:sz w:val="20"/>
          <w:szCs w:val="20"/>
          <w:color w:val="auto"/>
        </w:rPr>
        <w:t>All members of the Audit and Risk Committee are financially literate, and two members are designate financial experts, being Robert Doyle and Calum Morrison. “Financially literate” means they have the abil read and understand a company’s financial statements of a similar level of extent and complexity as ca expected of the financial reporting by the Company.</w:t>
      </w:r>
    </w:p>
    <w:p>
      <w:pPr>
        <w:spacing w:after="0" w:line="212"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Based on their business and educational experiences, each Audit and Risk Committee member has a reaso understanding of the accounting principles used by the Company; an ability to assess the general applicati such principles in connection with the accounting for estimates, accruals and reserves; experience prepa auditing, analyzing or evaluating financial statements that present a breadth and level of complexity of issue can reasonably be expected to be raised by the Company’s financial statements, or experience act supervising one or more individuals engaged in such activities; and an understanding of internal controls procedures for financial reporting. All members of the Audit and Risk Committee have had several yea experience in senior executive roles or as board members of significant business enterprises in which assumed substantial financial and operational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1087120</wp:posOffset>
            </wp:positionV>
            <wp:extent cx="6764020" cy="190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4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9 / 139</w:t>
      </w:r>
    </w:p>
    <w:p>
      <w:pPr>
        <w:sectPr>
          <w:pgSz w:w="11900" w:h="16838" w:orient="portrait"/>
          <w:cols w:equalWidth="0" w:num="1">
            <w:col w:w="10460"/>
          </w:cols>
          <w:pgMar w:left="1440" w:top="1172" w:right="6" w:bottom="0" w:gutter="0" w:footer="0" w:header="0"/>
          <w:type w:val="continuous"/>
        </w:sectPr>
      </w:pPr>
    </w:p>
    <w:bookmarkStart w:id="238" w:name="page239"/>
    <w:bookmarkEnd w:id="2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Audit and Risk Committee’s charter is available at the Company’s website: www.lithium-argentina.com.</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Sustainable Development Committee</w:t>
      </w:r>
    </w:p>
    <w:p>
      <w:pPr>
        <w:spacing w:after="0" w:line="272" w:lineRule="exact"/>
        <w:rPr>
          <w:sz w:val="20"/>
          <w:szCs w:val="20"/>
          <w:color w:val="auto"/>
        </w:rPr>
      </w:pPr>
    </w:p>
    <w:p>
      <w:pPr>
        <w:jc w:val="center"/>
        <w:ind w:left="1520"/>
        <w:spacing w:after="0"/>
        <w:rPr>
          <w:sz w:val="20"/>
          <w:szCs w:val="20"/>
          <w:color w:val="auto"/>
        </w:rPr>
      </w:pPr>
      <w:r>
        <w:rPr>
          <w:rFonts w:ascii="Arial" w:cs="Arial" w:eastAsia="Arial" w:hAnsi="Arial"/>
          <w:sz w:val="20"/>
          <w:szCs w:val="20"/>
          <w:color w:val="auto"/>
        </w:rPr>
        <w:t>The Sustainable Development Committee assists the Board with oversight of the following matters:</w:t>
      </w:r>
    </w:p>
    <w:p>
      <w:pPr>
        <w:spacing w:after="0" w:line="243" w:lineRule="exact"/>
        <w:rPr>
          <w:sz w:val="20"/>
          <w:szCs w:val="20"/>
          <w:color w:val="auto"/>
        </w:rPr>
      </w:pPr>
    </w:p>
    <w:p>
      <w:pPr>
        <w:ind w:left="1620" w:hanging="366"/>
        <w:spacing w:after="0" w:line="368" w:lineRule="auto"/>
        <w:tabs>
          <w:tab w:leader="none" w:pos="162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review and reporting to the Board on corporate policies, procedures and practices with respe managing the risks and opportunities associated with:</w:t>
      </w:r>
    </w:p>
    <w:p>
      <w:pPr>
        <w:spacing w:after="0" w:line="127" w:lineRule="exact"/>
        <w:rPr>
          <w:rFonts w:ascii="Arial" w:cs="Arial" w:eastAsia="Arial" w:hAnsi="Arial"/>
          <w:sz w:val="20"/>
          <w:szCs w:val="20"/>
          <w:color w:val="auto"/>
        </w:rPr>
      </w:pPr>
    </w:p>
    <w:p>
      <w:pPr>
        <w:ind w:left="1620"/>
        <w:spacing w:after="0"/>
        <w:rPr>
          <w:rFonts w:ascii="Arial" w:cs="Arial" w:eastAsia="Arial" w:hAnsi="Arial"/>
          <w:sz w:val="20"/>
          <w:szCs w:val="20"/>
          <w:color w:val="auto"/>
        </w:rPr>
      </w:pPr>
      <w:r>
        <w:rPr>
          <w:rFonts w:ascii="Arial" w:cs="Arial" w:eastAsia="Arial" w:hAnsi="Arial"/>
          <w:sz w:val="20"/>
          <w:szCs w:val="20"/>
          <w:color w:val="auto"/>
        </w:rPr>
        <w:t>o    Health and safety;</w:t>
      </w:r>
    </w:p>
    <w:p>
      <w:pPr>
        <w:spacing w:after="0" w:line="257" w:lineRule="exact"/>
        <w:rPr>
          <w:rFonts w:ascii="Arial" w:cs="Arial" w:eastAsia="Arial" w:hAnsi="Arial"/>
          <w:sz w:val="20"/>
          <w:szCs w:val="20"/>
          <w:color w:val="auto"/>
        </w:rPr>
      </w:pPr>
    </w:p>
    <w:p>
      <w:pPr>
        <w:ind w:left="1980" w:hanging="360"/>
        <w:spacing w:after="0" w:line="368" w:lineRule="auto"/>
        <w:rPr>
          <w:rFonts w:ascii="Arial" w:cs="Arial" w:eastAsia="Arial" w:hAnsi="Arial"/>
          <w:sz w:val="20"/>
          <w:szCs w:val="20"/>
          <w:color w:val="auto"/>
        </w:rPr>
      </w:pPr>
      <w:r>
        <w:rPr>
          <w:rFonts w:ascii="Arial" w:cs="Arial" w:eastAsia="Arial" w:hAnsi="Arial"/>
          <w:sz w:val="20"/>
          <w:szCs w:val="20"/>
          <w:color w:val="auto"/>
        </w:rPr>
        <w:t>o Environmental matters including water, waste, biodiversity, reclamation, closure, carbon emiss air quality management and responsible production;</w:t>
      </w:r>
    </w:p>
    <w:p>
      <w:pPr>
        <w:spacing w:after="0" w:line="134" w:lineRule="exact"/>
        <w:rPr>
          <w:rFonts w:ascii="Arial" w:cs="Arial" w:eastAsia="Arial" w:hAnsi="Arial"/>
          <w:sz w:val="20"/>
          <w:szCs w:val="20"/>
          <w:color w:val="auto"/>
        </w:rPr>
      </w:pPr>
    </w:p>
    <w:p>
      <w:pPr>
        <w:ind w:left="1980" w:hanging="360"/>
        <w:spacing w:after="0" w:line="372" w:lineRule="auto"/>
        <w:rPr>
          <w:rFonts w:ascii="Arial" w:cs="Arial" w:eastAsia="Arial" w:hAnsi="Arial"/>
          <w:sz w:val="20"/>
          <w:szCs w:val="20"/>
          <w:color w:val="auto"/>
        </w:rPr>
      </w:pPr>
      <w:r>
        <w:rPr>
          <w:rFonts w:ascii="Arial" w:cs="Arial" w:eastAsia="Arial" w:hAnsi="Arial"/>
          <w:sz w:val="20"/>
          <w:szCs w:val="20"/>
          <w:color w:val="auto"/>
        </w:rPr>
        <w:t>o Social engagement and social responsibilities including but not limited to interactions with communities, governments, Indigenous communities, academic institutions, and industry, policy advocacy groups; and</w:t>
      </w:r>
    </w:p>
    <w:p>
      <w:pPr>
        <w:spacing w:after="0" w:line="130" w:lineRule="exact"/>
        <w:rPr>
          <w:rFonts w:ascii="Arial" w:cs="Arial" w:eastAsia="Arial" w:hAnsi="Arial"/>
          <w:sz w:val="20"/>
          <w:szCs w:val="20"/>
          <w:color w:val="auto"/>
        </w:rPr>
      </w:pPr>
    </w:p>
    <w:p>
      <w:pPr>
        <w:ind w:left="1980" w:hanging="360"/>
        <w:spacing w:after="0" w:line="368" w:lineRule="auto"/>
        <w:rPr>
          <w:rFonts w:ascii="Arial" w:cs="Arial" w:eastAsia="Arial" w:hAnsi="Arial"/>
          <w:sz w:val="20"/>
          <w:szCs w:val="20"/>
          <w:color w:val="auto"/>
        </w:rPr>
      </w:pPr>
      <w:r>
        <w:rPr>
          <w:rFonts w:ascii="Arial" w:cs="Arial" w:eastAsia="Arial" w:hAnsi="Arial"/>
          <w:sz w:val="20"/>
          <w:szCs w:val="20"/>
          <w:color w:val="auto"/>
        </w:rPr>
        <w:t>o Sustainable development and business practices as they relate to environmental, safety, s responsibility and related matters in the conduct of the Company’s activities;</w:t>
      </w:r>
    </w:p>
    <w:p>
      <w:pPr>
        <w:spacing w:after="0" w:line="134" w:lineRule="exact"/>
        <w:rPr>
          <w:rFonts w:ascii="Arial" w:cs="Arial" w:eastAsia="Arial" w:hAnsi="Arial"/>
          <w:sz w:val="20"/>
          <w:szCs w:val="20"/>
          <w:color w:val="auto"/>
        </w:rPr>
      </w:pPr>
    </w:p>
    <w:p>
      <w:pPr>
        <w:ind w:left="1620" w:right="20" w:hanging="366"/>
        <w:spacing w:after="0" w:line="368" w:lineRule="auto"/>
        <w:tabs>
          <w:tab w:leader="none" w:pos="162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review and monitoring of Company’s sustainability reporting, as well as the Company’s align and audits against sustainability.</w:t>
      </w:r>
    </w:p>
    <w:p>
      <w:pPr>
        <w:spacing w:after="0" w:line="171"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proper care of the environment and the health and safety of our workforce is integral to our organization the communities in which it operates. Accordingly, Lithium Argentina and its subsidiaries conduct operations a focus on sustainability, and protecting and minimizing impacts to our local communities, the environmen wildlife to the extent possible. Our commitment extends to, among other things:</w:t>
      </w:r>
    </w:p>
    <w:p>
      <w:pPr>
        <w:spacing w:after="0" w:line="175" w:lineRule="exact"/>
        <w:rPr>
          <w:sz w:val="20"/>
          <w:szCs w:val="20"/>
          <w:color w:val="auto"/>
        </w:rPr>
      </w:pPr>
    </w:p>
    <w:p>
      <w:pPr>
        <w:jc w:val="both"/>
        <w:ind w:left="1620" w:right="20" w:hanging="366"/>
        <w:spacing w:after="0" w:line="372" w:lineRule="auto"/>
        <w:tabs>
          <w:tab w:leader="none" w:pos="16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Complying with the standards set by the applicable environmental laws and regulations of the cou and regions in which we operate, and additional environmental standards and practices that voluntarily adopted by the Company;</w:t>
      </w:r>
    </w:p>
    <w:p>
      <w:pPr>
        <w:spacing w:after="0" w:line="130"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Exploring, designing, constructing, operating and planning for closures of mining and proces operations by utilizing effective and proven practices that minimize adverse environmental impacts;</w:t>
      </w:r>
    </w:p>
    <w:p>
      <w:pPr>
        <w:spacing w:after="0" w:line="134"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Educating employees regarding environmental matters, promoting employee participation in identi opportunities to minimize environmental impacts, and asking that our employees behave in a ma which recognizes the Company’s social responsibility;</w:t>
      </w:r>
    </w:p>
    <w:p>
      <w:pPr>
        <w:spacing w:after="0" w:line="130"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Conducting regular reviews and reporting findings to management and the Board in respec environmental, sustainability, health, safety and community relations matters; and</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10 / 139</w:t>
      </w:r>
    </w:p>
    <w:p>
      <w:pPr>
        <w:sectPr>
          <w:pgSz w:w="11900" w:h="16838" w:orient="portrait"/>
          <w:cols w:equalWidth="0" w:num="1">
            <w:col w:w="10460"/>
          </w:cols>
          <w:pgMar w:left="1440" w:top="1440" w:right="6" w:bottom="0" w:gutter="0" w:footer="0" w:header="0"/>
          <w:type w:val="continuous"/>
        </w:sectPr>
      </w:pPr>
    </w:p>
    <w:bookmarkStart w:id="239" w:name="page240"/>
    <w:bookmarkEnd w:id="239"/>
    <w:p>
      <w:pPr>
        <w:jc w:val="both"/>
        <w:ind w:left="1620" w:right="20" w:hanging="366"/>
        <w:spacing w:after="0" w:line="372" w:lineRule="auto"/>
        <w:tabs>
          <w:tab w:leader="none" w:pos="162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Striving to continually improve our environmental performance by designing and developing operations to minimize environmental impacts through initiatives like carbon footprint reduction tailings waste management, and other mitigation measures.</w:t>
      </w:r>
    </w:p>
    <w:p>
      <w:pPr>
        <w:spacing w:after="0" w:line="167"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The Sustainable Development Committee charter is available at the Company’s website: www.lit argentina.com.</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Governance, Nomination, Compensation and Leadership Committee</w:t>
      </w:r>
    </w:p>
    <w:p>
      <w:pPr>
        <w:spacing w:after="0" w:line="279" w:lineRule="exact"/>
        <w:rPr>
          <w:sz w:val="20"/>
          <w:szCs w:val="20"/>
          <w:color w:val="auto"/>
        </w:rPr>
      </w:pPr>
    </w:p>
    <w:p>
      <w:pPr>
        <w:ind w:left="900" w:right="40"/>
        <w:spacing w:after="0" w:line="307" w:lineRule="auto"/>
        <w:rPr>
          <w:sz w:val="20"/>
          <w:szCs w:val="20"/>
          <w:color w:val="auto"/>
        </w:rPr>
      </w:pPr>
      <w:r>
        <w:rPr>
          <w:rFonts w:ascii="Arial" w:cs="Arial" w:eastAsia="Arial" w:hAnsi="Arial"/>
          <w:sz w:val="20"/>
          <w:szCs w:val="20"/>
          <w:color w:val="auto"/>
        </w:rPr>
        <w:t>The Governance, Nomination, Compensation and Leadership Committee has a written charter setting o responsibilities. Generally, the committee assists the Board with oversight of the following matters:</w:t>
      </w:r>
    </w:p>
    <w:p>
      <w:pPr>
        <w:spacing w:after="0" w:line="179" w:lineRule="exact"/>
        <w:rPr>
          <w:sz w:val="20"/>
          <w:szCs w:val="20"/>
          <w:color w:val="auto"/>
        </w:rPr>
      </w:pPr>
    </w:p>
    <w:p>
      <w:pPr>
        <w:ind w:left="1620" w:right="40" w:hanging="366"/>
        <w:spacing w:after="0" w:line="368" w:lineRule="auto"/>
        <w:tabs>
          <w:tab w:leader="none" w:pos="162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Identifying individuals qualified to become Board and Board committee members and recommendin the Board select director nominees for appointment or election to the Board;</w:t>
      </w:r>
    </w:p>
    <w:p>
      <w:pPr>
        <w:spacing w:after="0" w:line="134" w:lineRule="exact"/>
        <w:rPr>
          <w:rFonts w:ascii="Arial" w:cs="Arial" w:eastAsia="Arial" w:hAnsi="Arial"/>
          <w:sz w:val="20"/>
          <w:szCs w:val="20"/>
          <w:color w:val="auto"/>
        </w:rPr>
      </w:pPr>
    </w:p>
    <w:p>
      <w:pPr>
        <w:ind w:left="1620" w:right="20" w:hanging="366"/>
        <w:spacing w:after="0" w:line="368" w:lineRule="auto"/>
        <w:tabs>
          <w:tab w:leader="none" w:pos="162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Developing and recommending corporate governance guidelines and practices for the Company t Board to consider;</w:t>
      </w:r>
    </w:p>
    <w:p>
      <w:pPr>
        <w:spacing w:after="0" w:line="127" w:lineRule="exact"/>
        <w:rPr>
          <w:rFonts w:ascii="Arial" w:cs="Arial" w:eastAsia="Arial" w:hAnsi="Arial"/>
          <w:sz w:val="20"/>
          <w:szCs w:val="20"/>
          <w:color w:val="auto"/>
        </w:rPr>
      </w:pPr>
    </w:p>
    <w:p>
      <w:pPr>
        <w:ind w:left="1620" w:hanging="366"/>
        <w:spacing w:after="0"/>
        <w:tabs>
          <w:tab w:leader="none" w:pos="162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Reviewing executive management development and succession planning for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1141095</wp:posOffset>
            </wp:positionV>
            <wp:extent cx="6764020" cy="190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33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11 / 139</w:t>
      </w:r>
    </w:p>
    <w:p>
      <w:pPr>
        <w:sectPr>
          <w:pgSz w:w="11900" w:h="16838" w:orient="portrait"/>
          <w:cols w:equalWidth="0" w:num="1">
            <w:col w:w="10460"/>
          </w:cols>
          <w:pgMar w:left="1440" w:top="1335" w:right="6" w:bottom="0" w:gutter="0" w:footer="0" w:header="0"/>
          <w:type w:val="continuous"/>
        </w:sectPr>
      </w:pPr>
    </w:p>
    <w:bookmarkStart w:id="240" w:name="page241"/>
    <w:bookmarkEnd w:id="2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20" w:hanging="366"/>
        <w:spacing w:after="0" w:line="368" w:lineRule="auto"/>
        <w:tabs>
          <w:tab w:leader="none" w:pos="162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Board’s responsibilities relating to compensation and benefits of the executive management directors of the Company; and</w:t>
      </w:r>
    </w:p>
    <w:p>
      <w:pPr>
        <w:spacing w:after="0" w:line="127" w:lineRule="exact"/>
        <w:rPr>
          <w:rFonts w:ascii="Arial" w:cs="Arial" w:eastAsia="Arial" w:hAnsi="Arial"/>
          <w:sz w:val="20"/>
          <w:szCs w:val="20"/>
          <w:color w:val="auto"/>
        </w:rPr>
      </w:pPr>
    </w:p>
    <w:p>
      <w:pPr>
        <w:ind w:left="1620" w:hanging="366"/>
        <w:spacing w:after="0"/>
        <w:tabs>
          <w:tab w:leader="none" w:pos="162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Developing and overseeing the Company management’s compensation policies and programs.</w:t>
      </w:r>
    </w:p>
    <w:p>
      <w:pPr>
        <w:spacing w:after="0" w:line="293"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committee reviews and makes recommendations to the Board with respect to committee and B composition, along with the overall compensation strategy, the equity incentive plan, salaries and benefits, succession planning of our executive officers that may address retirement, termination of employment or sp circumstances. Committee oversight also extends to setting annual corporate goals and objectives for Company, which in turn form the basis for performance evaluations for our senior management. The comm also determines performance-based awards for the CEO and Executive Chair based on their annual perform reviews.</w:t>
      </w:r>
    </w:p>
    <w:p>
      <w:pPr>
        <w:spacing w:after="0" w:line="214"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All members of this committee have the skills and experience necessary to oversee compensation matters b on their prior management roles with public and private companies.</w:t>
      </w:r>
    </w:p>
    <w:p>
      <w:pPr>
        <w:spacing w:after="0" w:line="215" w:lineRule="exact"/>
        <w:rPr>
          <w:sz w:val="20"/>
          <w:szCs w:val="20"/>
          <w:color w:val="auto"/>
        </w:rPr>
      </w:pPr>
    </w:p>
    <w:p>
      <w:pPr>
        <w:ind w:left="900" w:right="20"/>
        <w:spacing w:after="0" w:line="307" w:lineRule="auto"/>
        <w:rPr>
          <w:sz w:val="20"/>
          <w:szCs w:val="20"/>
          <w:color w:val="auto"/>
        </w:rPr>
      </w:pPr>
      <w:r>
        <w:rPr>
          <w:rFonts w:ascii="Arial" w:cs="Arial" w:eastAsia="Arial" w:hAnsi="Arial"/>
          <w:sz w:val="20"/>
          <w:szCs w:val="20"/>
          <w:color w:val="auto"/>
        </w:rPr>
        <w:t>The Governance, Nomination, Compensation and Leadership Committee charter is available at the Comp website: www.lithium-argentina.com.</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D. Employees</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As at December 31, 2025, the Company had 60 employees, of which 21 employees are assigned to opera and 22corporate employees were based in Argentina, 11 corporate employees were based in Canada, Portugal, 2 in Switzerland and 3 corporate employees were based in the US. The Company has administr offices in Vancouver, Canada and Buenos Aires and Salta, Argentina, and its corporate headquarters is loca Switzerland.</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following table sets forth the number of employees we had at the end of each fiscal period:</w:t>
      </w:r>
    </w:p>
    <w:p>
      <w:pPr>
        <w:spacing w:after="0" w:line="372" w:lineRule="exact"/>
        <w:rPr>
          <w:sz w:val="20"/>
          <w:szCs w:val="20"/>
          <w:color w:val="auto"/>
        </w:rPr>
      </w:pPr>
    </w:p>
    <w:tbl>
      <w:tblPr>
        <w:tblLayout w:type="fixed"/>
        <w:tblInd w:w="900" w:type="dxa"/>
        <w:tblCellMar>
          <w:top w:w="0" w:type="dxa"/>
          <w:left w:w="0" w:type="dxa"/>
          <w:bottom w:w="0" w:type="dxa"/>
          <w:right w:w="0" w:type="dxa"/>
        </w:tblCellMar>
      </w:tblPr>
      <w:tr>
        <w:trPr>
          <w:trHeight w:val="266"/>
        </w:trPr>
        <w:tc>
          <w:tcPr>
            <w:tcW w:w="4000" w:type="dxa"/>
            <w:vAlign w:val="bottom"/>
            <w:tcBorders>
              <w:bottom w:val="single" w:sz="8" w:color="153A57"/>
            </w:tcBorders>
            <w:shd w:val="clear" w:color="auto" w:fill="153A57"/>
          </w:tcPr>
          <w:p>
            <w:pPr>
              <w:ind w:left="100"/>
              <w:spacing w:after="0"/>
              <w:rPr>
                <w:sz w:val="20"/>
                <w:szCs w:val="20"/>
                <w:color w:val="auto"/>
              </w:rPr>
            </w:pPr>
            <w:r>
              <w:rPr>
                <w:rFonts w:ascii="Arial" w:cs="Arial" w:eastAsia="Arial" w:hAnsi="Arial"/>
                <w:sz w:val="18"/>
                <w:szCs w:val="18"/>
                <w:b w:val="1"/>
                <w:bCs w:val="1"/>
                <w:color w:val="FFFFFF"/>
              </w:rPr>
              <w:t>Year</w:t>
            </w:r>
          </w:p>
        </w:tc>
        <w:tc>
          <w:tcPr>
            <w:tcW w:w="3380" w:type="dxa"/>
            <w:vAlign w:val="bottom"/>
            <w:tcBorders>
              <w:bottom w:val="single" w:sz="8" w:color="153A57"/>
            </w:tcBorders>
            <w:shd w:val="clear" w:color="auto" w:fill="153A57"/>
          </w:tcPr>
          <w:p>
            <w:pPr>
              <w:ind w:left="2320"/>
              <w:spacing w:after="0"/>
              <w:rPr>
                <w:sz w:val="20"/>
                <w:szCs w:val="20"/>
                <w:color w:val="auto"/>
              </w:rPr>
            </w:pPr>
            <w:r>
              <w:rPr>
                <w:rFonts w:ascii="Arial" w:cs="Arial" w:eastAsia="Arial" w:hAnsi="Arial"/>
                <w:sz w:val="18"/>
                <w:szCs w:val="18"/>
                <w:b w:val="1"/>
                <w:bCs w:val="1"/>
                <w:color w:val="FFFFFF"/>
              </w:rPr>
              <w:t>Full Time</w:t>
            </w:r>
          </w:p>
        </w:tc>
        <w:tc>
          <w:tcPr>
            <w:tcW w:w="1440" w:type="dxa"/>
            <w:vAlign w:val="bottom"/>
            <w:tcBorders>
              <w:bottom w:val="single" w:sz="8" w:color="153A57"/>
            </w:tcBorders>
            <w:shd w:val="clear" w:color="auto" w:fill="153A57"/>
          </w:tcPr>
          <w:p>
            <w:pPr>
              <w:jc w:val="center"/>
              <w:ind w:right="10"/>
              <w:spacing w:after="0"/>
              <w:rPr>
                <w:sz w:val="20"/>
                <w:szCs w:val="20"/>
                <w:color w:val="auto"/>
              </w:rPr>
            </w:pPr>
            <w:r>
              <w:rPr>
                <w:rFonts w:ascii="Arial" w:cs="Arial" w:eastAsia="Arial" w:hAnsi="Arial"/>
                <w:sz w:val="18"/>
                <w:szCs w:val="18"/>
                <w:b w:val="1"/>
                <w:bCs w:val="1"/>
                <w:color w:val="FFFFFF"/>
                <w:w w:val="99"/>
              </w:rPr>
              <w:t>Part Time</w:t>
            </w:r>
          </w:p>
        </w:tc>
        <w:tc>
          <w:tcPr>
            <w:tcW w:w="740" w:type="dxa"/>
            <w:vAlign w:val="bottom"/>
            <w:tcBorders>
              <w:bottom w:val="single" w:sz="8" w:color="153A57"/>
            </w:tcBorders>
            <w:shd w:val="clear" w:color="auto" w:fill="153A57"/>
          </w:tcPr>
          <w:p>
            <w:pPr>
              <w:ind w:left="360"/>
              <w:spacing w:after="0"/>
              <w:rPr>
                <w:sz w:val="20"/>
                <w:szCs w:val="20"/>
                <w:color w:val="auto"/>
              </w:rPr>
            </w:pPr>
            <w:r>
              <w:rPr>
                <w:rFonts w:ascii="Arial" w:cs="Arial" w:eastAsia="Arial" w:hAnsi="Arial"/>
                <w:sz w:val="18"/>
                <w:szCs w:val="18"/>
                <w:b w:val="1"/>
                <w:bCs w:val="1"/>
                <w:color w:val="FFFFFF"/>
                <w:w w:val="94"/>
              </w:rPr>
              <w:t>Tota</w:t>
            </w:r>
          </w:p>
        </w:tc>
      </w:tr>
      <w:tr>
        <w:trPr>
          <w:trHeight w:val="536"/>
        </w:trPr>
        <w:tc>
          <w:tcPr>
            <w:tcW w:w="4000" w:type="dxa"/>
            <w:vAlign w:val="bottom"/>
          </w:tcPr>
          <w:p>
            <w:pPr>
              <w:ind w:left="100"/>
              <w:spacing w:after="0"/>
              <w:rPr>
                <w:sz w:val="20"/>
                <w:szCs w:val="20"/>
                <w:color w:val="auto"/>
              </w:rPr>
            </w:pPr>
            <w:r>
              <w:rPr>
                <w:rFonts w:ascii="Arial" w:cs="Arial" w:eastAsia="Arial" w:hAnsi="Arial"/>
                <w:sz w:val="18"/>
                <w:szCs w:val="18"/>
                <w:color w:val="auto"/>
              </w:rPr>
              <w:t>December 31, 2023</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99"/>
              </w:rPr>
              <w:t>144</w:t>
            </w:r>
          </w:p>
        </w:tc>
        <w:tc>
          <w:tcPr>
            <w:tcW w:w="1440" w:type="dxa"/>
            <w:vAlign w:val="bottom"/>
          </w:tcPr>
          <w:p>
            <w:pPr>
              <w:jc w:val="center"/>
              <w:ind w:right="10"/>
              <w:spacing w:after="0"/>
              <w:rPr>
                <w:sz w:val="20"/>
                <w:szCs w:val="20"/>
                <w:color w:val="auto"/>
              </w:rPr>
            </w:pPr>
            <w:r>
              <w:rPr>
                <w:rFonts w:ascii="Arial" w:cs="Arial" w:eastAsia="Arial" w:hAnsi="Arial"/>
                <w:sz w:val="18"/>
                <w:szCs w:val="18"/>
                <w:color w:val="auto"/>
                <w:w w:val="99"/>
              </w:rPr>
              <w:t>1</w:t>
            </w:r>
          </w:p>
        </w:tc>
        <w:tc>
          <w:tcPr>
            <w:tcW w:w="740" w:type="dxa"/>
            <w:vAlign w:val="bottom"/>
          </w:tcPr>
          <w:p>
            <w:pPr>
              <w:jc w:val="center"/>
              <w:ind w:left="310"/>
              <w:spacing w:after="0"/>
              <w:rPr>
                <w:sz w:val="20"/>
                <w:szCs w:val="20"/>
                <w:color w:val="auto"/>
              </w:rPr>
            </w:pPr>
            <w:r>
              <w:rPr>
                <w:rFonts w:ascii="Arial" w:cs="Arial" w:eastAsia="Arial" w:hAnsi="Arial"/>
                <w:sz w:val="18"/>
                <w:szCs w:val="18"/>
                <w:color w:val="auto"/>
                <w:w w:val="99"/>
              </w:rPr>
              <w:t>145</w:t>
            </w:r>
          </w:p>
        </w:tc>
      </w:tr>
      <w:tr>
        <w:trPr>
          <w:trHeight w:val="296"/>
        </w:trPr>
        <w:tc>
          <w:tcPr>
            <w:tcW w:w="4000" w:type="dxa"/>
            <w:vAlign w:val="bottom"/>
          </w:tcPr>
          <w:p>
            <w:pPr>
              <w:ind w:left="100"/>
              <w:spacing w:after="0"/>
              <w:rPr>
                <w:sz w:val="20"/>
                <w:szCs w:val="20"/>
                <w:color w:val="auto"/>
              </w:rPr>
            </w:pPr>
            <w:r>
              <w:rPr>
                <w:rFonts w:ascii="Arial" w:cs="Arial" w:eastAsia="Arial" w:hAnsi="Arial"/>
                <w:sz w:val="18"/>
                <w:szCs w:val="18"/>
                <w:color w:val="auto"/>
              </w:rPr>
              <w:t>December 31, 2024</w:t>
            </w:r>
          </w:p>
        </w:tc>
        <w:tc>
          <w:tcPr>
            <w:tcW w:w="3380" w:type="dxa"/>
            <w:vAlign w:val="bottom"/>
          </w:tcPr>
          <w:p>
            <w:pPr>
              <w:jc w:val="center"/>
              <w:ind w:left="1930"/>
              <w:spacing w:after="0"/>
              <w:rPr>
                <w:sz w:val="20"/>
                <w:szCs w:val="20"/>
                <w:color w:val="auto"/>
              </w:rPr>
            </w:pPr>
            <w:r>
              <w:rPr>
                <w:rFonts w:ascii="Arial" w:cs="Arial" w:eastAsia="Arial" w:hAnsi="Arial"/>
                <w:sz w:val="18"/>
                <w:szCs w:val="18"/>
                <w:color w:val="auto"/>
                <w:w w:val="99"/>
              </w:rPr>
              <w:t>70</w:t>
            </w:r>
          </w:p>
        </w:tc>
        <w:tc>
          <w:tcPr>
            <w:tcW w:w="1440" w:type="dxa"/>
            <w:vAlign w:val="bottom"/>
          </w:tcPr>
          <w:p>
            <w:pPr>
              <w:jc w:val="center"/>
              <w:ind w:right="10"/>
              <w:spacing w:after="0"/>
              <w:rPr>
                <w:sz w:val="20"/>
                <w:szCs w:val="20"/>
                <w:color w:val="auto"/>
              </w:rPr>
            </w:pPr>
            <w:r>
              <w:rPr>
                <w:rFonts w:ascii="Arial" w:cs="Arial" w:eastAsia="Arial" w:hAnsi="Arial"/>
                <w:sz w:val="18"/>
                <w:szCs w:val="18"/>
                <w:color w:val="auto"/>
                <w:w w:val="99"/>
              </w:rPr>
              <w:t>1</w:t>
            </w:r>
          </w:p>
        </w:tc>
        <w:tc>
          <w:tcPr>
            <w:tcW w:w="740" w:type="dxa"/>
            <w:vAlign w:val="bottom"/>
          </w:tcPr>
          <w:p>
            <w:pPr>
              <w:jc w:val="center"/>
              <w:ind w:left="330"/>
              <w:spacing w:after="0"/>
              <w:rPr>
                <w:sz w:val="20"/>
                <w:szCs w:val="20"/>
                <w:color w:val="auto"/>
              </w:rPr>
            </w:pPr>
            <w:r>
              <w:rPr>
                <w:rFonts w:ascii="Arial" w:cs="Arial" w:eastAsia="Arial" w:hAnsi="Arial"/>
                <w:sz w:val="18"/>
                <w:szCs w:val="18"/>
                <w:color w:val="auto"/>
                <w:w w:val="99"/>
              </w:rPr>
              <w:t>71</w:t>
            </w:r>
          </w:p>
        </w:tc>
      </w:tr>
      <w:tr>
        <w:trPr>
          <w:trHeight w:val="296"/>
        </w:trPr>
        <w:tc>
          <w:tcPr>
            <w:tcW w:w="4000" w:type="dxa"/>
            <w:vAlign w:val="bottom"/>
          </w:tcPr>
          <w:p>
            <w:pPr>
              <w:ind w:left="100"/>
              <w:spacing w:after="0"/>
              <w:rPr>
                <w:sz w:val="20"/>
                <w:szCs w:val="20"/>
                <w:color w:val="auto"/>
              </w:rPr>
            </w:pPr>
            <w:r>
              <w:rPr>
                <w:rFonts w:ascii="Arial" w:cs="Arial" w:eastAsia="Arial" w:hAnsi="Arial"/>
                <w:sz w:val="18"/>
                <w:szCs w:val="18"/>
                <w:color w:val="auto"/>
              </w:rPr>
              <w:t>December 31, 2025</w:t>
            </w:r>
          </w:p>
        </w:tc>
        <w:tc>
          <w:tcPr>
            <w:tcW w:w="3380" w:type="dxa"/>
            <w:vAlign w:val="bottom"/>
          </w:tcPr>
          <w:p>
            <w:pPr>
              <w:jc w:val="center"/>
              <w:ind w:left="1930"/>
              <w:spacing w:after="0"/>
              <w:rPr>
                <w:sz w:val="20"/>
                <w:szCs w:val="20"/>
                <w:color w:val="auto"/>
              </w:rPr>
            </w:pPr>
            <w:r>
              <w:rPr>
                <w:rFonts w:ascii="Arial" w:cs="Arial" w:eastAsia="Arial" w:hAnsi="Arial"/>
                <w:sz w:val="18"/>
                <w:szCs w:val="18"/>
                <w:color w:val="auto"/>
                <w:w w:val="99"/>
              </w:rPr>
              <w:t>60</w:t>
            </w:r>
          </w:p>
        </w:tc>
        <w:tc>
          <w:tcPr>
            <w:tcW w:w="1440" w:type="dxa"/>
            <w:vAlign w:val="bottom"/>
          </w:tcPr>
          <w:p>
            <w:pPr>
              <w:jc w:val="center"/>
              <w:ind w:right="10"/>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ind w:left="330"/>
              <w:spacing w:after="0"/>
              <w:rPr>
                <w:sz w:val="20"/>
                <w:szCs w:val="20"/>
                <w:color w:val="auto"/>
              </w:rPr>
            </w:pPr>
            <w:r>
              <w:rPr>
                <w:rFonts w:ascii="Arial" w:cs="Arial" w:eastAsia="Arial" w:hAnsi="Arial"/>
                <w:sz w:val="18"/>
                <w:szCs w:val="18"/>
                <w:color w:val="auto"/>
                <w:w w:val="99"/>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-352425</wp:posOffset>
            </wp:positionV>
            <wp:extent cx="6078220" cy="63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1">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-164465</wp:posOffset>
            </wp:positionV>
            <wp:extent cx="6078220" cy="63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2">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22860</wp:posOffset>
            </wp:positionV>
            <wp:extent cx="6078220" cy="63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3">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359"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None of our employees are members of a labor union.</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E. Share Ownership</w:t>
      </w:r>
    </w:p>
    <w:p>
      <w:pPr>
        <w:spacing w:after="0" w:line="27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 xml:space="preserve">As of March </w:t>
      </w:r>
      <w:r>
        <w:rPr>
          <w:rFonts w:ascii="Arial" w:cs="Arial" w:eastAsia="Arial" w:hAnsi="Arial"/>
          <w:sz w:val="20"/>
          <w:szCs w:val="20"/>
          <w:u w:val="single" w:color="auto"/>
          <w:color w:val="auto"/>
        </w:rPr>
        <w:t>6, 2026,</w:t>
      </w:r>
      <w:r>
        <w:rPr>
          <w:rFonts w:ascii="Arial" w:cs="Arial" w:eastAsia="Arial" w:hAnsi="Arial"/>
          <w:sz w:val="20"/>
          <w:szCs w:val="20"/>
          <w:color w:val="auto"/>
        </w:rPr>
        <w:t xml:space="preserve"> our directors and Named Executives, as a group, beneficially owned a total of </w:t>
      </w:r>
      <w:r>
        <w:rPr>
          <w:rFonts w:ascii="Arial" w:cs="Arial" w:eastAsia="Arial" w:hAnsi="Arial"/>
          <w:sz w:val="20"/>
          <w:szCs w:val="20"/>
          <w:u w:val="single" w:color="auto"/>
          <w:color w:val="auto"/>
        </w:rPr>
        <w:t>9,279</w:t>
      </w:r>
      <w:r>
        <w:rPr>
          <w:rFonts w:ascii="Arial" w:cs="Arial" w:eastAsia="Arial" w:hAnsi="Arial"/>
          <w:sz w:val="20"/>
          <w:szCs w:val="20"/>
          <w:color w:val="auto"/>
        </w:rPr>
        <w:t xml:space="preserve"> Shares, representing beneficial ownership of </w:t>
      </w:r>
      <w:r>
        <w:rPr>
          <w:rFonts w:ascii="Arial" w:cs="Arial" w:eastAsia="Arial" w:hAnsi="Arial"/>
          <w:sz w:val="20"/>
          <w:szCs w:val="20"/>
          <w:u w:val="single" w:color="auto"/>
          <w:color w:val="auto"/>
        </w:rPr>
        <w:t>5.66</w:t>
      </w:r>
      <w:r>
        <w:rPr>
          <w:rFonts w:ascii="Arial" w:cs="Arial" w:eastAsia="Arial" w:hAnsi="Arial"/>
          <w:sz w:val="20"/>
          <w:szCs w:val="20"/>
          <w:color w:val="auto"/>
        </w:rPr>
        <w:t>% of the Shares.</w:t>
      </w:r>
    </w:p>
    <w:p>
      <w:pPr>
        <w:spacing w:after="0" w:line="215"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 xml:space="preserve">The table below sets forth the number of Shares beneficially owned by our directors and Named Executives March </w:t>
      </w:r>
      <w:r>
        <w:rPr>
          <w:rFonts w:ascii="Arial" w:cs="Arial" w:eastAsia="Arial" w:hAnsi="Arial"/>
          <w:sz w:val="20"/>
          <w:szCs w:val="20"/>
          <w:u w:val="single" w:color="auto"/>
          <w:color w:val="auto"/>
        </w:rPr>
        <w:t>6, 2026</w:t>
      </w:r>
      <w:r>
        <w:rPr>
          <w:rFonts w:ascii="Arial" w:cs="Arial" w:eastAsia="Arial" w:hAnsi="Arial"/>
          <w:sz w:val="20"/>
          <w:szCs w:val="20"/>
          <w:color w:val="auto"/>
        </w:rPr>
        <w:t>. The persons listed below are deemed to be the beneficial owners of Shares underlying op DSUs, PSUs and RSUs that are exercisable within 60 days from the above date, including “out-of-the mo</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12 / 139</w:t>
      </w:r>
    </w:p>
    <w:p>
      <w:pPr>
        <w:sectPr>
          <w:pgSz w:w="11900" w:h="16838" w:orient="portrait"/>
          <w:cols w:equalWidth="0" w:num="1">
            <w:col w:w="10460"/>
          </w:cols>
          <w:pgMar w:left="1440" w:top="1440" w:right="6" w:bottom="0" w:gutter="0" w:footer="0" w:header="0"/>
          <w:type w:val="continuous"/>
        </w:sectPr>
      </w:pPr>
    </w:p>
    <w:bookmarkStart w:id="241" w:name="page242"/>
    <w:bookmarkEnd w:id="241"/>
    <w:p>
      <w:pPr>
        <w:jc w:val="both"/>
        <w:ind w:left="900"/>
        <w:spacing w:after="0" w:line="311" w:lineRule="auto"/>
        <w:rPr>
          <w:sz w:val="20"/>
          <w:szCs w:val="20"/>
          <w:color w:val="auto"/>
        </w:rPr>
      </w:pPr>
      <w:r>
        <w:rPr>
          <w:rFonts w:ascii="Arial" w:cs="Arial" w:eastAsia="Arial" w:hAnsi="Arial"/>
          <w:sz w:val="20"/>
          <w:szCs w:val="20"/>
          <w:color w:val="auto"/>
        </w:rPr>
        <w:t xml:space="preserve">options. The percentages shown below are based on </w:t>
      </w:r>
      <w:r>
        <w:rPr>
          <w:rFonts w:ascii="Arial" w:cs="Arial" w:eastAsia="Arial" w:hAnsi="Arial"/>
          <w:sz w:val="20"/>
          <w:szCs w:val="20"/>
          <w:u w:val="single" w:color="auto"/>
          <w:color w:val="auto"/>
        </w:rPr>
        <w:t>9,279,844</w:t>
      </w:r>
      <w:r>
        <w:rPr>
          <w:rFonts w:ascii="Arial" w:cs="Arial" w:eastAsia="Arial" w:hAnsi="Arial"/>
          <w:sz w:val="20"/>
          <w:szCs w:val="20"/>
          <w:color w:val="auto"/>
        </w:rPr>
        <w:t xml:space="preserve"> outstanding Shares as of March </w:t>
      </w:r>
      <w:r>
        <w:rPr>
          <w:rFonts w:ascii="Arial" w:cs="Arial" w:eastAsia="Arial" w:hAnsi="Arial"/>
          <w:sz w:val="20"/>
          <w:szCs w:val="20"/>
          <w:u w:val="single" w:color="auto"/>
          <w:color w:val="auto"/>
        </w:rPr>
        <w:t>6, 2026</w:t>
      </w:r>
      <w:r>
        <w:rPr>
          <w:rFonts w:ascii="Arial" w:cs="Arial" w:eastAsia="Arial" w:hAnsi="Arial"/>
          <w:sz w:val="20"/>
          <w:szCs w:val="20"/>
          <w:color w:val="auto"/>
        </w:rPr>
        <w:t xml:space="preserve">, 9,111,495 Shares underlying options, DSUs, PSUs and RSUs that are exercisable within 60 days for indicated beneficial owner for an aggregate total of </w:t>
      </w:r>
      <w:r>
        <w:rPr>
          <w:rFonts w:ascii="Arial" w:cs="Arial" w:eastAsia="Arial" w:hAnsi="Arial"/>
          <w:sz w:val="20"/>
          <w:szCs w:val="20"/>
          <w:u w:val="single" w:color="auto"/>
          <w:color w:val="auto"/>
        </w:rPr>
        <w:t>18,391,339</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4">
                      <a:extLst>
                        <a:ext uri="{28A0092B-C50C-407E-A947-70E740481C1C}"/>
                      </a:extLst>
                    </a:blip>
                    <a:srcRect/>
                    <a:stretch>
                      <a:fillRect/>
                    </a:stretch>
                  </pic:blipFill>
                  <pic:spPr bwMode="auto">
                    <a:xfrm>
                      <a:off x="0" y="0"/>
                      <a:ext cx="6764020" cy="190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567055</wp:posOffset>
                </wp:positionH>
                <wp:positionV relativeFrom="paragraph">
                  <wp:posOffset>-242570</wp:posOffset>
                </wp:positionV>
                <wp:extent cx="631825" cy="0"/>
                <wp:wrapNone/>
                <wp:docPr id="450" name="Shape 4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825" cy="4763"/>
                        </a:xfrm>
                        <a:prstGeom prst="line">
                          <a:avLst/>
                        </a:prstGeom>
                        <a:solidFill>
                          <a:srgbClr val="FFFFFF"/>
                        </a:solidFill>
                        <a:ln w="9301">
                          <a:solidFill>
                            <a:srgbClr val="000000"/>
                          </a:solidFill>
                          <a:miter lim="800000"/>
                          <a:headEnd/>
                          <a:tailEnd/>
                        </a:ln>
                      </wps:spPr>
                      <wps:bodyPr/>
                    </wps:wsp>
                  </a:graphicData>
                </a:graphic>
              </wp:anchor>
            </w:drawing>
          </mc:Choice>
          <mc:Fallback>
            <w:pict>
              <v:line id="Shape 450" o:spid="_x0000_s14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5pt,-19.0999pt" to="94.4pt,-19.0999pt" o:allowincell="f" strokecolor="#000000" strokeweight="0.7324pt"/>
            </w:pict>
          </mc:Fallback>
        </mc:AlternateContent>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13 / 139</w:t>
      </w:r>
    </w:p>
    <w:p>
      <w:pPr>
        <w:sectPr>
          <w:pgSz w:w="11900" w:h="16838" w:orient="portrait"/>
          <w:cols w:equalWidth="0" w:num="1">
            <w:col w:w="10460"/>
          </w:cols>
          <w:pgMar w:left="1440" w:top="1172" w:right="6" w:bottom="0" w:gutter="0" w:footer="0" w:header="0"/>
          <w:type w:val="continuous"/>
        </w:sectPr>
      </w:pPr>
    </w:p>
    <w:bookmarkStart w:id="242" w:name="page243"/>
    <w:bookmarkEnd w:id="2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Shareholdings of Directors and Executive Officers</w:t>
      </w:r>
    </w:p>
    <w:p>
      <w:pPr>
        <w:spacing w:after="0" w:line="372" w:lineRule="exact"/>
        <w:rPr>
          <w:sz w:val="20"/>
          <w:szCs w:val="20"/>
          <w:color w:val="auto"/>
        </w:rPr>
      </w:pPr>
    </w:p>
    <w:tbl>
      <w:tblPr>
        <w:tblLayout w:type="fixed"/>
        <w:tblInd w:w="900" w:type="dxa"/>
        <w:tblCellMar>
          <w:top w:w="0" w:type="dxa"/>
          <w:left w:w="0" w:type="dxa"/>
          <w:bottom w:w="0" w:type="dxa"/>
          <w:right w:w="0" w:type="dxa"/>
        </w:tblCellMar>
      </w:tblPr>
      <w:tr>
        <w:trPr>
          <w:trHeight w:val="250"/>
        </w:trPr>
        <w:tc>
          <w:tcPr>
            <w:tcW w:w="1500" w:type="dxa"/>
            <w:vAlign w:val="bottom"/>
            <w:shd w:val="clear" w:color="auto" w:fill="153A57"/>
          </w:tcPr>
          <w:p>
            <w:pPr>
              <w:spacing w:after="0"/>
              <w:rPr>
                <w:sz w:val="20"/>
                <w:szCs w:val="20"/>
                <w:color w:val="auto"/>
              </w:rPr>
            </w:pPr>
            <w:r>
              <w:rPr>
                <w:rFonts w:ascii="Arial" w:cs="Arial" w:eastAsia="Arial" w:hAnsi="Arial"/>
                <w:sz w:val="18"/>
                <w:szCs w:val="18"/>
                <w:b w:val="1"/>
                <w:bCs w:val="1"/>
                <w:color w:val="FFFFFF"/>
              </w:rPr>
              <w:t>Name of</w:t>
            </w:r>
          </w:p>
        </w:tc>
        <w:tc>
          <w:tcPr>
            <w:tcW w:w="1260" w:type="dxa"/>
            <w:vAlign w:val="bottom"/>
            <w:shd w:val="clear" w:color="auto" w:fill="153A57"/>
          </w:tcPr>
          <w:p>
            <w:pPr>
              <w:jc w:val="right"/>
              <w:ind w:right="30"/>
              <w:spacing w:after="0"/>
              <w:rPr>
                <w:sz w:val="20"/>
                <w:szCs w:val="20"/>
                <w:color w:val="auto"/>
              </w:rPr>
            </w:pPr>
            <w:r>
              <w:rPr>
                <w:rFonts w:ascii="Arial" w:cs="Arial" w:eastAsia="Arial" w:hAnsi="Arial"/>
                <w:sz w:val="18"/>
                <w:szCs w:val="18"/>
                <w:b w:val="1"/>
                <w:bCs w:val="1"/>
                <w:color w:val="FFFFFF"/>
              </w:rPr>
              <w:t>Shares Held</w:t>
            </w:r>
          </w:p>
        </w:tc>
        <w:tc>
          <w:tcPr>
            <w:tcW w:w="1340" w:type="dxa"/>
            <w:vAlign w:val="bottom"/>
            <w:shd w:val="clear" w:color="auto" w:fill="153A57"/>
          </w:tcPr>
          <w:p>
            <w:pPr>
              <w:jc w:val="right"/>
              <w:ind w:right="130"/>
              <w:spacing w:after="0"/>
              <w:rPr>
                <w:sz w:val="20"/>
                <w:szCs w:val="20"/>
                <w:color w:val="auto"/>
              </w:rPr>
            </w:pPr>
            <w:r>
              <w:rPr>
                <w:rFonts w:ascii="Arial" w:cs="Arial" w:eastAsia="Arial" w:hAnsi="Arial"/>
                <w:sz w:val="18"/>
                <w:szCs w:val="18"/>
                <w:b w:val="1"/>
                <w:bCs w:val="1"/>
                <w:color w:val="FFFFFF"/>
              </w:rPr>
              <w:t>Exercisable</w:t>
            </w:r>
          </w:p>
        </w:tc>
        <w:tc>
          <w:tcPr>
            <w:tcW w:w="1360" w:type="dxa"/>
            <w:vAlign w:val="bottom"/>
            <w:shd w:val="clear" w:color="auto" w:fill="153A57"/>
          </w:tcPr>
          <w:p>
            <w:pPr>
              <w:jc w:val="right"/>
              <w:ind w:right="250"/>
              <w:spacing w:after="0"/>
              <w:rPr>
                <w:sz w:val="20"/>
                <w:szCs w:val="20"/>
                <w:color w:val="auto"/>
              </w:rPr>
            </w:pPr>
            <w:r>
              <w:rPr>
                <w:rFonts w:ascii="Arial" w:cs="Arial" w:eastAsia="Arial" w:hAnsi="Arial"/>
                <w:sz w:val="18"/>
                <w:szCs w:val="18"/>
                <w:b w:val="1"/>
                <w:bCs w:val="1"/>
                <w:color w:val="FFFFFF"/>
              </w:rPr>
              <w:t>DSUs</w:t>
            </w:r>
          </w:p>
        </w:tc>
        <w:tc>
          <w:tcPr>
            <w:tcW w:w="1120" w:type="dxa"/>
            <w:vAlign w:val="bottom"/>
            <w:shd w:val="clear" w:color="auto" w:fill="153A57"/>
          </w:tcPr>
          <w:p>
            <w:pPr>
              <w:jc w:val="right"/>
              <w:ind w:right="130"/>
              <w:spacing w:after="0"/>
              <w:rPr>
                <w:sz w:val="20"/>
                <w:szCs w:val="20"/>
                <w:color w:val="auto"/>
              </w:rPr>
            </w:pPr>
            <w:r>
              <w:rPr>
                <w:rFonts w:ascii="Arial" w:cs="Arial" w:eastAsia="Arial" w:hAnsi="Arial"/>
                <w:sz w:val="18"/>
                <w:szCs w:val="18"/>
                <w:b w:val="1"/>
                <w:bCs w:val="1"/>
                <w:color w:val="FFFFFF"/>
              </w:rPr>
              <w:t>PSUs</w:t>
            </w:r>
          </w:p>
        </w:tc>
        <w:tc>
          <w:tcPr>
            <w:tcW w:w="1120" w:type="dxa"/>
            <w:vAlign w:val="bottom"/>
            <w:shd w:val="clear" w:color="auto" w:fill="153A57"/>
          </w:tcPr>
          <w:p>
            <w:pPr>
              <w:jc w:val="right"/>
              <w:ind w:right="30"/>
              <w:spacing w:after="0"/>
              <w:rPr>
                <w:sz w:val="20"/>
                <w:szCs w:val="20"/>
                <w:color w:val="auto"/>
              </w:rPr>
            </w:pPr>
            <w:r>
              <w:rPr>
                <w:rFonts w:ascii="Arial" w:cs="Arial" w:eastAsia="Arial" w:hAnsi="Arial"/>
                <w:sz w:val="18"/>
                <w:szCs w:val="18"/>
                <w:b w:val="1"/>
                <w:bCs w:val="1"/>
                <w:color w:val="FFFFFF"/>
              </w:rPr>
              <w:t>RSUs</w:t>
            </w:r>
          </w:p>
        </w:tc>
        <w:tc>
          <w:tcPr>
            <w:tcW w:w="1220" w:type="dxa"/>
            <w:vAlign w:val="bottom"/>
            <w:shd w:val="clear" w:color="auto" w:fill="153A57"/>
          </w:tcPr>
          <w:p>
            <w:pPr>
              <w:jc w:val="right"/>
              <w:ind w:right="10"/>
              <w:spacing w:after="0"/>
              <w:rPr>
                <w:sz w:val="20"/>
                <w:szCs w:val="20"/>
                <w:color w:val="auto"/>
              </w:rPr>
            </w:pPr>
            <w:r>
              <w:rPr>
                <w:rFonts w:ascii="Arial" w:cs="Arial" w:eastAsia="Arial" w:hAnsi="Arial"/>
                <w:sz w:val="18"/>
                <w:szCs w:val="18"/>
                <w:b w:val="1"/>
                <w:bCs w:val="1"/>
                <w:color w:val="FFFFFF"/>
              </w:rPr>
              <w:t>Number of</w:t>
            </w:r>
          </w:p>
        </w:tc>
        <w:tc>
          <w:tcPr>
            <w:tcW w:w="640" w:type="dxa"/>
            <w:vAlign w:val="bottom"/>
            <w:shd w:val="clear" w:color="auto" w:fill="153A57"/>
          </w:tcPr>
          <w:p>
            <w:pPr>
              <w:jc w:val="right"/>
              <w:spacing w:after="0"/>
              <w:rPr>
                <w:sz w:val="20"/>
                <w:szCs w:val="20"/>
                <w:color w:val="auto"/>
              </w:rPr>
            </w:pPr>
            <w:r>
              <w:rPr>
                <w:rFonts w:ascii="Arial" w:cs="Arial" w:eastAsia="Arial" w:hAnsi="Arial"/>
                <w:sz w:val="18"/>
                <w:szCs w:val="18"/>
                <w:b w:val="1"/>
                <w:bCs w:val="1"/>
                <w:color w:val="FFFFFF"/>
              </w:rPr>
              <w:t>Perc</w:t>
            </w:r>
          </w:p>
        </w:tc>
      </w:tr>
      <w:tr>
        <w:trPr>
          <w:trHeight w:val="272"/>
        </w:trPr>
        <w:tc>
          <w:tcPr>
            <w:tcW w:w="1500" w:type="dxa"/>
            <w:vAlign w:val="bottom"/>
            <w:shd w:val="clear" w:color="auto" w:fill="153A57"/>
          </w:tcPr>
          <w:p>
            <w:pPr>
              <w:spacing w:after="0"/>
              <w:rPr>
                <w:sz w:val="20"/>
                <w:szCs w:val="20"/>
                <w:color w:val="auto"/>
              </w:rPr>
            </w:pPr>
            <w:r>
              <w:rPr>
                <w:rFonts w:ascii="Arial" w:cs="Arial" w:eastAsia="Arial" w:hAnsi="Arial"/>
                <w:sz w:val="18"/>
                <w:szCs w:val="18"/>
                <w:b w:val="1"/>
                <w:bCs w:val="1"/>
                <w:color w:val="FFFFFF"/>
              </w:rPr>
              <w:t>Beneficial</w:t>
            </w:r>
          </w:p>
        </w:tc>
        <w:tc>
          <w:tcPr>
            <w:tcW w:w="1260" w:type="dxa"/>
            <w:vAlign w:val="bottom"/>
            <w:shd w:val="clear" w:color="auto" w:fill="153A57"/>
          </w:tcPr>
          <w:p>
            <w:pPr>
              <w:spacing w:after="0"/>
              <w:rPr>
                <w:sz w:val="23"/>
                <w:szCs w:val="23"/>
                <w:color w:val="auto"/>
              </w:rPr>
            </w:pPr>
          </w:p>
        </w:tc>
        <w:tc>
          <w:tcPr>
            <w:tcW w:w="1340" w:type="dxa"/>
            <w:vAlign w:val="bottom"/>
            <w:shd w:val="clear" w:color="auto" w:fill="153A57"/>
          </w:tcPr>
          <w:p>
            <w:pPr>
              <w:jc w:val="right"/>
              <w:ind w:right="130"/>
              <w:spacing w:after="0"/>
              <w:rPr>
                <w:sz w:val="20"/>
                <w:szCs w:val="20"/>
                <w:color w:val="auto"/>
              </w:rPr>
            </w:pPr>
            <w:r>
              <w:rPr>
                <w:rFonts w:ascii="Arial" w:cs="Arial" w:eastAsia="Arial" w:hAnsi="Arial"/>
                <w:sz w:val="18"/>
                <w:szCs w:val="18"/>
                <w:b w:val="1"/>
                <w:bCs w:val="1"/>
                <w:color w:val="FFFFFF"/>
              </w:rPr>
              <w:t>Options</w:t>
            </w:r>
          </w:p>
        </w:tc>
        <w:tc>
          <w:tcPr>
            <w:tcW w:w="1360" w:type="dxa"/>
            <w:vAlign w:val="bottom"/>
            <w:shd w:val="clear" w:color="auto" w:fill="153A57"/>
          </w:tcPr>
          <w:p>
            <w:pPr>
              <w:spacing w:after="0"/>
              <w:rPr>
                <w:sz w:val="23"/>
                <w:szCs w:val="23"/>
                <w:color w:val="auto"/>
              </w:rPr>
            </w:pPr>
          </w:p>
        </w:tc>
        <w:tc>
          <w:tcPr>
            <w:tcW w:w="1120" w:type="dxa"/>
            <w:vAlign w:val="bottom"/>
            <w:shd w:val="clear" w:color="auto" w:fill="153A57"/>
          </w:tcPr>
          <w:p>
            <w:pPr>
              <w:spacing w:after="0"/>
              <w:rPr>
                <w:sz w:val="23"/>
                <w:szCs w:val="23"/>
                <w:color w:val="auto"/>
              </w:rPr>
            </w:pPr>
          </w:p>
        </w:tc>
        <w:tc>
          <w:tcPr>
            <w:tcW w:w="1120" w:type="dxa"/>
            <w:vAlign w:val="bottom"/>
            <w:shd w:val="clear" w:color="auto" w:fill="153A57"/>
          </w:tcPr>
          <w:p>
            <w:pPr>
              <w:spacing w:after="0"/>
              <w:rPr>
                <w:sz w:val="23"/>
                <w:szCs w:val="23"/>
                <w:color w:val="auto"/>
              </w:rPr>
            </w:pPr>
          </w:p>
        </w:tc>
        <w:tc>
          <w:tcPr>
            <w:tcW w:w="1220" w:type="dxa"/>
            <w:vAlign w:val="bottom"/>
            <w:shd w:val="clear" w:color="auto" w:fill="153A57"/>
          </w:tcPr>
          <w:p>
            <w:pPr>
              <w:jc w:val="right"/>
              <w:ind w:right="10"/>
              <w:spacing w:after="0"/>
              <w:rPr>
                <w:sz w:val="20"/>
                <w:szCs w:val="20"/>
                <w:color w:val="auto"/>
              </w:rPr>
            </w:pPr>
            <w:r>
              <w:rPr>
                <w:rFonts w:ascii="Arial" w:cs="Arial" w:eastAsia="Arial" w:hAnsi="Arial"/>
                <w:sz w:val="18"/>
                <w:szCs w:val="18"/>
                <w:b w:val="1"/>
                <w:bCs w:val="1"/>
                <w:color w:val="FFFFFF"/>
              </w:rPr>
              <w:t>Shares</w:t>
            </w:r>
          </w:p>
        </w:tc>
        <w:tc>
          <w:tcPr>
            <w:tcW w:w="640" w:type="dxa"/>
            <w:vAlign w:val="bottom"/>
            <w:shd w:val="clear" w:color="auto" w:fill="153A57"/>
          </w:tcPr>
          <w:p>
            <w:pPr>
              <w:jc w:val="right"/>
              <w:spacing w:after="0"/>
              <w:rPr>
                <w:sz w:val="20"/>
                <w:szCs w:val="20"/>
                <w:color w:val="auto"/>
              </w:rPr>
            </w:pPr>
            <w:r>
              <w:rPr>
                <w:rFonts w:ascii="Arial" w:cs="Arial" w:eastAsia="Arial" w:hAnsi="Arial"/>
                <w:sz w:val="18"/>
                <w:szCs w:val="18"/>
                <w:b w:val="1"/>
                <w:bCs w:val="1"/>
                <w:color w:val="FFFFFF"/>
              </w:rPr>
              <w:t>Outsta</w:t>
            </w:r>
          </w:p>
        </w:tc>
      </w:tr>
      <w:tr>
        <w:trPr>
          <w:trHeight w:val="272"/>
        </w:trPr>
        <w:tc>
          <w:tcPr>
            <w:tcW w:w="1500" w:type="dxa"/>
            <w:vAlign w:val="bottom"/>
            <w:shd w:val="clear" w:color="auto" w:fill="153A57"/>
          </w:tcPr>
          <w:p>
            <w:pPr>
              <w:spacing w:after="0"/>
              <w:rPr>
                <w:sz w:val="20"/>
                <w:szCs w:val="20"/>
                <w:color w:val="auto"/>
              </w:rPr>
            </w:pPr>
            <w:r>
              <w:rPr>
                <w:rFonts w:ascii="Arial" w:cs="Arial" w:eastAsia="Arial" w:hAnsi="Arial"/>
                <w:sz w:val="18"/>
                <w:szCs w:val="18"/>
                <w:b w:val="1"/>
                <w:bCs w:val="1"/>
                <w:color w:val="FFFFFF"/>
              </w:rPr>
              <w:t>Owner</w:t>
            </w:r>
          </w:p>
        </w:tc>
        <w:tc>
          <w:tcPr>
            <w:tcW w:w="1260" w:type="dxa"/>
            <w:vAlign w:val="bottom"/>
            <w:shd w:val="clear" w:color="auto" w:fill="153A57"/>
          </w:tcPr>
          <w:p>
            <w:pPr>
              <w:spacing w:after="0"/>
              <w:rPr>
                <w:sz w:val="23"/>
                <w:szCs w:val="23"/>
                <w:color w:val="auto"/>
              </w:rPr>
            </w:pPr>
          </w:p>
        </w:tc>
        <w:tc>
          <w:tcPr>
            <w:tcW w:w="1340" w:type="dxa"/>
            <w:vAlign w:val="bottom"/>
            <w:shd w:val="clear" w:color="auto" w:fill="153A57"/>
          </w:tcPr>
          <w:p>
            <w:pPr>
              <w:spacing w:after="0"/>
              <w:rPr>
                <w:sz w:val="23"/>
                <w:szCs w:val="23"/>
                <w:color w:val="auto"/>
              </w:rPr>
            </w:pPr>
          </w:p>
        </w:tc>
        <w:tc>
          <w:tcPr>
            <w:tcW w:w="1360" w:type="dxa"/>
            <w:vAlign w:val="bottom"/>
            <w:shd w:val="clear" w:color="auto" w:fill="153A57"/>
          </w:tcPr>
          <w:p>
            <w:pPr>
              <w:spacing w:after="0"/>
              <w:rPr>
                <w:sz w:val="23"/>
                <w:szCs w:val="23"/>
                <w:color w:val="auto"/>
              </w:rPr>
            </w:pPr>
          </w:p>
        </w:tc>
        <w:tc>
          <w:tcPr>
            <w:tcW w:w="1120" w:type="dxa"/>
            <w:vAlign w:val="bottom"/>
            <w:shd w:val="clear" w:color="auto" w:fill="153A57"/>
          </w:tcPr>
          <w:p>
            <w:pPr>
              <w:spacing w:after="0"/>
              <w:rPr>
                <w:sz w:val="23"/>
                <w:szCs w:val="23"/>
                <w:color w:val="auto"/>
              </w:rPr>
            </w:pPr>
          </w:p>
        </w:tc>
        <w:tc>
          <w:tcPr>
            <w:tcW w:w="1120" w:type="dxa"/>
            <w:vAlign w:val="bottom"/>
            <w:shd w:val="clear" w:color="auto" w:fill="153A57"/>
          </w:tcPr>
          <w:p>
            <w:pPr>
              <w:spacing w:after="0"/>
              <w:rPr>
                <w:sz w:val="23"/>
                <w:szCs w:val="23"/>
                <w:color w:val="auto"/>
              </w:rPr>
            </w:pPr>
          </w:p>
        </w:tc>
        <w:tc>
          <w:tcPr>
            <w:tcW w:w="1220" w:type="dxa"/>
            <w:vAlign w:val="bottom"/>
            <w:shd w:val="clear" w:color="auto" w:fill="153A57"/>
          </w:tcPr>
          <w:p>
            <w:pPr>
              <w:jc w:val="right"/>
              <w:ind w:right="10"/>
              <w:spacing w:after="0"/>
              <w:rPr>
                <w:sz w:val="20"/>
                <w:szCs w:val="20"/>
                <w:color w:val="auto"/>
              </w:rPr>
            </w:pPr>
            <w:r>
              <w:rPr>
                <w:rFonts w:ascii="Arial" w:cs="Arial" w:eastAsia="Arial" w:hAnsi="Arial"/>
                <w:sz w:val="18"/>
                <w:szCs w:val="18"/>
                <w:b w:val="1"/>
                <w:bCs w:val="1"/>
                <w:color w:val="FFFFFF"/>
              </w:rPr>
              <w:t>Beneficially</w:t>
            </w:r>
          </w:p>
        </w:tc>
        <w:tc>
          <w:tcPr>
            <w:tcW w:w="640" w:type="dxa"/>
            <w:vAlign w:val="bottom"/>
            <w:shd w:val="clear" w:color="auto" w:fill="153A57"/>
          </w:tcPr>
          <w:p>
            <w:pPr>
              <w:jc w:val="right"/>
              <w:spacing w:after="0"/>
              <w:rPr>
                <w:sz w:val="20"/>
                <w:szCs w:val="20"/>
                <w:color w:val="auto"/>
              </w:rPr>
            </w:pPr>
            <w:r>
              <w:rPr>
                <w:rFonts w:ascii="Arial" w:cs="Arial" w:eastAsia="Arial" w:hAnsi="Arial"/>
                <w:sz w:val="18"/>
                <w:szCs w:val="18"/>
                <w:b w:val="1"/>
                <w:bCs w:val="1"/>
                <w:color w:val="FFFFFF"/>
              </w:rPr>
              <w:t>S</w:t>
            </w:r>
          </w:p>
        </w:tc>
      </w:tr>
      <w:tr>
        <w:trPr>
          <w:trHeight w:val="272"/>
        </w:trPr>
        <w:tc>
          <w:tcPr>
            <w:tcW w:w="1500" w:type="dxa"/>
            <w:vAlign w:val="bottom"/>
            <w:shd w:val="clear" w:color="auto" w:fill="153A57"/>
          </w:tcPr>
          <w:p>
            <w:pPr>
              <w:spacing w:after="0"/>
              <w:rPr>
                <w:sz w:val="23"/>
                <w:szCs w:val="23"/>
                <w:color w:val="auto"/>
              </w:rPr>
            </w:pPr>
          </w:p>
        </w:tc>
        <w:tc>
          <w:tcPr>
            <w:tcW w:w="1260" w:type="dxa"/>
            <w:vAlign w:val="bottom"/>
            <w:shd w:val="clear" w:color="auto" w:fill="153A57"/>
          </w:tcPr>
          <w:p>
            <w:pPr>
              <w:spacing w:after="0"/>
              <w:rPr>
                <w:sz w:val="23"/>
                <w:szCs w:val="23"/>
                <w:color w:val="auto"/>
              </w:rPr>
            </w:pPr>
          </w:p>
        </w:tc>
        <w:tc>
          <w:tcPr>
            <w:tcW w:w="1340" w:type="dxa"/>
            <w:vAlign w:val="bottom"/>
            <w:shd w:val="clear" w:color="auto" w:fill="153A57"/>
          </w:tcPr>
          <w:p>
            <w:pPr>
              <w:spacing w:after="0"/>
              <w:rPr>
                <w:sz w:val="23"/>
                <w:szCs w:val="23"/>
                <w:color w:val="auto"/>
              </w:rPr>
            </w:pPr>
          </w:p>
        </w:tc>
        <w:tc>
          <w:tcPr>
            <w:tcW w:w="1360" w:type="dxa"/>
            <w:vAlign w:val="bottom"/>
            <w:shd w:val="clear" w:color="auto" w:fill="153A57"/>
          </w:tcPr>
          <w:p>
            <w:pPr>
              <w:spacing w:after="0"/>
              <w:rPr>
                <w:sz w:val="23"/>
                <w:szCs w:val="23"/>
                <w:color w:val="auto"/>
              </w:rPr>
            </w:pPr>
          </w:p>
        </w:tc>
        <w:tc>
          <w:tcPr>
            <w:tcW w:w="1120" w:type="dxa"/>
            <w:vAlign w:val="bottom"/>
            <w:shd w:val="clear" w:color="auto" w:fill="153A57"/>
          </w:tcPr>
          <w:p>
            <w:pPr>
              <w:spacing w:after="0"/>
              <w:rPr>
                <w:sz w:val="23"/>
                <w:szCs w:val="23"/>
                <w:color w:val="auto"/>
              </w:rPr>
            </w:pPr>
          </w:p>
        </w:tc>
        <w:tc>
          <w:tcPr>
            <w:tcW w:w="1120" w:type="dxa"/>
            <w:vAlign w:val="bottom"/>
            <w:shd w:val="clear" w:color="auto" w:fill="153A57"/>
          </w:tcPr>
          <w:p>
            <w:pPr>
              <w:spacing w:after="0"/>
              <w:rPr>
                <w:sz w:val="23"/>
                <w:szCs w:val="23"/>
                <w:color w:val="auto"/>
              </w:rPr>
            </w:pPr>
          </w:p>
        </w:tc>
        <w:tc>
          <w:tcPr>
            <w:tcW w:w="1220" w:type="dxa"/>
            <w:vAlign w:val="bottom"/>
            <w:shd w:val="clear" w:color="auto" w:fill="153A57"/>
          </w:tcPr>
          <w:p>
            <w:pPr>
              <w:jc w:val="right"/>
              <w:ind w:right="10"/>
              <w:spacing w:after="0"/>
              <w:rPr>
                <w:sz w:val="20"/>
                <w:szCs w:val="20"/>
                <w:color w:val="auto"/>
              </w:rPr>
            </w:pPr>
            <w:r>
              <w:rPr>
                <w:rFonts w:ascii="Arial" w:cs="Arial" w:eastAsia="Arial" w:hAnsi="Arial"/>
                <w:sz w:val="18"/>
                <w:szCs w:val="18"/>
                <w:b w:val="1"/>
                <w:bCs w:val="1"/>
                <w:color w:val="FFFFFF"/>
              </w:rPr>
              <w:t>Owned</w:t>
            </w:r>
          </w:p>
        </w:tc>
        <w:tc>
          <w:tcPr>
            <w:tcW w:w="640" w:type="dxa"/>
            <w:vAlign w:val="bottom"/>
            <w:shd w:val="clear" w:color="auto" w:fill="153A57"/>
          </w:tcPr>
          <w:p>
            <w:pPr>
              <w:spacing w:after="0"/>
              <w:rPr>
                <w:sz w:val="23"/>
                <w:szCs w:val="23"/>
                <w:color w:val="auto"/>
              </w:rPr>
            </w:pPr>
          </w:p>
        </w:tc>
      </w:tr>
      <w:tr>
        <w:trPr>
          <w:trHeight w:val="332"/>
        </w:trPr>
        <w:tc>
          <w:tcPr>
            <w:tcW w:w="1500" w:type="dxa"/>
            <w:vAlign w:val="bottom"/>
            <w:shd w:val="clear" w:color="auto" w:fill="153A57"/>
          </w:tcPr>
          <w:p>
            <w:pPr>
              <w:spacing w:after="0"/>
              <w:rPr>
                <w:sz w:val="24"/>
                <w:szCs w:val="24"/>
                <w:color w:val="auto"/>
              </w:rPr>
            </w:pPr>
          </w:p>
        </w:tc>
        <w:tc>
          <w:tcPr>
            <w:tcW w:w="1260" w:type="dxa"/>
            <w:vAlign w:val="bottom"/>
            <w:shd w:val="clear" w:color="auto" w:fill="153A57"/>
          </w:tcPr>
          <w:p>
            <w:pPr>
              <w:spacing w:after="0"/>
              <w:rPr>
                <w:sz w:val="24"/>
                <w:szCs w:val="24"/>
                <w:color w:val="auto"/>
              </w:rPr>
            </w:pPr>
          </w:p>
        </w:tc>
        <w:tc>
          <w:tcPr>
            <w:tcW w:w="1340" w:type="dxa"/>
            <w:vAlign w:val="bottom"/>
            <w:shd w:val="clear" w:color="auto" w:fill="153A57"/>
          </w:tcPr>
          <w:p>
            <w:pPr>
              <w:spacing w:after="0"/>
              <w:rPr>
                <w:sz w:val="24"/>
                <w:szCs w:val="24"/>
                <w:color w:val="auto"/>
              </w:rPr>
            </w:pPr>
          </w:p>
        </w:tc>
        <w:tc>
          <w:tcPr>
            <w:tcW w:w="1360" w:type="dxa"/>
            <w:vAlign w:val="bottom"/>
            <w:shd w:val="clear" w:color="auto" w:fill="153A57"/>
          </w:tcPr>
          <w:p>
            <w:pPr>
              <w:spacing w:after="0"/>
              <w:rPr>
                <w:sz w:val="24"/>
                <w:szCs w:val="24"/>
                <w:color w:val="auto"/>
              </w:rPr>
            </w:pPr>
          </w:p>
        </w:tc>
        <w:tc>
          <w:tcPr>
            <w:tcW w:w="1120" w:type="dxa"/>
            <w:vAlign w:val="bottom"/>
            <w:shd w:val="clear" w:color="auto" w:fill="153A57"/>
          </w:tcPr>
          <w:p>
            <w:pPr>
              <w:spacing w:after="0"/>
              <w:rPr>
                <w:sz w:val="24"/>
                <w:szCs w:val="24"/>
                <w:color w:val="auto"/>
              </w:rPr>
            </w:pPr>
          </w:p>
        </w:tc>
        <w:tc>
          <w:tcPr>
            <w:tcW w:w="1120" w:type="dxa"/>
            <w:vAlign w:val="bottom"/>
            <w:shd w:val="clear" w:color="auto" w:fill="153A57"/>
          </w:tcPr>
          <w:p>
            <w:pPr>
              <w:spacing w:after="0"/>
              <w:rPr>
                <w:sz w:val="24"/>
                <w:szCs w:val="24"/>
                <w:color w:val="auto"/>
              </w:rPr>
            </w:pPr>
          </w:p>
        </w:tc>
        <w:tc>
          <w:tcPr>
            <w:tcW w:w="1220" w:type="dxa"/>
            <w:vAlign w:val="bottom"/>
            <w:shd w:val="clear" w:color="auto" w:fill="153A57"/>
          </w:tcPr>
          <w:p>
            <w:pPr>
              <w:spacing w:after="0"/>
              <w:rPr>
                <w:sz w:val="24"/>
                <w:szCs w:val="24"/>
                <w:color w:val="auto"/>
              </w:rPr>
            </w:pPr>
          </w:p>
        </w:tc>
        <w:tc>
          <w:tcPr>
            <w:tcW w:w="640" w:type="dxa"/>
            <w:vAlign w:val="bottom"/>
            <w:shd w:val="clear" w:color="auto" w:fill="153A57"/>
          </w:tcPr>
          <w:p>
            <w:pPr>
              <w:spacing w:after="0"/>
              <w:rPr>
                <w:sz w:val="24"/>
                <w:szCs w:val="24"/>
                <w:color w:val="auto"/>
              </w:rPr>
            </w:pPr>
          </w:p>
        </w:tc>
      </w:tr>
      <w:tr>
        <w:trPr>
          <w:trHeight w:val="250"/>
        </w:trPr>
        <w:tc>
          <w:tcPr>
            <w:tcW w:w="1500" w:type="dxa"/>
            <w:vAlign w:val="bottom"/>
          </w:tcPr>
          <w:p>
            <w:pPr>
              <w:ind w:left="100"/>
              <w:spacing w:after="0"/>
              <w:rPr>
                <w:sz w:val="20"/>
                <w:szCs w:val="20"/>
                <w:color w:val="auto"/>
              </w:rPr>
            </w:pPr>
            <w:r>
              <w:rPr>
                <w:rFonts w:ascii="Arial" w:cs="Arial" w:eastAsia="Arial" w:hAnsi="Arial"/>
                <w:sz w:val="18"/>
                <w:szCs w:val="18"/>
                <w:color w:val="auto"/>
              </w:rPr>
              <w:t>John Kanellitsas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2,405,990</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340,000</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4,523,858</w:t>
            </w:r>
          </w:p>
        </w:tc>
        <w:tc>
          <w:tcPr>
            <w:tcW w:w="640" w:type="dxa"/>
            <w:vAlign w:val="bottom"/>
          </w:tcPr>
          <w:p>
            <w:pPr>
              <w:spacing w:after="0"/>
              <w:rPr>
                <w:sz w:val="21"/>
                <w:szCs w:val="21"/>
                <w:color w:val="auto"/>
              </w:rPr>
            </w:pPr>
          </w:p>
        </w:tc>
      </w:tr>
      <w:tr>
        <w:trPr>
          <w:trHeight w:val="572"/>
        </w:trPr>
        <w:tc>
          <w:tcPr>
            <w:tcW w:w="1500" w:type="dxa"/>
            <w:vAlign w:val="bottom"/>
          </w:tcPr>
          <w:p>
            <w:pPr>
              <w:ind w:left="100"/>
              <w:spacing w:after="0"/>
              <w:rPr>
                <w:sz w:val="20"/>
                <w:szCs w:val="20"/>
                <w:color w:val="auto"/>
              </w:rPr>
            </w:pPr>
            <w:r>
              <w:rPr>
                <w:rFonts w:ascii="Arial" w:cs="Arial" w:eastAsia="Arial" w:hAnsi="Arial"/>
                <w:sz w:val="18"/>
                <w:szCs w:val="18"/>
                <w:color w:val="auto"/>
              </w:rPr>
              <w:t>Sam Pigott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69,269</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340,000</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1,383,456</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1,792,725</w:t>
            </w:r>
          </w:p>
        </w:tc>
        <w:tc>
          <w:tcPr>
            <w:tcW w:w="640" w:type="dxa"/>
            <w:vAlign w:val="bottom"/>
          </w:tcPr>
          <w:p>
            <w:pPr>
              <w:spacing w:after="0"/>
              <w:rPr>
                <w:sz w:val="24"/>
                <w:szCs w:val="24"/>
                <w:color w:val="auto"/>
              </w:rPr>
            </w:pPr>
          </w:p>
        </w:tc>
      </w:tr>
      <w:tr>
        <w:trPr>
          <w:trHeight w:val="572"/>
        </w:trPr>
        <w:tc>
          <w:tcPr>
            <w:tcW w:w="1500" w:type="dxa"/>
            <w:vAlign w:val="bottom"/>
          </w:tcPr>
          <w:p>
            <w:pPr>
              <w:ind w:left="100"/>
              <w:spacing w:after="0"/>
              <w:rPr>
                <w:sz w:val="20"/>
                <w:szCs w:val="20"/>
                <w:color w:val="auto"/>
              </w:rPr>
            </w:pPr>
            <w:r>
              <w:rPr>
                <w:rFonts w:ascii="Arial" w:cs="Arial" w:eastAsia="Arial" w:hAnsi="Arial"/>
                <w:sz w:val="18"/>
                <w:szCs w:val="18"/>
                <w:color w:val="auto"/>
              </w:rPr>
              <w:t>George Ireland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3,725,460</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150,000</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325,231</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4,200,691</w:t>
            </w:r>
          </w:p>
        </w:tc>
        <w:tc>
          <w:tcPr>
            <w:tcW w:w="640" w:type="dxa"/>
            <w:vAlign w:val="bottom"/>
          </w:tcPr>
          <w:p>
            <w:pPr>
              <w:spacing w:after="0"/>
              <w:rPr>
                <w:sz w:val="24"/>
                <w:szCs w:val="24"/>
                <w:color w:val="auto"/>
              </w:rPr>
            </w:pPr>
          </w:p>
        </w:tc>
      </w:tr>
      <w:tr>
        <w:trPr>
          <w:trHeight w:val="572"/>
        </w:trPr>
        <w:tc>
          <w:tcPr>
            <w:tcW w:w="1500" w:type="dxa"/>
            <w:vAlign w:val="bottom"/>
          </w:tcPr>
          <w:p>
            <w:pPr>
              <w:ind w:left="100"/>
              <w:spacing w:after="0"/>
              <w:rPr>
                <w:sz w:val="20"/>
                <w:szCs w:val="20"/>
                <w:color w:val="auto"/>
              </w:rPr>
            </w:pPr>
            <w:r>
              <w:rPr>
                <w:rFonts w:ascii="Arial" w:cs="Arial" w:eastAsia="Arial" w:hAnsi="Arial"/>
                <w:sz w:val="18"/>
                <w:szCs w:val="18"/>
                <w:color w:val="auto"/>
              </w:rPr>
              <w:t>Diego Lopez</w:t>
            </w: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2"/>
        </w:trPr>
        <w:tc>
          <w:tcPr>
            <w:tcW w:w="1500" w:type="dxa"/>
            <w:vAlign w:val="bottom"/>
          </w:tcPr>
          <w:p>
            <w:pPr>
              <w:ind w:left="100"/>
              <w:spacing w:after="0"/>
              <w:rPr>
                <w:sz w:val="20"/>
                <w:szCs w:val="20"/>
                <w:color w:val="auto"/>
              </w:rPr>
            </w:pPr>
            <w:r>
              <w:rPr>
                <w:rFonts w:ascii="Arial" w:cs="Arial" w:eastAsia="Arial" w:hAnsi="Arial"/>
                <w:sz w:val="18"/>
                <w:szCs w:val="18"/>
                <w:color w:val="auto"/>
              </w:rPr>
              <w:t>Casanello</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150,000</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150,000</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187,331</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487,331</w:t>
            </w:r>
          </w:p>
        </w:tc>
        <w:tc>
          <w:tcPr>
            <w:tcW w:w="640" w:type="dxa"/>
            <w:vAlign w:val="bottom"/>
          </w:tcPr>
          <w:p>
            <w:pPr>
              <w:spacing w:after="0"/>
              <w:rPr>
                <w:sz w:val="23"/>
                <w:szCs w:val="23"/>
                <w:color w:val="auto"/>
              </w:rPr>
            </w:pPr>
          </w:p>
        </w:tc>
      </w:tr>
      <w:tr>
        <w:trPr>
          <w:trHeight w:val="572"/>
        </w:trPr>
        <w:tc>
          <w:tcPr>
            <w:tcW w:w="1500" w:type="dxa"/>
            <w:vAlign w:val="bottom"/>
          </w:tcPr>
          <w:p>
            <w:pPr>
              <w:ind w:left="100"/>
              <w:spacing w:after="0"/>
              <w:rPr>
                <w:sz w:val="20"/>
                <w:szCs w:val="20"/>
                <w:color w:val="auto"/>
              </w:rPr>
            </w:pPr>
            <w:r>
              <w:rPr>
                <w:rFonts w:ascii="Arial" w:cs="Arial" w:eastAsia="Arial" w:hAnsi="Arial"/>
                <w:sz w:val="18"/>
                <w:szCs w:val="18"/>
                <w:color w:val="auto"/>
              </w:rPr>
              <w:t>Robert Doyle</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14,500</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150,000</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187,331</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351,831</w:t>
            </w:r>
          </w:p>
        </w:tc>
        <w:tc>
          <w:tcPr>
            <w:tcW w:w="640" w:type="dxa"/>
            <w:vAlign w:val="bottom"/>
          </w:tcPr>
          <w:p>
            <w:pPr>
              <w:spacing w:after="0"/>
              <w:rPr>
                <w:sz w:val="24"/>
                <w:szCs w:val="24"/>
                <w:color w:val="auto"/>
              </w:rPr>
            </w:pPr>
          </w:p>
        </w:tc>
      </w:tr>
      <w:tr>
        <w:trPr>
          <w:trHeight w:val="572"/>
        </w:trPr>
        <w:tc>
          <w:tcPr>
            <w:tcW w:w="1500" w:type="dxa"/>
            <w:vAlign w:val="bottom"/>
          </w:tcPr>
          <w:p>
            <w:pPr>
              <w:ind w:left="100"/>
              <w:spacing w:after="0"/>
              <w:rPr>
                <w:sz w:val="20"/>
                <w:szCs w:val="20"/>
                <w:color w:val="auto"/>
              </w:rPr>
            </w:pPr>
            <w:r>
              <w:rPr>
                <w:rFonts w:ascii="Arial" w:cs="Arial" w:eastAsia="Arial" w:hAnsi="Arial"/>
                <w:sz w:val="18"/>
                <w:szCs w:val="18"/>
                <w:color w:val="auto"/>
              </w:rPr>
              <w:t>Franco</w:t>
            </w: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2"/>
        </w:trPr>
        <w:tc>
          <w:tcPr>
            <w:tcW w:w="1500" w:type="dxa"/>
            <w:vAlign w:val="bottom"/>
          </w:tcPr>
          <w:p>
            <w:pPr>
              <w:ind w:left="100"/>
              <w:spacing w:after="0"/>
              <w:rPr>
                <w:sz w:val="20"/>
                <w:szCs w:val="20"/>
                <w:color w:val="auto"/>
              </w:rPr>
            </w:pPr>
            <w:r>
              <w:rPr>
                <w:rFonts w:ascii="Arial" w:cs="Arial" w:eastAsia="Arial" w:hAnsi="Arial"/>
                <w:sz w:val="18"/>
                <w:szCs w:val="18"/>
                <w:color w:val="auto"/>
              </w:rPr>
              <w:t>Mignacco</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2,703,992</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210,000</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73,370</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230,104</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3,217,466</w:t>
            </w:r>
          </w:p>
        </w:tc>
        <w:tc>
          <w:tcPr>
            <w:tcW w:w="640" w:type="dxa"/>
            <w:vAlign w:val="bottom"/>
          </w:tcPr>
          <w:p>
            <w:pPr>
              <w:spacing w:after="0"/>
              <w:rPr>
                <w:sz w:val="23"/>
                <w:szCs w:val="23"/>
                <w:color w:val="auto"/>
              </w:rPr>
            </w:pPr>
          </w:p>
        </w:tc>
      </w:tr>
      <w:tr>
        <w:trPr>
          <w:trHeight w:val="572"/>
        </w:trPr>
        <w:tc>
          <w:tcPr>
            <w:tcW w:w="1500" w:type="dxa"/>
            <w:vAlign w:val="bottom"/>
          </w:tcPr>
          <w:p>
            <w:pPr>
              <w:ind w:left="100"/>
              <w:spacing w:after="0"/>
              <w:rPr>
                <w:sz w:val="20"/>
                <w:szCs w:val="20"/>
                <w:color w:val="auto"/>
              </w:rPr>
            </w:pPr>
            <w:r>
              <w:rPr>
                <w:rFonts w:ascii="Arial" w:cs="Arial" w:eastAsia="Arial" w:hAnsi="Arial"/>
                <w:sz w:val="18"/>
                <w:szCs w:val="18"/>
                <w:color w:val="auto"/>
              </w:rPr>
              <w:t>Monica Moretto</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4,265</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120,053</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124,318</w:t>
            </w:r>
          </w:p>
        </w:tc>
        <w:tc>
          <w:tcPr>
            <w:tcW w:w="640" w:type="dxa"/>
            <w:vAlign w:val="bottom"/>
          </w:tcPr>
          <w:p>
            <w:pPr>
              <w:spacing w:after="0"/>
              <w:rPr>
                <w:sz w:val="24"/>
                <w:szCs w:val="24"/>
                <w:color w:val="auto"/>
              </w:rPr>
            </w:pPr>
          </w:p>
        </w:tc>
      </w:tr>
      <w:tr>
        <w:trPr>
          <w:trHeight w:val="572"/>
        </w:trPr>
        <w:tc>
          <w:tcPr>
            <w:tcW w:w="1500" w:type="dxa"/>
            <w:vAlign w:val="bottom"/>
          </w:tcPr>
          <w:p>
            <w:pPr>
              <w:ind w:left="100"/>
              <w:spacing w:after="0"/>
              <w:rPr>
                <w:sz w:val="20"/>
                <w:szCs w:val="20"/>
                <w:color w:val="auto"/>
              </w:rPr>
            </w:pPr>
            <w:r>
              <w:rPr>
                <w:rFonts w:ascii="Arial" w:cs="Arial" w:eastAsia="Arial" w:hAnsi="Arial"/>
                <w:sz w:val="18"/>
                <w:szCs w:val="18"/>
                <w:color w:val="auto"/>
              </w:rPr>
              <w:t>Calum Morrison</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15,000</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150,000</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187,331</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352,331</w:t>
            </w:r>
          </w:p>
        </w:tc>
        <w:tc>
          <w:tcPr>
            <w:tcW w:w="640" w:type="dxa"/>
            <w:vAlign w:val="bottom"/>
          </w:tcPr>
          <w:p>
            <w:pPr>
              <w:spacing w:after="0"/>
              <w:rPr>
                <w:sz w:val="24"/>
                <w:szCs w:val="24"/>
                <w:color w:val="auto"/>
              </w:rPr>
            </w:pPr>
          </w:p>
        </w:tc>
      </w:tr>
      <w:tr>
        <w:trPr>
          <w:trHeight w:val="572"/>
        </w:trPr>
        <w:tc>
          <w:tcPr>
            <w:tcW w:w="1500" w:type="dxa"/>
            <w:vAlign w:val="bottom"/>
          </w:tcPr>
          <w:p>
            <w:pPr>
              <w:ind w:left="100"/>
              <w:spacing w:after="0"/>
              <w:rPr>
                <w:sz w:val="20"/>
                <w:szCs w:val="20"/>
                <w:color w:val="auto"/>
              </w:rPr>
            </w:pPr>
            <w:r>
              <w:rPr>
                <w:rFonts w:ascii="Arial" w:cs="Arial" w:eastAsia="Arial" w:hAnsi="Arial"/>
                <w:sz w:val="18"/>
                <w:szCs w:val="18"/>
                <w:color w:val="auto"/>
              </w:rPr>
              <w:t>Alec Meikle</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21,970</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250,000</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41,826</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1,340,866</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1,654,662</w:t>
            </w:r>
          </w:p>
        </w:tc>
        <w:tc>
          <w:tcPr>
            <w:tcW w:w="640" w:type="dxa"/>
            <w:vAlign w:val="bottom"/>
          </w:tcPr>
          <w:p>
            <w:pPr>
              <w:spacing w:after="0"/>
              <w:rPr>
                <w:sz w:val="24"/>
                <w:szCs w:val="24"/>
                <w:color w:val="auto"/>
              </w:rPr>
            </w:pPr>
          </w:p>
        </w:tc>
      </w:tr>
      <w:tr>
        <w:trPr>
          <w:trHeight w:val="572"/>
        </w:trPr>
        <w:tc>
          <w:tcPr>
            <w:tcW w:w="1500" w:type="dxa"/>
            <w:vAlign w:val="bottom"/>
          </w:tcPr>
          <w:p>
            <w:pPr>
              <w:ind w:left="100"/>
              <w:spacing w:after="0"/>
              <w:rPr>
                <w:sz w:val="20"/>
                <w:szCs w:val="20"/>
                <w:color w:val="auto"/>
              </w:rPr>
            </w:pPr>
            <w:r>
              <w:rPr>
                <w:rFonts w:ascii="Arial" w:cs="Arial" w:eastAsia="Arial" w:hAnsi="Arial"/>
                <w:sz w:val="18"/>
                <w:szCs w:val="18"/>
                <w:color w:val="auto"/>
              </w:rPr>
              <w:t>Alex Shulga</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54,464</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175,000</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9,802</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888,794</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1,128,060</w:t>
            </w:r>
          </w:p>
        </w:tc>
        <w:tc>
          <w:tcPr>
            <w:tcW w:w="640" w:type="dxa"/>
            <w:vAlign w:val="bottom"/>
          </w:tcPr>
          <w:p>
            <w:pPr>
              <w:spacing w:after="0"/>
              <w:rPr>
                <w:sz w:val="24"/>
                <w:szCs w:val="24"/>
                <w:color w:val="auto"/>
              </w:rPr>
            </w:pPr>
          </w:p>
        </w:tc>
      </w:tr>
      <w:tr>
        <w:trPr>
          <w:trHeight w:val="572"/>
        </w:trPr>
        <w:tc>
          <w:tcPr>
            <w:tcW w:w="1500" w:type="dxa"/>
            <w:vAlign w:val="bottom"/>
          </w:tcPr>
          <w:p>
            <w:pPr>
              <w:ind w:left="100"/>
              <w:spacing w:after="0"/>
              <w:rPr>
                <w:sz w:val="20"/>
                <w:szCs w:val="20"/>
                <w:color w:val="auto"/>
              </w:rPr>
            </w:pPr>
            <w:r>
              <w:rPr>
                <w:rFonts w:ascii="Arial" w:cs="Arial" w:eastAsia="Arial" w:hAnsi="Arial"/>
                <w:sz w:val="18"/>
                <w:szCs w:val="18"/>
                <w:color w:val="auto"/>
              </w:rPr>
              <w:t>Mariano</w:t>
            </w: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2"/>
        </w:trPr>
        <w:tc>
          <w:tcPr>
            <w:tcW w:w="1500" w:type="dxa"/>
            <w:vAlign w:val="bottom"/>
          </w:tcPr>
          <w:p>
            <w:pPr>
              <w:ind w:left="100"/>
              <w:spacing w:after="0"/>
              <w:rPr>
                <w:sz w:val="20"/>
                <w:szCs w:val="20"/>
                <w:color w:val="auto"/>
              </w:rPr>
            </w:pPr>
            <w:r>
              <w:rPr>
                <w:rFonts w:ascii="Arial" w:cs="Arial" w:eastAsia="Arial" w:hAnsi="Arial"/>
                <w:sz w:val="18"/>
                <w:szCs w:val="18"/>
                <w:color w:val="auto"/>
              </w:rPr>
              <w:t>Chiappori</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114,934</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90,000</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353,132</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558,066</w:t>
            </w:r>
          </w:p>
        </w:tc>
        <w:tc>
          <w:tcPr>
            <w:tcW w:w="640" w:type="dxa"/>
            <w:vAlign w:val="bottom"/>
          </w:tcPr>
          <w:p>
            <w:pPr>
              <w:spacing w:after="0"/>
              <w:rPr>
                <w:sz w:val="23"/>
                <w:szCs w:val="23"/>
                <w:color w:val="auto"/>
              </w:rPr>
            </w:pPr>
          </w:p>
        </w:tc>
      </w:tr>
      <w:tr>
        <w:trPr>
          <w:trHeight w:val="582"/>
        </w:trPr>
        <w:tc>
          <w:tcPr>
            <w:tcW w:w="1500" w:type="dxa"/>
            <w:vAlign w:val="bottom"/>
          </w:tcPr>
          <w:p>
            <w:pPr>
              <w:ind w:left="100"/>
              <w:spacing w:after="0"/>
              <w:rPr>
                <w:sz w:val="20"/>
                <w:szCs w:val="20"/>
                <w:color w:val="auto"/>
              </w:rPr>
            </w:pPr>
            <w:r>
              <w:rPr>
                <w:rFonts w:ascii="Arial" w:cs="Arial" w:eastAsia="Arial" w:hAnsi="Arial"/>
                <w:sz w:val="18"/>
                <w:szCs w:val="18"/>
                <w:b w:val="1"/>
                <w:bCs w:val="1"/>
                <w:color w:val="auto"/>
              </w:rPr>
              <w:t>Total</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9,279,844</w:t>
            </w: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rPr>
              <w:t>2,005,000</w:t>
            </w: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1,080,647</w:t>
            </w: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51,628</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5,974,220</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18,391,339</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-4684395</wp:posOffset>
            </wp:positionV>
            <wp:extent cx="6078220" cy="63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5">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-164465</wp:posOffset>
            </wp:positionV>
            <wp:extent cx="6078220" cy="63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6">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22860</wp:posOffset>
            </wp:positionV>
            <wp:extent cx="6078220" cy="63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57">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366"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 xml:space="preserve">Refer to section titled, </w:t>
      </w:r>
      <w:r>
        <w:rPr>
          <w:rFonts w:ascii="Arial" w:cs="Arial" w:eastAsia="Arial" w:hAnsi="Arial"/>
          <w:sz w:val="20"/>
          <w:szCs w:val="20"/>
          <w:i w:val="1"/>
          <w:iCs w:val="1"/>
          <w:color w:val="auto"/>
        </w:rPr>
        <w:t>Compensation</w:t>
      </w:r>
      <w:r>
        <w:rPr>
          <w:rFonts w:ascii="Arial" w:cs="Arial" w:eastAsia="Arial" w:hAnsi="Arial"/>
          <w:sz w:val="20"/>
          <w:szCs w:val="20"/>
          <w:color w:val="auto"/>
        </w:rPr>
        <w:t xml:space="preserve">, for the details of the options held by our directors and Named Execu as at December 31, </w:t>
      </w:r>
      <w:r>
        <w:rPr>
          <w:rFonts w:ascii="Arial" w:cs="Arial" w:eastAsia="Arial" w:hAnsi="Arial"/>
          <w:sz w:val="20"/>
          <w:szCs w:val="20"/>
          <w:u w:val="single" w:color="auto"/>
          <w:color w:val="auto"/>
        </w:rPr>
        <w:t>2025.</w:t>
      </w:r>
    </w:p>
    <w:p>
      <w:pPr>
        <w:spacing w:after="0" w:line="215"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description of any arrangements involving the employees in the Capital of the Company, including arrangement that involves the issue or grant of options or shares or securities of the Company are discl above in "</w:t>
      </w:r>
      <w:r>
        <w:rPr>
          <w:rFonts w:ascii="Arial" w:cs="Arial" w:eastAsia="Arial" w:hAnsi="Arial"/>
          <w:sz w:val="20"/>
          <w:szCs w:val="20"/>
          <w:i w:val="1"/>
          <w:iCs w:val="1"/>
          <w:color w:val="auto"/>
        </w:rPr>
        <w:t>Item 6. - Directors, Senior Management and Employees</w:t>
      </w:r>
      <w:r>
        <w:rPr>
          <w:rFonts w:ascii="Arial" w:cs="Arial" w:eastAsia="Arial" w:hAnsi="Arial"/>
          <w:sz w:val="20"/>
          <w:szCs w:val="20"/>
          <w:color w:val="auto"/>
        </w:rPr>
        <w:t>."</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F. Disclosure of a Registrant’s Action to Recover Erroneously Awarded Compensation</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14 / 139</w:t>
      </w:r>
    </w:p>
    <w:p>
      <w:pPr>
        <w:sectPr>
          <w:pgSz w:w="11900" w:h="16838" w:orient="portrait"/>
          <w:cols w:equalWidth="0" w:num="1">
            <w:col w:w="10460"/>
          </w:cols>
          <w:pgMar w:left="1440" w:top="1440" w:right="6" w:bottom="0" w:gutter="0" w:footer="0" w:header="0"/>
          <w:type w:val="continuous"/>
        </w:sectPr>
      </w:pPr>
    </w:p>
    <w:bookmarkStart w:id="243" w:name="page244"/>
    <w:bookmarkEnd w:id="243"/>
    <w:p>
      <w:pPr>
        <w:jc w:val="both"/>
        <w:ind w:left="900"/>
        <w:spacing w:after="0" w:line="314" w:lineRule="auto"/>
        <w:rPr>
          <w:sz w:val="20"/>
          <w:szCs w:val="20"/>
          <w:color w:val="auto"/>
        </w:rPr>
      </w:pPr>
      <w:r>
        <w:rPr>
          <w:rFonts w:ascii="Arial" w:cs="Arial" w:eastAsia="Arial" w:hAnsi="Arial"/>
          <w:sz w:val="20"/>
          <w:szCs w:val="20"/>
          <w:color w:val="auto"/>
        </w:rPr>
        <w:t>The Company has adopted compensation recovery policy effective October 2, 2023 (referred to as “</w:t>
      </w:r>
      <w:r>
        <w:rPr>
          <w:rFonts w:ascii="Arial" w:cs="Arial" w:eastAsia="Arial" w:hAnsi="Arial"/>
          <w:sz w:val="20"/>
          <w:szCs w:val="20"/>
          <w:b w:val="1"/>
          <w:bCs w:val="1"/>
          <w:color w:val="auto"/>
        </w:rPr>
        <w:t>Incentive Compensation Clawback Policy</w:t>
      </w:r>
      <w:r>
        <w:rPr>
          <w:rFonts w:ascii="Arial" w:cs="Arial" w:eastAsia="Arial" w:hAnsi="Arial"/>
          <w:sz w:val="20"/>
          <w:szCs w:val="20"/>
          <w:color w:val="auto"/>
        </w:rPr>
        <w:t>”) as required by NYSE American listing rules and pursuant to 10D-1 of the Exchange Act. The Company amended and restated the Incentive Compensation Clawback P effective January 23, 2025 (the “</w:t>
      </w:r>
      <w:r>
        <w:rPr>
          <w:rFonts w:ascii="Arial" w:cs="Arial" w:eastAsia="Arial" w:hAnsi="Arial"/>
          <w:sz w:val="20"/>
          <w:szCs w:val="20"/>
          <w:b w:val="1"/>
          <w:bCs w:val="1"/>
          <w:color w:val="auto"/>
        </w:rPr>
        <w:t>Amended Incentive Compensation Clawback Policy</w:t>
      </w:r>
      <w:r>
        <w:rPr>
          <w:rFonts w:ascii="Arial" w:cs="Arial" w:eastAsia="Arial" w:hAnsi="Arial"/>
          <w:sz w:val="20"/>
          <w:szCs w:val="20"/>
          <w:color w:val="auto"/>
        </w:rPr>
        <w:t>”). The Ame Incentive Compensation Clawback Policy is filed as Exhibit 97.1 to this annual report. At no time during or the fiscal year ended December 31, 2024 (as of the date of this annual report), was the Company requir prepare an accounting restatement that required recovery of erroneously awarded compensation pursuant t Incentive Compensation Clawback Policy or the Amended Incentive Compensation Clawback Policy and, December 31, 2025, there was no outstanding balance of erroneously awarded compensation to be recov from the application of the Incentive Compensation Clawback Policy or the Amended Incentive Compens Clawback Policy to a prior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1088390</wp:posOffset>
            </wp:positionV>
            <wp:extent cx="6764020" cy="190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5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15 / 139</w:t>
      </w:r>
    </w:p>
    <w:p>
      <w:pPr>
        <w:sectPr>
          <w:pgSz w:w="11900" w:h="16838" w:orient="portrait"/>
          <w:cols w:equalWidth="0" w:num="1">
            <w:col w:w="10460"/>
          </w:cols>
          <w:pgMar w:left="1440" w:top="1172" w:right="6" w:bottom="0" w:gutter="0" w:footer="0" w:header="0"/>
          <w:type w:val="continuous"/>
        </w:sectPr>
      </w:pPr>
    </w:p>
    <w:bookmarkStart w:id="244" w:name="page245"/>
    <w:bookmarkEnd w:id="2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7. MAJOR SHAREHOLDERS AND RELATED PARTY TRANSACTIO</w:t>
      </w:r>
    </w:p>
    <w:p>
      <w:pPr>
        <w:spacing w:after="0" w:line="286"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A. Major Shareholders</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To the knowledge of management of the Company, based on a review of publicly available filings the follo are the only persons or companies who beneficially own 5% or more of the outstanding Shares of the Com as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2315210</wp:posOffset>
            </wp:positionH>
            <wp:positionV relativeFrom="paragraph">
              <wp:posOffset>193675</wp:posOffset>
            </wp:positionV>
            <wp:extent cx="2893060" cy="12725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59">
                      <a:extLst>
                        <a:ext uri="{28A0092B-C50C-407E-A947-70E740481C1C}"/>
                      </a:extLst>
                    </a:blip>
                    <a:srcRect/>
                    <a:stretch>
                      <a:fillRect/>
                    </a:stretch>
                  </pic:blipFill>
                  <pic:spPr bwMode="auto">
                    <a:xfrm>
                      <a:off x="0" y="0"/>
                      <a:ext cx="2893060" cy="1272540"/>
                    </a:xfrm>
                    <a:prstGeom prst="rect">
                      <a:avLst/>
                    </a:prstGeom>
                    <a:noFill/>
                  </pic:spPr>
                </pic:pic>
              </a:graphicData>
            </a:graphic>
          </wp:anchor>
        </w:drawing>
      </w:r>
    </w:p>
    <w:p>
      <w:pPr>
        <w:spacing w:after="0" w:line="341" w:lineRule="exact"/>
        <w:rPr>
          <w:sz w:val="20"/>
          <w:szCs w:val="20"/>
          <w:color w:val="auto"/>
        </w:rPr>
      </w:pPr>
    </w:p>
    <w:p>
      <w:pPr>
        <w:ind w:left="6660"/>
        <w:spacing w:after="0"/>
        <w:rPr>
          <w:sz w:val="20"/>
          <w:szCs w:val="20"/>
          <w:color w:val="auto"/>
        </w:rPr>
      </w:pPr>
      <w:r>
        <w:rPr>
          <w:rFonts w:ascii="Arial" w:cs="Arial" w:eastAsia="Arial" w:hAnsi="Arial"/>
          <w:sz w:val="20"/>
          <w:szCs w:val="20"/>
          <w:b w:val="1"/>
          <w:bCs w:val="1"/>
          <w:color w:val="FFFFFF"/>
        </w:rPr>
        <w:t>2025</w:t>
      </w:r>
    </w:p>
    <w:p>
      <w:pPr>
        <w:spacing w:after="0" w:line="41" w:lineRule="exact"/>
        <w:rPr>
          <w:sz w:val="20"/>
          <w:szCs w:val="20"/>
          <w:color w:val="auto"/>
        </w:rPr>
      </w:pPr>
    </w:p>
    <w:tbl>
      <w:tblPr>
        <w:tblLayout w:type="fixed"/>
        <w:tblInd w:w="3660" w:type="dxa"/>
        <w:tblCellMar>
          <w:top w:w="0" w:type="dxa"/>
          <w:left w:w="0" w:type="dxa"/>
          <w:bottom w:w="0" w:type="dxa"/>
          <w:right w:w="0" w:type="dxa"/>
        </w:tblCellMar>
      </w:tblPr>
      <w:tr>
        <w:trPr>
          <w:trHeight w:val="698"/>
        </w:trPr>
        <w:tc>
          <w:tcPr>
            <w:tcW w:w="1840" w:type="dxa"/>
            <w:vAlign w:val="bottom"/>
            <w:shd w:val="clear" w:color="auto" w:fill="153A57"/>
          </w:tcPr>
          <w:p>
            <w:pPr>
              <w:spacing w:after="0"/>
              <w:rPr>
                <w:sz w:val="24"/>
                <w:szCs w:val="24"/>
                <w:color w:val="auto"/>
              </w:rPr>
            </w:pPr>
          </w:p>
        </w:tc>
        <w:tc>
          <w:tcPr>
            <w:tcW w:w="1380" w:type="dxa"/>
            <w:vAlign w:val="bottom"/>
            <w:shd w:val="clear" w:color="auto" w:fill="153A57"/>
          </w:tcPr>
          <w:p>
            <w:pPr>
              <w:jc w:val="center"/>
              <w:spacing w:after="0"/>
              <w:rPr>
                <w:sz w:val="20"/>
                <w:szCs w:val="20"/>
                <w:color w:val="auto"/>
              </w:rPr>
            </w:pPr>
            <w:r>
              <w:rPr>
                <w:rFonts w:ascii="Arial" w:cs="Arial" w:eastAsia="Arial" w:hAnsi="Arial"/>
                <w:sz w:val="20"/>
                <w:szCs w:val="20"/>
                <w:b w:val="1"/>
                <w:bCs w:val="1"/>
                <w:color w:val="FFFFFF"/>
                <w:w w:val="99"/>
              </w:rPr>
              <w:t>Number of</w:t>
            </w:r>
          </w:p>
        </w:tc>
        <w:tc>
          <w:tcPr>
            <w:tcW w:w="1320" w:type="dxa"/>
            <w:vAlign w:val="bottom"/>
            <w:shd w:val="clear" w:color="auto" w:fill="153A57"/>
          </w:tcPr>
          <w:p>
            <w:pPr>
              <w:jc w:val="center"/>
              <w:spacing w:after="0"/>
              <w:rPr>
                <w:sz w:val="20"/>
                <w:szCs w:val="20"/>
                <w:color w:val="auto"/>
              </w:rPr>
            </w:pPr>
            <w:r>
              <w:rPr>
                <w:rFonts w:ascii="Arial" w:cs="Arial" w:eastAsia="Arial" w:hAnsi="Arial"/>
                <w:sz w:val="20"/>
                <w:szCs w:val="20"/>
                <w:b w:val="1"/>
                <w:bCs w:val="1"/>
                <w:color w:val="FFFFFF"/>
              </w:rPr>
              <w:t>Percentage</w:t>
            </w:r>
          </w:p>
        </w:tc>
      </w:tr>
      <w:tr>
        <w:trPr>
          <w:trHeight w:val="332"/>
        </w:trPr>
        <w:tc>
          <w:tcPr>
            <w:tcW w:w="1840" w:type="dxa"/>
            <w:vAlign w:val="bottom"/>
            <w:tcBorders>
              <w:bottom w:val="single" w:sz="8" w:color="153A57"/>
            </w:tcBorders>
            <w:shd w:val="clear" w:color="auto" w:fill="153A57"/>
          </w:tcPr>
          <w:p>
            <w:pPr>
              <w:jc w:val="center"/>
              <w:spacing w:after="0"/>
              <w:rPr>
                <w:sz w:val="20"/>
                <w:szCs w:val="20"/>
                <w:color w:val="auto"/>
              </w:rPr>
            </w:pPr>
            <w:r>
              <w:rPr>
                <w:rFonts w:ascii="Arial" w:cs="Arial" w:eastAsia="Arial" w:hAnsi="Arial"/>
                <w:sz w:val="20"/>
                <w:szCs w:val="20"/>
                <w:b w:val="1"/>
                <w:bCs w:val="1"/>
                <w:color w:val="FFFFFF"/>
                <w:w w:val="99"/>
              </w:rPr>
              <w:t>Name</w:t>
            </w:r>
          </w:p>
        </w:tc>
        <w:tc>
          <w:tcPr>
            <w:tcW w:w="1380" w:type="dxa"/>
            <w:vAlign w:val="bottom"/>
            <w:tcBorders>
              <w:bottom w:val="single" w:sz="8" w:color="153A57"/>
            </w:tcBorders>
            <w:shd w:val="clear" w:color="auto" w:fill="153A57"/>
          </w:tcPr>
          <w:p>
            <w:pPr>
              <w:jc w:val="center"/>
              <w:spacing w:after="0"/>
              <w:rPr>
                <w:sz w:val="20"/>
                <w:szCs w:val="20"/>
                <w:color w:val="auto"/>
              </w:rPr>
            </w:pPr>
            <w:r>
              <w:rPr>
                <w:rFonts w:ascii="Arial" w:cs="Arial" w:eastAsia="Arial" w:hAnsi="Arial"/>
                <w:sz w:val="20"/>
                <w:szCs w:val="20"/>
                <w:b w:val="1"/>
                <w:bCs w:val="1"/>
                <w:color w:val="FFFFFF"/>
                <w:w w:val="98"/>
              </w:rPr>
              <w:t>Shares Held</w:t>
            </w:r>
          </w:p>
        </w:tc>
        <w:tc>
          <w:tcPr>
            <w:tcW w:w="1320" w:type="dxa"/>
            <w:vAlign w:val="bottom"/>
            <w:tcBorders>
              <w:bottom w:val="single" w:sz="8" w:color="153A57"/>
            </w:tcBorders>
            <w:shd w:val="clear" w:color="auto" w:fill="153A57"/>
          </w:tcPr>
          <w:p>
            <w:pPr>
              <w:jc w:val="center"/>
              <w:spacing w:after="0"/>
              <w:rPr>
                <w:sz w:val="20"/>
                <w:szCs w:val="20"/>
                <w:color w:val="auto"/>
              </w:rPr>
            </w:pPr>
            <w:r>
              <w:rPr>
                <w:rFonts w:ascii="Arial" w:cs="Arial" w:eastAsia="Arial" w:hAnsi="Arial"/>
                <w:sz w:val="20"/>
                <w:szCs w:val="20"/>
                <w:b w:val="1"/>
                <w:bCs w:val="1"/>
                <w:color w:val="FFFFFF"/>
              </w:rPr>
              <w:t>of Shares</w:t>
            </w:r>
          </w:p>
        </w:tc>
      </w:tr>
      <w:tr>
        <w:trPr>
          <w:trHeight w:val="276"/>
        </w:trPr>
        <w:tc>
          <w:tcPr>
            <w:tcW w:w="1840" w:type="dxa"/>
            <w:vAlign w:val="bottom"/>
          </w:tcPr>
          <w:p>
            <w:pPr>
              <w:jc w:val="center"/>
              <w:spacing w:after="0"/>
              <w:rPr>
                <w:sz w:val="20"/>
                <w:szCs w:val="20"/>
                <w:color w:val="auto"/>
              </w:rPr>
            </w:pPr>
            <w:r>
              <w:rPr>
                <w:rFonts w:ascii="Arial" w:cs="Arial" w:eastAsia="Arial" w:hAnsi="Arial"/>
                <w:sz w:val="20"/>
                <w:szCs w:val="20"/>
                <w:color w:val="auto"/>
              </w:rPr>
              <w:t>General Motors</w:t>
            </w:r>
          </w:p>
        </w:tc>
        <w:tc>
          <w:tcPr>
            <w:tcW w:w="13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302"/>
        </w:trPr>
        <w:tc>
          <w:tcPr>
            <w:tcW w:w="1840" w:type="dxa"/>
            <w:vAlign w:val="bottom"/>
          </w:tcPr>
          <w:p>
            <w:pPr>
              <w:jc w:val="center"/>
              <w:spacing w:after="0"/>
              <w:rPr>
                <w:sz w:val="20"/>
                <w:szCs w:val="20"/>
                <w:color w:val="auto"/>
              </w:rPr>
            </w:pPr>
            <w:r>
              <w:rPr>
                <w:rFonts w:ascii="Arial" w:cs="Arial" w:eastAsia="Arial" w:hAnsi="Arial"/>
                <w:sz w:val="20"/>
                <w:szCs w:val="20"/>
                <w:color w:val="auto"/>
                <w:w w:val="99"/>
              </w:rPr>
              <w:t>Holdings LLC</w:t>
            </w:r>
          </w:p>
        </w:tc>
        <w:tc>
          <w:tcPr>
            <w:tcW w:w="1380" w:type="dxa"/>
            <w:vAlign w:val="bottom"/>
          </w:tcPr>
          <w:p>
            <w:pPr>
              <w:jc w:val="right"/>
              <w:ind w:right="60"/>
              <w:spacing w:after="0"/>
              <w:rPr>
                <w:sz w:val="20"/>
                <w:szCs w:val="20"/>
                <w:color w:val="auto"/>
              </w:rPr>
            </w:pPr>
            <w:r>
              <w:rPr>
                <w:rFonts w:ascii="Arial" w:cs="Arial" w:eastAsia="Arial" w:hAnsi="Arial"/>
                <w:sz w:val="20"/>
                <w:szCs w:val="20"/>
                <w:color w:val="auto"/>
              </w:rPr>
              <w:t>15,002,245</w:t>
            </w:r>
          </w:p>
        </w:tc>
        <w:tc>
          <w:tcPr>
            <w:tcW w:w="1320" w:type="dxa"/>
            <w:vAlign w:val="bottom"/>
          </w:tcPr>
          <w:p>
            <w:pPr>
              <w:jc w:val="center"/>
              <w:spacing w:after="0"/>
              <w:rPr>
                <w:sz w:val="20"/>
                <w:szCs w:val="20"/>
                <w:color w:val="auto"/>
              </w:rPr>
            </w:pPr>
            <w:r>
              <w:rPr>
                <w:rFonts w:ascii="Arial" w:cs="Arial" w:eastAsia="Arial" w:hAnsi="Arial"/>
                <w:sz w:val="20"/>
                <w:szCs w:val="20"/>
                <w:color w:val="auto"/>
              </w:rPr>
              <w:t>9.237%</w:t>
            </w:r>
          </w:p>
        </w:tc>
      </w:tr>
      <w:tr>
        <w:trPr>
          <w:trHeight w:val="326"/>
        </w:trPr>
        <w:tc>
          <w:tcPr>
            <w:tcW w:w="1840" w:type="dxa"/>
            <w:vAlign w:val="bottom"/>
          </w:tcPr>
          <w:p>
            <w:pPr>
              <w:jc w:val="center"/>
              <w:spacing w:after="0"/>
              <w:rPr>
                <w:sz w:val="20"/>
                <w:szCs w:val="20"/>
                <w:color w:val="auto"/>
              </w:rPr>
            </w:pPr>
            <w:r>
              <w:rPr>
                <w:rFonts w:ascii="Arial" w:cs="Arial" w:eastAsia="Arial" w:hAnsi="Arial"/>
                <w:sz w:val="20"/>
                <w:szCs w:val="20"/>
                <w:color w:val="auto"/>
              </w:rPr>
              <w:t>GFL International</w:t>
            </w: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02"/>
        </w:trPr>
        <w:tc>
          <w:tcPr>
            <w:tcW w:w="1840" w:type="dxa"/>
            <w:vAlign w:val="bottom"/>
          </w:tcPr>
          <w:p>
            <w:pPr>
              <w:jc w:val="center"/>
              <w:spacing w:after="0"/>
              <w:rPr>
                <w:sz w:val="20"/>
                <w:szCs w:val="20"/>
                <w:color w:val="auto"/>
              </w:rPr>
            </w:pPr>
            <w:r>
              <w:rPr>
                <w:rFonts w:ascii="Arial" w:cs="Arial" w:eastAsia="Arial" w:hAnsi="Arial"/>
                <w:sz w:val="20"/>
                <w:szCs w:val="20"/>
                <w:color w:val="auto"/>
                <w:w w:val="99"/>
              </w:rPr>
              <w:t>Co., Limited</w:t>
            </w:r>
          </w:p>
        </w:tc>
        <w:tc>
          <w:tcPr>
            <w:tcW w:w="1380" w:type="dxa"/>
            <w:vAlign w:val="bottom"/>
          </w:tcPr>
          <w:p>
            <w:pPr>
              <w:jc w:val="right"/>
              <w:ind w:right="100"/>
              <w:spacing w:after="0"/>
              <w:rPr>
                <w:sz w:val="20"/>
                <w:szCs w:val="20"/>
                <w:color w:val="auto"/>
              </w:rPr>
            </w:pPr>
            <w:r>
              <w:rPr>
                <w:rFonts w:ascii="Arial" w:cs="Arial" w:eastAsia="Arial" w:hAnsi="Arial"/>
                <w:sz w:val="20"/>
                <w:szCs w:val="20"/>
                <w:color w:val="auto"/>
              </w:rPr>
              <w:t>15810,000</w:t>
            </w:r>
          </w:p>
        </w:tc>
        <w:tc>
          <w:tcPr>
            <w:tcW w:w="1320" w:type="dxa"/>
            <w:vAlign w:val="bottom"/>
          </w:tcPr>
          <w:p>
            <w:pPr>
              <w:jc w:val="center"/>
              <w:spacing w:after="0"/>
              <w:rPr>
                <w:sz w:val="20"/>
                <w:szCs w:val="20"/>
                <w:color w:val="auto"/>
              </w:rPr>
            </w:pPr>
            <w:r>
              <w:rPr>
                <w:rFonts w:ascii="Arial" w:cs="Arial" w:eastAsia="Arial" w:hAnsi="Arial"/>
                <w:sz w:val="20"/>
                <w:szCs w:val="20"/>
                <w:color w:val="auto"/>
              </w:rPr>
              <w:t>9.735%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-366395</wp:posOffset>
            </wp:positionV>
            <wp:extent cx="2880360" cy="39878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0">
                      <a:extLst>
                        <a:ext uri="{28A0092B-C50C-407E-A947-70E740481C1C}"/>
                      </a:extLst>
                    </a:blip>
                    <a:srcRect/>
                    <a:stretch>
                      <a:fillRect/>
                    </a:stretch>
                  </pic:blipFill>
                  <pic:spPr bwMode="auto">
                    <a:xfrm>
                      <a:off x="0" y="0"/>
                      <a:ext cx="2880360" cy="398780"/>
                    </a:xfrm>
                    <a:prstGeom prst="rect">
                      <a:avLst/>
                    </a:prstGeom>
                    <a:noFill/>
                  </pic:spPr>
                </pic:pic>
              </a:graphicData>
            </a:graphic>
          </wp:anchor>
        </w:drawing>
      </w:r>
    </w:p>
    <w:p>
      <w:pPr>
        <w:spacing w:after="0" w:line="364" w:lineRule="exact"/>
        <w:rPr>
          <w:sz w:val="20"/>
          <w:szCs w:val="20"/>
          <w:color w:val="auto"/>
        </w:rPr>
      </w:pPr>
    </w:p>
    <w:p>
      <w:pPr>
        <w:ind w:left="900"/>
        <w:spacing w:after="0"/>
        <w:rPr>
          <w:sz w:val="20"/>
          <w:szCs w:val="20"/>
          <w:color w:val="auto"/>
        </w:rPr>
      </w:pPr>
      <w:r>
        <w:rPr>
          <w:rFonts w:ascii="Arial" w:cs="Arial" w:eastAsia="Arial" w:hAnsi="Arial"/>
          <w:sz w:val="20"/>
          <w:szCs w:val="20"/>
          <w:color w:val="auto"/>
        </w:rPr>
        <w:t>All major shareholders have the same voting rights as all other shareholders of the Company.</w:t>
      </w:r>
    </w:p>
    <w:p>
      <w:pPr>
        <w:spacing w:after="0" w:line="279"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The major changes in the last three years in the percentage ownership of people who beneficially own 5% o outstanding voting rights attached to our Shares were:</w:t>
      </w:r>
    </w:p>
    <w:p>
      <w:pPr>
        <w:spacing w:after="0" w:line="179" w:lineRule="exact"/>
        <w:rPr>
          <w:sz w:val="20"/>
          <w:szCs w:val="20"/>
          <w:color w:val="auto"/>
        </w:rPr>
      </w:pPr>
    </w:p>
    <w:p>
      <w:pPr>
        <w:ind w:left="1620" w:hanging="366"/>
        <w:spacing w:after="0" w:line="368" w:lineRule="auto"/>
        <w:tabs>
          <w:tab w:leader="none" w:pos="162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On February 16, 2023, General Motors Holdings LLC became the record holder of 15,002,243 Sh without par value, reporting 9.99% equity ownership.</w:t>
      </w:r>
    </w:p>
    <w:p>
      <w:pPr>
        <w:spacing w:after="0" w:line="134"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On October 3, 2023, General Motors Holdings LLC held the same number of shares but the percen of shares owned decreased to 9.374% based on Lithium Argentina’s total Shares outstanding equ 160,047,673 as of September 28, 2023.</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Ganfeng Standstill</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On November 29, 2024, the Company and Ganfeng entered into a three year standstill agreement pursua which Ganfeng agreed that it will not, directly or indirectly, acquire or facilitate the acquisition of a contr interest in the Company (subject to customary exceptions).</w:t>
      </w:r>
    </w:p>
    <w:p>
      <w:pPr>
        <w:spacing w:after="0" w:line="2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We are a publicly owned Company, and our Shares are beneficially owned by Canadian residents, United S residents, and residents of other countries. To our knowledge, we are not directly owned or controlled by an corporation, any foreign government or any other natural or legal person(s), whether severally or jointly. W not aware of any arrangement, the operation of which may result in a change of control of us.</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As of March 13, 2026, there were 33 record holders of the Company’s Shares with addresses in the U States, with combined holdings of 47,428,380 Shares.</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B. Related Party Transactions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16 / 139</w:t>
      </w:r>
    </w:p>
    <w:p>
      <w:pPr>
        <w:sectPr>
          <w:pgSz w:w="11900" w:h="16838" w:orient="portrait"/>
          <w:cols w:equalWidth="0" w:num="1">
            <w:col w:w="10460"/>
          </w:cols>
          <w:pgMar w:left="1440" w:top="1440" w:right="6" w:bottom="0" w:gutter="0" w:footer="0" w:header="0"/>
          <w:type w:val="continuous"/>
        </w:sectPr>
      </w:pPr>
    </w:p>
    <w:bookmarkStart w:id="245" w:name="page246"/>
    <w:bookmarkEnd w:id="245"/>
    <w:p>
      <w:pPr>
        <w:jc w:val="both"/>
        <w:ind w:left="900"/>
        <w:spacing w:after="0" w:line="313" w:lineRule="auto"/>
        <w:rPr>
          <w:sz w:val="20"/>
          <w:szCs w:val="20"/>
          <w:color w:val="auto"/>
        </w:rPr>
      </w:pPr>
      <w:r>
        <w:rPr>
          <w:rFonts w:ascii="Arial" w:cs="Arial" w:eastAsia="Arial" w:hAnsi="Arial"/>
          <w:sz w:val="20"/>
          <w:szCs w:val="20"/>
          <w:color w:val="auto"/>
        </w:rPr>
        <w:t>For information regarding the Company’s related party transactions, see the section titled “Related P Transactions” in the Management's Discussion and Analysis of the Company for the year ended Decembe 2025 incorporated by reference into this annual report as Exhibit 15.1 and Notes 6, 7, 8, 9, 10 and 15 o Company’s audited consolidated financial statements for the years ended December 31, 2025, 2024 and included in “Item 18. – Financial Statements” of this annual report.</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C. Interests of Experts and Counsel</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1131570</wp:posOffset>
            </wp:positionV>
            <wp:extent cx="6764020" cy="190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17 / 139</w:t>
      </w:r>
    </w:p>
    <w:p>
      <w:pPr>
        <w:sectPr>
          <w:pgSz w:w="11900" w:h="16838" w:orient="portrait"/>
          <w:cols w:equalWidth="0" w:num="1">
            <w:col w:w="10460"/>
          </w:cols>
          <w:pgMar w:left="1440" w:top="1172" w:right="6" w:bottom="0" w:gutter="0" w:footer="0" w:header="0"/>
          <w:type w:val="continuous"/>
        </w:sectPr>
      </w:pPr>
    </w:p>
    <w:bookmarkStart w:id="246" w:name="page247"/>
    <w:bookmarkEnd w:id="2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8. FINANCIAL INFORMATION</w:t>
      </w:r>
    </w:p>
    <w:p>
      <w:pPr>
        <w:spacing w:after="0" w:line="286"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A. Consolidated Statements and Other Financial Information</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consolidated financial statements of the Company and the report of the independent registered p accounting firm, PricewaterhouseCoopers LLP, are filed as part of this Annual Report under "</w:t>
      </w:r>
      <w:r>
        <w:rPr>
          <w:rFonts w:ascii="Arial" w:cs="Arial" w:eastAsia="Arial" w:hAnsi="Arial"/>
          <w:sz w:val="20"/>
          <w:szCs w:val="20"/>
          <w:i w:val="1"/>
          <w:iCs w:val="1"/>
          <w:color w:val="auto"/>
        </w:rPr>
        <w:t>Item 18. - Fina</w:t>
      </w:r>
      <w:r>
        <w:rPr>
          <w:rFonts w:ascii="Arial" w:cs="Arial" w:eastAsia="Arial" w:hAnsi="Arial"/>
          <w:sz w:val="20"/>
          <w:szCs w:val="20"/>
          <w:color w:val="auto"/>
        </w:rPr>
        <w:t xml:space="preserve"> </w:t>
      </w:r>
      <w:r>
        <w:rPr>
          <w:rFonts w:ascii="Arial" w:cs="Arial" w:eastAsia="Arial" w:hAnsi="Arial"/>
          <w:sz w:val="20"/>
          <w:szCs w:val="20"/>
          <w:i w:val="1"/>
          <w:iCs w:val="1"/>
          <w:color w:val="auto"/>
        </w:rPr>
        <w:t>Statements</w:t>
      </w:r>
      <w:r>
        <w:rPr>
          <w:rFonts w:ascii="Arial" w:cs="Arial" w:eastAsia="Arial" w:hAnsi="Arial"/>
          <w:sz w:val="20"/>
          <w:szCs w:val="20"/>
          <w:color w:val="auto"/>
        </w:rPr>
        <w:t>."</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Legal Proceedings and Regulatory Actions</w:t>
      </w:r>
    </w:p>
    <w:p>
      <w:pPr>
        <w:spacing w:after="0" w:line="381"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 xml:space="preserve">During the year ended December 31, 2025, there have been no </w:t>
      </w:r>
      <w:r>
        <w:rPr>
          <w:rFonts w:ascii="Arial" w:cs="Arial" w:eastAsia="Arial" w:hAnsi="Arial"/>
          <w:sz w:val="20"/>
          <w:szCs w:val="20"/>
          <w:u w:val="single" w:color="auto"/>
          <w:color w:val="auto"/>
        </w:rPr>
        <w:t>materi</w:t>
      </w:r>
      <w:r>
        <w:rPr>
          <w:rFonts w:ascii="Arial" w:cs="Arial" w:eastAsia="Arial" w:hAnsi="Arial"/>
          <w:sz w:val="20"/>
          <w:szCs w:val="20"/>
          <w:color w:val="auto"/>
        </w:rPr>
        <w:t xml:space="preserve"> legal proceedings to which the Company is or was a party or of which any of its projects is or was the subje nor are any such proceedings known to the Company to be contemplated. To the best of our knowledge, a of the date hereof, no changes have been made to these circumstances.</w:t>
      </w:r>
    </w:p>
    <w:p>
      <w:pPr>
        <w:spacing w:after="0" w:line="313"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During the year ended December 31, 2025, the Company has not had any penalties or sanctions imposed by, or entered into any settlement agreements with, a court or a securities regulatory authority relatin securities laws, nor has Lithium Argentina been subject to any other penalties or sanctions imposed by a co regulatory body that would likely be considered important to a reasonable investor in making an invest decision. To the best of our knowledge and as of the date hereof, this remains unchanged.</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Dividend Policy</w:t>
      </w:r>
    </w:p>
    <w:p>
      <w:pPr>
        <w:spacing w:after="0" w:line="279"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The Company has no fixed dividend policy and has not declared any dividends on its Shares sinc incorporation. The Company anticipates that all available funds will be kept as retained earnings to operations, used to undertake exploration and development programs on its mineral properties, and fo acquisition of additional mineral properties for the foreseeable future. Any future payment of dividends depend, among other things, upon the Company’s earnings, capital requirements and operating and fina condition. Dividends may be paid by a Swiss company only if: (i) approved by a majority of votes cas shareholders present at a shareholders meeting, whether in person or by proxy; and (ii) Lithium Argentina sufficient distributable profits from the previous fiscal years, or if Lithium Argentina has freely distribut reserves, including out of capital contribution reserves. Dividends are usually due and payable shortly afte shareholders have passed a resolution approving the payment. The Board of a Swiss share company propose to shareholders that a distribution of dividends be paid but cannot itself authorize the dividend. Ther be no assurance that the Company will generate sufficient earnings to allow it to pay dividends.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B. Significant Changes</w:t>
      </w:r>
    </w:p>
    <w:p>
      <w:pPr>
        <w:spacing w:after="0" w:line="27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There have been no significant changes since the date of the financial statements included in this annual re except as disclosed in this annual report.</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9. THE OFFER AND LISTING</w:t>
      </w:r>
    </w:p>
    <w:p>
      <w:pPr>
        <w:spacing w:after="0" w:line="286"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A. Offer and Listing Details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18 / 139</w:t>
      </w:r>
    </w:p>
    <w:p>
      <w:pPr>
        <w:sectPr>
          <w:pgSz w:w="11900" w:h="16838" w:orient="portrait"/>
          <w:cols w:equalWidth="0" w:num="1">
            <w:col w:w="10460"/>
          </w:cols>
          <w:pgMar w:left="1440" w:top="1440" w:right="6" w:bottom="0" w:gutter="0" w:footer="0" w:header="0"/>
          <w:type w:val="continuous"/>
        </w:sectPr>
      </w:pPr>
    </w:p>
    <w:bookmarkStart w:id="247" w:name="page248"/>
    <w:bookmarkEnd w:id="247"/>
    <w:p>
      <w:pPr>
        <w:ind w:left="900"/>
        <w:spacing w:after="0"/>
        <w:rPr>
          <w:sz w:val="20"/>
          <w:szCs w:val="20"/>
          <w:color w:val="auto"/>
        </w:rPr>
      </w:pPr>
      <w:r>
        <w:rPr>
          <w:rFonts w:ascii="Arial" w:cs="Arial" w:eastAsia="Arial" w:hAnsi="Arial"/>
          <w:sz w:val="19"/>
          <w:szCs w:val="19"/>
          <w:color w:val="auto"/>
        </w:rPr>
        <w:t>The Shares of the Company are listed on the TSX and the NYSE under the ticker symbol "LAR."</w:t>
      </w:r>
    </w:p>
    <w:p>
      <w:pPr>
        <w:spacing w:after="0" w:line="276"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B. Plan of Distribution</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 applicable.</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C. Markets</w:t>
      </w:r>
    </w:p>
    <w:p>
      <w:pPr>
        <w:spacing w:after="0" w:line="279" w:lineRule="exact"/>
        <w:rPr>
          <w:sz w:val="20"/>
          <w:szCs w:val="20"/>
          <w:color w:val="auto"/>
        </w:rPr>
      </w:pPr>
    </w:p>
    <w:p>
      <w:pPr>
        <w:ind w:left="900"/>
        <w:spacing w:after="0"/>
        <w:rPr>
          <w:sz w:val="20"/>
          <w:szCs w:val="20"/>
          <w:color w:val="auto"/>
        </w:rPr>
      </w:pPr>
      <w:r>
        <w:rPr>
          <w:rFonts w:ascii="Arial" w:cs="Arial" w:eastAsia="Arial" w:hAnsi="Arial"/>
          <w:sz w:val="19"/>
          <w:szCs w:val="19"/>
          <w:color w:val="auto"/>
        </w:rPr>
        <w:t>The Shares of the Company are listed on the TSX and the NYSE under the ticker symbol "LAR."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1134745</wp:posOffset>
            </wp:positionV>
            <wp:extent cx="6764020" cy="190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400"/>
          </w:cols>
          <w:pgMar w:left="1440" w:top="1172" w:right="10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19 / 139</w:t>
      </w:r>
    </w:p>
    <w:p>
      <w:pPr>
        <w:sectPr>
          <w:pgSz w:w="11900" w:h="16838" w:orient="portrait"/>
          <w:cols w:equalWidth="0" w:num="1">
            <w:col w:w="9400"/>
          </w:cols>
          <w:pgMar w:left="1440" w:top="1172" w:right="1066" w:bottom="0" w:gutter="0" w:footer="0" w:header="0"/>
          <w:type w:val="continuous"/>
        </w:sectPr>
      </w:pPr>
    </w:p>
    <w:bookmarkStart w:id="248" w:name="page249"/>
    <w:bookmarkEnd w:id="2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D. Selling Shareholders</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 applicable.</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E. Dilution</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 applicable.</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F. Expenses of the Issue</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 applicable.</w:t>
      </w:r>
    </w:p>
    <w:p>
      <w:pPr>
        <w:spacing w:after="0" w:line="284"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10. ADDITIONAL INFORMATION</w:t>
      </w:r>
    </w:p>
    <w:p>
      <w:pPr>
        <w:spacing w:after="0" w:line="286"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A. Share Capital</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 applicable.</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B. Memorandum and Articles of Association</w:t>
      </w:r>
    </w:p>
    <w:p>
      <w:pPr>
        <w:spacing w:after="0" w:line="279" w:lineRule="exact"/>
        <w:rPr>
          <w:sz w:val="20"/>
          <w:szCs w:val="20"/>
          <w:color w:val="auto"/>
        </w:rPr>
      </w:pPr>
    </w:p>
    <w:p>
      <w:pPr>
        <w:jc w:val="both"/>
        <w:ind w:left="900" w:right="40"/>
        <w:spacing w:after="0" w:line="311" w:lineRule="auto"/>
        <w:rPr>
          <w:sz w:val="20"/>
          <w:szCs w:val="20"/>
          <w:color w:val="auto"/>
        </w:rPr>
      </w:pPr>
      <w:r>
        <w:rPr>
          <w:rFonts w:ascii="Arial" w:cs="Arial" w:eastAsia="Arial" w:hAnsi="Arial"/>
          <w:sz w:val="20"/>
          <w:szCs w:val="20"/>
          <w:color w:val="auto"/>
        </w:rPr>
        <w:t xml:space="preserve">The following description is a summary of the Articles of Association. This summary is not complete a qualified by reference to the provisions of the </w:t>
      </w:r>
      <w:r>
        <w:rPr>
          <w:rFonts w:ascii="Arial" w:cs="Arial" w:eastAsia="Arial" w:hAnsi="Arial"/>
          <w:sz w:val="20"/>
          <w:szCs w:val="20"/>
          <w:i w:val="1"/>
          <w:iCs w:val="1"/>
          <w:color w:val="auto"/>
        </w:rPr>
        <w:t>Swiss Code of Obligations</w:t>
      </w:r>
      <w:r>
        <w:rPr>
          <w:rFonts w:ascii="Arial" w:cs="Arial" w:eastAsia="Arial" w:hAnsi="Arial"/>
          <w:sz w:val="20"/>
          <w:szCs w:val="20"/>
          <w:color w:val="auto"/>
        </w:rPr>
        <w:t xml:space="preserve"> and is subject to the complete text Articles of Association, which is filed as Exhibit 1.1 to this annual report.</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u w:val="single" w:color="auto"/>
          <w:color w:val="auto"/>
        </w:rPr>
        <w:t>Share Capital</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Following the Continuation being effective, as of the date hereof, Lithium Argentina's (nominal) share ca (</w:t>
      </w:r>
      <w:r>
        <w:rPr>
          <w:rFonts w:ascii="Arial" w:cs="Arial" w:eastAsia="Arial" w:hAnsi="Arial"/>
          <w:sz w:val="20"/>
          <w:szCs w:val="20"/>
          <w:i w:val="1"/>
          <w:iCs w:val="1"/>
          <w:color w:val="auto"/>
        </w:rPr>
        <w:t>Aktienkapital</w:t>
      </w:r>
      <w:r>
        <w:rPr>
          <w:rFonts w:ascii="Arial" w:cs="Arial" w:eastAsia="Arial" w:hAnsi="Arial"/>
          <w:sz w:val="20"/>
          <w:szCs w:val="20"/>
          <w:color w:val="auto"/>
        </w:rPr>
        <w:t>) amounts to US$1,619,322.34, consisting of 161,932,234 Shares with a nominal/par value share of US$0.01 each as set forth in the Articles of Association. The share capital is fully paid-in (which when used herein, means that the entirety of such share's issue price has been fully paid to Lithium Argen Lithium Argentina has one class of shares outstanding, being the Shares. The Shares are not convertible shares of any other class or series.</w:t>
      </w:r>
    </w:p>
    <w:p>
      <w:pPr>
        <w:spacing w:after="0" w:line="313"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i w:val="1"/>
          <w:iCs w:val="1"/>
          <w:color w:val="auto"/>
        </w:rPr>
        <w:t>Swiss Code of Obligations</w:t>
      </w:r>
      <w:r>
        <w:rPr>
          <w:rFonts w:ascii="Arial" w:cs="Arial" w:eastAsia="Arial" w:hAnsi="Arial"/>
          <w:sz w:val="20"/>
          <w:szCs w:val="20"/>
          <w:color w:val="auto"/>
        </w:rPr>
        <w:t xml:space="preserve"> provides three methods for increasing a company’s share capital: (i) ord capital increase, (ii) increase within the capital band, and (iii) increase from conditional capital.</w:t>
      </w:r>
    </w:p>
    <w:p>
      <w:pPr>
        <w:spacing w:after="0" w:line="310" w:lineRule="exact"/>
        <w:rPr>
          <w:sz w:val="20"/>
          <w:szCs w:val="20"/>
          <w:color w:val="auto"/>
        </w:rPr>
      </w:pPr>
    </w:p>
    <w:p>
      <w:pPr>
        <w:ind w:left="900"/>
        <w:spacing w:after="0"/>
        <w:rPr>
          <w:sz w:val="20"/>
          <w:szCs w:val="20"/>
          <w:color w:val="auto"/>
        </w:rPr>
      </w:pPr>
      <w:r>
        <w:rPr>
          <w:rFonts w:ascii="Arial" w:cs="Arial" w:eastAsia="Arial" w:hAnsi="Arial"/>
          <w:sz w:val="20"/>
          <w:szCs w:val="20"/>
          <w:i w:val="1"/>
          <w:iCs w:val="1"/>
          <w:u w:val="single" w:color="auto"/>
          <w:color w:val="auto"/>
        </w:rPr>
        <w:t>Ordinary Capital Increase, Capital Band and Conditional Share Capital</w:t>
      </w:r>
    </w:p>
    <w:p>
      <w:pPr>
        <w:spacing w:after="0" w:line="381" w:lineRule="exact"/>
        <w:rPr>
          <w:sz w:val="20"/>
          <w:szCs w:val="20"/>
          <w:color w:val="auto"/>
        </w:rPr>
      </w:pPr>
    </w:p>
    <w:p>
      <w:pPr>
        <w:jc w:val="both"/>
        <w:ind w:left="900"/>
        <w:spacing w:after="0" w:line="332" w:lineRule="auto"/>
        <w:rPr>
          <w:sz w:val="20"/>
          <w:szCs w:val="20"/>
          <w:color w:val="auto"/>
        </w:rPr>
      </w:pPr>
      <w:r>
        <w:rPr>
          <w:rFonts w:ascii="Arial" w:cs="Arial" w:eastAsia="Arial" w:hAnsi="Arial"/>
          <w:sz w:val="19"/>
          <w:szCs w:val="19"/>
          <w:color w:val="auto"/>
        </w:rPr>
        <w:t>An ordinary capital increase requires a resolution by the general meeting of shareholders and must be carrie by the Board within six months of the respective general meeting in order to become effective. Under Swiss in the case of subscription and increase against payment of contributions in cash, a resolution passed b absolute majority of the voting rights represented at the general meeting of shareholders is required. In the of subscription and increase against contributions in kind, or to fund acquisitions in kind, or by way of set-of a debt of Lithium Argentina, when shareholders’ statutory subscription rights or advance subscription right</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20 / 139</w:t>
      </w:r>
    </w:p>
    <w:p>
      <w:pPr>
        <w:sectPr>
          <w:pgSz w:w="11900" w:h="16838" w:orient="portrait"/>
          <w:cols w:equalWidth="0" w:num="1">
            <w:col w:w="10460"/>
          </w:cols>
          <w:pgMar w:left="1440" w:top="1440" w:right="6" w:bottom="0" w:gutter="0" w:footer="0" w:header="0"/>
          <w:type w:val="continuous"/>
        </w:sectPr>
      </w:pPr>
    </w:p>
    <w:bookmarkStart w:id="249" w:name="page250"/>
    <w:bookmarkEnd w:id="249"/>
    <w:p>
      <w:pPr>
        <w:jc w:val="both"/>
        <w:ind w:left="900"/>
        <w:spacing w:after="0" w:line="311" w:lineRule="auto"/>
        <w:rPr>
          <w:sz w:val="20"/>
          <w:szCs w:val="20"/>
          <w:color w:val="auto"/>
        </w:rPr>
      </w:pPr>
      <w:r>
        <w:rPr>
          <w:rFonts w:ascii="Arial" w:cs="Arial" w:eastAsia="Arial" w:hAnsi="Arial"/>
          <w:sz w:val="20"/>
          <w:szCs w:val="20"/>
          <w:color w:val="auto"/>
        </w:rPr>
        <w:t>limited or withdrawn, or where transformation of freely disposable equity into share capital is involved, a reso passed by two-thirds of the voting rights represented at a general meeting of shareholders and the abs majority of the nominal/ par value of the shares represented is required.</w:t>
      </w:r>
    </w:p>
    <w:p>
      <w:pPr>
        <w:spacing w:after="0" w:line="313"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Further, the shareholders may authorize the Board, by a resolution passed by two-thirds of the voting r represented at a general meeting of shareholders and the absolute majority of the nominal par value of the s represented at such meeting (such qualified majority, “</w:t>
      </w:r>
      <w:r>
        <w:rPr>
          <w:rFonts w:ascii="Arial" w:cs="Arial" w:eastAsia="Arial" w:hAnsi="Arial"/>
          <w:sz w:val="20"/>
          <w:szCs w:val="20"/>
          <w:b w:val="1"/>
          <w:bCs w:val="1"/>
          <w:color w:val="auto"/>
        </w:rPr>
        <w:t>Important Resolution</w:t>
      </w:r>
      <w:r>
        <w:rPr>
          <w:rFonts w:ascii="Arial" w:cs="Arial" w:eastAsia="Arial" w:hAnsi="Arial"/>
          <w:sz w:val="20"/>
          <w:szCs w:val="20"/>
          <w:color w:val="auto"/>
        </w:rPr>
        <w:t>”), to increase the share capital specific aggregate nominal amount, up to a maximum of 50% of the share capital,</w:t>
      </w:r>
    </w:p>
    <w:p>
      <w:pPr>
        <w:spacing w:after="0" w:line="175" w:lineRule="exact"/>
        <w:rPr>
          <w:sz w:val="20"/>
          <w:szCs w:val="20"/>
          <w:color w:val="auto"/>
        </w:rPr>
      </w:pPr>
    </w:p>
    <w:p>
      <w:pPr>
        <w:ind w:left="1620" w:hanging="366"/>
        <w:spacing w:after="0" w:line="368" w:lineRule="auto"/>
        <w:tabs>
          <w:tab w:leader="none" w:pos="162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within the capital band (</w:t>
      </w:r>
      <w:r>
        <w:rPr>
          <w:rFonts w:ascii="Arial" w:cs="Arial" w:eastAsia="Arial" w:hAnsi="Arial"/>
          <w:sz w:val="20"/>
          <w:szCs w:val="20"/>
          <w:i w:val="1"/>
          <w:iCs w:val="1"/>
          <w:color w:val="auto"/>
        </w:rPr>
        <w:t>Kapitalband</w:t>
      </w:r>
      <w:r>
        <w:rPr>
          <w:rFonts w:ascii="Arial" w:cs="Arial" w:eastAsia="Arial" w:hAnsi="Arial"/>
          <w:sz w:val="20"/>
          <w:szCs w:val="20"/>
          <w:color w:val="auto"/>
        </w:rPr>
        <w:t>), to be utilized by the Board within a period determined by shareholders but not exceeding five years from the date of the shareholder approval; or</w:t>
      </w:r>
    </w:p>
    <w:p>
      <w:pPr>
        <w:spacing w:after="0" w:line="134" w:lineRule="exact"/>
        <w:rPr>
          <w:rFonts w:ascii="Arial" w:cs="Arial" w:eastAsia="Arial" w:hAnsi="Arial"/>
          <w:sz w:val="20"/>
          <w:szCs w:val="20"/>
          <w:color w:val="auto"/>
        </w:rPr>
      </w:pPr>
    </w:p>
    <w:p>
      <w:pPr>
        <w:ind w:left="1620" w:hanging="366"/>
        <w:spacing w:after="0" w:line="400" w:lineRule="auto"/>
        <w:tabs>
          <w:tab w:leader="none" w:pos="162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from the conditional capital (</w:t>
      </w:r>
      <w:r>
        <w:rPr>
          <w:rFonts w:ascii="Arial" w:cs="Arial" w:eastAsia="Arial" w:hAnsi="Arial"/>
          <w:sz w:val="19"/>
          <w:szCs w:val="19"/>
          <w:i w:val="1"/>
          <w:iCs w:val="1"/>
          <w:color w:val="auto"/>
        </w:rPr>
        <w:t>bedingtes Kapital</w:t>
      </w:r>
      <w:r>
        <w:rPr>
          <w:rFonts w:ascii="Arial" w:cs="Arial" w:eastAsia="Arial" w:hAnsi="Arial"/>
          <w:sz w:val="19"/>
          <w:szCs w:val="19"/>
          <w:color w:val="auto"/>
        </w:rPr>
        <w:t>) for the purpose of issuing shares in connection among other things, (i) option and conversion rights granted in connection with warrants and convert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1048385</wp:posOffset>
            </wp:positionV>
            <wp:extent cx="6764020" cy="190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21 / 139</w:t>
      </w:r>
    </w:p>
    <w:p>
      <w:pPr>
        <w:sectPr>
          <w:pgSz w:w="11900" w:h="16838" w:orient="portrait"/>
          <w:cols w:equalWidth="0" w:num="1">
            <w:col w:w="10460"/>
          </w:cols>
          <w:pgMar w:left="1440" w:top="1172" w:right="6" w:bottom="0" w:gutter="0" w:footer="0" w:header="0"/>
          <w:type w:val="continuous"/>
        </w:sectPr>
      </w:pPr>
    </w:p>
    <w:bookmarkStart w:id="250" w:name="page251"/>
    <w:bookmarkEnd w:id="2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620" w:right="100"/>
        <w:spacing w:after="0" w:line="372" w:lineRule="auto"/>
        <w:rPr>
          <w:sz w:val="20"/>
          <w:szCs w:val="20"/>
          <w:color w:val="auto"/>
        </w:rPr>
      </w:pPr>
      <w:r>
        <w:rPr>
          <w:rFonts w:ascii="Arial" w:cs="Arial" w:eastAsia="Arial" w:hAnsi="Arial"/>
          <w:sz w:val="20"/>
          <w:szCs w:val="20"/>
          <w:color w:val="auto"/>
        </w:rPr>
        <w:t>instruments of the company or one of its subsidiaries or (ii) grants of rights to employees, members Board or consultants or its subsidiaries or other persons providing services to the company subsidiary to subscribe for new shares (conversion or option rights),</w:t>
      </w:r>
    </w:p>
    <w:p>
      <w:pPr>
        <w:spacing w:after="0" w:line="26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without further shareholders' approval, provided the Articles of Association delegate such authority to the B (see section “</w:t>
      </w:r>
      <w:r>
        <w:rPr>
          <w:rFonts w:ascii="Arial" w:cs="Arial" w:eastAsia="Arial" w:hAnsi="Arial"/>
          <w:sz w:val="20"/>
          <w:szCs w:val="20"/>
          <w:i w:val="1"/>
          <w:iCs w:val="1"/>
          <w:color w:val="auto"/>
        </w:rPr>
        <w:t>Capital Band</w:t>
      </w:r>
      <w:r>
        <w:rPr>
          <w:rFonts w:ascii="Arial" w:cs="Arial" w:eastAsia="Arial" w:hAnsi="Arial"/>
          <w:sz w:val="20"/>
          <w:szCs w:val="20"/>
          <w:color w:val="auto"/>
        </w:rPr>
        <w:t>” and “</w:t>
      </w:r>
      <w:r>
        <w:rPr>
          <w:rFonts w:ascii="Arial" w:cs="Arial" w:eastAsia="Arial" w:hAnsi="Arial"/>
          <w:sz w:val="20"/>
          <w:szCs w:val="20"/>
          <w:i w:val="1"/>
          <w:iCs w:val="1"/>
          <w:color w:val="auto"/>
        </w:rPr>
        <w:t>Conditional Capital</w:t>
      </w:r>
      <w:r>
        <w:rPr>
          <w:rFonts w:ascii="Arial" w:cs="Arial" w:eastAsia="Arial" w:hAnsi="Arial"/>
          <w:sz w:val="20"/>
          <w:szCs w:val="20"/>
          <w:color w:val="auto"/>
        </w:rPr>
        <w:t>”).</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Lithium Argentina’s Capital Band</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Under Article 4 of the Articles of Association, the Board of Lithium Argentina is authorized to conduct at any until January 17, 2030, at the latest, once or several times an increase of the share capital to a upper li US$1,781,254.57 by issuing a maximum of 16,193,223 fully paid-in Shares with a nominal value of US$0.01 or to reduce the share capital down to a lower limit of US$1,457,390.11 by cancelling up to 16,193,223 fully in shares. Within the capital band, the Board shall also be authorized to effect the increase/reduction of the s capital by increasing/reducing the par value of the existing Shares or by a simultaneous reduction and re-inc of the share capital, in each case within the limits of the capital band.</w:t>
      </w:r>
    </w:p>
    <w:p>
      <w:pPr>
        <w:spacing w:after="0" w:line="214"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If the share capital increases as a result of an increase from conditional capital, the upper and lower limits o capital band will increase in an amount corresponding to such an increase in the share capital.</w:t>
      </w:r>
    </w:p>
    <w:p>
      <w:pPr>
        <w:spacing w:after="0" w:line="215"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Within the capital band, shares may also, but not exclusively, be issued or cancelled in the event of a me consolidation (merger with one surviving entity), acquisition, public takeover or any other similar transacti “</w:t>
      </w:r>
      <w:r>
        <w:rPr>
          <w:rFonts w:ascii="Arial" w:cs="Arial" w:eastAsia="Arial" w:hAnsi="Arial"/>
          <w:sz w:val="20"/>
          <w:szCs w:val="20"/>
          <w:b w:val="1"/>
          <w:bCs w:val="1"/>
          <w:color w:val="auto"/>
        </w:rPr>
        <w:t>Strategic Transaction</w:t>
      </w:r>
      <w:r>
        <w:rPr>
          <w:rFonts w:ascii="Arial" w:cs="Arial" w:eastAsia="Arial" w:hAnsi="Arial"/>
          <w:sz w:val="20"/>
          <w:szCs w:val="20"/>
          <w:color w:val="auto"/>
        </w:rPr>
        <w:t>”)</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In the event of a share issuance within Lithium Argentina’s capital band, the Board, as set forth in the Articl Association, will determine all relevant terms of the issuance, including the date of the issuance, the issu price, the type of contribution, the beginning date for dividend entitlement, and, subject to the Article Association and applicable Swiss law, the conditions for the exercise of subscription rights with respect t issuance. After January 17, 2030, the capital band will be available to the Board for issuance of additional paid in Shares only if the authorization is reapproved by Lithium Argentina's shareholders. Shareholders may approve a renewal or change to the capital band before such time.</w:t>
      </w:r>
    </w:p>
    <w:p>
      <w:pPr>
        <w:spacing w:after="0" w:line="214"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In the case of a share issuance based on Lithium Argentina’s capital band, Lithium Argentina’s shareholders subscription rights to obtain newly issued Shares in an amount proportional to the nominal/par value o Shares they already hold. However, the Board may withdraw or limit these subscription rights in the follo circumstances:</w:t>
      </w:r>
    </w:p>
    <w:p>
      <w:pPr>
        <w:spacing w:after="0" w:line="168" w:lineRule="exact"/>
        <w:rPr>
          <w:sz w:val="20"/>
          <w:szCs w:val="20"/>
          <w:color w:val="auto"/>
        </w:rPr>
      </w:pPr>
    </w:p>
    <w:p>
      <w:pPr>
        <w:ind w:left="1620" w:hanging="366"/>
        <w:spacing w:after="0"/>
        <w:tabs>
          <w:tab w:leader="none" w:pos="162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if the issue price of the new shares is determined by reference to the market price;</w:t>
      </w:r>
    </w:p>
    <w:p>
      <w:pPr>
        <w:spacing w:after="0" w:line="257" w:lineRule="exact"/>
        <w:rPr>
          <w:rFonts w:ascii="Arial" w:cs="Arial" w:eastAsia="Arial" w:hAnsi="Arial"/>
          <w:sz w:val="20"/>
          <w:szCs w:val="20"/>
          <w:color w:val="auto"/>
        </w:rPr>
      </w:pPr>
    </w:p>
    <w:p>
      <w:pPr>
        <w:jc w:val="both"/>
        <w:ind w:left="1620" w:hanging="366"/>
        <w:spacing w:after="0" w:line="373" w:lineRule="auto"/>
        <w:tabs>
          <w:tab w:leader="none" w:pos="162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for a Strategic Transaction or any acquisitions of companies, parts of companies or participations, ro interests, real property, or for the financing of new investment projects of Lithium Argentina or its g companies, for the acquisition of products, intellectual property or licenses by or for investment proje Lithium Argentina or any of its group companies, or, in each case, for the financing or refinancing of transactions;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22 / 139</w:t>
      </w:r>
    </w:p>
    <w:p>
      <w:pPr>
        <w:sectPr>
          <w:pgSz w:w="11900" w:h="16838" w:orient="portrait"/>
          <w:cols w:equalWidth="0" w:num="1">
            <w:col w:w="10460"/>
          </w:cols>
          <w:pgMar w:left="1440" w:top="1440" w:right="6" w:bottom="0" w:gutter="0" w:footer="0" w:header="0"/>
          <w:type w:val="continuous"/>
        </w:sectPr>
      </w:pPr>
    </w:p>
    <w:bookmarkStart w:id="251" w:name="page252"/>
    <w:bookmarkEnd w:id="251"/>
    <w:p>
      <w:pPr>
        <w:ind w:left="1620" w:hanging="366"/>
        <w:spacing w:after="0"/>
        <w:tabs>
          <w:tab w:leader="none" w:pos="162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for participation of partners in the context of strategic partnerships;</w:t>
      </w:r>
    </w:p>
    <w:p>
      <w:pPr>
        <w:spacing w:after="0" w:line="257"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for a capital raise in a fast and flexible manner or that serves to achieve a strategic objective of Lit Argentina and that would not be possible without the exclusion of the subscription rights of exi shareholders, or only with great difficulty or delay, or on significantly less favorable terms;</w:t>
      </w:r>
    </w:p>
    <w:p>
      <w:pPr>
        <w:spacing w:after="0" w:line="130" w:lineRule="exact"/>
        <w:rPr>
          <w:rFonts w:ascii="Arial" w:cs="Arial" w:eastAsia="Arial" w:hAnsi="Arial"/>
          <w:sz w:val="20"/>
          <w:szCs w:val="20"/>
          <w:color w:val="auto"/>
        </w:rPr>
      </w:pPr>
    </w:p>
    <w:p>
      <w:pPr>
        <w:jc w:val="both"/>
        <w:ind w:left="1620" w:hanging="366"/>
        <w:spacing w:after="0" w:line="400" w:lineRule="auto"/>
        <w:tabs>
          <w:tab w:leader="none" w:pos="162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for purposes of broadening the shareholder constituency of Lithium Argentina in certain financi investor markets or for purposes of the participation of strategic partners including financial investors</w:t>
      </w:r>
    </w:p>
    <w:p>
      <w:pPr>
        <w:spacing w:after="0" w:line="104" w:lineRule="exact"/>
        <w:rPr>
          <w:rFonts w:ascii="Arial" w:cs="Arial" w:eastAsia="Arial" w:hAnsi="Arial"/>
          <w:sz w:val="19"/>
          <w:szCs w:val="19"/>
          <w:color w:val="auto"/>
        </w:rPr>
      </w:pPr>
    </w:p>
    <w:p>
      <w:pPr>
        <w:ind w:left="1620" w:hanging="366"/>
        <w:spacing w:after="0"/>
        <w:tabs>
          <w:tab w:leader="none" w:pos="162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in connection with listing of new shares on domestic or foreign stock exchanges;</w:t>
      </w:r>
    </w:p>
    <w:p>
      <w:pPr>
        <w:spacing w:after="0" w:line="257" w:lineRule="exact"/>
        <w:rPr>
          <w:rFonts w:ascii="Arial" w:cs="Arial" w:eastAsia="Arial" w:hAnsi="Arial"/>
          <w:sz w:val="20"/>
          <w:szCs w:val="20"/>
          <w:color w:val="auto"/>
        </w:rPr>
      </w:pPr>
    </w:p>
    <w:p>
      <w:pPr>
        <w:ind w:left="1620" w:right="40" w:hanging="366"/>
        <w:spacing w:after="0" w:line="368" w:lineRule="auto"/>
        <w:tabs>
          <w:tab w:leader="none" w:pos="162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for purposes of granting an over-allotment option (Greenshoe) in a placement or sale of shares t respective initial purchaser(s) or underwriter(s);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1063625</wp:posOffset>
            </wp:positionV>
            <wp:extent cx="6764020" cy="190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328"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23 / 139</w:t>
      </w:r>
    </w:p>
    <w:p>
      <w:pPr>
        <w:sectPr>
          <w:pgSz w:w="11900" w:h="16838" w:orient="portrait"/>
          <w:cols w:equalWidth="0" w:num="1">
            <w:col w:w="10460"/>
          </w:cols>
          <w:pgMar w:left="1440" w:top="1328" w:right="6" w:bottom="0" w:gutter="0" w:footer="0" w:header="0"/>
          <w:type w:val="continuous"/>
        </w:sectPr>
      </w:pPr>
    </w:p>
    <w:bookmarkStart w:id="252" w:name="page253"/>
    <w:bookmarkEnd w:id="2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620" w:hanging="366"/>
        <w:spacing w:after="0" w:line="372" w:lineRule="auto"/>
        <w:tabs>
          <w:tab w:leader="none" w:pos="162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for the participation of members of the Board, members of the executive management, employ contractors, consultants or other persons performing services for the benefit of Lithium Argentina o of its group companies, including arrangers and investment banks.</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Lithium Argentina’s Conditional Capital</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u w:val="single" w:color="auto"/>
          <w:color w:val="auto"/>
        </w:rPr>
        <w:t>Conditional Capital for Equity Incentive Plans</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Under Article 5 of the Articles of Association, Lithium Argentina's share capital may be increased by a maxi amount of US$161,932.23 through the direct or indirect issuance of no more than 16,193,223 fully paid-in S to the members of the Board and to the officers, employees, contractors or consultants of Lithium Argenti any of its group companies, or other persons providing services to Lithium Argentina or any of its g</w:t>
      </w:r>
    </w:p>
    <w:p>
      <w:pPr>
        <w:spacing w:after="0" w:line="5" w:lineRule="exact"/>
        <w:rPr>
          <w:sz w:val="20"/>
          <w:szCs w:val="20"/>
          <w:color w:val="auto"/>
        </w:rPr>
      </w:pPr>
    </w:p>
    <w:p>
      <w:pPr>
        <w:ind w:left="900"/>
        <w:spacing w:after="0"/>
        <w:tabs>
          <w:tab w:leader="none" w:pos="6220" w:val="left"/>
        </w:tabs>
        <w:rPr>
          <w:sz w:val="20"/>
          <w:szCs w:val="20"/>
          <w:color w:val="auto"/>
        </w:rPr>
      </w:pPr>
      <w:r>
        <w:rPr>
          <w:rFonts w:ascii="Arial" w:cs="Arial" w:eastAsia="Arial" w:hAnsi="Arial"/>
          <w:sz w:val="20"/>
          <w:szCs w:val="20"/>
          <w:color w:val="auto"/>
        </w:rPr>
        <w:t>companies</w:t>
      </w:r>
      <w:r>
        <w:rPr>
          <w:sz w:val="20"/>
          <w:szCs w:val="20"/>
          <w:color w:val="auto"/>
        </w:rPr>
        <w:tab/>
      </w:r>
      <w:r>
        <w:rPr>
          <w:rFonts w:ascii="Arial" w:cs="Arial" w:eastAsia="Arial" w:hAnsi="Arial"/>
          <w:sz w:val="20"/>
          <w:szCs w:val="20"/>
          <w:color w:val="auto"/>
        </w:rPr>
        <w:t>(the</w:t>
      </w:r>
    </w:p>
    <w:p>
      <w:pPr>
        <w:spacing w:after="0" w:line="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Beneficiaries</w:t>
      </w:r>
      <w:r>
        <w:rPr>
          <w:rFonts w:ascii="Arial" w:cs="Arial" w:eastAsia="Arial" w:hAnsi="Arial"/>
          <w:sz w:val="20"/>
          <w:szCs w:val="20"/>
          <w:color w:val="auto"/>
        </w:rPr>
        <w:t>”). The issuance of fully paid-in Shares with a par value of US$ 0.01 each pursuant to Article the Articles of Association may also occur as a result of the voluntary or automatic settlement, conversio exercise of rights or the mandatory exercise of obligations to acquire new shares granted to, or im-pose respectively, any of the Beneficiaries.</w:t>
      </w:r>
    </w:p>
    <w:p>
      <w:pPr>
        <w:spacing w:after="0" w:line="212" w:lineRule="exact"/>
        <w:rPr>
          <w:sz w:val="20"/>
          <w:szCs w:val="20"/>
          <w:color w:val="auto"/>
        </w:rPr>
      </w:pPr>
    </w:p>
    <w:p>
      <w:pPr>
        <w:jc w:val="both"/>
        <w:ind w:left="900"/>
        <w:spacing w:after="0" w:line="332" w:lineRule="auto"/>
        <w:rPr>
          <w:sz w:val="20"/>
          <w:szCs w:val="20"/>
          <w:color w:val="auto"/>
        </w:rPr>
      </w:pPr>
      <w:r>
        <w:rPr>
          <w:rFonts w:ascii="Arial" w:cs="Arial" w:eastAsia="Arial" w:hAnsi="Arial"/>
          <w:sz w:val="19"/>
          <w:szCs w:val="19"/>
          <w:color w:val="auto"/>
        </w:rPr>
        <w:t>Subscription and advance subscription rights of shareholders are excluded for this conditional capital incre Any such issuance of new shares or voluntary, automatic or mandatory exercise of rights or obligations to ac shares shall be under one or more plans, agreements, regulations or resolutions to be issued by the Board the extent delegated to it, a committee of the Board. The Board will determine all details of the terms of i such as each amount of issue, date of dividend entitlement, and kind of contributions. Any such issuance of shares may be made at a price per share below the applicable stock exchange price and any such righ obligations to acquire shares may be granted or imposed on, respectively, below their intrinsic value.</w:t>
      </w:r>
    </w:p>
    <w:p>
      <w:pPr>
        <w:spacing w:after="0" w:line="299" w:lineRule="exact"/>
        <w:rPr>
          <w:sz w:val="20"/>
          <w:szCs w:val="20"/>
          <w:color w:val="auto"/>
        </w:rPr>
      </w:pPr>
    </w:p>
    <w:p>
      <w:pPr>
        <w:jc w:val="both"/>
        <w:ind w:left="900"/>
        <w:spacing w:after="0" w:line="331" w:lineRule="auto"/>
        <w:rPr>
          <w:sz w:val="20"/>
          <w:szCs w:val="20"/>
          <w:color w:val="auto"/>
        </w:rPr>
      </w:pPr>
      <w:r>
        <w:rPr>
          <w:rFonts w:ascii="Arial" w:cs="Arial" w:eastAsia="Arial" w:hAnsi="Arial"/>
          <w:sz w:val="19"/>
          <w:szCs w:val="19"/>
          <w:color w:val="auto"/>
        </w:rPr>
        <w:t>During the reporting period, the Company has issued 1,900,506 new fully-paid Shares out of its conditional s capital for equity incentive plans pursuant to Article 5 of the Articles of Association in order to satisfy entitlem of participants under the Second Amended and Restated Equity Incentive Plan, as last amended and appr by the Board on January 23, 2025 (the “Equity Incentive Plan”). The issuances of fully paid Shares occurred</w:t>
      </w:r>
    </w:p>
    <w:p>
      <w:pPr>
        <w:spacing w:after="0" w:line="2" w:lineRule="exact"/>
        <w:rPr>
          <w:sz w:val="20"/>
          <w:szCs w:val="20"/>
          <w:color w:val="auto"/>
        </w:rPr>
      </w:pPr>
    </w:p>
    <w:p>
      <w:pPr>
        <w:ind w:left="900" w:right="40" w:hanging="6"/>
        <w:spacing w:after="0" w:line="307" w:lineRule="auto"/>
        <w:tabs>
          <w:tab w:leader="none" w:pos="114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vesting of performance share units and restricted share units and (ii) the exercise of options, in each in accordance with the terms of the Equity Incentive Plan.</w:t>
      </w:r>
    </w:p>
    <w:p>
      <w:pPr>
        <w:spacing w:after="0" w:line="317"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As a result of these Share issuances, the number of the Company’s total issued Shares has increased 161,932,234 to 163,832,740. The Board of Directors will, in accordance with the requirements of Swiss amend the Articles of Association to reflect the number of newly issued Shares and the resulting changes t stated share capital and the conditional share capital and will cause such amendments to be filed with, registered by, the commercial register, so that the registered share capital and the conditional share capital r the new Shares issued out of conditional share capital.</w:t>
      </w:r>
    </w:p>
    <w:p>
      <w:pPr>
        <w:spacing w:after="0" w:line="306" w:lineRule="exact"/>
        <w:rPr>
          <w:sz w:val="20"/>
          <w:szCs w:val="20"/>
          <w:color w:val="auto"/>
        </w:rPr>
      </w:pPr>
    </w:p>
    <w:p>
      <w:pPr>
        <w:ind w:left="900"/>
        <w:spacing w:after="0"/>
        <w:rPr>
          <w:sz w:val="20"/>
          <w:szCs w:val="20"/>
          <w:color w:val="auto"/>
        </w:rPr>
      </w:pPr>
      <w:r>
        <w:rPr>
          <w:rFonts w:ascii="Arial" w:cs="Arial" w:eastAsia="Arial" w:hAnsi="Arial"/>
          <w:sz w:val="20"/>
          <w:szCs w:val="20"/>
          <w:u w:val="single" w:color="auto"/>
          <w:color w:val="auto"/>
        </w:rPr>
        <w:t>Conditional Capital for Financing Purposes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24 / 139</w:t>
      </w:r>
    </w:p>
    <w:p>
      <w:pPr>
        <w:sectPr>
          <w:pgSz w:w="11900" w:h="16838" w:orient="portrait"/>
          <w:cols w:equalWidth="0" w:num="1">
            <w:col w:w="10460"/>
          </w:cols>
          <w:pgMar w:left="1440" w:top="1440" w:right="6" w:bottom="0" w:gutter="0" w:footer="0" w:header="0"/>
          <w:type w:val="continuous"/>
        </w:sectPr>
      </w:pPr>
    </w:p>
    <w:bookmarkStart w:id="253" w:name="page254"/>
    <w:bookmarkEnd w:id="253"/>
    <w:p>
      <w:pPr>
        <w:jc w:val="both"/>
        <w:ind w:left="900"/>
        <w:spacing w:after="0" w:line="313" w:lineRule="auto"/>
        <w:rPr>
          <w:sz w:val="20"/>
          <w:szCs w:val="20"/>
          <w:color w:val="auto"/>
        </w:rPr>
      </w:pPr>
      <w:r>
        <w:rPr>
          <w:rFonts w:ascii="Arial" w:cs="Arial" w:eastAsia="Arial" w:hAnsi="Arial"/>
          <w:sz w:val="20"/>
          <w:szCs w:val="20"/>
          <w:color w:val="auto"/>
        </w:rPr>
        <w:t>Under the Articles of Association, Lithium Argentina's share capital may be increased by a maximum amou US$161,932.23 through the direct or indirect issuance of no more than 16,193,223 Shares that are to be paid-in and have a par value of US$0.01 each, (i) further to the exercise of conversion, exchange, option, wa subscription or other rights to acquire shares, or (ii) through obligations to acquire shares that are or were gr to or imposed upon shareholders or third parties alone or in connection with bonds, notes, loans, opt warrants or other securities or contractual obligations of Lithium Argentina or any of its group compa (collectively, “</w:t>
      </w:r>
      <w:r>
        <w:rPr>
          <w:rFonts w:ascii="Arial" w:cs="Arial" w:eastAsia="Arial" w:hAnsi="Arial"/>
          <w:sz w:val="20"/>
          <w:szCs w:val="20"/>
          <w:b w:val="1"/>
          <w:bCs w:val="1"/>
          <w:color w:val="auto"/>
        </w:rPr>
        <w:t>Financial Instruments</w:t>
      </w:r>
      <w:r>
        <w:rPr>
          <w:rFonts w:ascii="Arial" w:cs="Arial" w:eastAsia="Arial" w:hAnsi="Arial"/>
          <w:sz w:val="20"/>
          <w:szCs w:val="20"/>
          <w:color w:val="auto"/>
        </w:rPr>
        <w:t>”).</w:t>
      </w:r>
    </w:p>
    <w:p>
      <w:pPr>
        <w:spacing w:after="0" w:line="315"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Subscription rights of shareholders shall be excluded with respect to new shares issued in connection wit Financial Instruments. The then current owners of such Financial Instruments shall be entitled to acquire the shares issued upon conversion, exchange or exercise of the Financial Instruments. The main terms o Financial Instruments shall be determined by the Board.</w:t>
      </w:r>
    </w:p>
    <w:p>
      <w:pPr>
        <w:spacing w:after="0" w:line="212" w:lineRule="exact"/>
        <w:rPr>
          <w:sz w:val="20"/>
          <w:szCs w:val="20"/>
          <w:color w:val="auto"/>
        </w:rPr>
      </w:pPr>
    </w:p>
    <w:p>
      <w:pPr>
        <w:jc w:val="both"/>
        <w:ind w:left="900"/>
        <w:spacing w:after="0" w:line="333" w:lineRule="auto"/>
        <w:rPr>
          <w:sz w:val="20"/>
          <w:szCs w:val="20"/>
          <w:color w:val="auto"/>
        </w:rPr>
      </w:pPr>
      <w:r>
        <w:rPr>
          <w:rFonts w:ascii="Arial" w:cs="Arial" w:eastAsia="Arial" w:hAnsi="Arial"/>
          <w:sz w:val="19"/>
          <w:szCs w:val="19"/>
          <w:color w:val="auto"/>
        </w:rPr>
        <w:t>The Board is authorized to limit or withdraw advance subscription rights of shareholders in connection wit issuance of Financial Instruments by Lithium Argentina or one of its group companies if (i) there is a valid re pursuant to Article 4(4) of the Articles of Association as listed in the section "</w:t>
      </w:r>
      <w:r>
        <w:rPr>
          <w:rFonts w:ascii="Arial" w:cs="Arial" w:eastAsia="Arial" w:hAnsi="Arial"/>
          <w:sz w:val="19"/>
          <w:szCs w:val="19"/>
          <w:i w:val="1"/>
          <w:iCs w:val="1"/>
          <w:color w:val="auto"/>
        </w:rPr>
        <w:t>Capital Band</w:t>
      </w:r>
      <w:r>
        <w:rPr>
          <w:rFonts w:ascii="Arial" w:cs="Arial" w:eastAsia="Arial" w:hAnsi="Arial"/>
          <w:sz w:val="19"/>
          <w:szCs w:val="19"/>
          <w:color w:val="auto"/>
        </w:rPr>
        <w:t>" or (ii) the Fina Instruments are issued on appropriate terms or (iii) in connection with the indenture dated December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1078230</wp:posOffset>
            </wp:positionV>
            <wp:extent cx="6764020" cy="190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25 / 139</w:t>
      </w:r>
    </w:p>
    <w:p>
      <w:pPr>
        <w:sectPr>
          <w:pgSz w:w="11900" w:h="16838" w:orient="portrait"/>
          <w:cols w:equalWidth="0" w:num="1">
            <w:col w:w="10460"/>
          </w:cols>
          <w:pgMar w:left="1440" w:top="1172" w:right="6" w:bottom="0" w:gutter="0" w:footer="0" w:header="0"/>
          <w:type w:val="continuous"/>
        </w:sectPr>
      </w:pPr>
    </w:p>
    <w:bookmarkStart w:id="254" w:name="page255"/>
    <w:bookmarkEnd w:id="2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amended (the “</w:t>
      </w:r>
      <w:r>
        <w:rPr>
          <w:rFonts w:ascii="Arial" w:cs="Arial" w:eastAsia="Arial" w:hAnsi="Arial"/>
          <w:sz w:val="20"/>
          <w:szCs w:val="20"/>
          <w:b w:val="1"/>
          <w:bCs w:val="1"/>
          <w:color w:val="auto"/>
        </w:rPr>
        <w:t>Indenture</w:t>
      </w:r>
      <w:r>
        <w:rPr>
          <w:rFonts w:ascii="Arial" w:cs="Arial" w:eastAsia="Arial" w:hAnsi="Arial"/>
          <w:sz w:val="20"/>
          <w:szCs w:val="20"/>
          <w:color w:val="auto"/>
        </w:rPr>
        <w:t>”). If the advance subscription rights are neither granted directly nor indirectly b Board, the following shall apply: (x) the Financial Instruments shall be issued on appropriate terms; and (y Financial Instruments may be converted, exchanged or exercised during a maximum period of 30 years fro date of the relevant issuance of or entry into the Financial Instruments.</w:t>
      </w:r>
    </w:p>
    <w:p>
      <w:pPr>
        <w:spacing w:after="0" w:line="313"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During the reporting period, the Company did not issue any new fully-paid Shares out of its conditional s capital for financing purposes.</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Subscription Rights and Advance Subscription Rights</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 xml:space="preserve">According to the </w:t>
      </w:r>
      <w:r>
        <w:rPr>
          <w:rFonts w:ascii="Arial" w:cs="Arial" w:eastAsia="Arial" w:hAnsi="Arial"/>
          <w:sz w:val="20"/>
          <w:szCs w:val="20"/>
          <w:i w:val="1"/>
          <w:iCs w:val="1"/>
          <w:color w:val="auto"/>
        </w:rPr>
        <w:t>Swiss Code of Obligations</w:t>
      </w:r>
      <w:r>
        <w:rPr>
          <w:rFonts w:ascii="Arial" w:cs="Arial" w:eastAsia="Arial" w:hAnsi="Arial"/>
          <w:sz w:val="20"/>
          <w:szCs w:val="20"/>
          <w:color w:val="auto"/>
        </w:rPr>
        <w:t xml:space="preserve">, if new shares of a company are issued - whether pursua shareholders' approving an increase of the ordinary share capital or the Board making use of the capital ba conditional capital - the existing shareholders will have subscription rights (or advance subscription rights respect to the issuance of convertible or similar instruments) in relation to such shares or rights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t respective nominal/par value of their existing participation.</w:t>
      </w:r>
    </w:p>
    <w:p>
      <w:pPr>
        <w:spacing w:after="0" w:line="210"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 xml:space="preserve">If the general meeting of shareholders has approved the creation of the capital band and/or conditional capi may thereby delegate the decision whether to withdraw or limit the subscription rights (or advance subscri rights with respect to the issuance of convertible or similar instruments) for cause to the Board. The Articl Association provide for this delegation in respect to the issuance of new shares out of the capital band an conditional capital for financing purposes (see description above in sections </w:t>
      </w:r>
      <w:r>
        <w:rPr>
          <w:rFonts w:ascii="Arial" w:cs="Arial" w:eastAsia="Arial" w:hAnsi="Arial"/>
          <w:sz w:val="20"/>
          <w:szCs w:val="20"/>
          <w:i w:val="1"/>
          <w:iCs w:val="1"/>
          <w:color w:val="auto"/>
        </w:rPr>
        <w:t>"Capital Band"</w:t>
      </w:r>
      <w:r>
        <w:rPr>
          <w:rFonts w:ascii="Arial" w:cs="Arial" w:eastAsia="Arial" w:hAnsi="Arial"/>
          <w:sz w:val="20"/>
          <w:szCs w:val="20"/>
          <w:color w:val="auto"/>
        </w:rPr>
        <w:t xml:space="preserve"> and </w:t>
      </w:r>
      <w:r>
        <w:rPr>
          <w:rFonts w:ascii="Arial" w:cs="Arial" w:eastAsia="Arial" w:hAnsi="Arial"/>
          <w:sz w:val="20"/>
          <w:szCs w:val="20"/>
          <w:i w:val="1"/>
          <w:iCs w:val="1"/>
          <w:color w:val="auto"/>
        </w:rPr>
        <w:t>"Condit</w:t>
      </w:r>
      <w:r>
        <w:rPr>
          <w:rFonts w:ascii="Arial" w:cs="Arial" w:eastAsia="Arial" w:hAnsi="Arial"/>
          <w:sz w:val="20"/>
          <w:szCs w:val="20"/>
          <w:color w:val="auto"/>
        </w:rPr>
        <w:t xml:space="preserve"> </w:t>
      </w:r>
      <w:r>
        <w:rPr>
          <w:rFonts w:ascii="Arial" w:cs="Arial" w:eastAsia="Arial" w:hAnsi="Arial"/>
          <w:sz w:val="20"/>
          <w:szCs w:val="20"/>
          <w:i w:val="1"/>
          <w:iCs w:val="1"/>
          <w:color w:val="auto"/>
        </w:rPr>
        <w:t>Capital"</w:t>
      </w:r>
      <w:r>
        <w:rPr>
          <w:rFonts w:ascii="Arial" w:cs="Arial" w:eastAsia="Arial" w:hAnsi="Arial"/>
          <w:sz w:val="20"/>
          <w:szCs w:val="20"/>
          <w:color w:val="auto"/>
        </w:rPr>
        <w:t>). Furthermore, the Articles of Association set forth, that shareholders do not have subscription right</w:t>
      </w:r>
      <w:r>
        <w:rPr>
          <w:rFonts w:ascii="Arial" w:cs="Arial" w:eastAsia="Arial" w:hAnsi="Arial"/>
          <w:sz w:val="20"/>
          <w:szCs w:val="20"/>
          <w:i w:val="1"/>
          <w:iCs w:val="1"/>
          <w:color w:val="auto"/>
        </w:rPr>
        <w:t xml:space="preserve"> </w:t>
      </w:r>
      <w:r>
        <w:rPr>
          <w:rFonts w:ascii="Arial" w:cs="Arial" w:eastAsia="Arial" w:hAnsi="Arial"/>
          <w:sz w:val="20"/>
          <w:szCs w:val="20"/>
          <w:color w:val="auto"/>
        </w:rPr>
        <w:t>advance subscription rights with respect to shares issued pursuant to Lithium Argentina's equity incentive pla of the conditional share capital for equity incentive.</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Repurchases and Purchases of Shares</w:t>
      </w:r>
    </w:p>
    <w:p>
      <w:pPr>
        <w:spacing w:after="0" w:line="279"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i w:val="1"/>
          <w:iCs w:val="1"/>
          <w:color w:val="auto"/>
        </w:rPr>
        <w:t>Swiss Code of Obligations</w:t>
      </w:r>
      <w:r>
        <w:rPr>
          <w:rFonts w:ascii="Arial" w:cs="Arial" w:eastAsia="Arial" w:hAnsi="Arial"/>
          <w:sz w:val="20"/>
          <w:szCs w:val="20"/>
          <w:color w:val="auto"/>
        </w:rPr>
        <w:t xml:space="preserve"> imposes restrictions on a company’s ability to hold or repurchase its own Sh Lithium Argentina and its subsidiaries may only repurchase own shares if sufficient freely distributable res are available. The total nominal value of all Shares held by Lithium Argentina and its subsidiaries may not ex 10% of Lithium Argentina's registered share capital. Pursuant to Swiss law, where shares are acquire connection with a transfer restriction set out in the Articles of Association of a company, the foregoing upper is 20%. We currently do not have any transfer restriction in our Articles of Association. Shares repurchased u such authorization will be cancelled at the next general meeting with the approval of shareholders holdi relative majority of the votes cast or, if the authorization is included in the capital band provision, upon the B effecting the cancellation based on the authority granted to it in the capital band provision. Repurchased sh held by Lithium Argentina, or its subsidiaries do not carry any rights to vote at a shareholders meeting bu entitled to the economic benefits generally associated with such shares.</w:t>
      </w:r>
    </w:p>
    <w:p>
      <w:pPr>
        <w:spacing w:after="0" w:line="204"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Other classes or Series of Shares</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Board may not create any new classes of shares with privileged voting rights unless approved b Important Resolution. Further, following the Continuation, the Board may not create any new classes of sh with special rights or restrictions (other than rights which require an Important Resolution) unless the shareh</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26 / 139</w:t>
      </w:r>
    </w:p>
    <w:p>
      <w:pPr>
        <w:sectPr>
          <w:pgSz w:w="11900" w:h="16838" w:orient="portrait"/>
          <w:cols w:equalWidth="0" w:num="1">
            <w:col w:w="10460"/>
          </w:cols>
          <w:pgMar w:left="1440" w:top="1440" w:right="6" w:bottom="0" w:gutter="0" w:footer="0" w:header="0"/>
          <w:type w:val="continuous"/>
        </w:sectPr>
      </w:pPr>
    </w:p>
    <w:bookmarkStart w:id="255" w:name="page256"/>
    <w:bookmarkEnd w:id="255"/>
    <w:p>
      <w:pPr>
        <w:jc w:val="both"/>
        <w:ind w:left="900"/>
        <w:spacing w:after="0" w:line="311" w:lineRule="auto"/>
        <w:rPr>
          <w:sz w:val="20"/>
          <w:szCs w:val="20"/>
          <w:color w:val="auto"/>
        </w:rPr>
      </w:pPr>
      <w:r>
        <w:rPr>
          <w:rFonts w:ascii="Arial" w:cs="Arial" w:eastAsia="Arial" w:hAnsi="Arial"/>
          <w:sz w:val="20"/>
          <w:szCs w:val="20"/>
          <w:color w:val="auto"/>
        </w:rPr>
        <w:t>pass a special resolution approved by at least two-thirds of the represented share votes. The Shares ar convertible into shares of any other class or series or subject to redemption either by Lithium Argentina or b holder of the Shares.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General Meetings of Shareholders</w:t>
      </w:r>
    </w:p>
    <w:p>
      <w:pPr>
        <w:spacing w:after="0" w:line="23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 xml:space="preserve">Under the </w:t>
      </w:r>
      <w:r>
        <w:rPr>
          <w:rFonts w:ascii="Arial" w:cs="Arial" w:eastAsia="Arial" w:hAnsi="Arial"/>
          <w:sz w:val="20"/>
          <w:szCs w:val="20"/>
          <w:i w:val="1"/>
          <w:iCs w:val="1"/>
          <w:color w:val="auto"/>
        </w:rPr>
        <w:t>Swiss Code of Obligations</w:t>
      </w:r>
      <w:r>
        <w:rPr>
          <w:rFonts w:ascii="Arial" w:cs="Arial" w:eastAsia="Arial" w:hAnsi="Arial"/>
          <w:sz w:val="20"/>
          <w:szCs w:val="20"/>
          <w:color w:val="auto"/>
        </w:rPr>
        <w:t xml:space="preserve"> and the Articles of Association, the following powers, among others vested exclusively with Lithium Argentina’s shareholders: amendment of the Articles of Association; election removal of the members of the Board, the chairperson of the Board, the members of the compens committee, the statutory auditor and the independent voting representative; approval of the management r and the consolidated statements of account, if any; the adoption of resolutions on the use of the avai earnings, in particular the declaration of dividends or the return of capital; and the release from liability o members of the Board and the other management 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1090295</wp:posOffset>
            </wp:positionV>
            <wp:extent cx="6764020" cy="190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27 / 139</w:t>
      </w:r>
    </w:p>
    <w:p>
      <w:pPr>
        <w:sectPr>
          <w:pgSz w:w="11900" w:h="16838" w:orient="portrait"/>
          <w:cols w:equalWidth="0" w:num="1">
            <w:col w:w="10460"/>
          </w:cols>
          <w:pgMar w:left="1440" w:top="1172" w:right="6" w:bottom="0" w:gutter="0" w:footer="0" w:header="0"/>
          <w:type w:val="continuous"/>
        </w:sectPr>
      </w:pPr>
    </w:p>
    <w:bookmarkStart w:id="256" w:name="page257"/>
    <w:bookmarkEnd w:id="2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900"/>
        <w:spacing w:after="0" w:line="301" w:lineRule="auto"/>
        <w:rPr>
          <w:sz w:val="20"/>
          <w:szCs w:val="20"/>
          <w:color w:val="auto"/>
        </w:rPr>
      </w:pPr>
      <w:r>
        <w:rPr>
          <w:rFonts w:ascii="Arial" w:cs="Arial" w:eastAsia="Arial" w:hAnsi="Arial"/>
          <w:sz w:val="20"/>
          <w:szCs w:val="20"/>
          <w:color w:val="auto"/>
        </w:rPr>
        <w:t xml:space="preserve">Under the </w:t>
      </w:r>
      <w:r>
        <w:rPr>
          <w:rFonts w:ascii="Arial" w:cs="Arial" w:eastAsia="Arial" w:hAnsi="Arial"/>
          <w:sz w:val="20"/>
          <w:szCs w:val="20"/>
          <w:i w:val="1"/>
          <w:iCs w:val="1"/>
          <w:color w:val="auto"/>
        </w:rPr>
        <w:t>Swiss Code of Obligations</w:t>
      </w:r>
      <w:r>
        <w:rPr>
          <w:rFonts w:ascii="Arial" w:cs="Arial" w:eastAsia="Arial" w:hAnsi="Arial"/>
          <w:sz w:val="20"/>
          <w:szCs w:val="20"/>
          <w:color w:val="auto"/>
        </w:rPr>
        <w:t>, Lithium Argentina must hold an annual general meeting of shareho within six months after the end of its business year, for the purpose, among other things, of approving the a (standalone and consolidated) financial statements and the annual business report, the annual election o members of the Board and the chairman, the members of the compensation committee, and annually appr the maximum aggregate compensation payable to the Board and Lithium Argentina’s executive manageme Lithium Argentina's case, this means the annual general meeting of shareholders is on or before the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 June. Annual general meetings of shareholders may be convened by the Board or, under certain circumsta by the Swiss Statutory Auditor.</w:t>
      </w:r>
    </w:p>
    <w:p>
      <w:pPr>
        <w:spacing w:after="0" w:line="181"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Furthermore, Lithium Argentina may hold extraordinary general meeting upon the resolution of the Boar under certain circumstances, by the Swiss Statutory Auditor, the liquidators or the representatives of bondho if any, or if so resolved by a general meeting of shareholders or by individual shareholders. Further, the B must convene an extraordinary general meeting of shareholders and propose financial restructuring measur based on Lithium Argentina's annual stand-alone statutory balance sheet, half of its share capital and res are no longer covered by Lithium Argentina's assets (</w:t>
      </w:r>
      <w:r>
        <w:rPr>
          <w:rFonts w:ascii="Arial" w:cs="Arial" w:eastAsia="Arial" w:hAnsi="Arial"/>
          <w:sz w:val="20"/>
          <w:szCs w:val="20"/>
          <w:i w:val="1"/>
          <w:iCs w:val="1"/>
          <w:color w:val="auto"/>
        </w:rPr>
        <w:t>Kapitalverlust</w:t>
      </w:r>
      <w:r>
        <w:rPr>
          <w:rFonts w:ascii="Arial" w:cs="Arial" w:eastAsia="Arial" w:hAnsi="Arial"/>
          <w:sz w:val="20"/>
          <w:szCs w:val="20"/>
          <w:color w:val="auto"/>
        </w:rPr>
        <w:t>).</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Notice</w:t>
      </w:r>
    </w:p>
    <w:p>
      <w:pPr>
        <w:spacing w:after="0" w:line="239"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Under Swiss law and the Articles of Association, notice of an annual general meeting of shareholders mu provided no less than 20 days before the scheduled meeting date, but, as Lithium Argentina is still subje applicable Canadian and U.S. securities laws, Lithium Argentina will be required to send notice there accordance with applicable Canadian and U.S. securities laws. The notice must contain the date, time, the and, if applicable, the location of the general meeting as well as a clear description of the matters and busine be discussed and, in case of elections, the names of the nominated candidates. Further, the notice contain motions of the Board and a short explanation thereof, the name and the address of the independent v representative and any shareholder's motion that has been submitted with a short explanation thereof. In the of an extraordinary general meeting requested by the shareholders (see "</w:t>
      </w:r>
      <w:r>
        <w:rPr>
          <w:rFonts w:ascii="Arial" w:cs="Arial" w:eastAsia="Arial" w:hAnsi="Arial"/>
          <w:sz w:val="20"/>
          <w:szCs w:val="20"/>
          <w:i w:val="1"/>
          <w:iCs w:val="1"/>
          <w:color w:val="auto"/>
        </w:rPr>
        <w:t>Shareholder Requisitions</w:t>
      </w:r>
      <w:r>
        <w:rPr>
          <w:rFonts w:ascii="Arial" w:cs="Arial" w:eastAsia="Arial" w:hAnsi="Arial"/>
          <w:sz w:val="20"/>
          <w:szCs w:val="20"/>
          <w:color w:val="auto"/>
        </w:rPr>
        <w:t xml:space="preserve"> </w:t>
      </w:r>
      <w:r>
        <w:rPr>
          <w:rFonts w:ascii="Arial" w:cs="Arial" w:eastAsia="Arial" w:hAnsi="Arial"/>
          <w:sz w:val="20"/>
          <w:szCs w:val="20"/>
          <w:i w:val="1"/>
          <w:iCs w:val="1"/>
          <w:color w:val="auto"/>
        </w:rPr>
        <w:t>Shareholder Proposals</w:t>
      </w:r>
      <w:r>
        <w:rPr>
          <w:rFonts w:ascii="Arial" w:cs="Arial" w:eastAsia="Arial" w:hAnsi="Arial"/>
          <w:sz w:val="20"/>
          <w:szCs w:val="20"/>
          <w:color w:val="auto"/>
        </w:rPr>
        <w:t>"), the Board shall convene a shareholders' meeting within 60 days of receipt of</w:t>
      </w:r>
      <w:r>
        <w:rPr>
          <w:rFonts w:ascii="Arial" w:cs="Arial" w:eastAsia="Arial" w:hAnsi="Arial"/>
          <w:sz w:val="20"/>
          <w:szCs w:val="20"/>
          <w:i w:val="1"/>
          <w:iCs w:val="1"/>
          <w:color w:val="auto"/>
        </w:rPr>
        <w:t xml:space="preserve"> </w:t>
      </w:r>
      <w:r>
        <w:rPr>
          <w:rFonts w:ascii="Arial" w:cs="Arial" w:eastAsia="Arial" w:hAnsi="Arial"/>
          <w:sz w:val="20"/>
          <w:szCs w:val="20"/>
          <w:color w:val="auto"/>
        </w:rPr>
        <w:t>request. According to the Articles of Association, notice may, at the election of the Board, be published i Swiss Official Gazette of Commerce and/or may be sent by ordinary mail, e-mail, or any other form the B deems appropriate.</w:t>
      </w:r>
    </w:p>
    <w:p>
      <w:pPr>
        <w:spacing w:after="0" w:line="173"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Except in the limited circumstances outlined below, resolutions cannot be passed at a general meetin shareholders without proper notice. This restriction does not apply to proposals for convening an extraord general meeting of shareholders, initiating a special investigation (see "</w:t>
      </w:r>
      <w:r>
        <w:rPr>
          <w:rFonts w:ascii="Arial" w:cs="Arial" w:eastAsia="Arial" w:hAnsi="Arial"/>
          <w:sz w:val="20"/>
          <w:szCs w:val="20"/>
          <w:i w:val="1"/>
          <w:iCs w:val="1"/>
          <w:color w:val="auto"/>
        </w:rPr>
        <w:t>Special Investigation"</w:t>
      </w:r>
      <w:r>
        <w:rPr>
          <w:rFonts w:ascii="Arial" w:cs="Arial" w:eastAsia="Arial" w:hAnsi="Arial"/>
          <w:sz w:val="20"/>
          <w:szCs w:val="20"/>
          <w:color w:val="auto"/>
        </w:rPr>
        <w:t>, or electin auditor at the request of a shareholder. Furthermore, no prior notice is required to bring motions related to i already on the agenda or for the discussion of matters on which no resolution is to be taken.</w:t>
      </w:r>
    </w:p>
    <w:p>
      <w:pPr>
        <w:spacing w:after="0" w:line="170"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 xml:space="preserve">Under the </w:t>
      </w:r>
      <w:r>
        <w:rPr>
          <w:rFonts w:ascii="Arial" w:cs="Arial" w:eastAsia="Arial" w:hAnsi="Arial"/>
          <w:sz w:val="20"/>
          <w:szCs w:val="20"/>
          <w:i w:val="1"/>
          <w:iCs w:val="1"/>
          <w:color w:val="auto"/>
        </w:rPr>
        <w:t>Swiss Code of Obligations</w:t>
      </w:r>
      <w:r>
        <w:rPr>
          <w:rFonts w:ascii="Arial" w:cs="Arial" w:eastAsia="Arial" w:hAnsi="Arial"/>
          <w:sz w:val="20"/>
          <w:szCs w:val="20"/>
          <w:color w:val="auto"/>
        </w:rPr>
        <w:t>, a meeting of shareholders for which a notice of meeting has been published may not be adjourned, except where the presence quorum set forth in the Articles of Association section "</w:t>
      </w:r>
      <w:r>
        <w:rPr>
          <w:rFonts w:ascii="Arial" w:cs="Arial" w:eastAsia="Arial" w:hAnsi="Arial"/>
          <w:sz w:val="20"/>
          <w:szCs w:val="20"/>
          <w:i w:val="1"/>
          <w:iCs w:val="1"/>
          <w:color w:val="auto"/>
        </w:rPr>
        <w:t>Presence Quorum</w:t>
      </w:r>
      <w:r>
        <w:rPr>
          <w:rFonts w:ascii="Arial" w:cs="Arial" w:eastAsia="Arial" w:hAnsi="Arial"/>
          <w:sz w:val="20"/>
          <w:szCs w:val="20"/>
          <w:color w:val="auto"/>
        </w:rPr>
        <w:t>") is not met, in which case the meeting cannot be adjourned without publishing a notice of the meeting.</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Presence Quorum</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28 / 139</w:t>
      </w:r>
    </w:p>
    <w:p>
      <w:pPr>
        <w:sectPr>
          <w:pgSz w:w="11900" w:h="16838" w:orient="portrait"/>
          <w:cols w:equalWidth="0" w:num="1">
            <w:col w:w="10460"/>
          </w:cols>
          <w:pgMar w:left="1440" w:top="1440" w:right="6" w:bottom="0" w:gutter="0" w:footer="0" w:header="0"/>
          <w:type w:val="continuous"/>
        </w:sectPr>
      </w:pPr>
    </w:p>
    <w:bookmarkStart w:id="257" w:name="page258"/>
    <w:bookmarkEnd w:id="257"/>
    <w:p>
      <w:pPr>
        <w:jc w:val="both"/>
        <w:ind w:left="900"/>
        <w:spacing w:after="0" w:line="313" w:lineRule="auto"/>
        <w:rPr>
          <w:sz w:val="20"/>
          <w:szCs w:val="20"/>
          <w:color w:val="auto"/>
        </w:rPr>
      </w:pPr>
      <w:r>
        <w:rPr>
          <w:rFonts w:ascii="Arial" w:cs="Arial" w:eastAsia="Arial" w:hAnsi="Arial"/>
          <w:sz w:val="20"/>
          <w:szCs w:val="20"/>
          <w:color w:val="auto"/>
        </w:rPr>
        <w:t xml:space="preserve">While applicable Swiss law does not provide for attendance quorum in respect of shareholders' meetings Articles of Association provide for quorum requirements. For resolutions to be passed at a shareholders' me at least two shareholders entitled to vote, either in person or by proxy, must be present and collectively repr at least 5% of the issued shares entitled to vote at the meeting. Under the </w:t>
      </w:r>
      <w:r>
        <w:rPr>
          <w:rFonts w:ascii="Arial" w:cs="Arial" w:eastAsia="Arial" w:hAnsi="Arial"/>
          <w:sz w:val="20"/>
          <w:szCs w:val="20"/>
          <w:i w:val="1"/>
          <w:iCs w:val="1"/>
          <w:color w:val="auto"/>
        </w:rPr>
        <w:t>Swiss Code of Obligations</w:t>
      </w:r>
      <w:r>
        <w:rPr>
          <w:rFonts w:ascii="Arial" w:cs="Arial" w:eastAsia="Arial" w:hAnsi="Arial"/>
          <w:sz w:val="20"/>
          <w:szCs w:val="20"/>
          <w:color w:val="auto"/>
        </w:rPr>
        <w:t>, the B has no authority to waive quorum requirements stipulated in the Articles of Association.</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Venue</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Under the Articles of Association, meetings of shareholders may be held outside of Switzerland or in a h format. Fully virtual shareholder meetings without a venue are also permitted until January 17, 2030. In the Lithium Argentina holds a fully virtual shareholder meeting, it must ensure in accordance with Swiss law shareholders will have the same rights participating electronically as they would have for an in-person me The Board must ensure that the identity of the participants is verified, that votes are transmitted in real-time shareholders are able to submit motions and participate in discussions, and that voting results canno manipulated.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1090295</wp:posOffset>
            </wp:positionV>
            <wp:extent cx="6764020" cy="190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6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29 / 139</w:t>
      </w:r>
    </w:p>
    <w:p>
      <w:pPr>
        <w:sectPr>
          <w:pgSz w:w="11900" w:h="16838" w:orient="portrait"/>
          <w:cols w:equalWidth="0" w:num="1">
            <w:col w:w="10460"/>
          </w:cols>
          <w:pgMar w:left="1440" w:top="1172" w:right="6" w:bottom="0" w:gutter="0" w:footer="0" w:header="0"/>
          <w:type w:val="continuous"/>
        </w:sectPr>
      </w:pPr>
    </w:p>
    <w:bookmarkStart w:id="258" w:name="page259"/>
    <w:bookmarkEnd w:id="2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Shareholder Requisitions and Shareholder Proposals</w:t>
      </w:r>
    </w:p>
    <w:p>
      <w:pPr>
        <w:spacing w:after="0" w:line="279"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The Articles of Association provide shareholders with the right to submit shareholder proposals. Shareho holding, individually, or together with other shareholders with whom the proposal is made, 0.5% of Lit Argentina's share capital or of the votes may request that items be placed on the agenda for the ge shareholders' meeting and/or that motions relating to items on the agenda be included in the notice convenin meeting. Such requested motions and agenda items must be submitted to the Board in writing before the ge shareholders' meeting to be included in the meeting notice and may be accompanied by a brief explana which the Board must include in the meeting notice to shareholders. The Articles of Association provide that advance notice must be given no later than three months before the anniversary date of Lithium Argentina's annual general meeting. If the Board refuses to accept such a request, the requesting shareholder(s) may se enforce their rights through the court. Furthermore, under Swiss law, at the meeting itself, any shareh present may submit a motion concerning existing agenda items, including the nomination of a director w election of directors is on the agenda.</w:t>
      </w:r>
    </w:p>
    <w:p>
      <w:pPr>
        <w:spacing w:after="0" w:line="2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i w:val="1"/>
          <w:iCs w:val="1"/>
          <w:color w:val="auto"/>
        </w:rPr>
        <w:t>Swiss Code of Obligations</w:t>
      </w:r>
      <w:r>
        <w:rPr>
          <w:rFonts w:ascii="Arial" w:cs="Arial" w:eastAsia="Arial" w:hAnsi="Arial"/>
          <w:sz w:val="20"/>
          <w:szCs w:val="20"/>
          <w:color w:val="auto"/>
        </w:rPr>
        <w:t xml:space="preserve"> and Articles of Association provide shareholders the right to requis shareholders' meetings, enabling shareholders holding, individually, or together with other shareholders, at 5% of Lithium's share capital or of the voting rights to demand that the Board call a shareholders meeting. shareholders' meeting shall be convened by the Board within 60 days of receipt of such a request.</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Swiss Annual Report and Statutory Auditor Report</w:t>
      </w:r>
    </w:p>
    <w:p>
      <w:pPr>
        <w:spacing w:after="0" w:line="279" w:lineRule="exact"/>
        <w:rPr>
          <w:sz w:val="20"/>
          <w:szCs w:val="20"/>
          <w:color w:val="auto"/>
        </w:rPr>
      </w:pPr>
    </w:p>
    <w:p>
      <w:pPr>
        <w:ind w:left="900"/>
        <w:spacing w:after="0" w:line="312" w:lineRule="auto"/>
        <w:rPr>
          <w:sz w:val="20"/>
          <w:szCs w:val="20"/>
          <w:color w:val="auto"/>
        </w:rPr>
      </w:pPr>
      <w:r>
        <w:rPr>
          <w:rFonts w:ascii="Arial" w:cs="Arial" w:eastAsia="Arial" w:hAnsi="Arial"/>
          <w:sz w:val="20"/>
          <w:szCs w:val="20"/>
          <w:color w:val="auto"/>
        </w:rPr>
        <w:t>Lithium Argentina’s Swiss annual report, compensation report and Auditors’ report must be made availabl inspection by the shareholders at least 20 days prior to the date of the annual general shareholders' mee Each shareholder is entitled to request delivery of a copy of these documents in due time if they are not available electronically.</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Shareholder Rights</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Voting Rights</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Under the Articles of Association, each holder of Shares is entitled to one vote per Share. Abstentions, b non-votes, and blank or invalid ballots shall be disregarded for purposes of establishing a majority. The Articl Association do not limit the number of Shares that may be voted by a single shareholder.</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To exercise voting rights at a general meeting of shareholders, a shareholder must be registered in the s register.</w:t>
      </w:r>
    </w:p>
    <w:p>
      <w:pPr>
        <w:spacing w:after="0" w:line="215"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Treasury shares, whether owed by Lithium Argentina or one of its majority-owned subsidiaries, will not be en to vote at general meetings of shareholders.</w:t>
      </w:r>
    </w:p>
    <w:p>
      <w:pPr>
        <w:spacing w:after="0" w:line="215"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There are currently no limitations under Swiss law or in the Articles of Association restricting the righ shareholders outside Switzerland to hold or vote Shares.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30 / 139</w:t>
      </w:r>
    </w:p>
    <w:p>
      <w:pPr>
        <w:sectPr>
          <w:pgSz w:w="11900" w:h="16838" w:orient="portrait"/>
          <w:cols w:equalWidth="0" w:num="1">
            <w:col w:w="10460"/>
          </w:cols>
          <w:pgMar w:left="1440" w:top="1440" w:right="6" w:bottom="0" w:gutter="0" w:footer="0" w:header="0"/>
          <w:type w:val="continuous"/>
        </w:sectPr>
      </w:pPr>
    </w:p>
    <w:bookmarkStart w:id="259" w:name="page260"/>
    <w:bookmarkEnd w:id="259"/>
    <w:p>
      <w:pPr>
        <w:jc w:val="both"/>
        <w:ind w:left="900"/>
        <w:spacing w:after="0" w:line="311" w:lineRule="auto"/>
        <w:rPr>
          <w:sz w:val="20"/>
          <w:szCs w:val="20"/>
          <w:color w:val="auto"/>
        </w:rPr>
      </w:pPr>
      <w:r>
        <w:rPr>
          <w:rFonts w:ascii="Arial" w:cs="Arial" w:eastAsia="Arial" w:hAnsi="Arial"/>
          <w:sz w:val="20"/>
          <w:szCs w:val="20"/>
          <w:color w:val="auto"/>
        </w:rPr>
        <w:t>Unless otherwise required by law or the Articles of Association, the general meeting of shareholders t resolutions and proceeds to elections by a majority of the votes of shareholders present at the sharehol meeting. In the event of a tied vote, the chairperson has no casting vote.</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acting chair may direct that elections be held by use of an electronic voting system. Electronic resolu and elections are considered equal to resolutions and elections taken by way of a written ballot.</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color w:val="auto"/>
        </w:rPr>
        <w:t>According to the Articles of Association an Important Resolutions is required for:</w:t>
      </w:r>
    </w:p>
    <w:p>
      <w:pPr>
        <w:spacing w:after="0" w:line="272" w:lineRule="exact"/>
        <w:rPr>
          <w:sz w:val="20"/>
          <w:szCs w:val="20"/>
          <w:color w:val="auto"/>
        </w:rPr>
      </w:pPr>
    </w:p>
    <w:p>
      <w:pPr>
        <w:ind w:left="1660" w:hanging="406"/>
        <w:spacing w:after="0"/>
        <w:tabs>
          <w:tab w:leader="none" w:pos="166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change of purpose of Lithium Argentina;</w:t>
      </w:r>
    </w:p>
    <w:p>
      <w:pPr>
        <w:spacing w:after="0" w:line="271" w:lineRule="exact"/>
        <w:rPr>
          <w:rFonts w:ascii="Arial" w:cs="Arial" w:eastAsia="Arial" w:hAnsi="Arial"/>
          <w:sz w:val="20"/>
          <w:szCs w:val="20"/>
          <w:color w:val="auto"/>
        </w:rPr>
      </w:pPr>
    </w:p>
    <w:p>
      <w:pPr>
        <w:ind w:left="1660" w:hanging="406"/>
        <w:spacing w:after="0"/>
        <w:tabs>
          <w:tab w:leader="none" w:pos="166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merging of shares, unless the approval of all the shareholders concerned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1131570</wp:posOffset>
            </wp:positionV>
            <wp:extent cx="6764020" cy="190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6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31 / 139</w:t>
      </w:r>
    </w:p>
    <w:p>
      <w:pPr>
        <w:sectPr>
          <w:pgSz w:w="11900" w:h="16838" w:orient="portrait"/>
          <w:cols w:equalWidth="0" w:num="1">
            <w:col w:w="10460"/>
          </w:cols>
          <w:pgMar w:left="1440" w:top="1172" w:right="6" w:bottom="0" w:gutter="0" w:footer="0" w:header="0"/>
          <w:type w:val="continuous"/>
        </w:sectPr>
      </w:pPr>
    </w:p>
    <w:bookmarkStart w:id="260" w:name="page261"/>
    <w:bookmarkEnd w:id="2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20" w:hanging="366"/>
        <w:spacing w:after="0" w:line="307" w:lineRule="auto"/>
        <w:tabs>
          <w:tab w:leader="none" w:pos="1665"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an increase of capital our of equity against contributions in kind or by setting off a claim, and the gra of special benefits;</w:t>
      </w:r>
    </w:p>
    <w:p>
      <w:pPr>
        <w:spacing w:after="0" w:line="208" w:lineRule="exact"/>
        <w:rPr>
          <w:rFonts w:ascii="Arial" w:cs="Arial" w:eastAsia="Arial" w:hAnsi="Arial"/>
          <w:sz w:val="20"/>
          <w:szCs w:val="20"/>
          <w:color w:val="auto"/>
        </w:rPr>
      </w:pPr>
    </w:p>
    <w:p>
      <w:pPr>
        <w:ind w:left="1660" w:hanging="406"/>
        <w:spacing w:after="0"/>
        <w:tabs>
          <w:tab w:leader="none" w:pos="1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limitation or withdrawal of the subscription right;</w:t>
      </w:r>
    </w:p>
    <w:p>
      <w:pPr>
        <w:spacing w:after="0" w:line="271" w:lineRule="exact"/>
        <w:rPr>
          <w:rFonts w:ascii="Arial" w:cs="Arial" w:eastAsia="Arial" w:hAnsi="Arial"/>
          <w:sz w:val="20"/>
          <w:szCs w:val="20"/>
          <w:color w:val="auto"/>
        </w:rPr>
      </w:pPr>
    </w:p>
    <w:p>
      <w:pPr>
        <w:ind w:left="1660" w:hanging="406"/>
        <w:spacing w:after="0"/>
        <w:tabs>
          <w:tab w:leader="none" w:pos="1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introduction of a conditional capital, the introduction of a capital band;</w:t>
      </w:r>
    </w:p>
    <w:p>
      <w:pPr>
        <w:spacing w:after="0" w:line="271" w:lineRule="exact"/>
        <w:rPr>
          <w:rFonts w:ascii="Arial" w:cs="Arial" w:eastAsia="Arial" w:hAnsi="Arial"/>
          <w:sz w:val="20"/>
          <w:szCs w:val="20"/>
          <w:color w:val="auto"/>
        </w:rPr>
      </w:pPr>
    </w:p>
    <w:p>
      <w:pPr>
        <w:ind w:left="1660" w:hanging="406"/>
        <w:spacing w:after="0"/>
        <w:tabs>
          <w:tab w:leader="none" w:pos="1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transformation of participation certificates into Shares;</w:t>
      </w:r>
    </w:p>
    <w:p>
      <w:pPr>
        <w:spacing w:after="0" w:line="271" w:lineRule="exact"/>
        <w:rPr>
          <w:rFonts w:ascii="Arial" w:cs="Arial" w:eastAsia="Arial" w:hAnsi="Arial"/>
          <w:sz w:val="20"/>
          <w:szCs w:val="20"/>
          <w:color w:val="auto"/>
        </w:rPr>
      </w:pPr>
    </w:p>
    <w:p>
      <w:pPr>
        <w:ind w:left="1660" w:hanging="406"/>
        <w:spacing w:after="0"/>
        <w:tabs>
          <w:tab w:leader="none" w:pos="1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restriction of the transferability of Shares;</w:t>
      </w:r>
    </w:p>
    <w:p>
      <w:pPr>
        <w:spacing w:after="0" w:line="271" w:lineRule="exact"/>
        <w:rPr>
          <w:rFonts w:ascii="Arial" w:cs="Arial" w:eastAsia="Arial" w:hAnsi="Arial"/>
          <w:sz w:val="20"/>
          <w:szCs w:val="20"/>
          <w:color w:val="auto"/>
        </w:rPr>
      </w:pPr>
    </w:p>
    <w:p>
      <w:pPr>
        <w:ind w:left="1660" w:hanging="406"/>
        <w:spacing w:after="0"/>
        <w:tabs>
          <w:tab w:leader="none" w:pos="1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creation of shares with privileged voting rights;</w:t>
      </w:r>
    </w:p>
    <w:p>
      <w:pPr>
        <w:spacing w:after="0" w:line="271" w:lineRule="exact"/>
        <w:rPr>
          <w:rFonts w:ascii="Arial" w:cs="Arial" w:eastAsia="Arial" w:hAnsi="Arial"/>
          <w:sz w:val="20"/>
          <w:szCs w:val="20"/>
          <w:color w:val="auto"/>
        </w:rPr>
      </w:pPr>
    </w:p>
    <w:p>
      <w:pPr>
        <w:ind w:left="1660" w:hanging="406"/>
        <w:spacing w:after="0"/>
        <w:tabs>
          <w:tab w:leader="none" w:pos="1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change of the currency of the share capital;</w:t>
      </w:r>
    </w:p>
    <w:p>
      <w:pPr>
        <w:spacing w:after="0" w:line="271" w:lineRule="exact"/>
        <w:rPr>
          <w:rFonts w:ascii="Arial" w:cs="Arial" w:eastAsia="Arial" w:hAnsi="Arial"/>
          <w:sz w:val="20"/>
          <w:szCs w:val="20"/>
          <w:color w:val="auto"/>
        </w:rPr>
      </w:pPr>
    </w:p>
    <w:p>
      <w:pPr>
        <w:ind w:left="1660" w:hanging="406"/>
        <w:spacing w:after="0"/>
        <w:tabs>
          <w:tab w:leader="none" w:pos="1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introduction of the casting vote of the chairperson of the shareholders' meeting;</w:t>
      </w:r>
    </w:p>
    <w:p>
      <w:pPr>
        <w:spacing w:after="0" w:line="271" w:lineRule="exact"/>
        <w:rPr>
          <w:rFonts w:ascii="Arial" w:cs="Arial" w:eastAsia="Arial" w:hAnsi="Arial"/>
          <w:sz w:val="20"/>
          <w:szCs w:val="20"/>
          <w:color w:val="auto"/>
        </w:rPr>
      </w:pPr>
    </w:p>
    <w:p>
      <w:pPr>
        <w:ind w:left="1660" w:hanging="406"/>
        <w:spacing w:after="0"/>
        <w:tabs>
          <w:tab w:leader="none" w:pos="1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delisting of the equity securities of Lithium Argentina;</w:t>
      </w:r>
    </w:p>
    <w:p>
      <w:pPr>
        <w:spacing w:after="0" w:line="271" w:lineRule="exact"/>
        <w:rPr>
          <w:rFonts w:ascii="Arial" w:cs="Arial" w:eastAsia="Arial" w:hAnsi="Arial"/>
          <w:sz w:val="20"/>
          <w:szCs w:val="20"/>
          <w:color w:val="auto"/>
        </w:rPr>
      </w:pPr>
    </w:p>
    <w:p>
      <w:pPr>
        <w:ind w:left="1660" w:hanging="406"/>
        <w:spacing w:after="0"/>
        <w:tabs>
          <w:tab w:leader="none" w:pos="1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transfer of the registered office of Lithium Argentina within Switzerland or abroad;</w:t>
      </w:r>
    </w:p>
    <w:p>
      <w:pPr>
        <w:spacing w:after="0" w:line="271" w:lineRule="exact"/>
        <w:rPr>
          <w:rFonts w:ascii="Arial" w:cs="Arial" w:eastAsia="Arial" w:hAnsi="Arial"/>
          <w:sz w:val="20"/>
          <w:szCs w:val="20"/>
          <w:color w:val="auto"/>
        </w:rPr>
      </w:pPr>
    </w:p>
    <w:p>
      <w:pPr>
        <w:ind w:left="1660" w:hanging="406"/>
        <w:spacing w:after="0"/>
        <w:tabs>
          <w:tab w:leader="none" w:pos="1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introduction of an arbitration clause in the Articles of Association; and</w:t>
      </w:r>
    </w:p>
    <w:p>
      <w:pPr>
        <w:spacing w:after="0" w:line="271" w:lineRule="exact"/>
        <w:rPr>
          <w:rFonts w:ascii="Arial" w:cs="Arial" w:eastAsia="Arial" w:hAnsi="Arial"/>
          <w:sz w:val="20"/>
          <w:szCs w:val="20"/>
          <w:color w:val="auto"/>
        </w:rPr>
      </w:pPr>
    </w:p>
    <w:p>
      <w:pPr>
        <w:ind w:left="1660" w:hanging="406"/>
        <w:spacing w:after="0"/>
        <w:tabs>
          <w:tab w:leader="none" w:pos="16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dissolution of Lithium Argentina.</w:t>
      </w:r>
    </w:p>
    <w:p>
      <w:pPr>
        <w:spacing w:after="0" w:line="381"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Under the Articles of Association, a special resolution of the shareholders' meeting adopted by at least two t of the represented share votes is required for the amendment of the Articles of Association to create, va delete any special rights or restrictions attached to the shares of any class or series of shares (the "</w:t>
      </w:r>
      <w:r>
        <w:rPr>
          <w:rFonts w:ascii="Arial" w:cs="Arial" w:eastAsia="Arial" w:hAnsi="Arial"/>
          <w:sz w:val="20"/>
          <w:szCs w:val="20"/>
          <w:b w:val="1"/>
          <w:bCs w:val="1"/>
          <w:color w:val="auto"/>
        </w:rPr>
        <w:t>Sp</w:t>
      </w:r>
      <w:r>
        <w:rPr>
          <w:rFonts w:ascii="Arial" w:cs="Arial" w:eastAsia="Arial" w:hAnsi="Arial"/>
          <w:sz w:val="20"/>
          <w:szCs w:val="20"/>
          <w:color w:val="auto"/>
        </w:rPr>
        <w:t xml:space="preserve"> </w:t>
      </w:r>
      <w:r>
        <w:rPr>
          <w:rFonts w:ascii="Arial" w:cs="Arial" w:eastAsia="Arial" w:hAnsi="Arial"/>
          <w:sz w:val="20"/>
          <w:szCs w:val="20"/>
          <w:b w:val="1"/>
          <w:bCs w:val="1"/>
          <w:color w:val="auto"/>
        </w:rPr>
        <w:t>Resolution</w:t>
      </w:r>
      <w:r>
        <w:rPr>
          <w:rFonts w:ascii="Arial" w:cs="Arial" w:eastAsia="Arial" w:hAnsi="Arial"/>
          <w:sz w:val="20"/>
          <w:szCs w:val="20"/>
          <w:color w:val="auto"/>
        </w:rPr>
        <w:t>") as well as the amendment of the Articles of Association to alter the voting requirements o</w:t>
      </w:r>
      <w:r>
        <w:rPr>
          <w:rFonts w:ascii="Arial" w:cs="Arial" w:eastAsia="Arial" w:hAnsi="Arial"/>
          <w:sz w:val="20"/>
          <w:szCs w:val="20"/>
          <w:b w:val="1"/>
          <w:bCs w:val="1"/>
          <w:color w:val="auto"/>
        </w:rPr>
        <w:t xml:space="preserve"> </w:t>
      </w:r>
      <w:r>
        <w:rPr>
          <w:rFonts w:ascii="Arial" w:cs="Arial" w:eastAsia="Arial" w:hAnsi="Arial"/>
          <w:sz w:val="20"/>
          <w:szCs w:val="20"/>
          <w:color w:val="auto"/>
        </w:rPr>
        <w:t>Special Resolution.</w:t>
      </w:r>
    </w:p>
    <w:p>
      <w:pPr>
        <w:spacing w:after="0" w:line="210"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Resolutions on mergers, demergers, or conversions are governed by the Swiss Merger Act, and generally re an Important Resolution (with certain exceptions for transactions within group companies). In addition, u Swiss law, the resolution in relation to the sale of "all or substantially all of its assets" by Lithium Argentina require an Important Resolution depending on the particular transaction, (see section "</w:t>
      </w:r>
      <w:r>
        <w:rPr>
          <w:rFonts w:ascii="Arial" w:cs="Arial" w:eastAsia="Arial" w:hAnsi="Arial"/>
          <w:sz w:val="20"/>
          <w:szCs w:val="20"/>
          <w:i w:val="1"/>
          <w:iCs w:val="1"/>
          <w:color w:val="auto"/>
        </w:rPr>
        <w:t>Appraisal Rights</w:t>
      </w:r>
      <w:r>
        <w:rPr>
          <w:rFonts w:ascii="Arial" w:cs="Arial" w:eastAsia="Arial" w:hAnsi="Arial"/>
          <w:sz w:val="20"/>
          <w:szCs w:val="20"/>
          <w:color w:val="auto"/>
        </w:rPr>
        <w:t xml:space="preserve"> </w:t>
      </w:r>
      <w:r>
        <w:rPr>
          <w:rFonts w:ascii="Arial" w:cs="Arial" w:eastAsia="Arial" w:hAnsi="Arial"/>
          <w:sz w:val="20"/>
          <w:szCs w:val="20"/>
          <w:i w:val="1"/>
          <w:iCs w:val="1"/>
          <w:color w:val="auto"/>
        </w:rPr>
        <w:t>Compulsory Acquisitions</w:t>
      </w:r>
      <w:r>
        <w:rPr>
          <w:rFonts w:ascii="Arial" w:cs="Arial" w:eastAsia="Arial" w:hAnsi="Arial"/>
          <w:sz w:val="20"/>
          <w:szCs w:val="20"/>
          <w:color w:val="auto"/>
        </w:rPr>
        <w:t>").</w:t>
      </w:r>
    </w:p>
    <w:p>
      <w:pPr>
        <w:spacing w:after="0" w:line="210"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 xml:space="preserve">The Articles of Association of the Company do not contain any provisions governing the ownership thres above which shareholder ownership must be disclosed. The </w:t>
      </w:r>
      <w:r>
        <w:rPr>
          <w:rFonts w:ascii="Arial" w:cs="Arial" w:eastAsia="Arial" w:hAnsi="Arial"/>
          <w:sz w:val="20"/>
          <w:szCs w:val="20"/>
          <w:i w:val="1"/>
          <w:iCs w:val="1"/>
          <w:color w:val="auto"/>
        </w:rPr>
        <w:t>Swiss Code of Obligations</w:t>
      </w:r>
      <w:r>
        <w:rPr>
          <w:rFonts w:ascii="Arial" w:cs="Arial" w:eastAsia="Arial" w:hAnsi="Arial"/>
          <w:sz w:val="20"/>
          <w:szCs w:val="20"/>
          <w:color w:val="auto"/>
        </w:rPr>
        <w:t xml:space="preserve"> requires the Compa disclose in its annual compensation report the number of shares in the Company and the number of opti similar rights for the acquisition of shares in the Company owned by directors and members of the exec management.</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Dividends</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Dividends may be paid only if: (i) approved by a majority of votes cast by shareholders present at a shareho meeting, whether in person or by proxy; and (ii) Lithium Argentina has sufficient distributable profits from previous fiscal years, or if Lithium Argentina has freely distributable reserves, including out of capital contrib</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5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32 / 139</w:t>
      </w:r>
    </w:p>
    <w:p>
      <w:pPr>
        <w:sectPr>
          <w:pgSz w:w="11900" w:h="16838" w:orient="portrait"/>
          <w:cols w:equalWidth="0" w:num="1">
            <w:col w:w="10460"/>
          </w:cols>
          <w:pgMar w:left="1440" w:top="1440" w:right="6" w:bottom="0" w:gutter="0" w:footer="0" w:header="0"/>
          <w:type w:val="continuous"/>
        </w:sectPr>
      </w:pPr>
    </w:p>
    <w:bookmarkStart w:id="261" w:name="page262"/>
    <w:bookmarkEnd w:id="261"/>
    <w:p>
      <w:pPr>
        <w:jc w:val="both"/>
        <w:ind w:left="900"/>
        <w:spacing w:after="0" w:line="311" w:lineRule="auto"/>
        <w:rPr>
          <w:sz w:val="20"/>
          <w:szCs w:val="20"/>
          <w:color w:val="auto"/>
        </w:rPr>
      </w:pPr>
      <w:r>
        <w:rPr>
          <w:rFonts w:ascii="Arial" w:cs="Arial" w:eastAsia="Arial" w:hAnsi="Arial"/>
          <w:sz w:val="20"/>
          <w:szCs w:val="20"/>
          <w:color w:val="auto"/>
        </w:rPr>
        <w:t>reserves. Swiss companies generally must maintain a separate company "statutory" balance sheet for purpose of determining the amounts available for the return of capital shareholders, including by way distribution of dividends.</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 xml:space="preserve">Distributions of interim dividends may further be paid only if: (i) approved by a majority of votes cas shareholders present at a shareholders meeting, whether in person or by proxy (ii) Lithium Argentina sufficient distributable profits generated during the current business year and (iii) audited interim fina statements must be prepared, showing the profits generated during the current business year. Lithium Argen Swiss Statutory Auditor must confirm that a dividend proposal made to shareholders conforms with requirements of the </w:t>
      </w:r>
      <w:r>
        <w:rPr>
          <w:rFonts w:ascii="Arial" w:cs="Arial" w:eastAsia="Arial" w:hAnsi="Arial"/>
          <w:sz w:val="20"/>
          <w:szCs w:val="20"/>
          <w:i w:val="1"/>
          <w:iCs w:val="1"/>
          <w:color w:val="auto"/>
        </w:rPr>
        <w:t>Swiss Code of Obligations</w:t>
      </w:r>
      <w:r>
        <w:rPr>
          <w:rFonts w:ascii="Arial" w:cs="Arial" w:eastAsia="Arial" w:hAnsi="Arial"/>
          <w:sz w:val="20"/>
          <w:szCs w:val="20"/>
          <w:color w:val="auto"/>
        </w:rPr>
        <w:t xml:space="preserve"> and the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6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33 / 139</w:t>
      </w:r>
    </w:p>
    <w:p>
      <w:pPr>
        <w:sectPr>
          <w:pgSz w:w="11900" w:h="16838" w:orient="portrait"/>
          <w:cols w:equalWidth="0" w:num="1">
            <w:col w:w="10460"/>
          </w:cols>
          <w:pgMar w:left="1440" w:top="1172" w:right="6" w:bottom="0" w:gutter="0" w:footer="0" w:header="0"/>
          <w:type w:val="continuous"/>
        </w:sectPr>
      </w:pPr>
    </w:p>
    <w:bookmarkStart w:id="262" w:name="page263"/>
    <w:bookmarkEnd w:id="2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Dividends are usually due and payable shortly after the shareholders have passed a resolution approvin payment. The Board of a Swiss share company may propose to shareholders that a distribution of dividend paid but cannot itself authorize the dividend. Shareholders participate in the distribution of profits in proporti the nominal/par value and number of shares they hold.</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Inspection of Books and Records</w:t>
      </w:r>
    </w:p>
    <w:p>
      <w:pPr>
        <w:spacing w:after="0" w:line="279"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i w:val="1"/>
          <w:iCs w:val="1"/>
          <w:color w:val="auto"/>
        </w:rPr>
        <w:t>Swiss Code of Obligations</w:t>
      </w:r>
      <w:r>
        <w:rPr>
          <w:rFonts w:ascii="Arial" w:cs="Arial" w:eastAsia="Arial" w:hAnsi="Arial"/>
          <w:sz w:val="20"/>
          <w:szCs w:val="20"/>
          <w:color w:val="auto"/>
        </w:rPr>
        <w:t xml:space="preserve"> grants shareholders the right to inspect the register of shareholders with reg to its, his or her own shares and otherwise to the extent necessary to exercise its, his or her shareholder ri No other person has a right to inspect the register of shareholders. With respect to other company ledgers company files, only shareholders who individually or together with other shareholders represent at least 5% share capital or of the votes may request to inspect such ledgers and files by sending such a request to the at any time. The shareholder's request must describe why the requested inspection is required for the exerci the shareholder's rights, and the Board shall permit inspection within four months of receiving such a req provided that no business secrets or other company interests are put at risk.</w:t>
      </w:r>
    </w:p>
    <w:p>
      <w:pPr>
        <w:spacing w:after="0" w:line="2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Pursuant to Swiss law, at a general meeting, any shareholder is entitled to request information from the B concerning the affairs of Lithium Argentina. The shareholder may also ask the Swiss Statutory Auditor ques regarding its audit of Lithium Argentina. The Board and the Swiss Statutory Auditor must, subject to prev business secrets or other material interests, answer shareholders' questions to the extent necessary fo exercise of shareholders' rights.</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Special Investigation</w:t>
      </w:r>
    </w:p>
    <w:p>
      <w:pPr>
        <w:spacing w:after="0" w:line="279"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If the shareholders' inspection and information rights as outlined in the section "</w:t>
      </w:r>
      <w:r>
        <w:rPr>
          <w:rFonts w:ascii="Arial" w:cs="Arial" w:eastAsia="Arial" w:hAnsi="Arial"/>
          <w:sz w:val="20"/>
          <w:szCs w:val="20"/>
          <w:i w:val="1"/>
          <w:iCs w:val="1"/>
          <w:color w:val="auto"/>
        </w:rPr>
        <w:t>Inspection of Books and Rec</w:t>
      </w:r>
      <w:r>
        <w:rPr>
          <w:rFonts w:ascii="Arial" w:cs="Arial" w:eastAsia="Arial" w:hAnsi="Arial"/>
          <w:sz w:val="20"/>
          <w:szCs w:val="20"/>
          <w:color w:val="auto"/>
        </w:rPr>
        <w:t xml:space="preserve"> prove to be insufficient, Swiss law provides, any shareholder may propose to the general meeting of shareho to initiate a special investigation or to appoint an expert to audit the executive management. If the ge meeting of shareholders approves the proposal, Lithium Argentina or any shareholder may, within three m after the general meeting of shareholders, request the competent court to appoint a special commissioner. general meeting of shareholders rejects the request, one or more shareholders, subject to the requirem outlined in the section "</w:t>
      </w:r>
      <w:r>
        <w:rPr>
          <w:rFonts w:ascii="Arial" w:cs="Arial" w:eastAsia="Arial" w:hAnsi="Arial"/>
          <w:sz w:val="20"/>
          <w:szCs w:val="20"/>
          <w:i w:val="1"/>
          <w:iCs w:val="1"/>
          <w:color w:val="auto"/>
        </w:rPr>
        <w:t>Inspection of Books and Records</w:t>
      </w:r>
      <w:r>
        <w:rPr>
          <w:rFonts w:ascii="Arial" w:cs="Arial" w:eastAsia="Arial" w:hAnsi="Arial"/>
          <w:sz w:val="20"/>
          <w:szCs w:val="20"/>
          <w:color w:val="auto"/>
        </w:rPr>
        <w:t>", may request the court to appoint a sp commissioner. The court will issue such an order if the petitioners can demonstrate that the Board, any of Lit Argentina's directors or officers infringed the law or the Articles of Association and thereby damaged Lit Argentina or the shareholders. The costs of the investigation would generally be allocated to Lithium Arge and only in exceptional cases to the petitioners.</w:t>
      </w:r>
    </w:p>
    <w:p>
      <w:pPr>
        <w:spacing w:after="0" w:line="204"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Appraisal Rights and Compulsory Acquisitions</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Business combinations and other transactions that are governed by the Swiss Merger Act, are binding o shareholders. A statutory merger or demerger requires approval of two-thirds of the shares represented general meeting of shareholders and the absolute majority of the par value of the shares represented. transaction under the Swiss Merger Act receives all of the necessary consents, all shareholders are compell participate in such transaction.</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34 / 139</w:t>
      </w:r>
    </w:p>
    <w:p>
      <w:pPr>
        <w:sectPr>
          <w:pgSz w:w="11900" w:h="16838" w:orient="portrait"/>
          <w:cols w:equalWidth="0" w:num="1">
            <w:col w:w="10460"/>
          </w:cols>
          <w:pgMar w:left="1440" w:top="1440" w:right="6" w:bottom="0" w:gutter="0" w:footer="0" w:header="0"/>
          <w:type w:val="continuous"/>
        </w:sectPr>
      </w:pPr>
    </w:p>
    <w:bookmarkStart w:id="263" w:name="page264"/>
    <w:bookmarkEnd w:id="263"/>
    <w:p>
      <w:pPr>
        <w:jc w:val="both"/>
        <w:ind w:left="900"/>
        <w:spacing w:after="0" w:line="313" w:lineRule="auto"/>
        <w:rPr>
          <w:sz w:val="20"/>
          <w:szCs w:val="20"/>
          <w:color w:val="auto"/>
        </w:rPr>
      </w:pPr>
      <w:r>
        <w:rPr>
          <w:rFonts w:ascii="Arial" w:cs="Arial" w:eastAsia="Arial" w:hAnsi="Arial"/>
          <w:sz w:val="20"/>
          <w:szCs w:val="20"/>
          <w:color w:val="auto"/>
        </w:rPr>
        <w:t xml:space="preserve">Shareholders are not entitled to dissent or appraisal rights in respect of any corporate actions other than respect to certain transactions to which the </w:t>
      </w:r>
      <w:r>
        <w:rPr>
          <w:rFonts w:ascii="Arial" w:cs="Arial" w:eastAsia="Arial" w:hAnsi="Arial"/>
          <w:sz w:val="20"/>
          <w:szCs w:val="20"/>
          <w:i w:val="1"/>
          <w:iCs w:val="1"/>
          <w:color w:val="auto"/>
        </w:rPr>
        <w:t>Swiss Merger Act</w:t>
      </w:r>
      <w:r>
        <w:rPr>
          <w:rFonts w:ascii="Arial" w:cs="Arial" w:eastAsia="Arial" w:hAnsi="Arial"/>
          <w:sz w:val="20"/>
          <w:szCs w:val="20"/>
          <w:color w:val="auto"/>
        </w:rPr>
        <w:t xml:space="preserve"> applies. If, in the event of a merger, demerg conversion, the share or membership rights are not adequately safeguarded or the compensation is appropriate, any shareholder may, within two months of the publication of the merger, demerger or conve resolution, request that the court determine an appropriate compensation payment (appraisal suit). A dec issued by a competent court in this respect can be acted upon by any person who has the same legal stat the claimant. The filing of an appraisal suit will not prevent completion of the merger or demerger.</w:t>
      </w:r>
    </w:p>
    <w:p>
      <w:pPr>
        <w:spacing w:after="0" w:line="214"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Furthermore, the Swiss Merger Act provides for a squeeze-out merger if the acquirer controls 90% of outstanding shares. In these limited circumstances, minority shareholders of the company being acquired m compensated in a form other than through shares of the acquiring company, such as, for example, through or securities of a parent company of the acquiring company or of another company. The Swiss Merger Act g minority shareholders the right to a judicial review of the adequacy of the compensation offered in such a and empowers the courts to determine, if necessary, a reasonable amount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35 / 139</w:t>
      </w:r>
    </w:p>
    <w:p>
      <w:pPr>
        <w:sectPr>
          <w:pgSz w:w="11900" w:h="16838" w:orient="portrait"/>
          <w:cols w:equalWidth="0" w:num="1">
            <w:col w:w="10460"/>
          </w:cols>
          <w:pgMar w:left="1440" w:top="1172" w:right="6" w:bottom="0" w:gutter="0" w:footer="0" w:header="0"/>
          <w:type w:val="continuous"/>
        </w:sectPr>
      </w:pPr>
    </w:p>
    <w:bookmarkStart w:id="264" w:name="page265"/>
    <w:bookmarkEnd w:id="2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 xml:space="preserve">In addition, under Swiss law, the sale of all or substantially all of Lithium Argentina's assets may be constru a </w:t>
      </w:r>
      <w:r>
        <w:rPr>
          <w:rFonts w:ascii="Arial" w:cs="Arial" w:eastAsia="Arial" w:hAnsi="Arial"/>
          <w:sz w:val="20"/>
          <w:szCs w:val="20"/>
          <w:i w:val="1"/>
          <w:iCs w:val="1"/>
          <w:color w:val="auto"/>
        </w:rPr>
        <w:t>de facto</w:t>
      </w:r>
      <w:r>
        <w:rPr>
          <w:rFonts w:ascii="Arial" w:cs="Arial" w:eastAsia="Arial" w:hAnsi="Arial"/>
          <w:sz w:val="20"/>
          <w:szCs w:val="20"/>
          <w:color w:val="auto"/>
        </w:rPr>
        <w:t xml:space="preserve"> dissolution of Lithium Argentina, and consequently require the approval of two-thirds of the v represented at a general meeting of shareholders and the majority of the nominal value of the shares repres at such meeting. Whether a shareholder resolution is required depends on the particular transaction, an following circumstances are generally deemed relevant in this respect:</w:t>
      </w:r>
    </w:p>
    <w:p>
      <w:pPr>
        <w:spacing w:after="0" w:line="210"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a core part of the company’s business is sold without which it is economically impracticable or unreasonab continue to operate the remaining business;</w:t>
      </w:r>
    </w:p>
    <w:p>
      <w:pPr>
        <w:spacing w:after="0" w:line="215"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company’s assets, after the divestment, are not invested in accordance with the company’s business pur set forth in the Articles of Association; and</w:t>
      </w:r>
    </w:p>
    <w:p>
      <w:pPr>
        <w:spacing w:after="0" w:line="215"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proceeds of the divestment are not earmarked for reinvestment in accordance with the company’s busi purpose but, instead, are intended for distribution to the company’s shareholders or for financial investm unrelated to the company’s business.</w:t>
      </w:r>
    </w:p>
    <w:p>
      <w:pPr>
        <w:spacing w:after="0" w:line="306"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Change in Control</w:t>
      </w:r>
    </w:p>
    <w:p>
      <w:pPr>
        <w:spacing w:after="0" w:line="279" w:lineRule="exact"/>
        <w:rPr>
          <w:sz w:val="20"/>
          <w:szCs w:val="20"/>
          <w:color w:val="auto"/>
        </w:rPr>
      </w:pPr>
    </w:p>
    <w:p>
      <w:pPr>
        <w:ind w:left="900"/>
        <w:spacing w:after="0" w:line="321" w:lineRule="auto"/>
        <w:rPr>
          <w:sz w:val="20"/>
          <w:szCs w:val="20"/>
          <w:color w:val="auto"/>
        </w:rPr>
      </w:pPr>
      <w:r>
        <w:rPr>
          <w:rFonts w:ascii="Arial" w:cs="Arial" w:eastAsia="Arial" w:hAnsi="Arial"/>
          <w:sz w:val="20"/>
          <w:szCs w:val="20"/>
          <w:color w:val="auto"/>
        </w:rPr>
        <w:t xml:space="preserve">There are no provisions in the Articles of Association nor the </w:t>
      </w:r>
      <w:r>
        <w:rPr>
          <w:rFonts w:ascii="Arial" w:cs="Arial" w:eastAsia="Arial" w:hAnsi="Arial"/>
          <w:sz w:val="20"/>
          <w:szCs w:val="20"/>
          <w:i w:val="1"/>
          <w:iCs w:val="1"/>
          <w:color w:val="auto"/>
        </w:rPr>
        <w:t>Swiss Code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Obligations </w:t>
      </w:r>
      <w:r>
        <w:rPr>
          <w:rFonts w:ascii="Arial" w:cs="Arial" w:eastAsia="Arial" w:hAnsi="Arial"/>
          <w:sz w:val="20"/>
          <w:szCs w:val="20"/>
          <w:color w:val="auto"/>
        </w:rPr>
        <w:t>that would have the effect of delaying, deferring or preventing a change in control of the Com</w:t>
      </w:r>
      <w:r>
        <w:rPr>
          <w:rFonts w:ascii="Arial" w:cs="Arial" w:eastAsia="Arial" w:hAnsi="Arial"/>
          <w:sz w:val="20"/>
          <w:szCs w:val="20"/>
          <w:i w:val="1"/>
          <w:iCs w:val="1"/>
          <w:color w:val="auto"/>
        </w:rPr>
        <w:t xml:space="preserve"> </w:t>
      </w:r>
      <w:r>
        <w:rPr>
          <w:rFonts w:ascii="Arial" w:cs="Arial" w:eastAsia="Arial" w:hAnsi="Arial"/>
          <w:sz w:val="20"/>
          <w:szCs w:val="20"/>
          <w:color w:val="auto"/>
        </w:rPr>
        <w:t>and that would operate only with respect to a merger, acquisition or corporate restructuring involving Company or its subsidiaries</w:t>
      </w:r>
      <w:r>
        <w:rPr>
          <w:rFonts w:ascii="Arial" w:cs="Arial" w:eastAsia="Arial" w:hAnsi="Arial"/>
          <w:sz w:val="20"/>
          <w:szCs w:val="20"/>
          <w:i w:val="1"/>
          <w:iCs w:val="1"/>
          <w:color w:val="auto"/>
        </w:rPr>
        <w:t>.</w:t>
      </w:r>
    </w:p>
    <w:p>
      <w:pPr>
        <w:spacing w:after="0" w:line="200" w:lineRule="exact"/>
        <w:rPr>
          <w:sz w:val="20"/>
          <w:szCs w:val="20"/>
          <w:color w:val="auto"/>
        </w:rPr>
      </w:pPr>
    </w:p>
    <w:p>
      <w:pPr>
        <w:spacing w:after="0" w:line="278"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Reduction of Share Capital</w:t>
      </w:r>
    </w:p>
    <w:p>
      <w:pPr>
        <w:spacing w:after="0" w:line="279" w:lineRule="exact"/>
        <w:rPr>
          <w:sz w:val="20"/>
          <w:szCs w:val="20"/>
          <w:color w:val="auto"/>
        </w:rPr>
      </w:pPr>
    </w:p>
    <w:p>
      <w:pPr>
        <w:jc w:val="both"/>
        <w:ind w:left="900"/>
        <w:spacing w:after="0" w:line="332" w:lineRule="auto"/>
        <w:rPr>
          <w:sz w:val="20"/>
          <w:szCs w:val="20"/>
          <w:color w:val="auto"/>
        </w:rPr>
      </w:pPr>
      <w:r>
        <w:rPr>
          <w:rFonts w:ascii="Arial" w:cs="Arial" w:eastAsia="Arial" w:hAnsi="Arial"/>
          <w:sz w:val="19"/>
          <w:szCs w:val="19"/>
          <w:color w:val="auto"/>
        </w:rPr>
        <w:t>Under Swiss law, capital distributions may also take the form of a distribution of cash or property that is b upon a reduction of Lithium Argentina's share capital recorded in the commercial register. Such a ca reduction requires the approval of shareholders holding a majority of votes cast at a general meeting. A sp audit report must confirm that creditors' claims remain fully covered despite the reduction in the share c recorded in the commercial register. On or before the approval by the general meeting of shareholders o capital reduction, the Board must give public notice of the capital reduction resolution in the Swiss Official Ga of Commerce and notify creditors that they may request, within thirty days, satisfaction of or security for claims (to the extent that the coverage of creditors' claims prior to the capital reduction has been reduced). obligation to provide security does not apply if the reduction of the share capital does not jeopardize satisfaction of the creditors' claims. If an unqualified special audit report is available, the law presumes creditors' claims are not jeopardized. The presumption may be rebutted by creditors in exceptional circumsta</w:t>
      </w:r>
    </w:p>
    <w:p>
      <w:pPr>
        <w:spacing w:after="0" w:line="189"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Liquidation Rights</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 xml:space="preserve">Under the </w:t>
      </w:r>
      <w:r>
        <w:rPr>
          <w:rFonts w:ascii="Arial" w:cs="Arial" w:eastAsia="Arial" w:hAnsi="Arial"/>
          <w:sz w:val="20"/>
          <w:szCs w:val="20"/>
          <w:i w:val="1"/>
          <w:iCs w:val="1"/>
          <w:color w:val="auto"/>
        </w:rPr>
        <w:t>Swiss Code of Obligations</w:t>
      </w:r>
      <w:r>
        <w:rPr>
          <w:rFonts w:ascii="Arial" w:cs="Arial" w:eastAsia="Arial" w:hAnsi="Arial"/>
          <w:sz w:val="20"/>
          <w:szCs w:val="20"/>
          <w:color w:val="auto"/>
        </w:rPr>
        <w:t xml:space="preserve">, in the event of the liquidation of Lithium Argentina, after the full am that creditors as to distribution on liquidation or winding up are entitled to receive have been paid or set asid payment, the holders of Shares would be entitled to receive, </w:t>
      </w:r>
      <w:r>
        <w:rPr>
          <w:rFonts w:ascii="Arial" w:cs="Arial" w:eastAsia="Arial" w:hAnsi="Arial"/>
          <w:sz w:val="20"/>
          <w:szCs w:val="20"/>
          <w:i w:val="1"/>
          <w:iCs w:val="1"/>
          <w:color w:val="auto"/>
        </w:rPr>
        <w:t>pro rata</w:t>
      </w:r>
      <w:r>
        <w:rPr>
          <w:rFonts w:ascii="Arial" w:cs="Arial" w:eastAsia="Arial" w:hAnsi="Arial"/>
          <w:sz w:val="20"/>
          <w:szCs w:val="20"/>
          <w:color w:val="auto"/>
        </w:rPr>
        <w:t>, any remaining assets of Lithium Arge available for distribution to the holders of Shares, subject to Swiss withholding tax requirements.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The Board</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36 / 139</w:t>
      </w:r>
    </w:p>
    <w:p>
      <w:pPr>
        <w:sectPr>
          <w:pgSz w:w="11900" w:h="16838" w:orient="portrait"/>
          <w:cols w:equalWidth="0" w:num="1">
            <w:col w:w="10460"/>
          </w:cols>
          <w:pgMar w:left="1440" w:top="1440" w:right="6" w:bottom="0" w:gutter="0" w:footer="0" w:header="0"/>
          <w:type w:val="continuous"/>
        </w:sectPr>
      </w:pPr>
    </w:p>
    <w:bookmarkStart w:id="265" w:name="page266"/>
    <w:bookmarkEnd w:id="265"/>
    <w:p>
      <w:pPr>
        <w:jc w:val="both"/>
        <w:ind w:left="900"/>
        <w:spacing w:after="0" w:line="313" w:lineRule="auto"/>
        <w:rPr>
          <w:sz w:val="20"/>
          <w:szCs w:val="20"/>
          <w:color w:val="auto"/>
        </w:rPr>
      </w:pPr>
      <w:r>
        <w:rPr>
          <w:rFonts w:ascii="Arial" w:cs="Arial" w:eastAsia="Arial" w:hAnsi="Arial"/>
          <w:sz w:val="20"/>
          <w:szCs w:val="20"/>
          <w:color w:val="auto"/>
        </w:rPr>
        <w:t>The Articles of Association provide that the Board will consist of a minimum of three directors. The membe the Board shall, as a rule, be elected by the annual shareholders' meeting in each case for a term of office o year. The term of office of the members of the Board shall, subject to prior resignation and removal, expire o next annual shareholders' meeting at which there is a quorum as described in section "</w:t>
      </w:r>
      <w:r>
        <w:rPr>
          <w:rFonts w:ascii="Arial" w:cs="Arial" w:eastAsia="Arial" w:hAnsi="Arial"/>
          <w:sz w:val="20"/>
          <w:szCs w:val="20"/>
          <w:i w:val="1"/>
          <w:iCs w:val="1"/>
          <w:color w:val="auto"/>
        </w:rPr>
        <w:t>General Meetin</w:t>
      </w:r>
      <w:r>
        <w:rPr>
          <w:rFonts w:ascii="Arial" w:cs="Arial" w:eastAsia="Arial" w:hAnsi="Arial"/>
          <w:sz w:val="20"/>
          <w:szCs w:val="20"/>
          <w:color w:val="auto"/>
        </w:rPr>
        <w:t xml:space="preserve"> </w:t>
      </w:r>
      <w:r>
        <w:rPr>
          <w:rFonts w:ascii="Arial" w:cs="Arial" w:eastAsia="Arial" w:hAnsi="Arial"/>
          <w:sz w:val="20"/>
          <w:szCs w:val="20"/>
          <w:i w:val="1"/>
          <w:iCs w:val="1"/>
          <w:color w:val="auto"/>
        </w:rPr>
        <w:t>Shareholders</w:t>
      </w:r>
      <w:r>
        <w:rPr>
          <w:rFonts w:ascii="Arial" w:cs="Arial" w:eastAsia="Arial" w:hAnsi="Arial"/>
          <w:sz w:val="20"/>
          <w:szCs w:val="20"/>
          <w:color w:val="auto"/>
        </w:rPr>
        <w:t>". Re-election is possible.</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The Board’s Power to Vote in Materially Interested Transactions</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Company's Articles of Association provide that the adoption of resolutions by the Board shall b compliance with the by-laws. According to the by-laws, directors and members of the executive managemen obliged to inform the chairperson of the Board of any current or potential conflict of interests affecting the accordance with applicable law (a “</w:t>
      </w:r>
      <w:r>
        <w:rPr>
          <w:rFonts w:ascii="Arial" w:cs="Arial" w:eastAsia="Arial" w:hAnsi="Arial"/>
          <w:sz w:val="20"/>
          <w:szCs w:val="20"/>
          <w:b w:val="1"/>
          <w:bCs w:val="1"/>
          <w:color w:val="auto"/>
        </w:rPr>
        <w:t>Disclosable Interest</w:t>
      </w:r>
      <w:r>
        <w:rPr>
          <w:rFonts w:ascii="Arial" w:cs="Arial" w:eastAsia="Arial" w:hAnsi="Arial"/>
          <w:sz w:val="20"/>
          <w:szCs w:val="20"/>
          <w:color w:val="auto"/>
        </w:rPr>
        <w:t>”). The chairperson of the Board is then responsib informing the other members of the Board of any Disclosable Interest. If the chairperson of the Board h Disclosable Interest, he or she must inform the other directors. In the event that a director has a Disclos Interest, the Board shall take the measures necessary to safeguard the interests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1090295</wp:posOffset>
            </wp:positionV>
            <wp:extent cx="6764020" cy="190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37 / 139</w:t>
      </w:r>
    </w:p>
    <w:p>
      <w:pPr>
        <w:sectPr>
          <w:pgSz w:w="11900" w:h="16838" w:orient="portrait"/>
          <w:cols w:equalWidth="0" w:num="1">
            <w:col w:w="10460"/>
          </w:cols>
          <w:pgMar w:left="1440" w:top="1172" w:right="6" w:bottom="0" w:gutter="0" w:footer="0" w:header="0"/>
          <w:type w:val="continuous"/>
        </w:sectPr>
      </w:pPr>
    </w:p>
    <w:bookmarkStart w:id="266" w:name="page267"/>
    <w:bookmarkEnd w:id="2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A director who holds a Disclosable Interest in a contract or transaction into which the Company has enter proposes to enter is not entitled to vote on any resolution to approve that contract or transaction. However, the directors have a Disclosable Interest in that contract or transaction, any or all of those directors may vo the resolution</w:t>
      </w:r>
      <w:r>
        <w:rPr>
          <w:rFonts w:ascii="Arial" w:cs="Arial" w:eastAsia="Arial" w:hAnsi="Arial"/>
          <w:sz w:val="20"/>
          <w:szCs w:val="20"/>
          <w:u w:val="single" w:color="auto"/>
          <w:color w:val="0078D4"/>
        </w:rPr>
        <w:t>.</w:t>
      </w:r>
    </w:p>
    <w:p>
      <w:pPr>
        <w:spacing w:after="0" w:line="212" w:lineRule="exact"/>
        <w:rPr>
          <w:sz w:val="20"/>
          <w:szCs w:val="20"/>
          <w:color w:val="auto"/>
        </w:rPr>
      </w:pPr>
    </w:p>
    <w:p>
      <w:pPr>
        <w:jc w:val="both"/>
        <w:ind w:left="900"/>
        <w:spacing w:after="0" w:line="317" w:lineRule="auto"/>
        <w:rPr>
          <w:sz w:val="20"/>
          <w:szCs w:val="20"/>
          <w:color w:val="auto"/>
        </w:rPr>
      </w:pPr>
      <w:r>
        <w:rPr>
          <w:rFonts w:ascii="Arial" w:cs="Arial" w:eastAsia="Arial" w:hAnsi="Arial"/>
          <w:sz w:val="20"/>
          <w:szCs w:val="20"/>
          <w:color w:val="auto"/>
        </w:rPr>
        <w:t>A director who holds a Disclosable Interest in a contract or transaction into which the Company has enter proposes to enter and who is present at the meeting of the Board at which the contract or transactio considered for approval may be counted in the quorum at such meeting. This is applicable whether or no director votes on any or all of the resolutions considered at the board meeting.</w:t>
      </w:r>
    </w:p>
    <w:p>
      <w:pPr>
        <w:spacing w:after="0" w:line="206" w:lineRule="exact"/>
        <w:rPr>
          <w:sz w:val="20"/>
          <w:szCs w:val="20"/>
          <w:color w:val="auto"/>
        </w:rPr>
      </w:pPr>
    </w:p>
    <w:p>
      <w:pPr>
        <w:ind w:left="900"/>
        <w:spacing w:after="0"/>
        <w:rPr>
          <w:sz w:val="20"/>
          <w:szCs w:val="20"/>
          <w:color w:val="auto"/>
        </w:rPr>
      </w:pPr>
      <w:r>
        <w:rPr>
          <w:rFonts w:ascii="Arial" w:cs="Arial" w:eastAsia="Arial" w:hAnsi="Arial"/>
          <w:sz w:val="19"/>
          <w:szCs w:val="19"/>
          <w:b w:val="1"/>
          <w:bCs w:val="1"/>
          <w:i w:val="1"/>
          <w:iCs w:val="1"/>
          <w:color w:val="auto"/>
        </w:rPr>
        <w:t>The Board’s Loans, Credits, Pension Benefits other than Occupational Pension Funds and Securities</w:t>
      </w:r>
    </w:p>
    <w:p>
      <w:pPr>
        <w:spacing w:after="0" w:line="283"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212529"/>
        </w:rPr>
        <w:t>Under Article 34(1) of the Articles of Association, the Company cannot grant loans to any members of the B or the executive management. Under Article 34(2) of the Articles of Association, the Company may gra members of the Board and the executive management post-retirement benefits beyond the occupational b schemes, which do not exceed the annual compensation of the respective member of the Board or the exec management last paid.</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The Board’s Share Qualification</w:t>
      </w:r>
    </w:p>
    <w:p>
      <w:pPr>
        <w:spacing w:after="0" w:line="27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Under the Articles of Association, a director is not required to hold a share in the capital of the Compan qualification for his or her office.</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Conflict of Interest, Management Transactions</w:t>
      </w:r>
    </w:p>
    <w:p>
      <w:pPr>
        <w:spacing w:after="0" w:line="279" w:lineRule="exact"/>
        <w:rPr>
          <w:sz w:val="20"/>
          <w:szCs w:val="20"/>
          <w:color w:val="auto"/>
        </w:rPr>
      </w:pPr>
    </w:p>
    <w:p>
      <w:pPr>
        <w:ind w:left="900"/>
        <w:spacing w:after="0" w:line="314"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i w:val="1"/>
          <w:iCs w:val="1"/>
          <w:color w:val="auto"/>
        </w:rPr>
        <w:t>Swiss Code of Obligations</w:t>
      </w:r>
      <w:r>
        <w:rPr>
          <w:rFonts w:ascii="Arial" w:cs="Arial" w:eastAsia="Arial" w:hAnsi="Arial"/>
          <w:sz w:val="20"/>
          <w:szCs w:val="20"/>
          <w:color w:val="auto"/>
        </w:rPr>
        <w:t xml:space="preserve"> provides that the members of the Board and the executive management inform the Board immediately and comprehensively of any conflicts of interest affecting them. The Board take the measures required to safeguard Lithium Argentina’s interests. Further, the </w:t>
      </w:r>
      <w:r>
        <w:rPr>
          <w:rFonts w:ascii="Arial" w:cs="Arial" w:eastAsia="Arial" w:hAnsi="Arial"/>
          <w:sz w:val="20"/>
          <w:szCs w:val="20"/>
          <w:i w:val="1"/>
          <w:iCs w:val="1"/>
          <w:color w:val="auto"/>
        </w:rPr>
        <w:t>Swiss Code of Obliga</w:t>
      </w:r>
      <w:r>
        <w:rPr>
          <w:rFonts w:ascii="Arial" w:cs="Arial" w:eastAsia="Arial" w:hAnsi="Arial"/>
          <w:sz w:val="20"/>
          <w:szCs w:val="20"/>
          <w:color w:val="auto"/>
        </w:rPr>
        <w:t xml:space="preserve"> contains a provision that requires Lithium Argentina's Board and executive management to safeguard Company's interests and imposes a duty of loyalty and duty of care on Lithium Argentina's Board and exec management. This rule is generally understood to disqualify the Board and executive management participation in decisions that directly affect them. The Board and executive management members are pers liable to Lithium Argentina for breach of these provisions. In addition, Swiss law contains provisions under members of the Board and all persons engaged in the company's management are liable to the company, shareholder and the company's creditors for damages caused by an intentional or negligent violation of duties. Furthermore, Swiss law contains a provision under which payments made to any of the comp shareholders or directors or any person associated with any such shareholder or director, other than paym made at arm's length, must be repaid to the company if such shareholder, director or associated person act bad faith.</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Legal Name; Formation; Fiscal Year; Registered Office</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38 / 139</w:t>
      </w:r>
    </w:p>
    <w:p>
      <w:pPr>
        <w:sectPr>
          <w:pgSz w:w="11900" w:h="16838" w:orient="portrait"/>
          <w:cols w:equalWidth="0" w:num="1">
            <w:col w:w="10460"/>
          </w:cols>
          <w:pgMar w:left="1440" w:top="1440" w:right="6" w:bottom="0" w:gutter="0" w:footer="0" w:header="0"/>
          <w:type w:val="continuous"/>
        </w:sectPr>
      </w:pPr>
    </w:p>
    <w:bookmarkStart w:id="267" w:name="page268"/>
    <w:bookmarkEnd w:id="267"/>
    <w:p>
      <w:pPr>
        <w:jc w:val="both"/>
        <w:ind w:left="900"/>
        <w:spacing w:after="0" w:line="313" w:lineRule="auto"/>
        <w:rPr>
          <w:sz w:val="20"/>
          <w:szCs w:val="20"/>
          <w:color w:val="auto"/>
        </w:rPr>
      </w:pPr>
      <w:r>
        <w:rPr>
          <w:rFonts w:ascii="Arial" w:cs="Arial" w:eastAsia="Arial" w:hAnsi="Arial"/>
          <w:sz w:val="20"/>
          <w:szCs w:val="20"/>
          <w:color w:val="auto"/>
        </w:rPr>
        <w:t xml:space="preserve">The legal and commercial name is Lithium Argentina AG (before Continuation known as Lithium Ame (Argentina) Corp.). Lithium Americas (Argentina) Corp. was initially formed on November 27, 2007 unde BCBCA and was continued to Switzerland on January 23, 2025. Lithium Argentina is now incorporated domiciled in Zug, Canton of Zug, Switzerland and operates under the </w:t>
      </w:r>
      <w:r>
        <w:rPr>
          <w:rFonts w:ascii="Arial" w:cs="Arial" w:eastAsia="Arial" w:hAnsi="Arial"/>
          <w:sz w:val="20"/>
          <w:szCs w:val="20"/>
          <w:i w:val="1"/>
          <w:iCs w:val="1"/>
          <w:color w:val="auto"/>
        </w:rPr>
        <w:t>Swiss Code of Obligations</w:t>
      </w:r>
      <w:r>
        <w:rPr>
          <w:rFonts w:ascii="Arial" w:cs="Arial" w:eastAsia="Arial" w:hAnsi="Arial"/>
          <w:sz w:val="20"/>
          <w:szCs w:val="20"/>
          <w:color w:val="auto"/>
        </w:rPr>
        <w:t xml:space="preserve"> as a s company (</w:t>
      </w:r>
      <w:r>
        <w:rPr>
          <w:rFonts w:ascii="Arial" w:cs="Arial" w:eastAsia="Arial" w:hAnsi="Arial"/>
          <w:sz w:val="20"/>
          <w:szCs w:val="20"/>
          <w:i w:val="1"/>
          <w:iCs w:val="1"/>
          <w:color w:val="auto"/>
        </w:rPr>
        <w:t>Aktiengesellschaft</w:t>
      </w:r>
      <w:r>
        <w:rPr>
          <w:rFonts w:ascii="Arial" w:cs="Arial" w:eastAsia="Arial" w:hAnsi="Arial"/>
          <w:sz w:val="20"/>
          <w:szCs w:val="20"/>
          <w:color w:val="auto"/>
        </w:rPr>
        <w:t>).</w:t>
      </w:r>
    </w:p>
    <w:p>
      <w:pPr>
        <w:spacing w:after="0" w:line="312" w:lineRule="exact"/>
        <w:rPr>
          <w:sz w:val="20"/>
          <w:szCs w:val="20"/>
          <w:color w:val="auto"/>
        </w:rPr>
      </w:pPr>
    </w:p>
    <w:p>
      <w:pPr>
        <w:ind w:left="900" w:right="80"/>
        <w:spacing w:after="0" w:line="307" w:lineRule="auto"/>
        <w:rPr>
          <w:sz w:val="20"/>
          <w:szCs w:val="20"/>
          <w:color w:val="auto"/>
        </w:rPr>
      </w:pPr>
      <w:r>
        <w:rPr>
          <w:rFonts w:ascii="Arial" w:cs="Arial" w:eastAsia="Arial" w:hAnsi="Arial"/>
          <w:sz w:val="20"/>
          <w:szCs w:val="20"/>
          <w:color w:val="auto"/>
        </w:rPr>
        <w:t>The address of Lithium Argentina’s registered and head office is Lithium Argentina AG, Dammstrasse 19, Zug, Switzerland.</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Corporate Purpose</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purpose of Lithium Argentina is to directly or indirectly acquire, hold, finance, manage, exploit and dispo participations in domestic and foreign, listed and non-listed companies or other legal entities, partnershi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39 / 139</w:t>
      </w:r>
    </w:p>
    <w:p>
      <w:pPr>
        <w:sectPr>
          <w:pgSz w:w="11900" w:h="16838" w:orient="portrait"/>
          <w:cols w:equalWidth="0" w:num="1">
            <w:col w:w="10460"/>
          </w:cols>
          <w:pgMar w:left="1440" w:top="1172" w:right="6" w:bottom="0" w:gutter="0" w:footer="0" w:header="0"/>
          <w:type w:val="continuous"/>
        </w:sectPr>
      </w:pPr>
    </w:p>
    <w:bookmarkStart w:id="268" w:name="page269"/>
    <w:bookmarkEnd w:id="2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Lithium Argentina may also set up branch offices and subsidiaries in Switzerland and abroad and may acq hold, sell or finance any kind of undertakings and companies. Lithium Argentina may further acquire, hold, sell real estate. Lithium Argentina may engage in any kind of commercial activity that is directly or indir related to its purpose and take any measures which seem appropriate to promote the purpose of Lit Argentina, or which are connected with this purpose, including, without limitation, any commercial activities i mining and minerals sector (such as advancing lithium projects and related business, development and t activities).</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Duration and Dissolution</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duration of Lithium Argentina is unlimited. However, Lithium Argentina may be dissolved by liquidation a time by an Important Resolution. Lithium Argentina may also be dissolved without liquidation in certain case example in in a merger where Lithium Argentina is not the surviving entity) by an Important Resolu Furthermore, dissolution by court order in the event of bankruptcy, or for cause at the request of shareho holding at least 10% of Lithium Argentina's share capital or votes is possible.</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Certificated and Uncertificated Shares</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Lithium Argentina is authorized to issue Shares in certificated or uncertificated form.</w:t>
      </w:r>
    </w:p>
    <w:p>
      <w:pPr>
        <w:spacing w:after="0" w:line="27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Lithium Argentina may convert Shares from one form into another at any time and without the approval o shareholders, whereas Lithium Argentina shall bear the cost associated with any such conversion.</w:t>
      </w:r>
    </w:p>
    <w:p>
      <w:pPr>
        <w:spacing w:after="0" w:line="215"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If registered in Lithium Argentina's share register, a shareholder may at any time request a written confirm with respect to such person’s shares. However, the shareholder has no right to request the issue and delive share certificates nor the conversion of the Shares issued in one form into another form. Lithium Argentina not currently issue Shares in certificated form.</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Stock Exchange Listing</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Shares are listed for trading on the NYSE and TSX under the symbol “LAR”.</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No Sinking Fund</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Shares have no sinking fund provision.</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No Redemption and Conversion</w:t>
      </w:r>
    </w:p>
    <w:p>
      <w:pPr>
        <w:spacing w:after="0" w:line="27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Shares are not convertible into shares of any other class or series or subject to redemption either by Lit Argentina or the holder of the Shares.</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Transfer of Shares and Registration</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Lithium Argentina has not imposed any restrictions applicable to the transfer of the Shares, subject to Article of the Articles of Association with respect to Shares issued in the form of intermediated securities, in which any transfer of the Shares is effected by a corresponding entry in the securities deposit account of a bank depository institution; no Shares in the form of intermediated securities or security interest in any</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40 / 139</w:t>
      </w:r>
    </w:p>
    <w:p>
      <w:pPr>
        <w:sectPr>
          <w:pgSz w:w="11900" w:h="16838" w:orient="portrait"/>
          <w:cols w:equalWidth="0" w:num="1">
            <w:col w:w="10460"/>
          </w:cols>
          <w:pgMar w:left="1440" w:top="1440" w:right="6" w:bottom="0" w:gutter="0" w:footer="0" w:header="0"/>
          <w:type w:val="continuous"/>
        </w:sectPr>
      </w:pPr>
    </w:p>
    <w:bookmarkStart w:id="269" w:name="page270"/>
    <w:bookmarkEnd w:id="269"/>
    <w:p>
      <w:pPr>
        <w:jc w:val="both"/>
        <w:ind w:left="900"/>
        <w:spacing w:after="0" w:line="311" w:lineRule="auto"/>
        <w:rPr>
          <w:sz w:val="20"/>
          <w:szCs w:val="20"/>
          <w:color w:val="auto"/>
        </w:rPr>
      </w:pPr>
      <w:r>
        <w:rPr>
          <w:rFonts w:ascii="Arial" w:cs="Arial" w:eastAsia="Arial" w:hAnsi="Arial"/>
          <w:sz w:val="20"/>
          <w:szCs w:val="20"/>
          <w:color w:val="auto"/>
        </w:rPr>
        <w:t>intermediated securities can be transferred by way of assignment. If uncertificated Shares (not in the for intermediated securities) are transferred by way of assignment, such assignment must be notified to Lit Argentina to be valid.</w:t>
      </w:r>
    </w:p>
    <w:p>
      <w:pPr>
        <w:spacing w:after="0" w:line="212"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Persons acquiring Shares of Lithium Argentina shall on application be entered in the share register wit limitation as shareholders with voting rights, provided they expressly declare themselves to have acquire said shares in their own name and for their own account, that there is no agreement on the redemption or r of the corresponding shares and that he/she bears the economic risk associated with the Share, except tha Board may record nominees who hold Shares in their own name, but for the account of third parties shareholders of record with voting rights in the share register of Lithium Argentina. Beneficial owners of Sh who hold shares through a nominee exercise the shareholders' rights through the intermediation of such nom The share register will reflect only record owners, usufructuaries and nominees of Shares. Swiss law doe recognize fractional share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1087120</wp:posOffset>
            </wp:positionV>
            <wp:extent cx="6764020" cy="190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41 / 139</w:t>
      </w:r>
    </w:p>
    <w:p>
      <w:pPr>
        <w:sectPr>
          <w:pgSz w:w="11900" w:h="16838" w:orient="portrait"/>
          <w:cols w:equalWidth="0" w:num="1">
            <w:col w:w="10460"/>
          </w:cols>
          <w:pgMar w:left="1440" w:top="1172" w:right="6" w:bottom="0" w:gutter="0" w:footer="0" w:header="0"/>
          <w:type w:val="continuous"/>
        </w:sectPr>
      </w:pPr>
    </w:p>
    <w:bookmarkStart w:id="270" w:name="page271"/>
    <w:bookmarkEnd w:id="2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Set forth below is a comparison of certain shareholder rights and corporate governance matters under Dela law and Swiss law:</w:t>
      </w:r>
    </w:p>
    <w:p>
      <w:pPr>
        <w:sectPr>
          <w:pgSz w:w="11900" w:h="16838" w:orient="portrait"/>
          <w:cols w:equalWidth="0" w:num="1">
            <w:col w:w="10460"/>
          </w:cols>
          <w:pgMar w:left="1440" w:top="1440" w:right="6" w:bottom="0" w:gutter="0" w:footer="0" w:header="0"/>
        </w:sectPr>
      </w:pPr>
    </w:p>
    <w:p>
      <w:pPr>
        <w:spacing w:after="0" w:line="319"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20"/>
                <w:szCs w:val="20"/>
                <w:b w:val="1"/>
                <w:bCs w:val="1"/>
                <w:color w:val="auto"/>
              </w:rPr>
              <w:t>Comparison of</w:t>
            </w:r>
          </w:p>
        </w:tc>
        <w:tc>
          <w:tcPr>
            <w:tcW w:w="820" w:type="dxa"/>
            <w:vAlign w:val="bottom"/>
            <w:gridSpan w:val="2"/>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20"/>
                <w:szCs w:val="20"/>
                <w:b w:val="1"/>
                <w:bCs w:val="1"/>
                <w:color w:val="auto"/>
              </w:rPr>
              <w:t>Delaware Law</w:t>
            </w:r>
          </w:p>
        </w:tc>
      </w:tr>
      <w:tr>
        <w:trPr>
          <w:trHeight w:val="21"/>
        </w:trPr>
        <w:tc>
          <w:tcPr>
            <w:tcW w:w="1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82"/>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w w:val="99"/>
              </w:rPr>
              <w:t>Shareholder Rights</w:t>
            </w: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604"/>
        </w:trPr>
        <w:tc>
          <w:tcPr>
            <w:tcW w:w="230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Special Meetings of</w:t>
            </w:r>
          </w:p>
        </w:tc>
        <w:tc>
          <w:tcPr>
            <w:tcW w:w="3740" w:type="dxa"/>
            <w:vAlign w:val="bottom"/>
            <w:gridSpan w:val="2"/>
          </w:tcPr>
          <w:p>
            <w:pPr>
              <w:spacing w:after="0"/>
              <w:rPr>
                <w:sz w:val="20"/>
                <w:szCs w:val="20"/>
                <w:color w:val="auto"/>
              </w:rPr>
            </w:pPr>
            <w:r>
              <w:rPr>
                <w:rFonts w:ascii="Arial" w:cs="Arial" w:eastAsia="Arial" w:hAnsi="Arial"/>
                <w:sz w:val="20"/>
                <w:szCs w:val="20"/>
                <w:color w:val="auto"/>
              </w:rPr>
              <w:t>Shareholders generally do not have the</w:t>
            </w:r>
          </w:p>
        </w:tc>
      </w:tr>
      <w:tr>
        <w:trPr>
          <w:trHeight w:val="302"/>
        </w:trPr>
        <w:tc>
          <w:tcPr>
            <w:tcW w:w="230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Shareholders</w:t>
            </w:r>
          </w:p>
        </w:tc>
        <w:tc>
          <w:tcPr>
            <w:tcW w:w="3740" w:type="dxa"/>
            <w:vAlign w:val="bottom"/>
            <w:gridSpan w:val="2"/>
          </w:tcPr>
          <w:p>
            <w:pPr>
              <w:spacing w:after="0"/>
              <w:rPr>
                <w:sz w:val="20"/>
                <w:szCs w:val="20"/>
                <w:color w:val="auto"/>
              </w:rPr>
            </w:pPr>
            <w:r>
              <w:rPr>
                <w:rFonts w:ascii="Arial" w:cs="Arial" w:eastAsia="Arial" w:hAnsi="Arial"/>
                <w:sz w:val="20"/>
                <w:szCs w:val="20"/>
                <w:color w:val="auto"/>
              </w:rPr>
              <w:t>right to call meetings of shareholders</w:t>
            </w:r>
          </w:p>
        </w:tc>
      </w:tr>
      <w:tr>
        <w:trPr>
          <w:trHeight w:val="302"/>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20"/>
                <w:szCs w:val="20"/>
                <w:color w:val="auto"/>
              </w:rPr>
              <w:t>unless that right is granted in the</w:t>
            </w:r>
          </w:p>
        </w:tc>
      </w:tr>
      <w:tr>
        <w:trPr>
          <w:trHeight w:val="302"/>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20"/>
                <w:szCs w:val="20"/>
                <w:color w:val="auto"/>
              </w:rPr>
              <w:t>certificate of incorporation or by-laws.</w:t>
            </w:r>
          </w:p>
        </w:tc>
      </w:tr>
      <w:tr>
        <w:trPr>
          <w:trHeight w:val="302"/>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20"/>
                <w:szCs w:val="20"/>
                <w:color w:val="auto"/>
              </w:rPr>
              <w:t>However, if a corporation fails to hold its</w:t>
            </w:r>
          </w:p>
        </w:tc>
      </w:tr>
      <w:tr>
        <w:trPr>
          <w:trHeight w:val="302"/>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20"/>
                <w:szCs w:val="20"/>
                <w:color w:val="auto"/>
              </w:rPr>
              <w:t>annual meeting within a period of 30 days</w:t>
            </w:r>
          </w:p>
        </w:tc>
      </w:tr>
      <w:tr>
        <w:trPr>
          <w:trHeight w:val="302"/>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20"/>
                <w:szCs w:val="20"/>
                <w:color w:val="auto"/>
              </w:rPr>
              <w:t>after the date designated for the annual</w:t>
            </w:r>
          </w:p>
        </w:tc>
      </w:tr>
      <w:tr>
        <w:trPr>
          <w:trHeight w:val="302"/>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20"/>
                <w:szCs w:val="20"/>
                <w:color w:val="auto"/>
              </w:rPr>
              <w:t>meeting, or if no date has been</w:t>
            </w:r>
          </w:p>
        </w:tc>
      </w:tr>
      <w:tr>
        <w:trPr>
          <w:trHeight w:val="302"/>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20"/>
                <w:szCs w:val="20"/>
                <w:color w:val="auto"/>
              </w:rPr>
              <w:t>designated for a period of 13 months after</w:t>
            </w:r>
          </w:p>
        </w:tc>
      </w:tr>
      <w:tr>
        <w:trPr>
          <w:trHeight w:val="302"/>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20"/>
                <w:szCs w:val="20"/>
                <w:color w:val="auto"/>
              </w:rPr>
              <w:t>its last annual meeting, the Delaware</w:t>
            </w:r>
          </w:p>
        </w:tc>
      </w:tr>
      <w:tr>
        <w:trPr>
          <w:trHeight w:val="302"/>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20"/>
                <w:szCs w:val="20"/>
                <w:color w:val="auto"/>
                <w:w w:val="99"/>
              </w:rPr>
              <w:t>Court of Chancery may order a meeting to</w:t>
            </w:r>
          </w:p>
        </w:tc>
      </w:tr>
      <w:tr>
        <w:trPr>
          <w:trHeight w:val="302"/>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20"/>
                <w:szCs w:val="20"/>
                <w:color w:val="auto"/>
              </w:rPr>
              <w:t>be held upon the application of a</w:t>
            </w:r>
          </w:p>
        </w:tc>
      </w:tr>
      <w:tr>
        <w:trPr>
          <w:trHeight w:val="302"/>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20"/>
                <w:szCs w:val="20"/>
                <w:color w:val="auto"/>
              </w:rPr>
              <w:t>shareholder.</w:t>
            </w:r>
          </w:p>
        </w:tc>
      </w:tr>
    </w:tbl>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Swiss Law</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331" w:lineRule="auto"/>
        <w:rPr>
          <w:sz w:val="20"/>
          <w:szCs w:val="20"/>
          <w:color w:val="auto"/>
        </w:rPr>
      </w:pPr>
      <w:r>
        <w:rPr>
          <w:rFonts w:ascii="Arial" w:cs="Arial" w:eastAsia="Arial" w:hAnsi="Arial"/>
          <w:sz w:val="19"/>
          <w:szCs w:val="19"/>
          <w:color w:val="auto"/>
        </w:rPr>
        <w:t>Under Swiss law and our Articles of Association, notice of the general meeting of shareholders has to be g at least 20 calendar days before the date for which the meeting is schedu in the form prescribed by the Article Association. The agenda must speci the place, date, time, agenda items, the proposals of the Board and the shareholders who have requested th general meeting be called or an item placed on the agenda (if any). Extraordinary general meetings of shareholders shall be called as often necessary by the Board or, if necess by the statutory auditors as well as i other cases required by law. Unless Articles of Association provide for a lower threshold, one or more shareholders representing at least 5 of the share capital or votes may request in writing that the Board call extraordinary general meeting of shareholders. The request must be made in writing and must contain an agenda and the suggested proposal Where the Board fails to grant such request within a reasonable time, bu the most within 60 days, the request parties may request the court to ord that the extraordinary meeting of shareholders be convened.</w:t>
      </w:r>
    </w:p>
    <w:p>
      <w:pPr>
        <w:spacing w:after="0" w:line="200" w:lineRule="exact"/>
        <w:rPr>
          <w:sz w:val="20"/>
          <w:szCs w:val="20"/>
          <w:color w:val="auto"/>
        </w:rPr>
      </w:pPr>
    </w:p>
    <w:p>
      <w:pPr>
        <w:sectPr>
          <w:pgSz w:w="11900" w:h="16838" w:orient="portrait"/>
          <w:cols w:equalWidth="0" w:num="2">
            <w:col w:w="7040" w:space="240"/>
            <w:col w:w="318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42 / 139</w:t>
      </w:r>
    </w:p>
    <w:p>
      <w:pPr>
        <w:sectPr>
          <w:pgSz w:w="11900" w:h="16838" w:orient="portrait"/>
          <w:cols w:equalWidth="0" w:num="1">
            <w:col w:w="10460"/>
          </w:cols>
          <w:pgMar w:left="1440" w:top="1440" w:right="6" w:bottom="0" w:gutter="0" w:footer="0" w:header="0"/>
          <w:type w:val="continuous"/>
        </w:sectPr>
      </w:pPr>
    </w:p>
    <w:bookmarkStart w:id="271" w:name="page272"/>
    <w:bookmarkEnd w:id="271"/>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Interested</w:t>
      </w:r>
      <w:r>
        <w:rPr>
          <w:sz w:val="20"/>
          <w:szCs w:val="20"/>
          <w:color w:val="auto"/>
        </w:rPr>
        <w:tab/>
      </w:r>
      <w:r>
        <w:rPr>
          <w:rFonts w:ascii="Arial" w:cs="Arial" w:eastAsia="Arial" w:hAnsi="Arial"/>
          <w:sz w:val="20"/>
          <w:szCs w:val="20"/>
          <w:color w:val="auto"/>
        </w:rPr>
        <w:t>The Delaware General Corporation Law</w:t>
      </w:r>
    </w:p>
    <w:p>
      <w:pPr>
        <w:spacing w:after="0" w:line="72"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Shareholder</w:t>
      </w:r>
      <w:r>
        <w:rPr>
          <w:sz w:val="20"/>
          <w:szCs w:val="20"/>
          <w:color w:val="auto"/>
        </w:rPr>
        <w:tab/>
      </w:r>
      <w:r>
        <w:rPr>
          <w:rFonts w:ascii="Arial" w:cs="Arial" w:eastAsia="Arial" w:hAnsi="Arial"/>
          <w:sz w:val="20"/>
          <w:szCs w:val="20"/>
          <w:color w:val="auto"/>
        </w:rPr>
        <w:t>generally prohibits a Delaware</w:t>
      </w:r>
    </w:p>
    <w:p>
      <w:pPr>
        <w:spacing w:after="0" w:line="72"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Transactions</w:t>
      </w:r>
      <w:r>
        <w:rPr>
          <w:sz w:val="20"/>
          <w:szCs w:val="20"/>
          <w:color w:val="auto"/>
        </w:rPr>
        <w:tab/>
      </w:r>
      <w:r>
        <w:rPr>
          <w:rFonts w:ascii="Arial" w:cs="Arial" w:eastAsia="Arial" w:hAnsi="Arial"/>
          <w:sz w:val="20"/>
          <w:szCs w:val="20"/>
          <w:color w:val="auto"/>
        </w:rPr>
        <w:t>corporation from engaging in certain</w:t>
      </w:r>
    </w:p>
    <w:p>
      <w:pPr>
        <w:spacing w:after="0" w:line="79" w:lineRule="exact"/>
        <w:rPr>
          <w:sz w:val="20"/>
          <w:szCs w:val="20"/>
          <w:color w:val="auto"/>
        </w:rPr>
      </w:pPr>
    </w:p>
    <w:p>
      <w:pPr>
        <w:ind w:left="3300"/>
        <w:spacing w:after="0" w:line="314" w:lineRule="auto"/>
        <w:rPr>
          <w:sz w:val="20"/>
          <w:szCs w:val="20"/>
          <w:color w:val="auto"/>
        </w:rPr>
      </w:pPr>
      <w:r>
        <w:rPr>
          <w:rFonts w:ascii="Arial" w:cs="Arial" w:eastAsia="Arial" w:hAnsi="Arial"/>
          <w:sz w:val="20"/>
          <w:szCs w:val="20"/>
          <w:color w:val="auto"/>
        </w:rPr>
        <w:t>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1470660</wp:posOffset>
            </wp:positionV>
            <wp:extent cx="6764020" cy="190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7" w:lineRule="auto"/>
        <w:rPr>
          <w:sz w:val="20"/>
          <w:szCs w:val="20"/>
          <w:color w:val="auto"/>
        </w:rPr>
      </w:pPr>
      <w:r>
        <w:rPr>
          <w:rFonts w:ascii="Arial" w:cs="Arial" w:eastAsia="Arial" w:hAnsi="Arial"/>
          <w:sz w:val="20"/>
          <w:szCs w:val="20"/>
          <w:color w:val="auto"/>
        </w:rPr>
        <w:t>No such rule applies to a Swiss corporation.</w:t>
      </w:r>
    </w:p>
    <w:p>
      <w:pPr>
        <w:spacing w:after="0" w:line="3225" w:lineRule="exact"/>
        <w:rPr>
          <w:sz w:val="20"/>
          <w:szCs w:val="20"/>
          <w:color w:val="auto"/>
        </w:rPr>
      </w:pPr>
    </w:p>
    <w:p>
      <w:pPr>
        <w:sectPr>
          <w:pgSz w:w="11900" w:h="16838" w:orient="portrait"/>
          <w:cols w:equalWidth="0" w:num="2">
            <w:col w:w="7020" w:space="260"/>
            <w:col w:w="2780"/>
          </w:cols>
          <w:pgMar w:left="1440" w:top="1165" w:right="4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43 / 139</w:t>
      </w:r>
    </w:p>
    <w:p>
      <w:pPr>
        <w:sectPr>
          <w:pgSz w:w="11900" w:h="16838" w:orient="portrait"/>
          <w:cols w:equalWidth="0" w:num="1">
            <w:col w:w="10060"/>
          </w:cols>
          <w:pgMar w:left="1440" w:top="1165" w:right="406" w:bottom="0" w:gutter="0" w:footer="0" w:header="0"/>
          <w:type w:val="continuous"/>
        </w:sectPr>
      </w:pPr>
    </w:p>
    <w:bookmarkStart w:id="272" w:name="page273"/>
    <w:bookmarkEnd w:id="2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Cumulative Voting</w:t>
      </w:r>
      <w:r>
        <w:rPr>
          <w:sz w:val="20"/>
          <w:szCs w:val="20"/>
          <w:color w:val="auto"/>
        </w:rPr>
        <w:tab/>
      </w:r>
      <w:r>
        <w:rPr>
          <w:rFonts w:ascii="Arial" w:cs="Arial" w:eastAsia="Arial" w:hAnsi="Arial"/>
          <w:sz w:val="20"/>
          <w:szCs w:val="20"/>
          <w:color w:val="auto"/>
        </w:rPr>
        <w:t>The certificate of incorporation of a</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Delaware corporation may provide that</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shareholders of any class or classes or of</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any series may vote cumulatively either at</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all elections or at elections under</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specified circumstances.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
        <w:spacing w:after="0" w:line="331" w:lineRule="auto"/>
        <w:rPr>
          <w:sz w:val="20"/>
          <w:szCs w:val="20"/>
          <w:color w:val="auto"/>
        </w:rPr>
      </w:pPr>
      <w:r>
        <w:rPr>
          <w:rFonts w:ascii="Arial" w:cs="Arial" w:eastAsia="Arial" w:hAnsi="Arial"/>
          <w:sz w:val="19"/>
          <w:szCs w:val="19"/>
          <w:color w:val="auto"/>
        </w:rPr>
        <w:t>Cumulative voting is not permitted u Swiss corporate law. Pursuant to Sw law, shareholders can vote for each proposed candidate, but they are no allowed to cumulate their votes for single candidates. An annual individ election of (i) all members of the Bo</w:t>
      </w:r>
    </w:p>
    <w:p>
      <w:pPr>
        <w:spacing w:after="0" w:line="4" w:lineRule="exact"/>
        <w:rPr>
          <w:sz w:val="20"/>
          <w:szCs w:val="20"/>
          <w:color w:val="auto"/>
        </w:rPr>
      </w:pPr>
    </w:p>
    <w:p>
      <w:pPr>
        <w:ind w:left="6" w:hanging="6"/>
        <w:spacing w:after="0" w:line="332" w:lineRule="auto"/>
        <w:tabs>
          <w:tab w:leader="none" w:pos="284"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chairman of the Board, (iii) th members of the compensation committee, (iv) the election of the independent proxy for a term of offic one year (i.e. until the following ann general meeting) as well as the vote the aggregate amount of compensat for the members of the Board and th executive committee as well as for t members of the advisory board, if applicable, is mandatory for listed companies. Re-election is permitted</w:t>
      </w:r>
    </w:p>
    <w:p>
      <w:pPr>
        <w:spacing w:after="0" w:line="200" w:lineRule="exact"/>
        <w:rPr>
          <w:sz w:val="20"/>
          <w:szCs w:val="20"/>
          <w:color w:val="auto"/>
        </w:rPr>
      </w:pPr>
    </w:p>
    <w:p>
      <w:pPr>
        <w:sectPr>
          <w:pgSz w:w="11900" w:h="16838" w:orient="portrait"/>
          <w:cols w:equalWidth="0" w:num="2">
            <w:col w:w="7020" w:space="254"/>
            <w:col w:w="3186"/>
          </w:cols>
          <w:pgMar w:left="1440" w:top="1440" w:right="6" w:bottom="0" w:gutter="0" w:footer="0" w:header="0"/>
        </w:sectPr>
      </w:pPr>
    </w:p>
    <w:p>
      <w:pPr>
        <w:spacing w:after="0" w:line="97" w:lineRule="exact"/>
        <w:rPr>
          <w:sz w:val="20"/>
          <w:szCs w:val="20"/>
          <w:color w:val="auto"/>
        </w:rPr>
      </w:pPr>
    </w:p>
    <w:p>
      <w:pPr>
        <w:ind w:left="1000" w:right="180"/>
        <w:spacing w:after="0" w:line="307" w:lineRule="auto"/>
        <w:rPr>
          <w:sz w:val="20"/>
          <w:szCs w:val="20"/>
          <w:color w:val="auto"/>
        </w:rPr>
      </w:pPr>
      <w:r>
        <w:rPr>
          <w:rFonts w:ascii="Arial" w:cs="Arial" w:eastAsia="Arial" w:hAnsi="Arial"/>
          <w:sz w:val="20"/>
          <w:szCs w:val="20"/>
          <w:b w:val="1"/>
          <w:bCs w:val="1"/>
          <w:i w:val="1"/>
          <w:iCs w:val="1"/>
          <w:color w:val="auto"/>
        </w:rPr>
        <w:t xml:space="preserve">Approval of </w:t>
      </w:r>
      <w:r>
        <w:rPr>
          <w:rFonts w:ascii="Arial" w:cs="Arial" w:eastAsia="Arial" w:hAnsi="Arial"/>
          <w:sz w:val="20"/>
          <w:szCs w:val="20"/>
          <w:color w:val="auto"/>
        </w:rPr>
        <w:t>Unless otherwise specified in a</w:t>
      </w:r>
      <w:r>
        <w:rPr>
          <w:rFonts w:ascii="Arial" w:cs="Arial" w:eastAsia="Arial" w:hAnsi="Arial"/>
          <w:sz w:val="20"/>
          <w:szCs w:val="20"/>
          <w:b w:val="1"/>
          <w:bCs w:val="1"/>
          <w:i w:val="1"/>
          <w:iCs w:val="1"/>
          <w:color w:val="auto"/>
        </w:rPr>
        <w:t xml:space="preserve"> Corporate Matters by </w:t>
      </w:r>
      <w:r>
        <w:rPr>
          <w:rFonts w:ascii="Arial" w:cs="Arial" w:eastAsia="Arial" w:hAnsi="Arial"/>
          <w:sz w:val="20"/>
          <w:szCs w:val="20"/>
          <w:color w:val="auto"/>
        </w:rPr>
        <w:t>corporation’s certificate of incorporation,</w:t>
      </w:r>
    </w:p>
    <w:p>
      <w:pPr>
        <w:spacing w:after="0" w:line="8"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Written Consent</w:t>
      </w:r>
      <w:r>
        <w:rPr>
          <w:sz w:val="20"/>
          <w:szCs w:val="20"/>
          <w:color w:val="auto"/>
        </w:rPr>
        <w:tab/>
      </w:r>
      <w:r>
        <w:rPr>
          <w:rFonts w:ascii="Arial" w:cs="Arial" w:eastAsia="Arial" w:hAnsi="Arial"/>
          <w:sz w:val="19"/>
          <w:szCs w:val="19"/>
          <w:color w:val="auto"/>
        </w:rPr>
        <w:t>shareholders may take action permitted to</w:t>
      </w:r>
    </w:p>
    <w:p>
      <w:pPr>
        <w:spacing w:after="0" w:line="79" w:lineRule="exact"/>
        <w:rPr>
          <w:sz w:val="20"/>
          <w:szCs w:val="20"/>
          <w:color w:val="auto"/>
        </w:rPr>
      </w:pPr>
    </w:p>
    <w:p>
      <w:pPr>
        <w:ind w:left="3300" w:right="60"/>
        <w:spacing w:after="0" w:line="314" w:lineRule="auto"/>
        <w:rPr>
          <w:sz w:val="20"/>
          <w:szCs w:val="20"/>
          <w:color w:val="auto"/>
        </w:rPr>
      </w:pPr>
      <w:r>
        <w:rPr>
          <w:rFonts w:ascii="Arial" w:cs="Arial" w:eastAsia="Arial" w:hAnsi="Arial"/>
          <w:sz w:val="20"/>
          <w:szCs w:val="20"/>
          <w:color w:val="auto"/>
        </w:rPr>
        <w:t>be taken at an annual or special meeting, without a meeting, notice or a vote, if consents, in writing, setting forth the action, are signed by shareholders with not less than the minimum number of votes that would be necessary to authorize the action at a meeting. All consents must be dated and are only effective if the requisite signatures are collected within 60 days of the earliest dated consent delivered.</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line="332" w:lineRule="auto"/>
        <w:rPr>
          <w:sz w:val="20"/>
          <w:szCs w:val="20"/>
          <w:color w:val="auto"/>
        </w:rPr>
      </w:pPr>
      <w:r>
        <w:rPr>
          <w:rFonts w:ascii="Arial" w:cs="Arial" w:eastAsia="Arial" w:hAnsi="Arial"/>
          <w:sz w:val="19"/>
          <w:szCs w:val="19"/>
          <w:color w:val="auto"/>
        </w:rPr>
        <w:t>Shareholders of a Swiss corporation may exercise their voting rights in a general meeting of shareholders. To exercise their voting rights at a gene meeting, shareholders may also inst and provide a proxy to the independ representative in writing or electroni to vote according to their instruction The shareholders of listed Swiss corporations must elect an independ representative of shareholders.</w:t>
      </w:r>
    </w:p>
    <w:p>
      <w:pPr>
        <w:spacing w:after="0" w:line="298" w:lineRule="exact"/>
        <w:rPr>
          <w:sz w:val="20"/>
          <w:szCs w:val="20"/>
          <w:color w:val="auto"/>
        </w:rPr>
      </w:pPr>
    </w:p>
    <w:p>
      <w:pPr>
        <w:spacing w:after="0" w:line="332" w:lineRule="auto"/>
        <w:rPr>
          <w:sz w:val="20"/>
          <w:szCs w:val="20"/>
          <w:color w:val="auto"/>
        </w:rPr>
      </w:pPr>
      <w:r>
        <w:rPr>
          <w:rFonts w:ascii="Arial" w:cs="Arial" w:eastAsia="Arial" w:hAnsi="Arial"/>
          <w:sz w:val="19"/>
          <w:szCs w:val="19"/>
          <w:color w:val="auto"/>
        </w:rPr>
        <w:t>According to Swiss law shareholder may act by written consent on paper electronically, if no shareholder requ an oral debate (i.e. a general meetin shareholders to be held) and all shareholders agree that resolutions taken by written consents.</w:t>
      </w:r>
    </w:p>
    <w:p>
      <w:pPr>
        <w:spacing w:after="0" w:line="200" w:lineRule="exact"/>
        <w:rPr>
          <w:sz w:val="20"/>
          <w:szCs w:val="20"/>
          <w:color w:val="auto"/>
        </w:rPr>
      </w:pPr>
    </w:p>
    <w:p>
      <w:pPr>
        <w:sectPr>
          <w:pgSz w:w="11900" w:h="16838" w:orient="portrait"/>
          <w:cols w:equalWidth="0" w:num="2">
            <w:col w:w="7020" w:space="260"/>
            <w:col w:w="318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44 / 139</w:t>
      </w:r>
    </w:p>
    <w:p>
      <w:pPr>
        <w:sectPr>
          <w:pgSz w:w="11900" w:h="16838" w:orient="portrait"/>
          <w:cols w:equalWidth="0" w:num="1">
            <w:col w:w="10460"/>
          </w:cols>
          <w:pgMar w:left="1440" w:top="1440" w:right="6" w:bottom="0" w:gutter="0" w:footer="0" w:header="0"/>
          <w:type w:val="continuous"/>
        </w:sectPr>
      </w:pPr>
    </w:p>
    <w:bookmarkStart w:id="273" w:name="page274"/>
    <w:bookmarkEnd w:id="2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1826260</wp:posOffset>
            </wp:positionV>
            <wp:extent cx="6764020" cy="190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45 / 139</w:t>
      </w:r>
    </w:p>
    <w:p>
      <w:pPr>
        <w:sectPr>
          <w:pgSz w:w="11900" w:h="16838" w:orient="portrait"/>
          <w:cols w:equalWidth="0" w:num="1">
            <w:col w:w="9026"/>
          </w:cols>
          <w:pgMar w:left="1440" w:top="1440" w:right="1440" w:bottom="0" w:gutter="0" w:footer="0" w:header="0"/>
        </w:sectPr>
      </w:pPr>
    </w:p>
    <w:bookmarkStart w:id="274" w:name="page275"/>
    <w:bookmarkEnd w:id="2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46 / 139</w:t>
      </w:r>
    </w:p>
    <w:p>
      <w:pPr>
        <w:sectPr>
          <w:pgSz w:w="11900" w:h="16838" w:orient="portrait"/>
          <w:cols w:equalWidth="0" w:num="1">
            <w:col w:w="9026"/>
          </w:cols>
          <w:pgMar w:left="1440" w:top="1440" w:right="1440" w:bottom="0" w:gutter="0" w:footer="0" w:header="0"/>
        </w:sectPr>
      </w:pPr>
    </w:p>
    <w:bookmarkStart w:id="275" w:name="page276"/>
    <w:bookmarkEnd w:id="275"/>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Business</w:t>
      </w:r>
      <w:r>
        <w:rPr>
          <w:sz w:val="20"/>
          <w:szCs w:val="20"/>
          <w:color w:val="auto"/>
        </w:rPr>
        <w:tab/>
      </w:r>
      <w:r>
        <w:rPr>
          <w:rFonts w:ascii="Arial" w:cs="Arial" w:eastAsia="Arial" w:hAnsi="Arial"/>
          <w:sz w:val="20"/>
          <w:szCs w:val="20"/>
          <w:color w:val="auto"/>
        </w:rPr>
        <w:t>With certain exceptions, a merger,</w:t>
      </w:r>
    </w:p>
    <w:p>
      <w:pPr>
        <w:spacing w:after="0" w:line="72"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Combinations</w:t>
      </w:r>
      <w:r>
        <w:rPr>
          <w:sz w:val="20"/>
          <w:szCs w:val="20"/>
          <w:color w:val="auto"/>
        </w:rPr>
        <w:tab/>
      </w:r>
      <w:r>
        <w:rPr>
          <w:rFonts w:ascii="Arial" w:cs="Arial" w:eastAsia="Arial" w:hAnsi="Arial"/>
          <w:sz w:val="20"/>
          <w:szCs w:val="20"/>
          <w:color w:val="auto"/>
        </w:rPr>
        <w:t>consolidation or sale of all or substantially</w:t>
      </w:r>
    </w:p>
    <w:p>
      <w:pPr>
        <w:spacing w:after="0" w:line="79" w:lineRule="exact"/>
        <w:rPr>
          <w:sz w:val="20"/>
          <w:szCs w:val="20"/>
          <w:color w:val="auto"/>
        </w:rPr>
      </w:pPr>
    </w:p>
    <w:p>
      <w:pPr>
        <w:ind w:left="3300"/>
        <w:spacing w:after="0" w:line="312" w:lineRule="auto"/>
        <w:rPr>
          <w:sz w:val="20"/>
          <w:szCs w:val="20"/>
          <w:color w:val="auto"/>
        </w:rPr>
      </w:pPr>
      <w:r>
        <w:rPr>
          <w:rFonts w:ascii="Arial" w:cs="Arial" w:eastAsia="Arial" w:hAnsi="Arial"/>
          <w:sz w:val="20"/>
          <w:szCs w:val="20"/>
          <w:color w:val="auto"/>
        </w:rPr>
        <w:t>all of the assets of a Delaware corporation must be approved by the Board and a majority of the outstanding shares entitled to vote thereon.</w:t>
      </w:r>
    </w:p>
    <w:p>
      <w:pPr>
        <w:spacing w:after="0" w:line="20" w:lineRule="exact"/>
        <w:rPr>
          <w:sz w:val="20"/>
          <w:szCs w:val="20"/>
          <w:color w:val="auto"/>
        </w:rPr>
      </w:pPr>
      <w:r>
        <w:rPr>
          <w:sz w:val="20"/>
          <w:szCs w:val="20"/>
          <w:color w:val="auto"/>
        </w:rPr>
        <w:br w:type="column"/>
      </w:r>
    </w:p>
    <w:p>
      <w:pPr>
        <w:spacing w:after="0" w:line="331" w:lineRule="auto"/>
        <w:rPr>
          <w:sz w:val="20"/>
          <w:szCs w:val="20"/>
          <w:color w:val="auto"/>
        </w:rPr>
      </w:pPr>
      <w:r>
        <w:rPr>
          <w:rFonts w:ascii="Arial" w:cs="Arial" w:eastAsia="Arial" w:hAnsi="Arial"/>
          <w:sz w:val="19"/>
          <w:szCs w:val="19"/>
          <w:color w:val="auto"/>
        </w:rPr>
        <w:t>Under Swiss law, with certain exceptions for transactions within gr companies, a merger, demerger, or conversion of the corporation must b approved by two-thirds of the voting rights represented at the respective general meeting of shareholders as as the absolute majority of the nomi value of shares represented at such shareholders’ meeting. In addition, under Swiss law, the sale of "all or substantially all of its assets" may al require the aforementioned two-third quorum, depending on the particular transaction, including whether the following test is satisfied: (i) the corporation sells a core part of its business, without which it is economically impracticable or unreasonable to continue to operate remaining business; (ii) the corporat assets, after the divestment, are not invested in accordance with its statu business purpose; and (iii) the proce of the divestment are not earmarked reinvestment in accordance with the corporation's business purpose but, instead, are intended for distribution shareholders or for financial investments unrelated to the corporation's business.</w:t>
      </w:r>
    </w:p>
    <w:p>
      <w:pPr>
        <w:spacing w:after="0" w:line="216" w:lineRule="exact"/>
        <w:rPr>
          <w:sz w:val="20"/>
          <w:szCs w:val="20"/>
          <w:color w:val="auto"/>
        </w:rPr>
      </w:pPr>
    </w:p>
    <w:p>
      <w:pPr>
        <w:spacing w:after="0" w:line="331" w:lineRule="auto"/>
        <w:rPr>
          <w:sz w:val="20"/>
          <w:szCs w:val="20"/>
          <w:color w:val="auto"/>
        </w:rPr>
      </w:pPr>
      <w:r>
        <w:rPr>
          <w:rFonts w:ascii="Arial" w:cs="Arial" w:eastAsia="Arial" w:hAnsi="Arial"/>
          <w:sz w:val="19"/>
          <w:szCs w:val="19"/>
          <w:color w:val="auto"/>
        </w:rPr>
        <w:t>A shareholder of a Swiss corporatio participating in a statutory merger, demerger or conversion pursuant to Swiss Merger Act (</w:t>
      </w:r>
      <w:r>
        <w:rPr>
          <w:rFonts w:ascii="Arial" w:cs="Arial" w:eastAsia="Arial" w:hAnsi="Arial"/>
          <w:sz w:val="19"/>
          <w:szCs w:val="19"/>
          <w:i w:val="1"/>
          <w:iCs w:val="1"/>
          <w:color w:val="auto"/>
        </w:rPr>
        <w:t>Fusionsgesetz</w:t>
      </w:r>
      <w:r>
        <w:rPr>
          <w:rFonts w:ascii="Arial" w:cs="Arial" w:eastAsia="Arial" w:hAnsi="Arial"/>
          <w:sz w:val="19"/>
          <w:szCs w:val="19"/>
          <w:color w:val="auto"/>
        </w:rPr>
        <w:t>) c file a lawsuit against the surviving company within two months of the publication of the merger, demerger conversion resolution. If the consideration is deemed “inadequat such shareholder may, in addition to consideration (be it in shares or in c receive an additional amount to ens that such shareholder receives the f value of the shares held by such shareholder. Swiss law also provide that if the merger agreement provide</w:t>
      </w:r>
    </w:p>
    <w:p>
      <w:pPr>
        <w:spacing w:after="0" w:line="200" w:lineRule="exact"/>
        <w:rPr>
          <w:sz w:val="20"/>
          <w:szCs w:val="20"/>
          <w:color w:val="auto"/>
        </w:rPr>
      </w:pPr>
    </w:p>
    <w:p>
      <w:pPr>
        <w:sectPr>
          <w:pgSz w:w="11900" w:h="16838" w:orient="portrait"/>
          <w:cols w:equalWidth="0" w:num="2">
            <w:col w:w="7040" w:space="240"/>
            <w:col w:w="3180"/>
          </w:cols>
          <w:pgMar w:left="1440" w:top="1165" w:right="6" w:bottom="0" w:gutter="0" w:footer="0" w:header="0"/>
        </w:sectPr>
      </w:pP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47 / 139</w:t>
      </w:r>
    </w:p>
    <w:p>
      <w:pPr>
        <w:sectPr>
          <w:pgSz w:w="11900" w:h="16838" w:orient="portrait"/>
          <w:cols w:equalWidth="0" w:num="1">
            <w:col w:w="10460"/>
          </w:cols>
          <w:pgMar w:left="1440" w:top="1165" w:right="6" w:bottom="0" w:gutter="0" w:footer="0" w:header="0"/>
          <w:type w:val="continuous"/>
        </w:sectPr>
      </w:pPr>
    </w:p>
    <w:bookmarkStart w:id="276" w:name="page277"/>
    <w:bookmarkEnd w:id="276"/>
    <w:p>
      <w:pPr>
        <w:ind w:left="7280"/>
        <w:spacing w:after="0"/>
        <w:rPr>
          <w:sz w:val="20"/>
          <w:szCs w:val="20"/>
          <w:color w:val="auto"/>
        </w:rPr>
      </w:pPr>
      <w:r>
        <w:rPr>
          <w:rFonts w:ascii="Arial" w:cs="Arial" w:eastAsia="Arial" w:hAnsi="Arial"/>
          <w:sz w:val="20"/>
          <w:szCs w:val="20"/>
          <w:color w:val="auto"/>
        </w:rPr>
        <w:t>only for a compensation payment, a</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least 90% of all members in the</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transferring legal entity, who are ent</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to vote, shall approve the merger</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1323340</wp:posOffset>
            </wp:positionV>
            <wp:extent cx="6764020" cy="190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48 / 139</w:t>
      </w:r>
    </w:p>
    <w:p>
      <w:pPr>
        <w:sectPr>
          <w:pgSz w:w="11900" w:h="16838" w:orient="portrait"/>
          <w:cols w:equalWidth="0" w:num="1">
            <w:col w:w="10460"/>
          </w:cols>
          <w:pgMar w:left="1440" w:top="1165" w:right="6" w:bottom="0" w:gutter="0" w:footer="0" w:header="0"/>
          <w:type w:val="continuous"/>
        </w:sectPr>
      </w:pPr>
    </w:p>
    <w:bookmarkStart w:id="277" w:name="page278"/>
    <w:bookmarkEnd w:id="2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49 / 139</w:t>
      </w:r>
    </w:p>
    <w:p>
      <w:pPr>
        <w:sectPr>
          <w:pgSz w:w="11900" w:h="16838" w:orient="portrait"/>
          <w:cols w:equalWidth="0" w:num="1">
            <w:col w:w="9026"/>
          </w:cols>
          <w:pgMar w:left="1440" w:top="1440" w:right="1440" w:bottom="0" w:gutter="0" w:footer="0" w:header="0"/>
        </w:sectPr>
      </w:pPr>
    </w:p>
    <w:bookmarkStart w:id="278" w:name="page279"/>
    <w:bookmarkEnd w:id="278"/>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Limitations on</w:t>
      </w:r>
      <w:r>
        <w:rPr>
          <w:sz w:val="20"/>
          <w:szCs w:val="20"/>
          <w:color w:val="auto"/>
        </w:rPr>
        <w:tab/>
      </w:r>
      <w:r>
        <w:rPr>
          <w:rFonts w:ascii="Arial" w:cs="Arial" w:eastAsia="Arial" w:hAnsi="Arial"/>
          <w:sz w:val="19"/>
          <w:szCs w:val="19"/>
          <w:color w:val="auto"/>
        </w:rPr>
        <w:t>A Delaware corporation may indemnify a</w:t>
      </w:r>
    </w:p>
    <w:p>
      <w:pPr>
        <w:spacing w:after="0" w:line="72"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Director’s Liability</w:t>
      </w:r>
      <w:r>
        <w:rPr>
          <w:sz w:val="20"/>
          <w:szCs w:val="20"/>
          <w:color w:val="auto"/>
        </w:rPr>
        <w:tab/>
      </w:r>
      <w:r>
        <w:rPr>
          <w:rFonts w:ascii="Arial" w:cs="Arial" w:eastAsia="Arial" w:hAnsi="Arial"/>
          <w:sz w:val="20"/>
          <w:szCs w:val="20"/>
          <w:color w:val="auto"/>
        </w:rPr>
        <w:t>director or officer of the corporation</w:t>
      </w:r>
    </w:p>
    <w:p>
      <w:pPr>
        <w:spacing w:after="0" w:line="72"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and Indemnification</w:t>
      </w:r>
      <w:r>
        <w:rPr>
          <w:sz w:val="20"/>
          <w:szCs w:val="20"/>
          <w:color w:val="auto"/>
        </w:rPr>
        <w:tab/>
      </w:r>
      <w:r>
        <w:rPr>
          <w:rFonts w:ascii="Arial" w:cs="Arial" w:eastAsia="Arial" w:hAnsi="Arial"/>
          <w:sz w:val="20"/>
          <w:szCs w:val="20"/>
          <w:color w:val="auto"/>
        </w:rPr>
        <w:t>against expenses (including attorneys’</w:t>
      </w:r>
    </w:p>
    <w:p>
      <w:pPr>
        <w:spacing w:after="0" w:line="72"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of Directors and</w:t>
      </w:r>
      <w:r>
        <w:rPr>
          <w:sz w:val="20"/>
          <w:szCs w:val="20"/>
          <w:color w:val="auto"/>
        </w:rPr>
        <w:tab/>
      </w:r>
      <w:r>
        <w:rPr>
          <w:rFonts w:ascii="Arial" w:cs="Arial" w:eastAsia="Arial" w:hAnsi="Arial"/>
          <w:sz w:val="20"/>
          <w:szCs w:val="20"/>
          <w:color w:val="auto"/>
        </w:rPr>
        <w:t>fees), judgments, fines and amounts paid</w:t>
      </w:r>
    </w:p>
    <w:p>
      <w:pPr>
        <w:spacing w:after="0" w:line="72"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Officers</w:t>
      </w:r>
      <w:r>
        <w:rPr>
          <w:sz w:val="20"/>
          <w:szCs w:val="20"/>
          <w:color w:val="auto"/>
        </w:rPr>
        <w:tab/>
      </w:r>
      <w:r>
        <w:rPr>
          <w:rFonts w:ascii="Arial" w:cs="Arial" w:eastAsia="Arial" w:hAnsi="Arial"/>
          <w:sz w:val="20"/>
          <w:szCs w:val="20"/>
          <w:color w:val="auto"/>
        </w:rPr>
        <w:t>in settlement actually and reasonably</w:t>
      </w:r>
    </w:p>
    <w:p>
      <w:pPr>
        <w:spacing w:after="0" w:line="79" w:lineRule="exact"/>
        <w:rPr>
          <w:sz w:val="20"/>
          <w:szCs w:val="20"/>
          <w:color w:val="auto"/>
        </w:rPr>
      </w:pPr>
    </w:p>
    <w:p>
      <w:pPr>
        <w:ind w:left="3300"/>
        <w:spacing w:after="0" w:line="314" w:lineRule="auto"/>
        <w:rPr>
          <w:sz w:val="20"/>
          <w:szCs w:val="20"/>
          <w:color w:val="auto"/>
        </w:rPr>
      </w:pPr>
      <w:r>
        <w:rPr>
          <w:rFonts w:ascii="Arial" w:cs="Arial" w:eastAsia="Arial" w:hAnsi="Arial"/>
          <w:sz w:val="20"/>
          <w:szCs w:val="20"/>
          <w:color w:val="auto"/>
        </w:rPr>
        <w:t>incurred in defense of an action, suit or proceeding by reason of his or her position if (i) the director or officer acted in good faith and in a manner he or she reasonably believed to be in or not opposed to the best interests of the corporation and (ii) with respect to any criminal action or proceeding, the director or officer had no reasonable cause to believe his or her conduct was unlawful.</w:t>
      </w:r>
    </w:p>
    <w:p>
      <w:pPr>
        <w:spacing w:after="0" w:line="20" w:lineRule="exact"/>
        <w:rPr>
          <w:sz w:val="20"/>
          <w:szCs w:val="20"/>
          <w:color w:val="auto"/>
        </w:rPr>
      </w:pPr>
      <w:r>
        <w:rPr>
          <w:sz w:val="20"/>
          <w:szCs w:val="20"/>
          <w:color w:val="auto"/>
        </w:rPr>
        <w:br w:type="column"/>
      </w:r>
    </w:p>
    <w:p>
      <w:pPr>
        <w:spacing w:after="0" w:line="331" w:lineRule="auto"/>
        <w:rPr>
          <w:sz w:val="20"/>
          <w:szCs w:val="20"/>
          <w:color w:val="auto"/>
        </w:rPr>
      </w:pPr>
      <w:r>
        <w:rPr>
          <w:rFonts w:ascii="Arial" w:cs="Arial" w:eastAsia="Arial" w:hAnsi="Arial"/>
          <w:sz w:val="19"/>
          <w:szCs w:val="19"/>
          <w:color w:val="auto"/>
        </w:rPr>
        <w:t>Although the indemnification of members of the Board and the executive management of the corporation is not expressly covered Swiss law, a corporation may, accor to approaches followed in practice b applying general legal principles (e.g limitation of liability) and corporate la concepts, indemnify any of its memb of the Board and executive management so long as (i) such individuals acted honestly and in go faith with a view to the best interests the corporation and (ii) have not committed an intentional or grossly negligent breach of their statutory du as a member of the Board or execut management of the corporation, as applicable, which, under Swiss law, includes performing his or her duties with all due diligence and safeguard the interests of the corporation in go faith. Swiss law permits a company, each member of the Board or execu management individually, to purcha and maintain directors’ and officers’ liability insurance on behalf of such member of the Board and executive management, which may cover negligent acts as well.</w:t>
      </w:r>
    </w:p>
    <w:p>
      <w:pPr>
        <w:spacing w:after="0" w:line="216" w:lineRule="exact"/>
        <w:rPr>
          <w:sz w:val="20"/>
          <w:szCs w:val="20"/>
          <w:color w:val="auto"/>
        </w:rPr>
      </w:pPr>
    </w:p>
    <w:p>
      <w:pPr>
        <w:spacing w:after="0" w:line="313" w:lineRule="auto"/>
        <w:rPr>
          <w:sz w:val="20"/>
          <w:szCs w:val="20"/>
          <w:color w:val="auto"/>
        </w:rPr>
      </w:pPr>
      <w:r>
        <w:rPr>
          <w:rFonts w:ascii="Arial" w:cs="Arial" w:eastAsia="Arial" w:hAnsi="Arial"/>
          <w:sz w:val="20"/>
          <w:szCs w:val="20"/>
          <w:color w:val="auto"/>
        </w:rPr>
        <w:t>Moreover, under Swiss law, at an annual general meeting, shareholde may resolve with a majority of the vo of shareholders present to approve t discharge</w:t>
      </w:r>
    </w:p>
    <w:p>
      <w:pPr>
        <w:spacing w:after="0" w:line="10" w:lineRule="exact"/>
        <w:rPr>
          <w:sz w:val="20"/>
          <w:szCs w:val="20"/>
          <w:color w:val="auto"/>
        </w:rPr>
      </w:pPr>
    </w:p>
    <w:p>
      <w:pPr>
        <w:spacing w:after="0" w:line="33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décharge</w:t>
      </w:r>
      <w:r>
        <w:rPr>
          <w:rFonts w:ascii="Arial" w:cs="Arial" w:eastAsia="Arial" w:hAnsi="Arial"/>
          <w:sz w:val="19"/>
          <w:szCs w:val="19"/>
          <w:color w:val="auto"/>
        </w:rPr>
        <w:t>) of the members of the B or executive management from liabil for actions taken during the past financial year. Such discharge is effective only for facts that have bee disclosed to the shareholders and o vis-à-vis the corporation and those shareholders who have consented t the resolution or who acquired share subsequently with knowledge of the resolution. Most violations of corpor law are regarded as violations of dut</w:t>
      </w:r>
    </w:p>
    <w:p>
      <w:pPr>
        <w:spacing w:after="0" w:line="200" w:lineRule="exact"/>
        <w:rPr>
          <w:sz w:val="20"/>
          <w:szCs w:val="20"/>
          <w:color w:val="auto"/>
        </w:rPr>
      </w:pPr>
    </w:p>
    <w:p>
      <w:pPr>
        <w:sectPr>
          <w:pgSz w:w="11900" w:h="16838" w:orient="portrait"/>
          <w:cols w:equalWidth="0" w:num="2">
            <w:col w:w="7020" w:space="260"/>
            <w:col w:w="3180"/>
          </w:cols>
          <w:pgMar w:left="1440" w:top="1165" w:right="6" w:bottom="0" w:gutter="0" w:footer="0" w:header="0"/>
        </w:sectPr>
      </w:pPr>
    </w:p>
    <w:p>
      <w:pPr>
        <w:spacing w:after="0" w:line="390"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50 / 139</w:t>
      </w:r>
    </w:p>
    <w:p>
      <w:pPr>
        <w:sectPr>
          <w:pgSz w:w="11900" w:h="16838" w:orient="portrait"/>
          <w:cols w:equalWidth="0" w:num="1">
            <w:col w:w="10460"/>
          </w:cols>
          <w:pgMar w:left="1440" w:top="1165" w:right="6" w:bottom="0" w:gutter="0" w:footer="0" w:header="0"/>
          <w:type w:val="continuous"/>
        </w:sectPr>
      </w:pPr>
    </w:p>
    <w:bookmarkStart w:id="279" w:name="page280"/>
    <w:bookmarkEnd w:id="279"/>
    <w:p>
      <w:pPr>
        <w:ind w:left="7280"/>
        <w:spacing w:after="0"/>
        <w:rPr>
          <w:sz w:val="20"/>
          <w:szCs w:val="20"/>
          <w:color w:val="auto"/>
        </w:rPr>
      </w:pPr>
      <w:r>
        <w:rPr>
          <w:rFonts w:ascii="Arial" w:cs="Arial" w:eastAsia="Arial" w:hAnsi="Arial"/>
          <w:sz w:val="20"/>
          <w:szCs w:val="20"/>
          <w:color w:val="auto"/>
        </w:rPr>
        <w:t>towards the corporation rather than</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towards the shareholders. In additio</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indemnification of other controlling</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persons is not permitted under Swis</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corporate law, including shareholder</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1323340</wp:posOffset>
            </wp:positionV>
            <wp:extent cx="6764020" cy="190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7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51 / 139</w:t>
      </w:r>
    </w:p>
    <w:p>
      <w:pPr>
        <w:sectPr>
          <w:pgSz w:w="11900" w:h="16838" w:orient="portrait"/>
          <w:cols w:equalWidth="0" w:num="1">
            <w:col w:w="10460"/>
          </w:cols>
          <w:pgMar w:left="1440" w:top="1165" w:right="6" w:bottom="0" w:gutter="0" w:footer="0" w:header="0"/>
          <w:type w:val="continuous"/>
        </w:sectPr>
      </w:pPr>
    </w:p>
    <w:bookmarkStart w:id="280" w:name="page281"/>
    <w:bookmarkEnd w:id="2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Appraisal Rights</w:t>
      </w:r>
      <w:r>
        <w:rPr>
          <w:sz w:val="20"/>
          <w:szCs w:val="20"/>
          <w:color w:val="auto"/>
        </w:rPr>
        <w:tab/>
      </w:r>
      <w:r>
        <w:rPr>
          <w:rFonts w:ascii="Arial" w:cs="Arial" w:eastAsia="Arial" w:hAnsi="Arial"/>
          <w:sz w:val="20"/>
          <w:szCs w:val="20"/>
          <w:color w:val="auto"/>
        </w:rPr>
        <w:t>A shareholder of a Delaware corporation</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participating in certain major corporate</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transactions may, under certain</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circumstances, be entitled to appraisal</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rights under which the shareholder may</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receive cash in the amount of the fair</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value of the shares held by that</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shareholder (as determined by a court) in</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lieu of the consideration the shareholder</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would otherwise receive in the</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transaction.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331" w:lineRule="auto"/>
        <w:rPr>
          <w:sz w:val="20"/>
          <w:szCs w:val="20"/>
          <w:color w:val="auto"/>
        </w:rPr>
      </w:pPr>
      <w:r>
        <w:rPr>
          <w:rFonts w:ascii="Arial" w:cs="Arial" w:eastAsia="Arial" w:hAnsi="Arial"/>
          <w:sz w:val="19"/>
          <w:szCs w:val="19"/>
          <w:color w:val="auto"/>
        </w:rPr>
        <w:t xml:space="preserve">Under applicable Swiss law, shareholders are not entitled to diss or appraisal rights in respect of any corporate actions other than with respect to certain transactions to wh the </w:t>
      </w:r>
      <w:r>
        <w:rPr>
          <w:rFonts w:ascii="Arial" w:cs="Arial" w:eastAsia="Arial" w:hAnsi="Arial"/>
          <w:sz w:val="19"/>
          <w:szCs w:val="19"/>
          <w:i w:val="1"/>
          <w:iCs w:val="1"/>
          <w:color w:val="auto"/>
        </w:rPr>
        <w:t>Swiss Merger Act</w:t>
      </w:r>
      <w:r>
        <w:rPr>
          <w:rFonts w:ascii="Arial" w:cs="Arial" w:eastAsia="Arial" w:hAnsi="Arial"/>
          <w:sz w:val="19"/>
          <w:szCs w:val="19"/>
          <w:color w:val="auto"/>
        </w:rPr>
        <w:t xml:space="preserve"> applies. If, in t event of a merger, demerger or conversion, the share or membershi rights are not adequately safeguard or the compensation is not appropria any shareholder may, within two mo of the publication of the merger, demerger or conversion resolution, request that the court determine an appropriate compensation payment (appraisal suit). A decision issued b competent court in this respect can acted upon by any person who has t same legal status as the claimant. T filing of an appraisal suit will not pre completion of the merger, demerger conversion.</w:t>
      </w:r>
    </w:p>
    <w:p>
      <w:pPr>
        <w:spacing w:after="0" w:line="200" w:lineRule="exact"/>
        <w:rPr>
          <w:sz w:val="20"/>
          <w:szCs w:val="20"/>
          <w:color w:val="auto"/>
        </w:rPr>
      </w:pPr>
    </w:p>
    <w:p>
      <w:pPr>
        <w:sectPr>
          <w:pgSz w:w="11900" w:h="16838" w:orient="portrait"/>
          <w:cols w:equalWidth="0" w:num="2">
            <w:col w:w="6960" w:space="320"/>
            <w:col w:w="318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52 / 139</w:t>
      </w:r>
    </w:p>
    <w:p>
      <w:pPr>
        <w:sectPr>
          <w:pgSz w:w="11900" w:h="16838" w:orient="portrait"/>
          <w:cols w:equalWidth="0" w:num="1">
            <w:col w:w="10460"/>
          </w:cols>
          <w:pgMar w:left="1440" w:top="1440" w:right="6" w:bottom="0" w:gutter="0" w:footer="0" w:header="0"/>
          <w:type w:val="continuous"/>
        </w:sectPr>
      </w:pPr>
    </w:p>
    <w:bookmarkStart w:id="281" w:name="page282"/>
    <w:bookmarkEnd w:id="281"/>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Shareholder Suits</w:t>
      </w:r>
      <w:r>
        <w:rPr>
          <w:sz w:val="20"/>
          <w:szCs w:val="20"/>
          <w:color w:val="auto"/>
        </w:rPr>
        <w:tab/>
      </w:r>
      <w:r>
        <w:rPr>
          <w:rFonts w:ascii="Arial" w:cs="Arial" w:eastAsia="Arial" w:hAnsi="Arial"/>
          <w:sz w:val="20"/>
          <w:szCs w:val="20"/>
          <w:color w:val="auto"/>
        </w:rPr>
        <w:t>Class actions and derivative actions</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generally are available to the</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shareholders of a Delaware corporation</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for, among other things, breach of</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fiduciary duty, corporate waste and</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actions not taken in accordance with</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applicable law. In such actions, the court</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has discretion to permit the winning party</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to recover attorneys’ fees incurred in</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connection with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5348605</wp:posOffset>
            </wp:positionV>
            <wp:extent cx="6764020" cy="190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7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auto"/>
        <w:rPr>
          <w:sz w:val="20"/>
          <w:szCs w:val="20"/>
          <w:color w:val="auto"/>
        </w:rPr>
      </w:pPr>
      <w:r>
        <w:rPr>
          <w:rFonts w:ascii="Arial" w:cs="Arial" w:eastAsia="Arial" w:hAnsi="Arial"/>
          <w:sz w:val="19"/>
          <w:szCs w:val="19"/>
          <w:color w:val="auto"/>
        </w:rPr>
        <w:t>Class actions and derivative actions such are not available under Swiss l Nevertheless, certain actions may h a similar effect. A shareholder is ent to file an action for damage caused the corporation. The claim of the shareholder is for performance to th corporation. If the shareholder, base upon the factual and legal situation, sufficient cause to file an action, the judge has discretion to impose all co the plaintiff incurred in prosecuting t action on the corporation. Sharehold may also approve, by a resolution passed by a majority of the votes of shareholders present at the shareholders' meeting, that the corporation bring the action and entr the Board or a representative thereo with the conduct of the proceedings. Shareholders who suffer a direct los due to an intentional or negligent bre of a member of the Board' or senior officer's duties may sue such memb the Board or senior officer in his or h personal capacity for monetary compensation. In addition, to the ext that US laws and regulations provid basis for liability and US courts have jurisdiction, a class action may be available.</w:t>
      </w:r>
    </w:p>
    <w:p>
      <w:pPr>
        <w:spacing w:after="0" w:line="200" w:lineRule="exact"/>
        <w:rPr>
          <w:sz w:val="20"/>
          <w:szCs w:val="20"/>
          <w:color w:val="auto"/>
        </w:rPr>
      </w:pPr>
    </w:p>
    <w:p>
      <w:pPr>
        <w:sectPr>
          <w:pgSz w:w="11900" w:h="16838" w:orient="portrait"/>
          <w:cols w:equalWidth="0" w:num="2">
            <w:col w:w="6940" w:space="340"/>
            <w:col w:w="318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53 / 139</w:t>
      </w:r>
    </w:p>
    <w:p>
      <w:pPr>
        <w:sectPr>
          <w:pgSz w:w="11900" w:h="16838" w:orient="portrait"/>
          <w:cols w:equalWidth="0" w:num="1">
            <w:col w:w="10460"/>
          </w:cols>
          <w:pgMar w:left="1440" w:top="1165" w:right="6" w:bottom="0" w:gutter="0" w:footer="0" w:header="0"/>
          <w:type w:val="continuous"/>
        </w:sectPr>
      </w:pPr>
    </w:p>
    <w:bookmarkStart w:id="282" w:name="page283"/>
    <w:bookmarkEnd w:id="2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Under Swiss law, the winning party i</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generally entitled to recover or to</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partially recover attorneys’ fees incu</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in connection with such action,</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provided, however, that the court ha</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broad discretion to permit the</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shareholder whose claim has been</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dismissed to recover attorneys’ fees</w:t>
      </w:r>
    </w:p>
    <w:p>
      <w:pPr>
        <w:spacing w:after="0" w:line="83"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incurred to the extent he or she acte</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good faith.</w:t>
      </w:r>
    </w:p>
    <w:p>
      <w:pPr>
        <w:spacing w:after="0" w:line="2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In addition, under Swiss law, a</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shareholder may petition the compe</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Swiss court to have a decision of the</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general meeting of shareholders</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declared invalid on the grounds that</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decision violates the corporation's</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Articles of Association or the law.</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54 / 139</w:t>
      </w:r>
    </w:p>
    <w:p>
      <w:pPr>
        <w:sectPr>
          <w:pgSz w:w="11900" w:h="16838" w:orient="portrait"/>
          <w:cols w:equalWidth="0" w:num="1">
            <w:col w:w="10460"/>
          </w:cols>
          <w:pgMar w:left="1440" w:top="1440" w:right="6" w:bottom="0" w:gutter="0" w:footer="0" w:header="0"/>
          <w:type w:val="continuous"/>
        </w:sectPr>
      </w:pPr>
    </w:p>
    <w:bookmarkStart w:id="283" w:name="page284"/>
    <w:bookmarkEnd w:id="283"/>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Inspection of Books</w:t>
      </w:r>
      <w:r>
        <w:rPr>
          <w:sz w:val="20"/>
          <w:szCs w:val="20"/>
          <w:color w:val="auto"/>
        </w:rPr>
        <w:tab/>
      </w:r>
      <w:r>
        <w:rPr>
          <w:rFonts w:ascii="Arial" w:cs="Arial" w:eastAsia="Arial" w:hAnsi="Arial"/>
          <w:sz w:val="19"/>
          <w:szCs w:val="19"/>
          <w:color w:val="auto"/>
        </w:rPr>
        <w:t>All shareholders of a Delaware</w:t>
      </w:r>
    </w:p>
    <w:p>
      <w:pPr>
        <w:spacing w:after="0" w:line="79" w:lineRule="exact"/>
        <w:rPr>
          <w:sz w:val="20"/>
          <w:szCs w:val="20"/>
          <w:color w:val="auto"/>
        </w:rPr>
      </w:pPr>
    </w:p>
    <w:p>
      <w:pPr>
        <w:ind w:left="3300" w:right="120" w:hanging="2292"/>
        <w:spacing w:after="0" w:line="313" w:lineRule="auto"/>
        <w:tabs>
          <w:tab w:leader="none" w:pos="3280" w:val="left"/>
        </w:tabs>
        <w:rPr>
          <w:sz w:val="20"/>
          <w:szCs w:val="20"/>
          <w:color w:val="auto"/>
        </w:rPr>
      </w:pPr>
      <w:r>
        <w:rPr>
          <w:rFonts w:ascii="Arial" w:cs="Arial" w:eastAsia="Arial" w:hAnsi="Arial"/>
          <w:sz w:val="20"/>
          <w:szCs w:val="20"/>
          <w:b w:val="1"/>
          <w:bCs w:val="1"/>
          <w:i w:val="1"/>
          <w:iCs w:val="1"/>
          <w:color w:val="auto"/>
        </w:rPr>
        <w:t>and Records</w:t>
      </w:r>
      <w:r>
        <w:rPr>
          <w:sz w:val="20"/>
          <w:szCs w:val="20"/>
          <w:color w:val="auto"/>
        </w:rPr>
        <w:tab/>
      </w:r>
      <w:r>
        <w:rPr>
          <w:rFonts w:ascii="Arial" w:cs="Arial" w:eastAsia="Arial" w:hAnsi="Arial"/>
          <w:sz w:val="20"/>
          <w:szCs w:val="20"/>
          <w:color w:val="auto"/>
        </w:rPr>
        <w:t xml:space="preserve">corporation have the right, upon written demand </w:t>
      </w:r>
      <w:r>
        <w:rPr>
          <w:rFonts w:ascii="Arial" w:cs="Arial" w:eastAsia="Arial" w:hAnsi="Arial"/>
          <w:sz w:val="20"/>
          <w:szCs w:val="20"/>
          <w:u w:val="single" w:color="auto"/>
          <w:color w:val="auto"/>
        </w:rPr>
        <w:t>made in good faith for proper</w:t>
      </w:r>
      <w:r>
        <w:rPr>
          <w:rFonts w:ascii="Arial" w:cs="Arial" w:eastAsia="Arial" w:hAnsi="Arial"/>
          <w:sz w:val="20"/>
          <w:szCs w:val="20"/>
          <w:color w:val="auto"/>
        </w:rPr>
        <w:t xml:space="preserve"> </w:t>
      </w:r>
      <w:r>
        <w:rPr>
          <w:rFonts w:ascii="Arial" w:cs="Arial" w:eastAsia="Arial" w:hAnsi="Arial"/>
          <w:sz w:val="20"/>
          <w:szCs w:val="20"/>
          <w:u w:val="single" w:color="auto"/>
          <w:color w:val="auto"/>
        </w:rPr>
        <w:t>purpose and described with reasonable particularity both the purpose and the records sought</w:t>
      </w:r>
      <w:r>
        <w:rPr>
          <w:rFonts w:ascii="Arial" w:cs="Arial" w:eastAsia="Arial" w:hAnsi="Arial"/>
          <w:sz w:val="20"/>
          <w:szCs w:val="20"/>
          <w:color w:val="auto"/>
        </w:rPr>
        <w:t>, to inspect or obtain copies of the corporation’s shares ledger and its other books and records.</w:t>
      </w:r>
    </w:p>
    <w:p>
      <w:pPr>
        <w:spacing w:after="0" w:line="207" w:lineRule="exact"/>
        <w:rPr>
          <w:sz w:val="20"/>
          <w:szCs w:val="20"/>
          <w:color w:val="auto"/>
        </w:rPr>
      </w:pPr>
    </w:p>
    <w:p>
      <w:pPr>
        <w:ind w:left="3300"/>
        <w:spacing w:after="0"/>
        <w:rPr>
          <w:sz w:val="20"/>
          <w:szCs w:val="20"/>
          <w:color w:val="auto"/>
        </w:rPr>
      </w:pPr>
      <w:r>
        <w:rPr>
          <w:rFonts w:ascii="Arial" w:cs="Arial" w:eastAsia="Arial" w:hAnsi="Arial"/>
          <w:sz w:val="20"/>
          <w:szCs w:val="20"/>
          <w:u w:val="single" w:color="auto"/>
          <w:color w:val="auto"/>
        </w:rPr>
        <w:t>Books and records are defined</w:t>
      </w:r>
      <w:r>
        <w:rPr>
          <w:rFonts w:ascii="Arial" w:cs="Arial" w:eastAsia="Arial" w:hAnsi="Arial"/>
          <w:sz w:val="20"/>
          <w:szCs w:val="20"/>
          <w:color w:val="auto"/>
        </w:rPr>
        <w:t xml:space="preserve"> to </w:t>
      </w:r>
      <w:r>
        <w:rPr>
          <w:rFonts w:ascii="Arial" w:cs="Arial" w:eastAsia="Arial" w:hAnsi="Arial"/>
          <w:sz w:val="20"/>
          <w:szCs w:val="20"/>
          <w:u w:val="single" w:color="auto"/>
          <w:color w:val="auto"/>
        </w:rPr>
        <w:t>include</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u w:val="single" w:color="auto"/>
          <w:color w:val="auto"/>
        </w:rPr>
        <w:t>categories</w:t>
      </w:r>
      <w:r>
        <w:rPr>
          <w:rFonts w:ascii="Arial" w:cs="Arial" w:eastAsia="Arial" w:hAnsi="Arial"/>
          <w:sz w:val="20"/>
          <w:szCs w:val="20"/>
          <w:color w:val="auto"/>
        </w:rPr>
        <w:t xml:space="preserve"> such as</w:t>
      </w:r>
      <w:r>
        <w:rPr>
          <w:rFonts w:ascii="Arial" w:cs="Arial" w:eastAsia="Arial" w:hAnsi="Arial"/>
          <w:sz w:val="20"/>
          <w:szCs w:val="20"/>
          <w:u w:val="single" w:color="auto"/>
          <w:color w:val="auto"/>
        </w:rPr>
        <w:t>:</w:t>
      </w:r>
    </w:p>
    <w:p>
      <w:pPr>
        <w:spacing w:after="0" w:line="200" w:lineRule="exact"/>
        <w:rPr>
          <w:sz w:val="20"/>
          <w:szCs w:val="20"/>
          <w:color w:val="auto"/>
        </w:rPr>
      </w:pPr>
    </w:p>
    <w:p>
      <w:pPr>
        <w:spacing w:after="0" w:line="344" w:lineRule="exact"/>
        <w:rPr>
          <w:sz w:val="20"/>
          <w:szCs w:val="20"/>
          <w:color w:val="auto"/>
        </w:rPr>
      </w:pPr>
    </w:p>
    <w:p>
      <w:pPr>
        <w:ind w:left="4240" w:right="300" w:hanging="449"/>
        <w:spacing w:after="0" w:line="373" w:lineRule="auto"/>
        <w:tabs>
          <w:tab w:leader="none" w:pos="424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Certificate of incorporation (including agreements and instruments incorporated by reference);</w:t>
      </w:r>
    </w:p>
    <w:p>
      <w:pPr>
        <w:spacing w:after="0" w:line="130" w:lineRule="exact"/>
        <w:rPr>
          <w:rFonts w:ascii="Arial" w:cs="Arial" w:eastAsia="Arial" w:hAnsi="Arial"/>
          <w:sz w:val="20"/>
          <w:szCs w:val="20"/>
          <w:color w:val="auto"/>
        </w:rPr>
      </w:pPr>
    </w:p>
    <w:p>
      <w:pPr>
        <w:jc w:val="both"/>
        <w:ind w:left="4240" w:right="120" w:hanging="449"/>
        <w:spacing w:after="0" w:line="372" w:lineRule="auto"/>
        <w:tabs>
          <w:tab w:leader="none" w:pos="424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Bylaws (including agreements and instruments incorporated by reference);</w:t>
      </w:r>
    </w:p>
    <w:p>
      <w:pPr>
        <w:spacing w:after="0" w:line="130" w:lineRule="exact"/>
        <w:rPr>
          <w:rFonts w:ascii="Arial" w:cs="Arial" w:eastAsia="Arial" w:hAnsi="Arial"/>
          <w:sz w:val="20"/>
          <w:szCs w:val="20"/>
          <w:color w:val="auto"/>
        </w:rPr>
      </w:pPr>
    </w:p>
    <w:p>
      <w:pPr>
        <w:ind w:left="4240" w:right="80" w:hanging="449"/>
        <w:spacing w:after="0" w:line="396" w:lineRule="auto"/>
        <w:tabs>
          <w:tab w:leader="none" w:pos="424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Minutes of shareholder</w:t>
      </w:r>
      <w:r>
        <w:rPr>
          <w:rFonts w:ascii="Arial" w:cs="Arial" w:eastAsia="Arial" w:hAnsi="Arial"/>
          <w:sz w:val="19"/>
          <w:szCs w:val="19"/>
          <w:color w:val="auto"/>
          <w:strike w:val="1"/>
        </w:rPr>
        <w:t>.</w:t>
      </w:r>
      <w:r>
        <w:rPr>
          <w:rFonts w:ascii="Arial" w:cs="Arial" w:eastAsia="Arial" w:hAnsi="Arial"/>
          <w:sz w:val="19"/>
          <w:szCs w:val="19"/>
          <w:color w:val="auto"/>
        </w:rPr>
        <w:t xml:space="preserve"> meetings and signed consents documenting all actions taken by shareholders without a meeting (past three years);</w:t>
      </w:r>
    </w:p>
    <w:p>
      <w:pPr>
        <w:spacing w:after="0" w:line="117" w:lineRule="exact"/>
        <w:rPr>
          <w:rFonts w:ascii="Arial" w:cs="Arial" w:eastAsia="Arial" w:hAnsi="Arial"/>
          <w:sz w:val="19"/>
          <w:szCs w:val="19"/>
          <w:color w:val="auto"/>
        </w:rPr>
      </w:pPr>
    </w:p>
    <w:p>
      <w:pPr>
        <w:ind w:left="4240" w:right="280" w:hanging="449"/>
        <w:spacing w:after="0" w:line="373" w:lineRule="auto"/>
        <w:tabs>
          <w:tab w:leader="none" w:pos="424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Written and electronic communications by the corporation to shareholders generally (past three years);</w:t>
      </w:r>
    </w:p>
    <w:p>
      <w:pPr>
        <w:spacing w:after="0" w:line="130" w:lineRule="exact"/>
        <w:rPr>
          <w:rFonts w:ascii="Arial" w:cs="Arial" w:eastAsia="Arial" w:hAnsi="Arial"/>
          <w:sz w:val="20"/>
          <w:szCs w:val="20"/>
          <w:color w:val="auto"/>
        </w:rPr>
      </w:pPr>
    </w:p>
    <w:p>
      <w:pPr>
        <w:ind w:left="4240" w:hanging="449"/>
        <w:spacing w:after="0" w:line="373" w:lineRule="auto"/>
        <w:tabs>
          <w:tab w:leader="none" w:pos="424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Minutes of board and committee meetings and records of any actions taken by them;</w:t>
      </w:r>
    </w:p>
    <w:p>
      <w:pPr>
        <w:spacing w:after="0" w:line="130" w:lineRule="exact"/>
        <w:rPr>
          <w:rFonts w:ascii="Arial" w:cs="Arial" w:eastAsia="Arial" w:hAnsi="Arial"/>
          <w:sz w:val="20"/>
          <w:szCs w:val="20"/>
          <w:color w:val="auto"/>
        </w:rPr>
      </w:pPr>
    </w:p>
    <w:p>
      <w:pPr>
        <w:ind w:left="4240" w:right="20" w:hanging="449"/>
        <w:spacing w:after="0" w:line="372" w:lineRule="auto"/>
        <w:tabs>
          <w:tab w:leader="none" w:pos="424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Materials provided to the board or committee in connection with actions taken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1060450</wp:posOffset>
            </wp:positionV>
            <wp:extent cx="6764020" cy="190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7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auto"/>
        <w:rPr>
          <w:sz w:val="20"/>
          <w:szCs w:val="20"/>
          <w:color w:val="auto"/>
        </w:rPr>
      </w:pPr>
      <w:r>
        <w:rPr>
          <w:rFonts w:ascii="Arial" w:cs="Arial" w:eastAsia="Arial" w:hAnsi="Arial"/>
          <w:sz w:val="19"/>
          <w:szCs w:val="19"/>
          <w:color w:val="auto"/>
        </w:rPr>
        <w:t>Swiss law grants shareholders the ri to inspect the register of shareholde with regards to its, his or her own shares and otherwise to the extent necessary to exercise its, his or her shareholder rights. No other person a right to inspect the register of shareholders. With respect to other corporation ledgers and corporation files, only shareholders who individu or together with other shareholders represent at least 5% of the share capital or of the votes may request t inspect such ledgers and files by sending such a request to the Board any time. The shareholder's request must describe why the requested inspection is required for the exercis the shareholder's rights, and the Bo shall permit inspection within four months of receiving such a request provided that no business secrets or other company interests are put at ri Pursuant to Swiss law, at a general meeting, any shareholder is entitled request information from the Board concerning the affairs of the corpora The shareholder may also ask the auditor questions regarding its audit the corporation. The Board and the auditor must, subject to prevailing business secrets or other material interests, answer shareholders' questions to the extent necessary fo the exercise of shareholders' rights.</w:t>
      </w:r>
    </w:p>
    <w:p>
      <w:pPr>
        <w:spacing w:after="0" w:line="2207" w:lineRule="exact"/>
        <w:rPr>
          <w:sz w:val="20"/>
          <w:szCs w:val="20"/>
          <w:color w:val="auto"/>
        </w:rPr>
      </w:pPr>
    </w:p>
    <w:p>
      <w:pPr>
        <w:sectPr>
          <w:pgSz w:w="11900" w:h="16838" w:orient="portrait"/>
          <w:cols w:equalWidth="0" w:num="2">
            <w:col w:w="7020" w:space="260"/>
            <w:col w:w="318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55 / 139</w:t>
      </w:r>
    </w:p>
    <w:p>
      <w:pPr>
        <w:sectPr>
          <w:pgSz w:w="11900" w:h="16838" w:orient="portrait"/>
          <w:cols w:equalWidth="0" w:num="1">
            <w:col w:w="10460"/>
          </w:cols>
          <w:pgMar w:left="1440" w:top="1165" w:right="6" w:bottom="0" w:gutter="0" w:footer="0" w:header="0"/>
          <w:type w:val="continuous"/>
        </w:sectPr>
      </w:pPr>
    </w:p>
    <w:bookmarkStart w:id="284" w:name="page285"/>
    <w:bookmarkEnd w:id="2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00"/>
        <w:spacing w:after="0"/>
        <w:tabs>
          <w:tab w:leader="none" w:pos="4220" w:val="left"/>
        </w:tabs>
        <w:rPr>
          <w:sz w:val="20"/>
          <w:szCs w:val="20"/>
          <w:color w:val="auto"/>
        </w:rPr>
      </w:pPr>
      <w:r>
        <w:rPr>
          <w:rFonts w:ascii="Arial" w:cs="Arial" w:eastAsia="Arial" w:hAnsi="Arial"/>
          <w:sz w:val="20"/>
          <w:szCs w:val="20"/>
          <w:color w:val="auto"/>
        </w:rPr>
        <w:t>7.</w:t>
        <w:tab/>
        <w:t>Annual financial statements of</w:t>
      </w:r>
    </w:p>
    <w:p>
      <w:pPr>
        <w:spacing w:after="0" w:line="130"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the corporation (past three</w:t>
      </w:r>
    </w:p>
    <w:p>
      <w:pPr>
        <w:spacing w:after="0" w:line="130"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years);</w:t>
      </w:r>
    </w:p>
    <w:p>
      <w:pPr>
        <w:spacing w:after="0" w:line="250" w:lineRule="exact"/>
        <w:rPr>
          <w:sz w:val="20"/>
          <w:szCs w:val="20"/>
          <w:color w:val="auto"/>
        </w:rPr>
      </w:pPr>
    </w:p>
    <w:p>
      <w:pPr>
        <w:ind w:left="3800"/>
        <w:spacing w:after="0"/>
        <w:tabs>
          <w:tab w:leader="none" w:pos="4220" w:val="left"/>
        </w:tabs>
        <w:rPr>
          <w:sz w:val="20"/>
          <w:szCs w:val="20"/>
          <w:color w:val="auto"/>
        </w:rPr>
      </w:pPr>
      <w:r>
        <w:rPr>
          <w:rFonts w:ascii="Arial" w:cs="Arial" w:eastAsia="Arial" w:hAnsi="Arial"/>
          <w:sz w:val="20"/>
          <w:szCs w:val="20"/>
          <w:color w:val="auto"/>
        </w:rPr>
        <w:t>8.</w:t>
        <w:tab/>
        <w:t>Agreement entered into under</w:t>
      </w:r>
    </w:p>
    <w:p>
      <w:pPr>
        <w:spacing w:after="0" w:line="130"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DGCL § 122(18), by the</w:t>
      </w:r>
    </w:p>
    <w:p>
      <w:pPr>
        <w:spacing w:after="0" w:line="130"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corporation with its</w:t>
      </w:r>
    </w:p>
    <w:p>
      <w:pPr>
        <w:spacing w:after="0" w:line="130"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shareholders; and</w:t>
      </w:r>
    </w:p>
    <w:p>
      <w:pPr>
        <w:spacing w:after="0" w:line="250" w:lineRule="exact"/>
        <w:rPr>
          <w:sz w:val="20"/>
          <w:szCs w:val="20"/>
          <w:color w:val="auto"/>
        </w:rPr>
      </w:pPr>
    </w:p>
    <w:p>
      <w:pPr>
        <w:ind w:left="3800"/>
        <w:spacing w:after="0"/>
        <w:tabs>
          <w:tab w:leader="none" w:pos="4220" w:val="left"/>
        </w:tabs>
        <w:rPr>
          <w:sz w:val="20"/>
          <w:szCs w:val="20"/>
          <w:color w:val="auto"/>
        </w:rPr>
      </w:pPr>
      <w:r>
        <w:rPr>
          <w:rFonts w:ascii="Arial" w:cs="Arial" w:eastAsia="Arial" w:hAnsi="Arial"/>
          <w:sz w:val="20"/>
          <w:szCs w:val="20"/>
          <w:color w:val="auto"/>
        </w:rPr>
        <w:t>9.</w:t>
        <w:tab/>
        <w:t>Director and officer</w:t>
      </w:r>
    </w:p>
    <w:p>
      <w:pPr>
        <w:spacing w:after="0" w:line="130"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independence questionnaires.</w:t>
      </w:r>
    </w:p>
    <w:p>
      <w:pPr>
        <w:spacing w:after="0" w:line="267"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Amendments to</w:t>
      </w:r>
      <w:r>
        <w:rPr>
          <w:sz w:val="20"/>
          <w:szCs w:val="20"/>
          <w:color w:val="auto"/>
        </w:rPr>
        <w:tab/>
      </w:r>
      <w:r>
        <w:rPr>
          <w:rFonts w:ascii="Arial" w:cs="Arial" w:eastAsia="Arial" w:hAnsi="Arial"/>
          <w:sz w:val="19"/>
          <w:szCs w:val="19"/>
          <w:color w:val="auto"/>
        </w:rPr>
        <w:t>Amendments to the certificate of</w:t>
      </w:r>
    </w:p>
    <w:p>
      <w:pPr>
        <w:spacing w:after="0" w:line="72"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Charter</w:t>
      </w:r>
      <w:r>
        <w:rPr>
          <w:sz w:val="20"/>
          <w:szCs w:val="20"/>
          <w:color w:val="auto"/>
        </w:rPr>
        <w:tab/>
      </w:r>
      <w:r>
        <w:rPr>
          <w:rFonts w:ascii="Arial" w:cs="Arial" w:eastAsia="Arial" w:hAnsi="Arial"/>
          <w:sz w:val="20"/>
          <w:szCs w:val="20"/>
          <w:color w:val="auto"/>
        </w:rPr>
        <w:t>incorporation of a Delaware corporation</w:t>
      </w:r>
    </w:p>
    <w:p>
      <w:pPr>
        <w:spacing w:after="0" w:line="79" w:lineRule="exact"/>
        <w:rPr>
          <w:sz w:val="20"/>
          <w:szCs w:val="20"/>
          <w:color w:val="auto"/>
        </w:rPr>
      </w:pPr>
    </w:p>
    <w:p>
      <w:pPr>
        <w:ind w:left="3300"/>
        <w:spacing w:after="0" w:line="314" w:lineRule="auto"/>
        <w:rPr>
          <w:sz w:val="20"/>
          <w:szCs w:val="20"/>
          <w:color w:val="auto"/>
        </w:rPr>
      </w:pPr>
      <w:r>
        <w:rPr>
          <w:rFonts w:ascii="Arial" w:cs="Arial" w:eastAsia="Arial" w:hAnsi="Arial"/>
          <w:sz w:val="20"/>
          <w:szCs w:val="20"/>
          <w:color w:val="auto"/>
        </w:rPr>
        <w:t>generally require the affirmative vote of the holders of a majority of the outstanding shares entitled to vote thereon or such greater vote as is provided for in the certificate of incorporation. A provision in the certificate of incorporation, subject to certain exceptions under Delaware law, requiring the vote of a greater number or proportion of the directors or of the holders of any class of shares than is required by Delaware corporate law may not be amended, altered or repealed except by such greater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313" w:lineRule="auto"/>
        <w:rPr>
          <w:sz w:val="20"/>
          <w:szCs w:val="20"/>
          <w:color w:val="auto"/>
        </w:rPr>
      </w:pPr>
      <w:r>
        <w:rPr>
          <w:rFonts w:ascii="Arial" w:cs="Arial" w:eastAsia="Arial" w:hAnsi="Arial"/>
          <w:sz w:val="20"/>
          <w:szCs w:val="20"/>
          <w:color w:val="auto"/>
        </w:rPr>
        <w:t>If the shareholders' inspection and information rights prove to be insufficient, Swiss law provides, sub to the requirements thereof, an additional right to initiate a special investigation or right to appoint an expert to audit the executive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331" w:lineRule="auto"/>
        <w:rPr>
          <w:sz w:val="20"/>
          <w:szCs w:val="20"/>
          <w:color w:val="auto"/>
        </w:rPr>
      </w:pPr>
      <w:r>
        <w:rPr>
          <w:rFonts w:ascii="Arial" w:cs="Arial" w:eastAsia="Arial" w:hAnsi="Arial"/>
          <w:sz w:val="19"/>
          <w:szCs w:val="19"/>
          <w:color w:val="auto"/>
        </w:rPr>
        <w:t>The Articles of Association of a Swis corporation may be amended with a resolution passed by a simple major of the votes cast at such meeting, unless otherwise provided in the Arti of Association. There are a number resolutions, amongst others an amendment of the stated purpose of corporation, the introduction of a cap band and conditional capital, the merging of shares (unless the appro of all the shareholders concerned is required), the restriction of the transferability of registered shares, t change of the currency of the share capital, the introduction of shares wi preferential voting rights and, the inclusion of an arbitration clause, tha require the approval by two-thirds of votes and an absolute majority of th nominal value of the shares represe at a shareholders’ meeting. The Arti of Association may increase the voti thresholds.</w:t>
      </w:r>
    </w:p>
    <w:p>
      <w:pPr>
        <w:spacing w:after="0" w:line="200" w:lineRule="exact"/>
        <w:rPr>
          <w:sz w:val="20"/>
          <w:szCs w:val="20"/>
          <w:color w:val="auto"/>
        </w:rPr>
      </w:pPr>
    </w:p>
    <w:p>
      <w:pPr>
        <w:sectPr>
          <w:pgSz w:w="11900" w:h="16838" w:orient="portrait"/>
          <w:cols w:equalWidth="0" w:num="2">
            <w:col w:w="7020" w:space="260"/>
            <w:col w:w="318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56 / 139</w:t>
      </w:r>
    </w:p>
    <w:p>
      <w:pPr>
        <w:sectPr>
          <w:pgSz w:w="11900" w:h="16838" w:orient="portrait"/>
          <w:cols w:equalWidth="0" w:num="1">
            <w:col w:w="10460"/>
          </w:cols>
          <w:pgMar w:left="1440" w:top="1440" w:right="6" w:bottom="0" w:gutter="0" w:footer="0" w:header="0"/>
          <w:type w:val="continuous"/>
        </w:sectPr>
      </w:pPr>
    </w:p>
    <w:bookmarkStart w:id="285" w:name="page286"/>
    <w:bookmarkEnd w:id="285"/>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Blank Check</w:t>
      </w:r>
      <w:r>
        <w:rPr>
          <w:sz w:val="20"/>
          <w:szCs w:val="20"/>
          <w:color w:val="auto"/>
        </w:rPr>
        <w:tab/>
      </w:r>
      <w:r>
        <w:rPr>
          <w:rFonts w:ascii="Arial" w:cs="Arial" w:eastAsia="Arial" w:hAnsi="Arial"/>
          <w:sz w:val="19"/>
          <w:szCs w:val="19"/>
          <w:color w:val="auto"/>
        </w:rPr>
        <w:t>Under Delaware law, the certificate of</w:t>
      </w:r>
    </w:p>
    <w:p>
      <w:pPr>
        <w:spacing w:after="0" w:line="72"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Preferred Stock/</w:t>
      </w:r>
      <w:r>
        <w:rPr>
          <w:sz w:val="20"/>
          <w:szCs w:val="20"/>
          <w:color w:val="auto"/>
        </w:rPr>
        <w:tab/>
      </w:r>
      <w:r>
        <w:rPr>
          <w:rFonts w:ascii="Arial" w:cs="Arial" w:eastAsia="Arial" w:hAnsi="Arial"/>
          <w:sz w:val="20"/>
          <w:szCs w:val="20"/>
          <w:color w:val="auto"/>
        </w:rPr>
        <w:t>incorporation of a corporation may give</w:t>
      </w:r>
    </w:p>
    <w:p>
      <w:pPr>
        <w:spacing w:after="0" w:line="72"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Shares</w:t>
      </w:r>
      <w:r>
        <w:rPr>
          <w:sz w:val="20"/>
          <w:szCs w:val="20"/>
          <w:color w:val="auto"/>
        </w:rPr>
        <w:tab/>
      </w:r>
      <w:r>
        <w:rPr>
          <w:rFonts w:ascii="Arial" w:cs="Arial" w:eastAsia="Arial" w:hAnsi="Arial"/>
          <w:sz w:val="20"/>
          <w:szCs w:val="20"/>
          <w:color w:val="auto"/>
        </w:rPr>
        <w:t>the Board the right to issue new classes</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of preferred shares with voting,</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conversion, dividend distribution, and</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other rights to be determined by the</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Board at the time of issuance, which</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could prevent a takeover attempt and</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thereby preclude shareholders from</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realizing a potential premium over the</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market value of their shares.</w:t>
      </w:r>
    </w:p>
    <w:p>
      <w:pPr>
        <w:spacing w:after="0" w:line="260" w:lineRule="exact"/>
        <w:rPr>
          <w:sz w:val="20"/>
          <w:szCs w:val="20"/>
          <w:color w:val="auto"/>
        </w:rPr>
      </w:pPr>
    </w:p>
    <w:p>
      <w:pPr>
        <w:ind w:left="3300"/>
        <w:spacing w:after="0" w:line="313" w:lineRule="auto"/>
        <w:rPr>
          <w:sz w:val="20"/>
          <w:szCs w:val="20"/>
          <w:color w:val="auto"/>
        </w:rPr>
      </w:pPr>
      <w:r>
        <w:rPr>
          <w:rFonts w:ascii="Arial" w:cs="Arial" w:eastAsia="Arial" w:hAnsi="Arial"/>
          <w:sz w:val="20"/>
          <w:szCs w:val="20"/>
          <w:color w:val="auto"/>
        </w:rPr>
        <w:t>In addition, Delaware law does not prohibit a corporation from adopting a shareholder rights plan, or “poison pill,” which could prevent a takeover attempt and preclude shareholders from realizing a potential premium over the market value of their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1665605</wp:posOffset>
            </wp:positionV>
            <wp:extent cx="6764020" cy="190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auto"/>
        <w:rPr>
          <w:sz w:val="20"/>
          <w:szCs w:val="20"/>
          <w:color w:val="auto"/>
        </w:rPr>
      </w:pPr>
      <w:r>
        <w:rPr>
          <w:rFonts w:ascii="Arial" w:cs="Arial" w:eastAsia="Arial" w:hAnsi="Arial"/>
          <w:sz w:val="20"/>
          <w:szCs w:val="20"/>
          <w:color w:val="auto"/>
        </w:rPr>
        <w:t>The general shareholder meeting of Swiss corporation may resolve that preference shares be issued or that existing shares be converted into preference shares with a resolution passed by a simple majority of the v cast at the general meeting of shareholders, subject to the Articles Associations requiring a higher appr threshold.</w:t>
      </w:r>
    </w:p>
    <w:p>
      <w:pPr>
        <w:spacing w:after="0" w:line="191" w:lineRule="exact"/>
        <w:rPr>
          <w:sz w:val="20"/>
          <w:szCs w:val="20"/>
          <w:color w:val="auto"/>
        </w:rPr>
      </w:pPr>
    </w:p>
    <w:p>
      <w:pPr>
        <w:spacing w:after="0" w:line="314" w:lineRule="auto"/>
        <w:rPr>
          <w:sz w:val="20"/>
          <w:szCs w:val="20"/>
          <w:color w:val="auto"/>
        </w:rPr>
      </w:pPr>
      <w:r>
        <w:rPr>
          <w:rFonts w:ascii="Arial" w:cs="Arial" w:eastAsia="Arial" w:hAnsi="Arial"/>
          <w:sz w:val="20"/>
          <w:szCs w:val="20"/>
          <w:color w:val="auto"/>
        </w:rPr>
        <w:t>The Board may not create any new classes of shares with privileged vot rights unless it receives approval fro special majority of two-thirds of the voting rights represented at a shareholders' meeting as well as a majority of the aggregate nominal/pa value of the shares represented at s meeting, in either case whether in person or by proxy, such qualified majority.</w:t>
      </w:r>
    </w:p>
    <w:p>
      <w:pPr>
        <w:spacing w:after="0" w:line="200" w:lineRule="exact"/>
        <w:rPr>
          <w:sz w:val="20"/>
          <w:szCs w:val="20"/>
          <w:color w:val="auto"/>
        </w:rPr>
      </w:pPr>
    </w:p>
    <w:p>
      <w:pPr>
        <w:sectPr>
          <w:pgSz w:w="11900" w:h="16838" w:orient="portrait"/>
          <w:cols w:equalWidth="0" w:num="2">
            <w:col w:w="7040" w:space="240"/>
            <w:col w:w="318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57 / 139</w:t>
      </w:r>
    </w:p>
    <w:p>
      <w:pPr>
        <w:sectPr>
          <w:pgSz w:w="11900" w:h="16838" w:orient="portrait"/>
          <w:cols w:equalWidth="0" w:num="1">
            <w:col w:w="10460"/>
          </w:cols>
          <w:pgMar w:left="1440" w:top="1165" w:right="6" w:bottom="0" w:gutter="0" w:footer="0" w:header="0"/>
          <w:type w:val="continuous"/>
        </w:sectPr>
      </w:pPr>
    </w:p>
    <w:bookmarkStart w:id="286" w:name="page287"/>
    <w:bookmarkEnd w:id="2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If the corporation issues any class o</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shares with special rights other than</w:t>
      </w:r>
    </w:p>
    <w:p>
      <w:pPr>
        <w:spacing w:after="0" w:line="83"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privileged voting rights, further share</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with special rights that are to be gra</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preferential rights over an existing cl</w:t>
      </w:r>
    </w:p>
    <w:p>
      <w:pPr>
        <w:spacing w:after="0" w:line="83"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of shares with special rights may onl</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be issued, subject to the Articles of</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Association providing otherwise, wit</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the approval of the majority of all</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shareholders voting at a shareholde</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meeting, whether in person or by pr</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who hold any class of shares whose</w:t>
      </w:r>
    </w:p>
    <w:p>
      <w:pPr>
        <w:spacing w:after="0" w:line="83"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rights would be prejudicially affected</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the issuance of the new shares with</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special rights ranking superior to the</w:t>
      </w:r>
    </w:p>
    <w:p>
      <w:pPr>
        <w:spacing w:after="0" w:line="2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A resolution of the shareholders'</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meeting adopted by at least two thir</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of the represented share votes is</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required for the amendment of the</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Articles of Association to create, var</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delete any special rights or restrictio</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attached to the shares of any class</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series of shares according to the</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Articles of Association of the Compa</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58 / 139</w:t>
      </w:r>
    </w:p>
    <w:p>
      <w:pPr>
        <w:sectPr>
          <w:pgSz w:w="11900" w:h="16838" w:orient="portrait"/>
          <w:cols w:equalWidth="0" w:num="1">
            <w:col w:w="10460"/>
          </w:cols>
          <w:pgMar w:left="1440" w:top="1440" w:right="6" w:bottom="0" w:gutter="0" w:footer="0" w:header="0"/>
          <w:type w:val="continuous"/>
        </w:sectPr>
      </w:pPr>
    </w:p>
    <w:bookmarkStart w:id="287" w:name="page288"/>
    <w:bookmarkEnd w:id="287"/>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Distributions and</w:t>
      </w:r>
      <w:r>
        <w:rPr>
          <w:sz w:val="20"/>
          <w:szCs w:val="20"/>
          <w:color w:val="auto"/>
        </w:rPr>
        <w:tab/>
      </w:r>
      <w:r>
        <w:rPr>
          <w:rFonts w:ascii="Arial" w:cs="Arial" w:eastAsia="Arial" w:hAnsi="Arial"/>
          <w:sz w:val="19"/>
          <w:szCs w:val="19"/>
          <w:color w:val="auto"/>
        </w:rPr>
        <w:t>Under Delaware law, subject to any</w:t>
      </w:r>
    </w:p>
    <w:p>
      <w:pPr>
        <w:spacing w:after="0" w:line="72"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Dividends</w:t>
      </w:r>
      <w:r>
        <w:rPr>
          <w:sz w:val="20"/>
          <w:szCs w:val="20"/>
          <w:color w:val="auto"/>
        </w:rPr>
        <w:tab/>
      </w:r>
      <w:r>
        <w:rPr>
          <w:rFonts w:ascii="Arial" w:cs="Arial" w:eastAsia="Arial" w:hAnsi="Arial"/>
          <w:sz w:val="20"/>
          <w:szCs w:val="20"/>
          <w:color w:val="auto"/>
        </w:rPr>
        <w:t>restrictions contained in the certificate of</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incorporation, a corporation may pay</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dividends out of capital surplus or, if there</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is no surplus, out of net profits for the</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current and/or the preceding fiscal year in</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which the dividend is declared, as long as</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the amount of capital of the corporation</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following the declaration and payment of</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the dividend is not less than the</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aggregate amount of the capital</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represented by issued and outstanding</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shares having a preference upon the</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distribution of assets. Surplus is defined in</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Delaware law as the excess of the net</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assets over capital, as such capital may</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be adjusted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3815080</wp:posOffset>
            </wp:positionV>
            <wp:extent cx="6764020" cy="190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auto"/>
        <w:rPr>
          <w:sz w:val="20"/>
          <w:szCs w:val="20"/>
          <w:color w:val="auto"/>
        </w:rPr>
      </w:pPr>
      <w:r>
        <w:rPr>
          <w:rFonts w:ascii="Arial" w:cs="Arial" w:eastAsia="Arial" w:hAnsi="Arial"/>
          <w:sz w:val="19"/>
          <w:szCs w:val="19"/>
          <w:color w:val="auto"/>
        </w:rPr>
        <w:t xml:space="preserve">Under applicable Swiss law, distributions of dividends may be pa only if: (i) approved by a majority of votes cast by shareholders present shareholders meeting, whether in person or by proxy; and (ii) the corporation has sufficient distributab profits from the previous fiscal years if the corporation has freely distribut reserves, including out of capital contribution reserves. Swiss corporations generally must maintai separate "statutory" balance sheet f the purpose of determining the amo available for the return of capital to shareholders, including by way of a distribution of dividends. Distribution interim dividends may further be pai only if: (i) approved by a majority of votes cast by shareholders present shareholders meeting, whether in person or by proxy (ii) the corporatio has sufficient distributable profits generated during the current busine year and (iii) audited interim financia statements must be prepared, show the profits generated during the curr business year. The corporation's au must confirm that a dividend propos made to shareholders conforms with requirements of the </w:t>
      </w:r>
      <w:r>
        <w:rPr>
          <w:rFonts w:ascii="Arial" w:cs="Arial" w:eastAsia="Arial" w:hAnsi="Arial"/>
          <w:sz w:val="19"/>
          <w:szCs w:val="19"/>
          <w:i w:val="1"/>
          <w:iCs w:val="1"/>
          <w:color w:val="auto"/>
        </w:rPr>
        <w:t>Swiss Code</w:t>
      </w:r>
    </w:p>
    <w:p>
      <w:pPr>
        <w:spacing w:after="0" w:line="200" w:lineRule="exact"/>
        <w:rPr>
          <w:sz w:val="20"/>
          <w:szCs w:val="20"/>
          <w:color w:val="auto"/>
        </w:rPr>
      </w:pPr>
    </w:p>
    <w:p>
      <w:pPr>
        <w:sectPr>
          <w:pgSz w:w="11900" w:h="16838" w:orient="portrait"/>
          <w:cols w:equalWidth="0" w:num="2">
            <w:col w:w="7040" w:space="240"/>
            <w:col w:w="318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59 / 139</w:t>
      </w:r>
    </w:p>
    <w:p>
      <w:pPr>
        <w:sectPr>
          <w:pgSz w:w="11900" w:h="16838" w:orient="portrait"/>
          <w:cols w:equalWidth="0" w:num="1">
            <w:col w:w="10460"/>
          </w:cols>
          <w:pgMar w:left="1440" w:top="1165" w:right="6" w:bottom="0" w:gutter="0" w:footer="0" w:header="0"/>
          <w:type w:val="continuous"/>
        </w:sectPr>
      </w:pPr>
    </w:p>
    <w:bookmarkStart w:id="288" w:name="page289"/>
    <w:bookmarkEnd w:id="2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60 / 139</w:t>
      </w:r>
    </w:p>
    <w:p>
      <w:pPr>
        <w:sectPr>
          <w:pgSz w:w="11900" w:h="16838" w:orient="portrait"/>
          <w:cols w:equalWidth="0" w:num="1">
            <w:col w:w="9026"/>
          </w:cols>
          <w:pgMar w:left="1440" w:top="1440" w:right="1440" w:bottom="0" w:gutter="0" w:footer="0" w:header="0"/>
        </w:sectPr>
      </w:pPr>
    </w:p>
    <w:bookmarkStart w:id="289" w:name="page290"/>
    <w:bookmarkEnd w:id="289"/>
    <w:p>
      <w:pPr>
        <w:ind w:left="7280"/>
        <w:spacing w:after="0"/>
        <w:rPr>
          <w:sz w:val="20"/>
          <w:szCs w:val="20"/>
          <w:color w:val="auto"/>
        </w:rPr>
      </w:pPr>
      <w:r>
        <w:rPr>
          <w:rFonts w:ascii="Arial" w:cs="Arial" w:eastAsia="Arial" w:hAnsi="Arial"/>
          <w:sz w:val="20"/>
          <w:szCs w:val="20"/>
          <w:i w:val="1"/>
          <w:iCs w:val="1"/>
          <w:color w:val="auto"/>
        </w:rPr>
        <w:t xml:space="preserve">of Obligations </w:t>
      </w:r>
      <w:r>
        <w:rPr>
          <w:rFonts w:ascii="Arial" w:cs="Arial" w:eastAsia="Arial" w:hAnsi="Arial"/>
          <w:sz w:val="20"/>
          <w:szCs w:val="20"/>
          <w:color w:val="auto"/>
        </w:rPr>
        <w:t>and the corporation's</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Articles of Association.</w:t>
      </w:r>
    </w:p>
    <w:p>
      <w:pPr>
        <w:spacing w:after="0" w:line="2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Dividends are usually due and paya</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shortly after the shareholders have</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passed a resolution approving the</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payment. The Board of a Swiss shar</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corporation may propose to</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shareholders that a distribution of</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dividends be paid but cannot itself</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authorize the dividend. Shareholder</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participate in the distribution of profit</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proportion to the nominal/par value</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number of shares they hold.</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Under Swiss law, capital distribution</w:t>
      </w:r>
    </w:p>
    <w:p>
      <w:pPr>
        <w:spacing w:after="0" w:line="83"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may also take the form of a distributi</w:t>
      </w:r>
    </w:p>
    <w:p>
      <w:pPr>
        <w:spacing w:after="0" w:line="83"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of cash or property that is based upo</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reduction of the corporation’s share</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capital recorded in the commercial</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register. Such a capital reduction</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requires the approval of shareholder</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holding a majority of votes cast at a</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general meeting. A special audit rep</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must confirm that creditors' claims</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remain fully covered despite the</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reduction in the share capital record</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in the commercial register. On or be</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the approval by the general meeting</w:t>
      </w:r>
    </w:p>
    <w:p>
      <w:pPr>
        <w:spacing w:after="0" w:line="83"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shareholders of the capital reduction</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the Board must give public notice of</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capital reduction resolution in the Sw</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Official Gazette of Commerce and n</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creditors that they may request, with</w:t>
      </w:r>
    </w:p>
    <w:p>
      <w:pPr>
        <w:spacing w:after="0" w:line="83"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thirty days, satisfaction of or security</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their claims (to the extent that the</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coverage of creditors' claims prior to</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capital reduction has been reduced)</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The obligation to provide security do</w:t>
      </w:r>
    </w:p>
    <w:p>
      <w:pPr>
        <w:spacing w:after="0" w:line="83"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not apply if the reduction of the shar</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capital does not jeopardize the</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satisfaction of the creditors' claims. I</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unqualified special audit report is</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available, the law presumes that</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creditors' claims are not jeopardized</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The presumption may be rebutted b</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creditors in exceptional circumstanc</w:t>
      </w:r>
    </w:p>
    <w:p>
      <w:pPr>
        <w:sectPr>
          <w:pgSz w:w="11900" w:h="16838" w:orient="portrait"/>
          <w:cols w:equalWidth="0" w:num="1">
            <w:col w:w="1046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61 / 139</w:t>
      </w:r>
    </w:p>
    <w:p>
      <w:pPr>
        <w:sectPr>
          <w:pgSz w:w="11900" w:h="16838" w:orient="portrait"/>
          <w:cols w:equalWidth="0" w:num="1">
            <w:col w:w="10460"/>
          </w:cols>
          <w:pgMar w:left="1440" w:top="1165" w:right="6" w:bottom="0" w:gutter="0" w:footer="0" w:header="0"/>
          <w:type w:val="continuous"/>
        </w:sectPr>
      </w:pPr>
    </w:p>
    <w:bookmarkStart w:id="290" w:name="page291"/>
    <w:bookmarkEnd w:id="290"/>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Shareholder vote on</w:t>
      </w:r>
      <w:r>
        <w:rPr>
          <w:sz w:val="20"/>
          <w:szCs w:val="20"/>
          <w:color w:val="auto"/>
        </w:rPr>
        <w:tab/>
      </w:r>
      <w:r>
        <w:rPr>
          <w:rFonts w:ascii="Arial" w:cs="Arial" w:eastAsia="Arial" w:hAnsi="Arial"/>
          <w:sz w:val="19"/>
          <w:szCs w:val="19"/>
          <w:color w:val="auto"/>
        </w:rPr>
        <w:t>Under the Delaware General Corporation</w:t>
      </w:r>
    </w:p>
    <w:p>
      <w:pPr>
        <w:spacing w:after="0" w:line="72"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board and</w:t>
      </w:r>
      <w:r>
        <w:rPr>
          <w:sz w:val="20"/>
          <w:szCs w:val="20"/>
          <w:color w:val="auto"/>
        </w:rPr>
        <w:tab/>
      </w:r>
      <w:r>
        <w:rPr>
          <w:rFonts w:ascii="Arial" w:cs="Arial" w:eastAsia="Arial" w:hAnsi="Arial"/>
          <w:sz w:val="20"/>
          <w:szCs w:val="20"/>
          <w:color w:val="auto"/>
        </w:rPr>
        <w:t>Law, the Board has the authority to fix the</w:t>
      </w:r>
    </w:p>
    <w:p>
      <w:pPr>
        <w:spacing w:after="0" w:line="72"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management</w:t>
      </w:r>
      <w:r>
        <w:rPr>
          <w:sz w:val="20"/>
          <w:szCs w:val="20"/>
          <w:color w:val="auto"/>
        </w:rPr>
        <w:tab/>
      </w:r>
      <w:r>
        <w:rPr>
          <w:rFonts w:ascii="Arial" w:cs="Arial" w:eastAsia="Arial" w:hAnsi="Arial"/>
          <w:sz w:val="20"/>
          <w:szCs w:val="20"/>
          <w:color w:val="auto"/>
        </w:rPr>
        <w:t>compensation of directors, unless</w:t>
      </w:r>
    </w:p>
    <w:p>
      <w:pPr>
        <w:spacing w:after="0" w:line="72"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compensation</w:t>
      </w:r>
      <w:r>
        <w:rPr>
          <w:sz w:val="20"/>
          <w:szCs w:val="20"/>
          <w:color w:val="auto"/>
        </w:rPr>
        <w:tab/>
      </w:r>
      <w:r>
        <w:rPr>
          <w:rFonts w:ascii="Arial" w:cs="Arial" w:eastAsia="Arial" w:hAnsi="Arial"/>
          <w:sz w:val="20"/>
          <w:szCs w:val="20"/>
          <w:color w:val="auto"/>
        </w:rPr>
        <w:t>otherwise restricted by the certificate of</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incorporation or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1898650</wp:posOffset>
            </wp:positionV>
            <wp:extent cx="6764020" cy="190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auto"/>
        <w:rPr>
          <w:sz w:val="20"/>
          <w:szCs w:val="20"/>
          <w:color w:val="auto"/>
        </w:rPr>
      </w:pPr>
      <w:r>
        <w:rPr>
          <w:rFonts w:ascii="Arial" w:cs="Arial" w:eastAsia="Arial" w:hAnsi="Arial"/>
          <w:sz w:val="19"/>
          <w:szCs w:val="19"/>
          <w:color w:val="auto"/>
        </w:rPr>
        <w:t>Swiss law includes binding say-on-p rules that require a listed corporation obtain shareholder approval for compensation of its members of the Board and executive management o an annual basis. Shareholders appr the total amount for the compensatio the Board and of the executive management</w:t>
      </w:r>
    </w:p>
    <w:p>
      <w:pPr>
        <w:spacing w:after="0" w:line="200" w:lineRule="exact"/>
        <w:rPr>
          <w:sz w:val="20"/>
          <w:szCs w:val="20"/>
          <w:color w:val="auto"/>
        </w:rPr>
      </w:pPr>
    </w:p>
    <w:p>
      <w:pPr>
        <w:sectPr>
          <w:pgSz w:w="11900" w:h="16838" w:orient="portrait"/>
          <w:cols w:equalWidth="0" w:num="2">
            <w:col w:w="7000" w:space="280"/>
            <w:col w:w="318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62 / 139</w:t>
      </w:r>
    </w:p>
    <w:p>
      <w:pPr>
        <w:sectPr>
          <w:pgSz w:w="11900" w:h="16838" w:orient="portrait"/>
          <w:cols w:equalWidth="0" w:num="1">
            <w:col w:w="10460"/>
          </w:cols>
          <w:pgMar w:left="1440" w:top="1165" w:right="6" w:bottom="0" w:gutter="0" w:footer="0" w:header="0"/>
          <w:type w:val="continuous"/>
        </w:sectPr>
      </w:pPr>
    </w:p>
    <w:bookmarkStart w:id="291" w:name="page292"/>
    <w:bookmarkEnd w:id="2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separately, including fixed and varia</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compensation. Shareholders are fur</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required to vote at each annual gen</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meeting, on an advisory basis, on th</w:t>
      </w:r>
    </w:p>
    <w:p>
      <w:pPr>
        <w:spacing w:after="0" w:line="83"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compensation report (established un</w:t>
      </w:r>
    </w:p>
    <w:p>
      <w:pPr>
        <w:spacing w:after="0" w:line="83"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Swiss law) regarding the compensat</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of the members of the Board and th</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executive management team in the</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preceding fiscal year.</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63 / 139</w:t>
      </w:r>
    </w:p>
    <w:p>
      <w:pPr>
        <w:sectPr>
          <w:pgSz w:w="11900" w:h="16838" w:orient="portrait"/>
          <w:cols w:equalWidth="0" w:num="1">
            <w:col w:w="10460"/>
          </w:cols>
          <w:pgMar w:left="1440" w:top="1440" w:right="6" w:bottom="0" w:gutter="0" w:footer="0" w:header="0"/>
          <w:type w:val="continuous"/>
        </w:sectPr>
      </w:pPr>
    </w:p>
    <w:bookmarkStart w:id="292" w:name="page293"/>
    <w:bookmarkEnd w:id="292"/>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Annual vote on board</w:t>
      </w:r>
      <w:r>
        <w:rPr>
          <w:sz w:val="20"/>
          <w:szCs w:val="20"/>
          <w:color w:val="auto"/>
        </w:rPr>
        <w:tab/>
      </w:r>
      <w:r>
        <w:rPr>
          <w:rFonts w:ascii="Arial" w:cs="Arial" w:eastAsia="Arial" w:hAnsi="Arial"/>
          <w:sz w:val="20"/>
          <w:szCs w:val="20"/>
          <w:color w:val="auto"/>
        </w:rPr>
        <w:t>Unless directors are elected by written</w:t>
      </w:r>
    </w:p>
    <w:p>
      <w:pPr>
        <w:spacing w:after="0" w:line="79" w:lineRule="exact"/>
        <w:rPr>
          <w:sz w:val="20"/>
          <w:szCs w:val="20"/>
          <w:color w:val="auto"/>
        </w:rPr>
      </w:pPr>
    </w:p>
    <w:p>
      <w:pPr>
        <w:ind w:left="3300" w:hanging="2299"/>
        <w:spacing w:after="0" w:line="332" w:lineRule="auto"/>
        <w:tabs>
          <w:tab w:leader="none" w:pos="3280" w:val="left"/>
        </w:tabs>
        <w:rPr>
          <w:sz w:val="20"/>
          <w:szCs w:val="20"/>
          <w:color w:val="auto"/>
        </w:rPr>
      </w:pPr>
      <w:r>
        <w:rPr>
          <w:rFonts w:ascii="Arial" w:cs="Arial" w:eastAsia="Arial" w:hAnsi="Arial"/>
          <w:sz w:val="19"/>
          <w:szCs w:val="19"/>
          <w:b w:val="1"/>
          <w:bCs w:val="1"/>
          <w:i w:val="1"/>
          <w:iCs w:val="1"/>
          <w:color w:val="auto"/>
        </w:rPr>
        <w:t>renewal</w:t>
      </w:r>
      <w:r>
        <w:rPr>
          <w:sz w:val="20"/>
          <w:szCs w:val="20"/>
          <w:color w:val="auto"/>
        </w:rPr>
        <w:tab/>
      </w:r>
      <w:r>
        <w:rPr>
          <w:rFonts w:ascii="Arial" w:cs="Arial" w:eastAsia="Arial" w:hAnsi="Arial"/>
          <w:sz w:val="19"/>
          <w:szCs w:val="19"/>
          <w:color w:val="auto"/>
        </w:rPr>
        <w:t>consent in lieu of an annual meeting, directors are elected in an annual meeting of stockholders on a date and at a time designated by or in the manner provided in the bylaws. Re-election is possible.</w:t>
      </w:r>
    </w:p>
    <w:p>
      <w:pPr>
        <w:spacing w:after="0" w:line="293"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Classified boards are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7646670</wp:posOffset>
            </wp:positionV>
            <wp:extent cx="6764020" cy="190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0"/>
        <w:spacing w:after="0" w:line="332" w:lineRule="auto"/>
        <w:rPr>
          <w:sz w:val="20"/>
          <w:szCs w:val="20"/>
          <w:color w:val="auto"/>
        </w:rPr>
      </w:pPr>
      <w:r>
        <w:rPr>
          <w:rFonts w:ascii="Arial" w:cs="Arial" w:eastAsia="Arial" w:hAnsi="Arial"/>
          <w:sz w:val="19"/>
          <w:szCs w:val="19"/>
          <w:color w:val="auto"/>
        </w:rPr>
        <w:t>The general meeting of shareholder elects the members of the Board, th chairperson of the Board and the members of the compensation committee individually and annually a term of office until the end of the following general meeting of shareholders. Re-election is possibl</w:t>
      </w:r>
    </w:p>
    <w:p>
      <w:pPr>
        <w:spacing w:after="0" w:line="197" w:lineRule="exact"/>
        <w:rPr>
          <w:sz w:val="20"/>
          <w:szCs w:val="20"/>
          <w:color w:val="auto"/>
        </w:rPr>
      </w:pPr>
    </w:p>
    <w:p>
      <w:pPr>
        <w:jc w:val="both"/>
        <w:spacing w:after="0" w:line="331" w:lineRule="auto"/>
        <w:rPr>
          <w:sz w:val="20"/>
          <w:szCs w:val="20"/>
          <w:color w:val="auto"/>
        </w:rPr>
      </w:pPr>
      <w:r>
        <w:rPr>
          <w:rFonts w:ascii="Arial" w:cs="Arial" w:eastAsia="Arial" w:hAnsi="Arial"/>
          <w:sz w:val="19"/>
          <w:szCs w:val="19"/>
          <w:color w:val="auto"/>
        </w:rPr>
        <w:t>Swiss law provides that elections of members of the Board, including the chairperson of the Board, require a majority of all of the votes cast.</w:t>
      </w:r>
    </w:p>
    <w:p>
      <w:pPr>
        <w:spacing w:after="0" w:line="2" w:lineRule="exact"/>
        <w:rPr>
          <w:sz w:val="20"/>
          <w:szCs w:val="20"/>
          <w:color w:val="auto"/>
        </w:rPr>
      </w:pPr>
    </w:p>
    <w:p>
      <w:pPr>
        <w:spacing w:after="0" w:line="312" w:lineRule="auto"/>
        <w:rPr>
          <w:sz w:val="20"/>
          <w:szCs w:val="20"/>
          <w:color w:val="auto"/>
        </w:rPr>
      </w:pPr>
      <w:r>
        <w:rPr>
          <w:rFonts w:ascii="Arial" w:cs="Arial" w:eastAsia="Arial" w:hAnsi="Arial"/>
          <w:sz w:val="20"/>
          <w:szCs w:val="20"/>
          <w:color w:val="auto"/>
        </w:rPr>
        <w:t>Members of the Board may not fill vacancies on the Board, appoint additional directors or appoint altern directors.</w:t>
      </w:r>
    </w:p>
    <w:p>
      <w:pPr>
        <w:spacing w:after="0" w:line="212" w:lineRule="exact"/>
        <w:rPr>
          <w:sz w:val="20"/>
          <w:szCs w:val="20"/>
          <w:color w:val="auto"/>
        </w:rPr>
      </w:pPr>
    </w:p>
    <w:p>
      <w:pPr>
        <w:spacing w:after="0" w:line="331" w:lineRule="auto"/>
        <w:rPr>
          <w:sz w:val="20"/>
          <w:szCs w:val="20"/>
          <w:color w:val="auto"/>
        </w:rPr>
      </w:pPr>
      <w:r>
        <w:rPr>
          <w:rFonts w:ascii="Arial" w:cs="Arial" w:eastAsia="Arial" w:hAnsi="Arial"/>
          <w:sz w:val="19"/>
          <w:szCs w:val="19"/>
          <w:color w:val="auto"/>
        </w:rPr>
        <w:t>Under Swiss law</w:t>
      </w:r>
      <w:r>
        <w:rPr>
          <w:rFonts w:ascii="Arial" w:cs="Arial" w:eastAsia="Arial" w:hAnsi="Arial"/>
          <w:sz w:val="19"/>
          <w:szCs w:val="19"/>
          <w:i w:val="1"/>
          <w:iCs w:val="1"/>
          <w:color w:val="auto"/>
        </w:rPr>
        <w:t>,</w:t>
      </w:r>
      <w:r>
        <w:rPr>
          <w:rFonts w:ascii="Arial" w:cs="Arial" w:eastAsia="Arial" w:hAnsi="Arial"/>
          <w:sz w:val="19"/>
          <w:szCs w:val="19"/>
          <w:color w:val="auto"/>
        </w:rPr>
        <w:t xml:space="preserve"> nominations by shareholders of persons for election the Board may be made at any time prior to or at the general meeting of shareholders provided that such election is included in the agenda an the nomination is submitted prior to general meeting, the requesting shareholder must hold, individually o together with other shareholders wit whom the proposal is made, at least 0.5% of the total share capital or of t votes, the request must be submitte the Board, specifying the item and th proposal. The Articles of Association provide that such request by the shareholder must be given no later t three months before the anniversary date of the Company's prior annual general meeting. If the Board refuse accept such a request, the requestin Shareholder(s) may seek to enforce their rights through the court.</w:t>
      </w:r>
    </w:p>
    <w:p>
      <w:pPr>
        <w:spacing w:after="0" w:line="200" w:lineRule="exact"/>
        <w:rPr>
          <w:sz w:val="20"/>
          <w:szCs w:val="20"/>
          <w:color w:val="auto"/>
        </w:rPr>
      </w:pPr>
    </w:p>
    <w:p>
      <w:pPr>
        <w:sectPr>
          <w:pgSz w:w="11900" w:h="16838" w:orient="portrait"/>
          <w:cols w:equalWidth="0" w:num="2">
            <w:col w:w="7020" w:space="260"/>
            <w:col w:w="318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64 / 139</w:t>
      </w:r>
    </w:p>
    <w:p>
      <w:pPr>
        <w:sectPr>
          <w:pgSz w:w="11900" w:h="16838" w:orient="portrait"/>
          <w:cols w:equalWidth="0" w:num="1">
            <w:col w:w="10460"/>
          </w:cols>
          <w:pgMar w:left="1440" w:top="1165" w:right="6" w:bottom="0" w:gutter="0" w:footer="0" w:header="0"/>
          <w:type w:val="continuous"/>
        </w:sectPr>
      </w:pPr>
    </w:p>
    <w:bookmarkStart w:id="293" w:name="page294"/>
    <w:bookmarkEnd w:id="2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65 / 139</w:t>
      </w:r>
    </w:p>
    <w:p>
      <w:pPr>
        <w:sectPr>
          <w:pgSz w:w="11900" w:h="16838" w:orient="portrait"/>
          <w:cols w:equalWidth="0" w:num="1">
            <w:col w:w="9026"/>
          </w:cols>
          <w:pgMar w:left="1440" w:top="1440" w:right="1440" w:bottom="0" w:gutter="0" w:footer="0" w:header="0"/>
        </w:sectPr>
      </w:pPr>
    </w:p>
    <w:bookmarkStart w:id="294" w:name="page295"/>
    <w:bookmarkEnd w:id="294"/>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Directors’ fiduciary</w:t>
      </w:r>
      <w:r>
        <w:rPr>
          <w:sz w:val="20"/>
          <w:szCs w:val="20"/>
          <w:color w:val="auto"/>
        </w:rPr>
        <w:tab/>
      </w:r>
      <w:r>
        <w:rPr>
          <w:rFonts w:ascii="Arial" w:cs="Arial" w:eastAsia="Arial" w:hAnsi="Arial"/>
          <w:sz w:val="20"/>
          <w:szCs w:val="20"/>
          <w:color w:val="auto"/>
        </w:rPr>
        <w:t>A director of a Delaware corporation has</w:t>
      </w:r>
    </w:p>
    <w:p>
      <w:pPr>
        <w:spacing w:after="0" w:line="72"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duties</w:t>
      </w:r>
      <w:r>
        <w:rPr>
          <w:sz w:val="20"/>
          <w:szCs w:val="20"/>
          <w:color w:val="auto"/>
        </w:rPr>
        <w:tab/>
      </w:r>
      <w:r>
        <w:rPr>
          <w:rFonts w:ascii="Arial" w:cs="Arial" w:eastAsia="Arial" w:hAnsi="Arial"/>
          <w:sz w:val="20"/>
          <w:szCs w:val="20"/>
          <w:color w:val="auto"/>
        </w:rPr>
        <w:t>a fiduciary duty to the corporation and its</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shareholders. This duty has two</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components:</w:t>
      </w:r>
    </w:p>
    <w:p>
      <w:pPr>
        <w:spacing w:after="0" w:line="272" w:lineRule="exact"/>
        <w:rPr>
          <w:sz w:val="20"/>
          <w:szCs w:val="20"/>
          <w:color w:val="auto"/>
        </w:rPr>
      </w:pPr>
    </w:p>
    <w:p>
      <w:pPr>
        <w:ind w:left="4140" w:hanging="478"/>
        <w:spacing w:after="0"/>
        <w:tabs>
          <w:tab w:leader="none" w:pos="414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the duty of care; and</w:t>
      </w:r>
    </w:p>
    <w:p>
      <w:pPr>
        <w:spacing w:after="0" w:line="91" w:lineRule="exact"/>
        <w:rPr>
          <w:rFonts w:ascii="Arial" w:cs="Arial" w:eastAsia="Arial" w:hAnsi="Arial"/>
          <w:sz w:val="20"/>
          <w:szCs w:val="20"/>
          <w:color w:val="auto"/>
        </w:rPr>
      </w:pPr>
    </w:p>
    <w:p>
      <w:pPr>
        <w:ind w:left="4140" w:hanging="478"/>
        <w:spacing w:after="0"/>
        <w:tabs>
          <w:tab w:leader="none" w:pos="414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the duty of loyalty.</w:t>
      </w:r>
    </w:p>
    <w:p>
      <w:pPr>
        <w:spacing w:after="0" w:line="29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The duty of care requires that a director</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act in good faith, with the care that an</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ordinarily prudent person would exercise</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under similar circumstances. Under this</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duty, a director must inform himself or</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herself of, and disclose to shareholders,</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all material information reasonably</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available regarding a significant</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transaction.</w:t>
      </w:r>
    </w:p>
    <w:p>
      <w:pPr>
        <w:spacing w:after="0" w:line="279" w:lineRule="exact"/>
        <w:rPr>
          <w:sz w:val="20"/>
          <w:szCs w:val="20"/>
          <w:color w:val="auto"/>
        </w:rPr>
      </w:pPr>
    </w:p>
    <w:p>
      <w:pPr>
        <w:ind w:left="3300"/>
        <w:spacing w:after="0" w:line="331" w:lineRule="auto"/>
        <w:rPr>
          <w:sz w:val="20"/>
          <w:szCs w:val="20"/>
          <w:color w:val="auto"/>
        </w:rPr>
      </w:pPr>
      <w:r>
        <w:rPr>
          <w:rFonts w:ascii="Arial" w:cs="Arial" w:eastAsia="Arial" w:hAnsi="Arial"/>
          <w:sz w:val="19"/>
          <w:szCs w:val="19"/>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203"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Should such evidence be presented</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concerning a transaction by a director, a</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director must prove the procedural</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fairness of the transaction, and that the</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transaction was of fair value to the</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corporation.</w:t>
      </w:r>
    </w:p>
    <w:p>
      <w:pPr>
        <w:spacing w:after="0" w:line="20" w:lineRule="exact"/>
        <w:rPr>
          <w:sz w:val="20"/>
          <w:szCs w:val="20"/>
          <w:color w:val="auto"/>
        </w:rPr>
      </w:pPr>
      <w:r>
        <w:rPr>
          <w:sz w:val="20"/>
          <w:szCs w:val="20"/>
          <w:color w:val="auto"/>
        </w:rPr>
        <w:br w:type="column"/>
      </w:r>
    </w:p>
    <w:p>
      <w:pPr>
        <w:spacing w:after="0" w:line="314" w:lineRule="auto"/>
        <w:rPr>
          <w:sz w:val="20"/>
          <w:szCs w:val="20"/>
          <w:color w:val="auto"/>
        </w:rPr>
      </w:pPr>
      <w:r>
        <w:rPr>
          <w:rFonts w:ascii="Arial" w:cs="Arial" w:eastAsia="Arial" w:hAnsi="Arial"/>
          <w:sz w:val="20"/>
          <w:szCs w:val="20"/>
          <w:color w:val="auto"/>
        </w:rPr>
        <w:t>According to Swiss law, the Board is responsible for the management of t corporation unless it delegates such day-to-day management to officers executive management in bylaws or organizational regulations of the corporation. Certain of the duties of Board, however, are non-transferabl and inalienable such as:</w:t>
      </w:r>
    </w:p>
    <w:p>
      <w:pPr>
        <w:spacing w:after="0" w:line="209" w:lineRule="exact"/>
        <w:rPr>
          <w:sz w:val="20"/>
          <w:szCs w:val="20"/>
          <w:color w:val="auto"/>
        </w:rPr>
      </w:pPr>
    </w:p>
    <w:p>
      <w:pPr>
        <w:ind w:left="720" w:hanging="366"/>
        <w:spacing w:after="0" w:line="337" w:lineRule="auto"/>
        <w:tabs>
          <w:tab w:leader="none" w:pos="829"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ultimate management the corporation and the issu of all necessary directives;</w:t>
      </w:r>
    </w:p>
    <w:p>
      <w:pPr>
        <w:spacing w:after="0" w:line="4" w:lineRule="exact"/>
        <w:rPr>
          <w:rFonts w:ascii="Arial" w:cs="Arial" w:eastAsia="Arial" w:hAnsi="Arial"/>
          <w:sz w:val="19"/>
          <w:szCs w:val="19"/>
          <w:color w:val="auto"/>
        </w:rPr>
      </w:pPr>
    </w:p>
    <w:p>
      <w:pPr>
        <w:ind w:left="720" w:right="120" w:hanging="366"/>
        <w:spacing w:after="0" w:line="339" w:lineRule="auto"/>
        <w:tabs>
          <w:tab w:leader="none" w:pos="829" w:val="left"/>
        </w:tabs>
        <w:numPr>
          <w:ilvl w:val="0"/>
          <w:numId w:val="117"/>
        </w:numPr>
        <w:rPr>
          <w:rFonts w:ascii="Arial" w:cs="Arial" w:eastAsia="Arial" w:hAnsi="Arial"/>
          <w:sz w:val="19"/>
          <w:szCs w:val="19"/>
          <w:color w:val="auto"/>
        </w:rPr>
      </w:pPr>
      <w:r>
        <w:rPr>
          <w:rFonts w:ascii="Arial" w:cs="Arial" w:eastAsia="Arial" w:hAnsi="Arial"/>
          <w:sz w:val="19"/>
          <w:szCs w:val="19"/>
          <w:color w:val="auto"/>
        </w:rPr>
        <w:t>determination of the corporation’s organization;</w:t>
      </w:r>
    </w:p>
    <w:p>
      <w:pPr>
        <w:spacing w:after="0" w:line="6" w:lineRule="exact"/>
        <w:rPr>
          <w:rFonts w:ascii="Arial" w:cs="Arial" w:eastAsia="Arial" w:hAnsi="Arial"/>
          <w:sz w:val="19"/>
          <w:szCs w:val="19"/>
          <w:color w:val="auto"/>
        </w:rPr>
      </w:pPr>
    </w:p>
    <w:p>
      <w:pPr>
        <w:ind w:left="720" w:hanging="366"/>
        <w:spacing w:after="0" w:line="337" w:lineRule="auto"/>
        <w:tabs>
          <w:tab w:leader="none" w:pos="829"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organization of the accounting, financial control financial planning systems;</w:t>
      </w:r>
    </w:p>
    <w:p>
      <w:pPr>
        <w:spacing w:after="0" w:line="4" w:lineRule="exact"/>
        <w:rPr>
          <w:rFonts w:ascii="Arial" w:cs="Arial" w:eastAsia="Arial" w:hAnsi="Arial"/>
          <w:sz w:val="19"/>
          <w:szCs w:val="19"/>
          <w:color w:val="auto"/>
        </w:rPr>
      </w:pPr>
    </w:p>
    <w:p>
      <w:pPr>
        <w:ind w:left="720" w:right="20" w:hanging="366"/>
        <w:spacing w:after="0" w:line="334" w:lineRule="auto"/>
        <w:tabs>
          <w:tab w:leader="none" w:pos="829"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appointment and remo of persons entrusted with managing and representing corporation and to regulate signing authorities;</w:t>
      </w:r>
    </w:p>
    <w:p>
      <w:pPr>
        <w:spacing w:after="0" w:line="8" w:lineRule="exact"/>
        <w:rPr>
          <w:rFonts w:ascii="Arial" w:cs="Arial" w:eastAsia="Arial" w:hAnsi="Arial"/>
          <w:sz w:val="19"/>
          <w:szCs w:val="19"/>
          <w:color w:val="auto"/>
        </w:rPr>
      </w:pPr>
    </w:p>
    <w:p>
      <w:pPr>
        <w:ind w:left="720" w:hanging="366"/>
        <w:spacing w:after="0" w:line="334" w:lineRule="auto"/>
        <w:tabs>
          <w:tab w:leader="none" w:pos="829" w:val="left"/>
        </w:tabs>
        <w:numPr>
          <w:ilvl w:val="0"/>
          <w:numId w:val="117"/>
        </w:numPr>
        <w:rPr>
          <w:rFonts w:ascii="Arial" w:cs="Arial" w:eastAsia="Arial" w:hAnsi="Arial"/>
          <w:sz w:val="19"/>
          <w:szCs w:val="19"/>
          <w:color w:val="auto"/>
        </w:rPr>
      </w:pPr>
      <w:r>
        <w:rPr>
          <w:rFonts w:ascii="Arial" w:cs="Arial" w:eastAsia="Arial" w:hAnsi="Arial"/>
          <w:sz w:val="19"/>
          <w:szCs w:val="19"/>
          <w:color w:val="auto"/>
        </w:rPr>
        <w:t>ultimate supervision of the persons entrusted with the management, in particular w regard to compliance with th law, Articles of Association, laws and directives;</w:t>
      </w:r>
    </w:p>
    <w:p>
      <w:pPr>
        <w:spacing w:after="0" w:line="6" w:lineRule="exact"/>
        <w:rPr>
          <w:rFonts w:ascii="Arial" w:cs="Arial" w:eastAsia="Arial" w:hAnsi="Arial"/>
          <w:sz w:val="19"/>
          <w:szCs w:val="19"/>
          <w:color w:val="auto"/>
        </w:rPr>
      </w:pPr>
    </w:p>
    <w:p>
      <w:pPr>
        <w:ind w:left="720" w:hanging="366"/>
        <w:spacing w:after="0" w:line="334" w:lineRule="auto"/>
        <w:tabs>
          <w:tab w:leader="none" w:pos="829"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to prepare the business re as well as the shareholders' meeting and to implement th resolutions adopted by the shareholders' meeting;</w:t>
      </w:r>
    </w:p>
    <w:p>
      <w:pPr>
        <w:spacing w:after="0" w:line="8" w:lineRule="exact"/>
        <w:rPr>
          <w:rFonts w:ascii="Arial" w:cs="Arial" w:eastAsia="Arial" w:hAnsi="Arial"/>
          <w:sz w:val="19"/>
          <w:szCs w:val="19"/>
          <w:color w:val="auto"/>
        </w:rPr>
      </w:pPr>
    </w:p>
    <w:p>
      <w:pPr>
        <w:ind w:left="720" w:hanging="366"/>
        <w:spacing w:after="0" w:line="318" w:lineRule="auto"/>
        <w:tabs>
          <w:tab w:leader="none" w:pos="829"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to file an application for a composition moratorium and notify the court in the event over-indebtedness;</w:t>
      </w:r>
    </w:p>
    <w:p>
      <w:pPr>
        <w:spacing w:after="0" w:line="8" w:lineRule="exact"/>
        <w:rPr>
          <w:rFonts w:ascii="Arial" w:cs="Arial" w:eastAsia="Arial" w:hAnsi="Arial"/>
          <w:sz w:val="20"/>
          <w:szCs w:val="20"/>
          <w:color w:val="auto"/>
        </w:rPr>
      </w:pPr>
    </w:p>
    <w:p>
      <w:pPr>
        <w:ind w:left="720" w:right="40" w:hanging="366"/>
        <w:spacing w:after="0" w:line="322" w:lineRule="auto"/>
        <w:tabs>
          <w:tab w:leader="none" w:pos="829"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to prepare the compensati report;</w:t>
      </w:r>
    </w:p>
    <w:p>
      <w:pPr>
        <w:spacing w:after="0" w:line="6" w:lineRule="exact"/>
        <w:rPr>
          <w:rFonts w:ascii="Arial" w:cs="Arial" w:eastAsia="Arial" w:hAnsi="Arial"/>
          <w:sz w:val="20"/>
          <w:szCs w:val="20"/>
          <w:color w:val="auto"/>
        </w:rPr>
      </w:pPr>
    </w:p>
    <w:p>
      <w:pPr>
        <w:jc w:val="both"/>
        <w:ind w:left="720" w:hanging="366"/>
        <w:spacing w:after="0" w:line="337" w:lineRule="auto"/>
        <w:tabs>
          <w:tab w:leader="none" w:pos="829"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to confirm changes in shar capital and amend the Articl of Association accordingly;</w:t>
      </w:r>
    </w:p>
    <w:p>
      <w:pPr>
        <w:spacing w:after="0" w:line="4" w:lineRule="exact"/>
        <w:rPr>
          <w:rFonts w:ascii="Arial" w:cs="Arial" w:eastAsia="Arial" w:hAnsi="Arial"/>
          <w:sz w:val="19"/>
          <w:szCs w:val="19"/>
          <w:color w:val="auto"/>
        </w:rPr>
      </w:pPr>
    </w:p>
    <w:p>
      <w:pPr>
        <w:ind w:left="720" w:right="20" w:hanging="366"/>
        <w:spacing w:after="0" w:line="358" w:lineRule="auto"/>
        <w:tabs>
          <w:tab w:leader="none" w:pos="829"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to examine the statutory requirements of the auditor.</w:t>
      </w:r>
    </w:p>
    <w:p>
      <w:pPr>
        <w:spacing w:after="0" w:line="200" w:lineRule="exact"/>
        <w:rPr>
          <w:sz w:val="20"/>
          <w:szCs w:val="20"/>
          <w:color w:val="auto"/>
        </w:rPr>
      </w:pPr>
    </w:p>
    <w:p>
      <w:pPr>
        <w:sectPr>
          <w:pgSz w:w="11900" w:h="16838" w:orient="portrait"/>
          <w:cols w:equalWidth="0" w:num="2">
            <w:col w:w="7020" w:space="260"/>
            <w:col w:w="318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66 / 139</w:t>
      </w:r>
    </w:p>
    <w:p>
      <w:pPr>
        <w:sectPr>
          <w:pgSz w:w="11900" w:h="16838" w:orient="portrait"/>
          <w:cols w:equalWidth="0" w:num="1">
            <w:col w:w="10460"/>
          </w:cols>
          <w:pgMar w:left="1440" w:top="1165" w:right="6" w:bottom="0" w:gutter="0" w:footer="0" w:header="0"/>
          <w:type w:val="continuous"/>
        </w:sectPr>
      </w:pPr>
    </w:p>
    <w:bookmarkStart w:id="295" w:name="page296"/>
    <w:bookmarkEnd w:id="295"/>
    <w:p>
      <w:pPr>
        <w:ind w:left="7280"/>
        <w:spacing w:after="0"/>
        <w:rPr>
          <w:sz w:val="20"/>
          <w:szCs w:val="20"/>
          <w:color w:val="auto"/>
        </w:rPr>
      </w:pPr>
      <w:r>
        <w:rPr>
          <w:rFonts w:ascii="Arial" w:cs="Arial" w:eastAsia="Arial" w:hAnsi="Arial"/>
          <w:sz w:val="20"/>
          <w:szCs w:val="20"/>
          <w:color w:val="auto"/>
        </w:rPr>
        <w:t>The members of the Board must</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perform their duties with all due</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diligence and safeguard the interest</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the corporation in good faith. They m</w:t>
      </w:r>
    </w:p>
    <w:p>
      <w:pPr>
        <w:spacing w:after="0" w:line="83"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afford the shareholders equal treatm</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in equal circumstances.</w:t>
      </w:r>
    </w:p>
    <w:p>
      <w:pPr>
        <w:spacing w:after="0" w:line="2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The burden of proof for a violation o</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these duties is with the corporation o</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with the shareholder bringing a suit</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against the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1246505</wp:posOffset>
            </wp:positionV>
            <wp:extent cx="6764020" cy="190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3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67 / 139</w:t>
      </w:r>
    </w:p>
    <w:p>
      <w:pPr>
        <w:sectPr>
          <w:pgSz w:w="11900" w:h="16838" w:orient="portrait"/>
          <w:cols w:equalWidth="0" w:num="1">
            <w:col w:w="10460"/>
          </w:cols>
          <w:pgMar w:left="1440" w:top="1365" w:right="6" w:bottom="0" w:gutter="0" w:footer="0" w:header="0"/>
          <w:type w:val="continuous"/>
        </w:sectPr>
      </w:pPr>
    </w:p>
    <w:bookmarkStart w:id="296" w:name="page297"/>
    <w:bookmarkEnd w:id="2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300" w:hanging="2292"/>
        <w:spacing w:after="0" w:line="313" w:lineRule="auto"/>
        <w:tabs>
          <w:tab w:leader="none" w:pos="3280" w:val="left"/>
        </w:tabs>
        <w:rPr>
          <w:sz w:val="20"/>
          <w:szCs w:val="20"/>
          <w:color w:val="auto"/>
        </w:rPr>
      </w:pPr>
      <w:r>
        <w:rPr>
          <w:rFonts w:ascii="Arial" w:cs="Arial" w:eastAsia="Arial" w:hAnsi="Arial"/>
          <w:sz w:val="20"/>
          <w:szCs w:val="20"/>
          <w:b w:val="1"/>
          <w:bCs w:val="1"/>
          <w:i w:val="1"/>
          <w:iCs w:val="1"/>
          <w:color w:val="auto"/>
        </w:rPr>
        <w:t>Removal of directors</w:t>
      </w:r>
      <w:r>
        <w:rPr>
          <w:sz w:val="20"/>
          <w:szCs w:val="20"/>
          <w:color w:val="auto"/>
        </w:rPr>
        <w:tab/>
      </w:r>
      <w:r>
        <w:rPr>
          <w:rFonts w:ascii="Arial" w:cs="Arial" w:eastAsia="Arial" w:hAnsi="Arial"/>
          <w:sz w:val="20"/>
          <w:szCs w:val="20"/>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332" w:lineRule="auto"/>
        <w:rPr>
          <w:sz w:val="20"/>
          <w:szCs w:val="20"/>
          <w:color w:val="auto"/>
        </w:rPr>
      </w:pPr>
      <w:r>
        <w:rPr>
          <w:rFonts w:ascii="Arial" w:cs="Arial" w:eastAsia="Arial" w:hAnsi="Arial"/>
          <w:sz w:val="19"/>
          <w:szCs w:val="19"/>
          <w:color w:val="auto"/>
        </w:rPr>
        <w:t>A Swiss corporation may remove, w or without cause, any member of the Board at any time with a resolution passed by a simple majority of the v cast at a general meeting of shareholders concerned. The Article Association may require the approva a qualified majority of the shares represented at a meeting for the removal of a director.</w:t>
      </w:r>
    </w:p>
    <w:p>
      <w:pPr>
        <w:spacing w:after="0" w:line="170" w:lineRule="exact"/>
        <w:rPr>
          <w:sz w:val="20"/>
          <w:szCs w:val="20"/>
          <w:color w:val="auto"/>
        </w:rPr>
      </w:pPr>
    </w:p>
    <w:p>
      <w:pPr>
        <w:sectPr>
          <w:pgSz w:w="11900" w:h="16838" w:orient="portrait"/>
          <w:cols w:equalWidth="0" w:num="2">
            <w:col w:w="7040" w:space="240"/>
            <w:col w:w="3180"/>
          </w:cols>
          <w:pgMar w:left="1440" w:top="1440" w:right="6" w:bottom="0" w:gutter="0" w:footer="0" w:header="0"/>
        </w:sect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Dissolution; Winding</w:t>
      </w:r>
      <w:r>
        <w:rPr>
          <w:sz w:val="20"/>
          <w:szCs w:val="20"/>
          <w:color w:val="auto"/>
        </w:rPr>
        <w:tab/>
      </w:r>
      <w:r>
        <w:rPr>
          <w:rFonts w:ascii="Arial" w:cs="Arial" w:eastAsia="Arial" w:hAnsi="Arial"/>
          <w:sz w:val="19"/>
          <w:szCs w:val="19"/>
          <w:color w:val="auto"/>
        </w:rPr>
        <w:t>Unless the Board of a Delaware</w:t>
      </w:r>
    </w:p>
    <w:p>
      <w:pPr>
        <w:spacing w:after="0" w:line="72"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up</w:t>
      </w:r>
      <w:r>
        <w:rPr>
          <w:sz w:val="20"/>
          <w:szCs w:val="20"/>
          <w:color w:val="auto"/>
        </w:rPr>
        <w:tab/>
      </w:r>
      <w:r>
        <w:rPr>
          <w:rFonts w:ascii="Arial" w:cs="Arial" w:eastAsia="Arial" w:hAnsi="Arial"/>
          <w:sz w:val="20"/>
          <w:szCs w:val="20"/>
          <w:color w:val="auto"/>
        </w:rPr>
        <w:t>corporation approves the proposal to</w:t>
      </w:r>
    </w:p>
    <w:p>
      <w:pPr>
        <w:spacing w:after="0" w:line="79" w:lineRule="exact"/>
        <w:rPr>
          <w:sz w:val="20"/>
          <w:szCs w:val="20"/>
          <w:color w:val="auto"/>
        </w:rPr>
      </w:pPr>
    </w:p>
    <w:p>
      <w:pPr>
        <w:ind w:left="3300"/>
        <w:spacing w:after="0"/>
        <w:rPr>
          <w:sz w:val="20"/>
          <w:szCs w:val="20"/>
          <w:color w:val="auto"/>
        </w:rPr>
      </w:pPr>
      <w:r>
        <w:rPr>
          <w:rFonts w:ascii="Arial" w:cs="Arial" w:eastAsia="Arial" w:hAnsi="Arial"/>
          <w:sz w:val="19"/>
          <w:szCs w:val="19"/>
          <w:color w:val="auto"/>
        </w:rPr>
        <w:t>dissolve, dissolution must be approved by</w:t>
      </w:r>
    </w:p>
    <w:p>
      <w:pPr>
        <w:spacing w:after="0" w:line="76"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shareholders holding 100.0% of the total</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voting power of the corporation. Only if</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the dissolution is initiated by the Board</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may it be approved by a simple majority</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of the corporation’s outstanding shares.</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Delaware law allows a Delaware</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corporation to include in its certificate of</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incorporation a supermajority voting</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requirement in connection with</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dissolutions initiated by the Board.</w:t>
      </w:r>
    </w:p>
    <w:p>
      <w:pPr>
        <w:spacing w:after="0" w:line="20" w:lineRule="exact"/>
        <w:rPr>
          <w:sz w:val="20"/>
          <w:szCs w:val="20"/>
          <w:color w:val="auto"/>
        </w:rPr>
      </w:pPr>
      <w:r>
        <w:rPr>
          <w:sz w:val="20"/>
          <w:szCs w:val="20"/>
          <w:color w:val="auto"/>
        </w:rPr>
        <w:br w:type="column"/>
      </w:r>
    </w:p>
    <w:p>
      <w:pPr>
        <w:spacing w:after="0" w:line="332" w:lineRule="auto"/>
        <w:rPr>
          <w:sz w:val="20"/>
          <w:szCs w:val="20"/>
          <w:color w:val="auto"/>
        </w:rPr>
      </w:pPr>
      <w:r>
        <w:rPr>
          <w:rFonts w:ascii="Arial" w:cs="Arial" w:eastAsia="Arial" w:hAnsi="Arial"/>
          <w:sz w:val="19"/>
          <w:szCs w:val="19"/>
          <w:color w:val="auto"/>
        </w:rPr>
        <w:t>A dissolution of a Swiss corporation requires the approval by two-thirds o the shares represented as well as th absolute majority of the nominal valu the share capital represented at a general meeting of shareholders passing a resolution on such dissolution. The Articles of Associati may increase the voting thresholds required for such a resolution.</w:t>
      </w:r>
    </w:p>
    <w:p>
      <w:pPr>
        <w:spacing w:after="0" w:line="1022" w:lineRule="exact"/>
        <w:rPr>
          <w:sz w:val="20"/>
          <w:szCs w:val="20"/>
          <w:color w:val="auto"/>
        </w:rPr>
      </w:pPr>
    </w:p>
    <w:p>
      <w:pPr>
        <w:sectPr>
          <w:pgSz w:w="11900" w:h="16838" w:orient="portrait"/>
          <w:cols w:equalWidth="0" w:num="2">
            <w:col w:w="7000" w:space="280"/>
            <w:col w:w="318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68 / 139</w:t>
      </w:r>
    </w:p>
    <w:p>
      <w:pPr>
        <w:sectPr>
          <w:pgSz w:w="11900" w:h="16838" w:orient="portrait"/>
          <w:cols w:equalWidth="0" w:num="1">
            <w:col w:w="10460"/>
          </w:cols>
          <w:pgMar w:left="1440" w:top="1440" w:right="6" w:bottom="0" w:gutter="0" w:footer="0" w:header="0"/>
          <w:type w:val="continuous"/>
        </w:sectPr>
      </w:pPr>
    </w:p>
    <w:bookmarkStart w:id="297" w:name="page298"/>
    <w:bookmarkEnd w:id="297"/>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Variation of rights of</w:t>
      </w:r>
      <w:r>
        <w:rPr>
          <w:sz w:val="20"/>
          <w:szCs w:val="20"/>
          <w:color w:val="auto"/>
        </w:rPr>
        <w:tab/>
      </w:r>
      <w:r>
        <w:rPr>
          <w:rFonts w:ascii="Arial" w:cs="Arial" w:eastAsia="Arial" w:hAnsi="Arial"/>
          <w:sz w:val="20"/>
          <w:szCs w:val="20"/>
          <w:color w:val="auto"/>
        </w:rPr>
        <w:t>A Delaware corporation may vary the</w:t>
      </w:r>
    </w:p>
    <w:p>
      <w:pPr>
        <w:spacing w:after="0" w:line="72"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shares</w:t>
      </w:r>
      <w:r>
        <w:rPr>
          <w:sz w:val="20"/>
          <w:szCs w:val="20"/>
          <w:color w:val="auto"/>
        </w:rPr>
        <w:tab/>
      </w:r>
      <w:r>
        <w:rPr>
          <w:rFonts w:ascii="Arial" w:cs="Arial" w:eastAsia="Arial" w:hAnsi="Arial"/>
          <w:sz w:val="20"/>
          <w:szCs w:val="20"/>
          <w:color w:val="auto"/>
        </w:rPr>
        <w:t>rights of a class of shares with the</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approval of a majority of the outstanding</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shares of such class, unless the</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certificate of incorporation provides</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6395085</wp:posOffset>
            </wp:positionV>
            <wp:extent cx="6764020" cy="190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313" w:lineRule="auto"/>
        <w:rPr>
          <w:sz w:val="20"/>
          <w:szCs w:val="20"/>
          <w:color w:val="auto"/>
        </w:rPr>
      </w:pPr>
      <w:r>
        <w:rPr>
          <w:rFonts w:ascii="Arial" w:cs="Arial" w:eastAsia="Arial" w:hAnsi="Arial"/>
          <w:sz w:val="20"/>
          <w:szCs w:val="20"/>
          <w:color w:val="auto"/>
        </w:rPr>
        <w:t>The general shareholder meeting of Swiss corporation may resolve that preference shares be issued or that existing shares be converted into preference shares with a resolution passed by a simple majority of the v cast at the general meeting of shareholders.</w:t>
      </w:r>
    </w:p>
    <w:p>
      <w:pPr>
        <w:spacing w:after="0" w:line="135" w:lineRule="exact"/>
        <w:rPr>
          <w:sz w:val="20"/>
          <w:szCs w:val="20"/>
          <w:color w:val="auto"/>
        </w:rPr>
      </w:pPr>
    </w:p>
    <w:p>
      <w:pPr>
        <w:spacing w:after="0" w:line="331" w:lineRule="auto"/>
        <w:rPr>
          <w:sz w:val="20"/>
          <w:szCs w:val="20"/>
          <w:color w:val="auto"/>
        </w:rPr>
      </w:pPr>
      <w:r>
        <w:rPr>
          <w:rFonts w:ascii="Arial" w:cs="Arial" w:eastAsia="Arial" w:hAnsi="Arial"/>
          <w:sz w:val="19"/>
          <w:szCs w:val="19"/>
          <w:color w:val="auto"/>
        </w:rPr>
        <w:t>If the corporation issues any class o shares with special rights other than privileged voting rights, further share with special rights that are to be gra preferential rights over an existing cl of shares with special rights may onl be issued, subject to the Articles of Association providing otherwise, wit the approval of the majority of all shareholders voting at a shareholde meeting, whether in person or by pr who hold any class of shares whose rights would be prejudicially affected the issuance of the new shares with special rights ranking superior to the</w:t>
      </w:r>
    </w:p>
    <w:p>
      <w:pPr>
        <w:spacing w:after="0" w:line="128" w:lineRule="exact"/>
        <w:rPr>
          <w:sz w:val="20"/>
          <w:szCs w:val="20"/>
          <w:color w:val="auto"/>
        </w:rPr>
      </w:pPr>
    </w:p>
    <w:p>
      <w:pPr>
        <w:spacing w:after="0" w:line="332" w:lineRule="auto"/>
        <w:rPr>
          <w:sz w:val="20"/>
          <w:szCs w:val="20"/>
          <w:color w:val="auto"/>
        </w:rPr>
      </w:pPr>
      <w:r>
        <w:rPr>
          <w:rFonts w:ascii="Arial" w:cs="Arial" w:eastAsia="Arial" w:hAnsi="Arial"/>
          <w:sz w:val="19"/>
          <w:szCs w:val="19"/>
          <w:color w:val="auto"/>
        </w:rPr>
        <w:t>A resolution of the shareholders' meeting adopted by at least two thir of the represented share votes is required for the amendment of the Articles of Association to create, var delete any special rights or restrictio attached to the shares of any class series of shares according to the Articles of Association of the Compa</w:t>
      </w:r>
    </w:p>
    <w:p>
      <w:pPr>
        <w:spacing w:after="0" w:line="200" w:lineRule="exact"/>
        <w:rPr>
          <w:sz w:val="20"/>
          <w:szCs w:val="20"/>
          <w:color w:val="auto"/>
        </w:rPr>
      </w:pPr>
    </w:p>
    <w:p>
      <w:pPr>
        <w:sectPr>
          <w:pgSz w:w="11900" w:h="16838" w:orient="portrait"/>
          <w:cols w:equalWidth="0" w:num="2">
            <w:col w:w="6860" w:space="420"/>
            <w:col w:w="318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69 / 139</w:t>
      </w:r>
    </w:p>
    <w:p>
      <w:pPr>
        <w:sectPr>
          <w:pgSz w:w="11900" w:h="16838" w:orient="portrait"/>
          <w:cols w:equalWidth="0" w:num="1">
            <w:col w:w="10460"/>
          </w:cols>
          <w:pgMar w:left="1440" w:top="1165" w:right="6" w:bottom="0" w:gutter="0" w:footer="0" w:header="0"/>
          <w:type w:val="continuous"/>
        </w:sectPr>
      </w:pPr>
    </w:p>
    <w:bookmarkStart w:id="298" w:name="page299"/>
    <w:bookmarkEnd w:id="2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Shares with preferential voting rights</w:t>
      </w:r>
    </w:p>
    <w:p>
      <w:pPr>
        <w:spacing w:after="0" w:line="83"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not regarded a special class for thes</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purposes.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70 / 139</w:t>
      </w:r>
    </w:p>
    <w:p>
      <w:pPr>
        <w:sectPr>
          <w:pgSz w:w="11900" w:h="16838" w:orient="portrait"/>
          <w:cols w:equalWidth="0" w:num="1">
            <w:col w:w="10460"/>
          </w:cols>
          <w:pgMar w:left="1440" w:top="1440" w:right="6" w:bottom="0" w:gutter="0" w:footer="0" w:header="0"/>
          <w:type w:val="continuous"/>
        </w:sectPr>
      </w:pPr>
    </w:p>
    <w:bookmarkStart w:id="299" w:name="page300"/>
    <w:bookmarkEnd w:id="299"/>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Creation and</w:t>
      </w:r>
      <w:r>
        <w:rPr>
          <w:sz w:val="20"/>
          <w:szCs w:val="20"/>
          <w:color w:val="auto"/>
        </w:rPr>
        <w:tab/>
      </w:r>
      <w:r>
        <w:rPr>
          <w:rFonts w:ascii="Arial" w:cs="Arial" w:eastAsia="Arial" w:hAnsi="Arial"/>
          <w:sz w:val="20"/>
          <w:szCs w:val="20"/>
          <w:color w:val="auto"/>
        </w:rPr>
        <w:t>All creation of shares require the Board to</w:t>
      </w:r>
    </w:p>
    <w:p>
      <w:pPr>
        <w:spacing w:after="0" w:line="72"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issuance of new</w:t>
      </w:r>
      <w:r>
        <w:rPr>
          <w:sz w:val="20"/>
          <w:szCs w:val="20"/>
          <w:color w:val="auto"/>
        </w:rPr>
        <w:tab/>
      </w:r>
      <w:r>
        <w:rPr>
          <w:rFonts w:ascii="Arial" w:cs="Arial" w:eastAsia="Arial" w:hAnsi="Arial"/>
          <w:sz w:val="20"/>
          <w:szCs w:val="20"/>
          <w:color w:val="auto"/>
        </w:rPr>
        <w:t>adopt a resolution or resolutions, pursuant</w:t>
      </w:r>
    </w:p>
    <w:p>
      <w:pPr>
        <w:spacing w:after="0" w:line="72"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shares</w:t>
      </w:r>
      <w:r>
        <w:rPr>
          <w:sz w:val="20"/>
          <w:szCs w:val="20"/>
          <w:color w:val="auto"/>
        </w:rPr>
        <w:tab/>
      </w:r>
      <w:r>
        <w:rPr>
          <w:rFonts w:ascii="Arial" w:cs="Arial" w:eastAsia="Arial" w:hAnsi="Arial"/>
          <w:sz w:val="20"/>
          <w:szCs w:val="20"/>
          <w:color w:val="auto"/>
        </w:rPr>
        <w:t>to authority expressly vested in the Board</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by the provisions of the company’s</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certificate of incorporation.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spacing w:after="0" w:line="332" w:lineRule="auto"/>
        <w:rPr>
          <w:sz w:val="20"/>
          <w:szCs w:val="20"/>
          <w:color w:val="auto"/>
        </w:rPr>
      </w:pPr>
      <w:r>
        <w:rPr>
          <w:rFonts w:ascii="Arial" w:cs="Arial" w:eastAsia="Arial" w:hAnsi="Arial"/>
          <w:sz w:val="19"/>
          <w:szCs w:val="19"/>
          <w:color w:val="auto"/>
        </w:rPr>
        <w:t>There are three methods for increas a company’s share capital: (i) ordina capital increase, (ii) increase within t capital band, and (iii) increase from conditional capital.</w:t>
      </w:r>
    </w:p>
    <w:p>
      <w:pPr>
        <w:spacing w:after="0" w:line="198" w:lineRule="exact"/>
        <w:rPr>
          <w:sz w:val="20"/>
          <w:szCs w:val="20"/>
          <w:color w:val="auto"/>
        </w:rPr>
      </w:pPr>
    </w:p>
    <w:p>
      <w:pPr>
        <w:spacing w:after="0" w:line="332" w:lineRule="auto"/>
        <w:rPr>
          <w:sz w:val="20"/>
          <w:szCs w:val="20"/>
          <w:color w:val="auto"/>
        </w:rPr>
      </w:pPr>
      <w:r>
        <w:rPr>
          <w:rFonts w:ascii="Arial" w:cs="Arial" w:eastAsia="Arial" w:hAnsi="Arial"/>
          <w:sz w:val="19"/>
          <w:szCs w:val="19"/>
          <w:color w:val="auto"/>
        </w:rPr>
        <w:t>An ordinary capital increase require resolution by the general meeting of shareholders and must be carried o the Board within six months of the respective general meeting in order become effective. Under Swiss law, the case of subscription and increas against payment of contributions in cash, a resolution passed by an absolute majority of the voting rights represented at the general meeting shareholders is required.</w:t>
      </w:r>
    </w:p>
    <w:p>
      <w:pPr>
        <w:spacing w:after="0" w:line="195" w:lineRule="exact"/>
        <w:rPr>
          <w:sz w:val="20"/>
          <w:szCs w:val="20"/>
          <w:color w:val="auto"/>
        </w:rPr>
      </w:pPr>
    </w:p>
    <w:p>
      <w:pPr>
        <w:spacing w:after="0" w:line="331" w:lineRule="auto"/>
        <w:rPr>
          <w:sz w:val="20"/>
          <w:szCs w:val="20"/>
          <w:color w:val="auto"/>
        </w:rPr>
      </w:pPr>
      <w:r>
        <w:rPr>
          <w:rFonts w:ascii="Arial" w:cs="Arial" w:eastAsia="Arial" w:hAnsi="Arial"/>
          <w:sz w:val="19"/>
          <w:szCs w:val="19"/>
          <w:color w:val="auto"/>
        </w:rPr>
        <w:t>In the case of subscription and incre against contributions in kind, or to fu acquisitions in kind, or by way of set with a debt of the corporation, when shareholders’ statutory subscription rights or advance subscription rights limited or withdrawn, or where transformation of freely disposable equity into share capital is involved, resolution passed by two-thirds of th voting rights represented at a gener meeting of shareholders and the absolute majority of the par value of shares represented is required.</w:t>
      </w:r>
    </w:p>
    <w:p>
      <w:pPr>
        <w:spacing w:after="0" w:line="207" w:lineRule="exact"/>
        <w:rPr>
          <w:sz w:val="20"/>
          <w:szCs w:val="20"/>
          <w:color w:val="auto"/>
        </w:rPr>
      </w:pPr>
    </w:p>
    <w:p>
      <w:pPr>
        <w:spacing w:after="0" w:line="331" w:lineRule="auto"/>
        <w:rPr>
          <w:sz w:val="20"/>
          <w:szCs w:val="20"/>
          <w:color w:val="auto"/>
        </w:rPr>
      </w:pPr>
      <w:r>
        <w:rPr>
          <w:rFonts w:ascii="Arial" w:cs="Arial" w:eastAsia="Arial" w:hAnsi="Arial"/>
          <w:sz w:val="19"/>
          <w:szCs w:val="19"/>
          <w:color w:val="auto"/>
        </w:rPr>
        <w:t>Further, the shareholders may autho the Board, by a resolution passed b two-thirds of the voting rights represented at a general meeting of shareholders and the absolute majo of the par value of the shares to increase the share capital by a spec aggregate nominal amount, up to a maximum of 50% of the share capita within the capital band (</w:t>
      </w:r>
      <w:r>
        <w:rPr>
          <w:rFonts w:ascii="Arial" w:cs="Arial" w:eastAsia="Arial" w:hAnsi="Arial"/>
          <w:sz w:val="19"/>
          <w:szCs w:val="19"/>
          <w:i w:val="1"/>
          <w:iCs w:val="1"/>
          <w:color w:val="auto"/>
        </w:rPr>
        <w:t>Kapitalband</w:t>
      </w:r>
      <w:r>
        <w:rPr>
          <w:rFonts w:ascii="Arial" w:cs="Arial" w:eastAsia="Arial" w:hAnsi="Arial"/>
          <w:sz w:val="19"/>
          <w:szCs w:val="19"/>
          <w:color w:val="auto"/>
        </w:rPr>
        <w:t>) be utilized by the Board within a peri determined by the shareholders but exceeding five years from the date o the shareholder approval, or from th</w:t>
      </w:r>
    </w:p>
    <w:p>
      <w:pPr>
        <w:spacing w:after="0" w:line="200" w:lineRule="exact"/>
        <w:rPr>
          <w:sz w:val="20"/>
          <w:szCs w:val="20"/>
          <w:color w:val="auto"/>
        </w:rPr>
      </w:pPr>
    </w:p>
    <w:p>
      <w:pPr>
        <w:sectPr>
          <w:pgSz w:w="11900" w:h="16838" w:orient="portrait"/>
          <w:cols w:equalWidth="0" w:num="2">
            <w:col w:w="7040" w:space="240"/>
            <w:col w:w="3180"/>
          </w:cols>
          <w:pgMar w:left="1440" w:top="1165" w:right="6" w:bottom="0" w:gutter="0" w:footer="0" w:header="0"/>
        </w:sectPr>
      </w:pPr>
    </w:p>
    <w:p>
      <w:pPr>
        <w:spacing w:after="0" w:line="200" w:lineRule="exact"/>
        <w:rPr>
          <w:sz w:val="20"/>
          <w:szCs w:val="20"/>
          <w:color w:val="auto"/>
        </w:rPr>
      </w:pPr>
    </w:p>
    <w:p>
      <w:pPr>
        <w:spacing w:after="0" w:line="206"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71 / 139</w:t>
      </w:r>
    </w:p>
    <w:p>
      <w:pPr>
        <w:sectPr>
          <w:pgSz w:w="11900" w:h="16838" w:orient="portrait"/>
          <w:cols w:equalWidth="0" w:num="1">
            <w:col w:w="10460"/>
          </w:cols>
          <w:pgMar w:left="1440" w:top="1165" w:right="6" w:bottom="0" w:gutter="0" w:footer="0" w:header="0"/>
          <w:type w:val="continuous"/>
        </w:sectPr>
      </w:pPr>
    </w:p>
    <w:bookmarkStart w:id="300" w:name="page301"/>
    <w:bookmarkEnd w:id="300"/>
    <w:p>
      <w:pPr>
        <w:ind w:left="7280"/>
        <w:spacing w:after="0"/>
        <w:rPr>
          <w:sz w:val="20"/>
          <w:szCs w:val="20"/>
          <w:color w:val="auto"/>
        </w:rPr>
      </w:pPr>
      <w:r>
        <w:rPr>
          <w:rFonts w:ascii="Arial" w:cs="Arial" w:eastAsia="Arial" w:hAnsi="Arial"/>
          <w:sz w:val="19"/>
          <w:szCs w:val="19"/>
          <w:color w:val="auto"/>
        </w:rPr>
        <w:t>conditional capital (</w:t>
      </w:r>
      <w:r>
        <w:rPr>
          <w:rFonts w:ascii="Arial" w:cs="Arial" w:eastAsia="Arial" w:hAnsi="Arial"/>
          <w:sz w:val="19"/>
          <w:szCs w:val="19"/>
          <w:i w:val="1"/>
          <w:iCs w:val="1"/>
          <w:color w:val="auto"/>
        </w:rPr>
        <w:t>bedingtes Kapita</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for the purpose of issuing shares in</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connection with, among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1131570</wp:posOffset>
            </wp:positionV>
            <wp:extent cx="6764020" cy="190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72 / 139</w:t>
      </w:r>
    </w:p>
    <w:p>
      <w:pPr>
        <w:sectPr>
          <w:pgSz w:w="11900" w:h="16838" w:orient="portrait"/>
          <w:cols w:equalWidth="0" w:num="1">
            <w:col w:w="10460"/>
          </w:cols>
          <w:pgMar w:left="1440" w:top="1172" w:right="6" w:bottom="0" w:gutter="0" w:footer="0" w:header="0"/>
          <w:type w:val="continuous"/>
        </w:sectPr>
      </w:pPr>
    </w:p>
    <w:bookmarkStart w:id="301" w:name="page302"/>
    <w:bookmarkEnd w:id="3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Subscription Rights</w:t>
      </w:r>
      <w:r>
        <w:rPr>
          <w:sz w:val="20"/>
          <w:szCs w:val="20"/>
          <w:color w:val="auto"/>
        </w:rPr>
        <w:tab/>
      </w:r>
      <w:r>
        <w:rPr>
          <w:rFonts w:ascii="Arial" w:cs="Arial" w:eastAsia="Arial" w:hAnsi="Arial"/>
          <w:sz w:val="19"/>
          <w:szCs w:val="19"/>
          <w:color w:val="auto"/>
        </w:rPr>
        <w:t>A subscription for stock of a corporation,</w:t>
      </w:r>
    </w:p>
    <w:p>
      <w:pPr>
        <w:spacing w:after="0" w:line="79" w:lineRule="exact"/>
        <w:rPr>
          <w:sz w:val="20"/>
          <w:szCs w:val="20"/>
          <w:color w:val="auto"/>
        </w:rPr>
      </w:pPr>
    </w:p>
    <w:p>
      <w:pPr>
        <w:ind w:left="1000" w:right="300"/>
        <w:spacing w:after="0" w:line="307" w:lineRule="auto"/>
        <w:rPr>
          <w:sz w:val="20"/>
          <w:szCs w:val="20"/>
          <w:color w:val="auto"/>
        </w:rPr>
      </w:pPr>
      <w:r>
        <w:rPr>
          <w:rFonts w:ascii="Arial" w:cs="Arial" w:eastAsia="Arial" w:hAnsi="Arial"/>
          <w:sz w:val="20"/>
          <w:szCs w:val="20"/>
          <w:b w:val="1"/>
          <w:bCs w:val="1"/>
          <w:i w:val="1"/>
          <w:iCs w:val="1"/>
          <w:color w:val="auto"/>
        </w:rPr>
        <w:t xml:space="preserve">and Advance </w:t>
      </w:r>
      <w:r>
        <w:rPr>
          <w:rFonts w:ascii="Arial" w:cs="Arial" w:eastAsia="Arial" w:hAnsi="Arial"/>
          <w:sz w:val="20"/>
          <w:szCs w:val="20"/>
          <w:color w:val="auto"/>
        </w:rPr>
        <w:t>whether made before or after the</w:t>
      </w:r>
      <w:r>
        <w:rPr>
          <w:rFonts w:ascii="Arial" w:cs="Arial" w:eastAsia="Arial" w:hAnsi="Arial"/>
          <w:sz w:val="20"/>
          <w:szCs w:val="20"/>
          <w:b w:val="1"/>
          <w:bCs w:val="1"/>
          <w:i w:val="1"/>
          <w:iCs w:val="1"/>
          <w:color w:val="auto"/>
        </w:rPr>
        <w:t xml:space="preserve"> Subscription Rights </w:t>
      </w:r>
      <w:r>
        <w:rPr>
          <w:rFonts w:ascii="Arial" w:cs="Arial" w:eastAsia="Arial" w:hAnsi="Arial"/>
          <w:sz w:val="20"/>
          <w:szCs w:val="20"/>
          <w:color w:val="auto"/>
        </w:rPr>
        <w:t>formation of a corporation, shall not be</w:t>
      </w:r>
    </w:p>
    <w:p>
      <w:pPr>
        <w:spacing w:after="0" w:line="8"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enforceable against a subscriber, unless</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in writing and signed by the subscriber or</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by such subscriber’s agent.</w:t>
      </w:r>
    </w:p>
    <w:p>
      <w:pPr>
        <w:spacing w:after="0" w:line="381" w:lineRule="exact"/>
        <w:rPr>
          <w:sz w:val="20"/>
          <w:szCs w:val="20"/>
          <w:color w:val="auto"/>
        </w:rPr>
      </w:pPr>
    </w:p>
    <w:p>
      <w:pPr>
        <w:ind w:left="3300"/>
        <w:spacing w:after="0" w:line="313" w:lineRule="auto"/>
        <w:rPr>
          <w:sz w:val="20"/>
          <w:szCs w:val="20"/>
          <w:color w:val="auto"/>
        </w:rPr>
      </w:pPr>
      <w:r>
        <w:rPr>
          <w:rFonts w:ascii="Arial" w:cs="Arial" w:eastAsia="Arial" w:hAnsi="Arial"/>
          <w:sz w:val="20"/>
          <w:szCs w:val="20"/>
          <w:color w:val="auto"/>
        </w:rPr>
        <w:t>Unless otherwise provided by the terms of the subscription, a subscription for stock of a corporation to be formed shall be irrevocable, except with the consent of all other subscribers or the corporation, for a period of 6 months from its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
        <w:spacing w:after="0" w:line="331" w:lineRule="auto"/>
        <w:rPr>
          <w:sz w:val="20"/>
          <w:szCs w:val="20"/>
          <w:color w:val="auto"/>
        </w:rPr>
      </w:pPr>
      <w:r>
        <w:rPr>
          <w:rFonts w:ascii="Arial" w:cs="Arial" w:eastAsia="Arial" w:hAnsi="Arial"/>
          <w:sz w:val="19"/>
          <w:szCs w:val="19"/>
          <w:color w:val="auto"/>
        </w:rPr>
        <w:t>other things, (i) option and conversio rights granted in connection with warrants and convertible bonds of th corporation or one of its subsidiaries</w:t>
      </w:r>
    </w:p>
    <w:p>
      <w:pPr>
        <w:ind w:left="286" w:hanging="286"/>
        <w:spacing w:after="0" w:line="234" w:lineRule="auto"/>
        <w:tabs>
          <w:tab w:leader="none" w:pos="286" w:val="left"/>
        </w:tabs>
        <w:numPr>
          <w:ilvl w:val="0"/>
          <w:numId w:val="118"/>
        </w:numPr>
        <w:rPr>
          <w:rFonts w:ascii="Arial" w:cs="Arial" w:eastAsia="Arial" w:hAnsi="Arial"/>
          <w:sz w:val="20"/>
          <w:szCs w:val="20"/>
          <w:color w:val="auto"/>
        </w:rPr>
      </w:pPr>
      <w:r>
        <w:rPr>
          <w:rFonts w:ascii="Arial" w:cs="Arial" w:eastAsia="Arial" w:hAnsi="Arial"/>
          <w:sz w:val="20"/>
          <w:szCs w:val="20"/>
          <w:color w:val="auto"/>
        </w:rPr>
        <w:t>grants of rights to employees,</w:t>
      </w:r>
    </w:p>
    <w:p>
      <w:pPr>
        <w:spacing w:after="0" w:line="79" w:lineRule="exact"/>
        <w:rPr>
          <w:rFonts w:ascii="Arial" w:cs="Arial" w:eastAsia="Arial" w:hAnsi="Arial"/>
          <w:sz w:val="20"/>
          <w:szCs w:val="20"/>
          <w:color w:val="auto"/>
        </w:rPr>
      </w:pPr>
    </w:p>
    <w:p>
      <w:pPr>
        <w:ind w:left="6"/>
        <w:spacing w:after="0" w:line="332" w:lineRule="auto"/>
        <w:rPr>
          <w:rFonts w:ascii="Arial" w:cs="Arial" w:eastAsia="Arial" w:hAnsi="Arial"/>
          <w:sz w:val="20"/>
          <w:szCs w:val="20"/>
          <w:color w:val="auto"/>
        </w:rPr>
      </w:pPr>
      <w:r>
        <w:rPr>
          <w:rFonts w:ascii="Arial" w:cs="Arial" w:eastAsia="Arial" w:hAnsi="Arial"/>
          <w:sz w:val="19"/>
          <w:szCs w:val="19"/>
          <w:color w:val="auto"/>
        </w:rPr>
        <w:t>members of the Board or consultant its subsidiaries or other persons providing services to the corporation a subsidiary to subscribe for new sh (conversion or option rights), withou further shareholders' approval, provi the corporation's Articles of Associat delegate such authority to the Board</w:t>
      </w:r>
    </w:p>
    <w:p>
      <w:pPr>
        <w:spacing w:after="0" w:line="299" w:lineRule="exact"/>
        <w:rPr>
          <w:sz w:val="20"/>
          <w:szCs w:val="20"/>
          <w:color w:val="auto"/>
        </w:rPr>
      </w:pPr>
    </w:p>
    <w:p>
      <w:pPr>
        <w:ind w:left="6"/>
        <w:spacing w:after="0" w:line="331" w:lineRule="auto"/>
        <w:rPr>
          <w:sz w:val="20"/>
          <w:szCs w:val="20"/>
          <w:color w:val="auto"/>
        </w:rPr>
      </w:pPr>
      <w:r>
        <w:rPr>
          <w:rFonts w:ascii="Arial" w:cs="Arial" w:eastAsia="Arial" w:hAnsi="Arial"/>
          <w:sz w:val="19"/>
          <w:szCs w:val="19"/>
          <w:color w:val="auto"/>
        </w:rPr>
        <w:t xml:space="preserve">If new shares of a corporation are issued - whether pursuant to shareholders' approving an increase the ordinary share capital or the Boa making use of the capital band or conditional capital - the existing shareholders will have subscription rights (or advance subscription right with respect to the issuance of convertible or similar instruments) in relation to such shares or rights </w:t>
      </w:r>
      <w:r>
        <w:rPr>
          <w:rFonts w:ascii="Arial" w:cs="Arial" w:eastAsia="Arial" w:hAnsi="Arial"/>
          <w:sz w:val="19"/>
          <w:szCs w:val="19"/>
          <w:i w:val="1"/>
          <w:iCs w:val="1"/>
          <w:color w:val="auto"/>
        </w:rPr>
        <w:t>pro</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rata </w:t>
      </w:r>
      <w:r>
        <w:rPr>
          <w:rFonts w:ascii="Arial" w:cs="Arial" w:eastAsia="Arial" w:hAnsi="Arial"/>
          <w:sz w:val="19"/>
          <w:szCs w:val="19"/>
          <w:color w:val="auto"/>
        </w:rPr>
        <w:t>to the respective nominal/par va</w:t>
      </w:r>
      <w:r>
        <w:rPr>
          <w:rFonts w:ascii="Arial" w:cs="Arial" w:eastAsia="Arial" w:hAnsi="Arial"/>
          <w:sz w:val="19"/>
          <w:szCs w:val="19"/>
          <w:i w:val="1"/>
          <w:iCs w:val="1"/>
          <w:color w:val="auto"/>
        </w:rPr>
        <w:t xml:space="preserve"> </w:t>
      </w:r>
      <w:r>
        <w:rPr>
          <w:rFonts w:ascii="Arial" w:cs="Arial" w:eastAsia="Arial" w:hAnsi="Arial"/>
          <w:sz w:val="19"/>
          <w:szCs w:val="19"/>
          <w:color w:val="auto"/>
        </w:rPr>
        <w:t>of their existing participation.</w:t>
      </w:r>
    </w:p>
    <w:p>
      <w:pPr>
        <w:spacing w:after="0" w:line="7" w:lineRule="exact"/>
        <w:rPr>
          <w:sz w:val="20"/>
          <w:szCs w:val="20"/>
          <w:color w:val="auto"/>
        </w:rPr>
      </w:pPr>
    </w:p>
    <w:p>
      <w:pPr>
        <w:ind w:left="6"/>
        <w:spacing w:after="0" w:line="332" w:lineRule="auto"/>
        <w:rPr>
          <w:sz w:val="20"/>
          <w:szCs w:val="20"/>
          <w:color w:val="auto"/>
        </w:rPr>
      </w:pPr>
      <w:r>
        <w:rPr>
          <w:rFonts w:ascii="Arial" w:cs="Arial" w:eastAsia="Arial" w:hAnsi="Arial"/>
          <w:sz w:val="19"/>
          <w:szCs w:val="19"/>
          <w:color w:val="auto"/>
        </w:rPr>
        <w:t>If the general meeting of shareholde has approved the creation of the cap band and/or conditional capital, it m thereby delegate the decision wheth to withdraw or limit the subscription rights (or advance subscription right with respect to the issuance of convertible or similar instruments) fo cause to the Board.</w:t>
      </w:r>
    </w:p>
    <w:p>
      <w:pPr>
        <w:spacing w:after="0" w:line="200" w:lineRule="exact"/>
        <w:rPr>
          <w:sz w:val="20"/>
          <w:szCs w:val="20"/>
          <w:color w:val="auto"/>
        </w:rPr>
      </w:pPr>
    </w:p>
    <w:p>
      <w:pPr>
        <w:sectPr>
          <w:pgSz w:w="11900" w:h="16838" w:orient="portrait"/>
          <w:cols w:equalWidth="0" w:num="2">
            <w:col w:w="7020" w:space="254"/>
            <w:col w:w="3186"/>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73 / 139</w:t>
      </w:r>
    </w:p>
    <w:p>
      <w:pPr>
        <w:sectPr>
          <w:pgSz w:w="11900" w:h="16838" w:orient="portrait"/>
          <w:cols w:equalWidth="0" w:num="1">
            <w:col w:w="10460"/>
          </w:cols>
          <w:pgMar w:left="1440" w:top="1440" w:right="6" w:bottom="0" w:gutter="0" w:footer="0" w:header="0"/>
          <w:type w:val="continuous"/>
        </w:sectPr>
      </w:pPr>
    </w:p>
    <w:bookmarkStart w:id="302" w:name="page303"/>
    <w:bookmarkEnd w:id="302"/>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Repurchases of</w:t>
      </w:r>
      <w:r>
        <w:rPr>
          <w:sz w:val="20"/>
          <w:szCs w:val="20"/>
          <w:color w:val="auto"/>
        </w:rPr>
        <w:tab/>
      </w:r>
      <w:r>
        <w:rPr>
          <w:rFonts w:ascii="Arial" w:cs="Arial" w:eastAsia="Arial" w:hAnsi="Arial"/>
          <w:sz w:val="19"/>
          <w:szCs w:val="19"/>
          <w:color w:val="auto"/>
        </w:rPr>
        <w:t>Every corporation may purchase, redeem,</w:t>
      </w:r>
    </w:p>
    <w:p>
      <w:pPr>
        <w:spacing w:after="0" w:line="72" w:lineRule="exact"/>
        <w:rPr>
          <w:sz w:val="20"/>
          <w:szCs w:val="20"/>
          <w:color w:val="auto"/>
        </w:rPr>
      </w:pPr>
    </w:p>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Registered Shares</w:t>
      </w:r>
      <w:r>
        <w:rPr>
          <w:sz w:val="20"/>
          <w:szCs w:val="20"/>
          <w:color w:val="auto"/>
        </w:rPr>
        <w:tab/>
      </w:r>
      <w:r>
        <w:rPr>
          <w:rFonts w:ascii="Arial" w:cs="Arial" w:eastAsia="Arial" w:hAnsi="Arial"/>
          <w:sz w:val="19"/>
          <w:szCs w:val="19"/>
          <w:color w:val="auto"/>
        </w:rPr>
        <w:t>receive, take or otherwise acquire, own</w:t>
      </w:r>
    </w:p>
    <w:p>
      <w:pPr>
        <w:spacing w:after="0" w:line="79" w:lineRule="exact"/>
        <w:rPr>
          <w:sz w:val="20"/>
          <w:szCs w:val="20"/>
          <w:color w:val="auto"/>
        </w:rPr>
      </w:pPr>
    </w:p>
    <w:p>
      <w:pPr>
        <w:ind w:left="3300" w:right="40"/>
        <w:spacing w:after="0" w:line="312" w:lineRule="auto"/>
        <w:rPr>
          <w:sz w:val="20"/>
          <w:szCs w:val="20"/>
          <w:color w:val="auto"/>
        </w:rPr>
      </w:pPr>
      <w:r>
        <w:rPr>
          <w:rFonts w:ascii="Arial" w:cs="Arial" w:eastAsia="Arial" w:hAnsi="Arial"/>
          <w:sz w:val="20"/>
          <w:szCs w:val="20"/>
          <w:color w:val="auto"/>
        </w:rPr>
        <w:t>and hold, sell, lend, exchange, transfer or otherwise dispose of, pledge, use and otherwise deal in and with its own shares subject to restrictions.</w:t>
      </w:r>
    </w:p>
    <w:p>
      <w:pPr>
        <w:spacing w:after="0" w:line="306"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Redeemed shares are not deemed to be</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outstanding shares for the purpose of</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voting or determining the total number of</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shares entitled to vote on any matter on</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and after the date on which notice of</w:t>
      </w:r>
    </w:p>
    <w:p>
      <w:pPr>
        <w:spacing w:after="0" w:line="72"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redemption has been sent to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2473325</wp:posOffset>
            </wp:positionV>
            <wp:extent cx="6764020" cy="190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8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auto"/>
        <w:rPr>
          <w:sz w:val="20"/>
          <w:szCs w:val="20"/>
          <w:color w:val="auto"/>
        </w:rPr>
      </w:pPr>
      <w:r>
        <w:rPr>
          <w:rFonts w:ascii="Arial" w:cs="Arial" w:eastAsia="Arial" w:hAnsi="Arial"/>
          <w:sz w:val="19"/>
          <w:szCs w:val="19"/>
          <w:color w:val="auto"/>
        </w:rPr>
        <w:t>Swiss law imposes restrictions on a corporation’s ability to hold or repurchase its own registered share The corporation and its subsidiaries may only repurchase own shares if sufficient freely distributable reserve are available. The total nominal valu all registered shares held by the corporation and its subsidiaries may exceed 10% of the corporation's registered share capital. Pursuant to Swiss law, where shares are acquire connection with a transfer restriction out in the Articles of Association of a corporation, the foregoing upper limi 20%. Shares repurchased under su authorization will be cancelled at the next general meeting with the appro of shareholders holding a relative majority</w:t>
      </w:r>
    </w:p>
    <w:p>
      <w:pPr>
        <w:spacing w:after="0" w:line="200" w:lineRule="exact"/>
        <w:rPr>
          <w:sz w:val="20"/>
          <w:szCs w:val="20"/>
          <w:color w:val="auto"/>
        </w:rPr>
      </w:pPr>
    </w:p>
    <w:p>
      <w:pPr>
        <w:sectPr>
          <w:pgSz w:w="11900" w:h="16838" w:orient="portrait"/>
          <w:cols w:equalWidth="0" w:num="2">
            <w:col w:w="7020" w:space="260"/>
            <w:col w:w="318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74 / 139</w:t>
      </w:r>
    </w:p>
    <w:p>
      <w:pPr>
        <w:sectPr>
          <w:pgSz w:w="11900" w:h="16838" w:orient="portrait"/>
          <w:cols w:equalWidth="0" w:num="1">
            <w:col w:w="10460"/>
          </w:cols>
          <w:pgMar w:left="1440" w:top="1165" w:right="6" w:bottom="0" w:gutter="0" w:footer="0" w:header="0"/>
          <w:type w:val="continuous"/>
        </w:sectPr>
      </w:pPr>
    </w:p>
    <w:bookmarkStart w:id="303" w:name="page304"/>
    <w:bookmarkEnd w:id="3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of the votes cast or, if the authorizati</w:t>
      </w:r>
    </w:p>
    <w:p>
      <w:pPr>
        <w:spacing w:after="0" w:line="83"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is included in the capital band provis</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upon the Board effecting the</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cancellation based on the authority</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granted to it in the capital band</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provision.</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Repurchased shares held by the</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corporation, or its subsidiaries do no</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carry any rights to vote at a</w:t>
      </w:r>
    </w:p>
    <w:p>
      <w:pPr>
        <w:spacing w:after="0" w:line="79" w:lineRule="exact"/>
        <w:rPr>
          <w:sz w:val="20"/>
          <w:szCs w:val="20"/>
          <w:color w:val="auto"/>
        </w:rPr>
      </w:pPr>
    </w:p>
    <w:p>
      <w:pPr>
        <w:ind w:left="7280"/>
        <w:spacing w:after="0"/>
        <w:rPr>
          <w:sz w:val="20"/>
          <w:szCs w:val="20"/>
          <w:color w:val="auto"/>
        </w:rPr>
      </w:pPr>
      <w:r>
        <w:rPr>
          <w:rFonts w:ascii="Arial" w:cs="Arial" w:eastAsia="Arial" w:hAnsi="Arial"/>
          <w:sz w:val="19"/>
          <w:szCs w:val="19"/>
          <w:color w:val="auto"/>
        </w:rPr>
        <w:t>shareholders meeting but are entitle</w:t>
      </w:r>
    </w:p>
    <w:p>
      <w:pPr>
        <w:spacing w:after="0" w:line="76"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the economic benefits generally</w:t>
      </w:r>
    </w:p>
    <w:p>
      <w:pPr>
        <w:spacing w:after="0" w:line="72"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associated with such shares.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75 / 139</w:t>
      </w:r>
    </w:p>
    <w:p>
      <w:pPr>
        <w:sectPr>
          <w:pgSz w:w="11900" w:h="16838" w:orient="portrait"/>
          <w:cols w:equalWidth="0" w:num="1">
            <w:col w:w="10460"/>
          </w:cols>
          <w:pgMar w:left="1440" w:top="1440" w:right="6" w:bottom="0" w:gutter="0" w:footer="0" w:header="0"/>
          <w:type w:val="continuous"/>
        </w:sectPr>
      </w:pPr>
    </w:p>
    <w:bookmarkStart w:id="304" w:name="page305"/>
    <w:bookmarkEnd w:id="304"/>
    <w:p>
      <w:pPr>
        <w:ind w:left="1000"/>
        <w:spacing w:after="0"/>
        <w:tabs>
          <w:tab w:leader="none" w:pos="3280" w:val="left"/>
        </w:tabs>
        <w:rPr>
          <w:sz w:val="20"/>
          <w:szCs w:val="20"/>
          <w:color w:val="auto"/>
        </w:rPr>
      </w:pPr>
      <w:r>
        <w:rPr>
          <w:rFonts w:ascii="Arial" w:cs="Arial" w:eastAsia="Arial" w:hAnsi="Arial"/>
          <w:sz w:val="20"/>
          <w:szCs w:val="20"/>
          <w:b w:val="1"/>
          <w:bCs w:val="1"/>
          <w:i w:val="1"/>
          <w:iCs w:val="1"/>
          <w:color w:val="auto"/>
        </w:rPr>
        <w:t>Other Classes or</w:t>
      </w:r>
      <w:r>
        <w:rPr>
          <w:sz w:val="20"/>
          <w:szCs w:val="20"/>
          <w:color w:val="auto"/>
        </w:rPr>
        <w:tab/>
      </w:r>
      <w:r>
        <w:rPr>
          <w:rFonts w:ascii="Arial" w:cs="Arial" w:eastAsia="Arial" w:hAnsi="Arial"/>
          <w:sz w:val="20"/>
          <w:szCs w:val="20"/>
          <w:color w:val="auto"/>
        </w:rPr>
        <w:t>A company may amend its certificate of</w:t>
      </w:r>
    </w:p>
    <w:p>
      <w:pPr>
        <w:spacing w:after="0" w:line="79" w:lineRule="exact"/>
        <w:rPr>
          <w:sz w:val="20"/>
          <w:szCs w:val="20"/>
          <w:color w:val="auto"/>
        </w:rPr>
      </w:pPr>
    </w:p>
    <w:p>
      <w:pPr>
        <w:ind w:left="3300" w:right="140" w:hanging="2292"/>
        <w:spacing w:after="0" w:line="312" w:lineRule="auto"/>
        <w:tabs>
          <w:tab w:leader="none" w:pos="3280" w:val="left"/>
        </w:tabs>
        <w:rPr>
          <w:sz w:val="20"/>
          <w:szCs w:val="20"/>
          <w:color w:val="auto"/>
        </w:rPr>
      </w:pPr>
      <w:r>
        <w:rPr>
          <w:rFonts w:ascii="Arial" w:cs="Arial" w:eastAsia="Arial" w:hAnsi="Arial"/>
          <w:sz w:val="20"/>
          <w:szCs w:val="20"/>
          <w:b w:val="1"/>
          <w:bCs w:val="1"/>
          <w:i w:val="1"/>
          <w:iCs w:val="1"/>
          <w:color w:val="auto"/>
        </w:rPr>
        <w:t>Series of Shares</w:t>
      </w:r>
      <w:r>
        <w:rPr>
          <w:sz w:val="20"/>
          <w:szCs w:val="20"/>
          <w:color w:val="auto"/>
        </w:rPr>
        <w:tab/>
      </w:r>
      <w:r>
        <w:rPr>
          <w:rFonts w:ascii="Arial" w:cs="Arial" w:eastAsia="Arial" w:hAnsi="Arial"/>
          <w:sz w:val="20"/>
          <w:szCs w:val="20"/>
          <w:color w:val="auto"/>
        </w:rPr>
        <w:t>incorporation to create new classes of stock having rights and preference through a special meeting held by the stockholders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6839585</wp:posOffset>
            </wp:positionV>
            <wp:extent cx="6764020" cy="190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8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auto"/>
        <w:rPr>
          <w:sz w:val="20"/>
          <w:szCs w:val="20"/>
          <w:color w:val="auto"/>
        </w:rPr>
      </w:pPr>
      <w:r>
        <w:rPr>
          <w:rFonts w:ascii="Arial" w:cs="Arial" w:eastAsia="Arial" w:hAnsi="Arial"/>
          <w:sz w:val="20"/>
          <w:szCs w:val="20"/>
          <w:color w:val="auto"/>
        </w:rPr>
        <w:t>The Board may not create any new classes of shares with privileged vot rights unless it receives approval fro special majority of two-thirds of the voting rights represented at a shareholders' meeting as well as a majority of the aggregate nominal/pa value of the shares represented at s meeting, in either case whether in person or by proxy, such qualified majority.</w:t>
      </w:r>
    </w:p>
    <w:p>
      <w:pPr>
        <w:spacing w:after="0" w:line="11" w:lineRule="exact"/>
        <w:rPr>
          <w:sz w:val="20"/>
          <w:szCs w:val="20"/>
          <w:color w:val="auto"/>
        </w:rPr>
      </w:pPr>
    </w:p>
    <w:p>
      <w:pPr>
        <w:spacing w:after="0" w:line="331" w:lineRule="auto"/>
        <w:rPr>
          <w:sz w:val="20"/>
          <w:szCs w:val="20"/>
          <w:color w:val="auto"/>
        </w:rPr>
      </w:pPr>
      <w:r>
        <w:rPr>
          <w:rFonts w:ascii="Arial" w:cs="Arial" w:eastAsia="Arial" w:hAnsi="Arial"/>
          <w:sz w:val="19"/>
          <w:szCs w:val="19"/>
          <w:color w:val="auto"/>
        </w:rPr>
        <w:t>If the corporation issues any class o shares with special rights other than privileged voting rights, further share with special rights that are to be gra preferential rights over an existing cl of shares with special rights may onl be issued, subject to the Articles of Association providing otherwise, wit the approval of the majority of all shareholders voting at a shareholde meeting, whether in person or by pr who hold any class of shares whose rights would be prejudicially affected the issuance of the new shares with special rights ranking superior to the A resolution of the shareholders' meeting adopted by at least two thir of the represented share votes is required for the amendment of the Articles of Association to create, var delete any special rights or restrictio attached to the shares of any class series of shares according to the Articles of Association of the Compa</w:t>
      </w:r>
    </w:p>
    <w:p>
      <w:pPr>
        <w:spacing w:after="0" w:line="200" w:lineRule="exact"/>
        <w:rPr>
          <w:sz w:val="20"/>
          <w:szCs w:val="20"/>
          <w:color w:val="auto"/>
        </w:rPr>
      </w:pPr>
    </w:p>
    <w:p>
      <w:pPr>
        <w:sectPr>
          <w:pgSz w:w="11900" w:h="16838" w:orient="portrait"/>
          <w:cols w:equalWidth="0" w:num="2">
            <w:col w:w="6800" w:space="480"/>
            <w:col w:w="318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76 / 139</w:t>
      </w:r>
    </w:p>
    <w:p>
      <w:pPr>
        <w:sectPr>
          <w:pgSz w:w="11900" w:h="16838" w:orient="portrait"/>
          <w:cols w:equalWidth="0" w:num="1">
            <w:col w:w="10460"/>
          </w:cols>
          <w:pgMar w:left="1440" w:top="1165" w:right="6" w:bottom="0" w:gutter="0" w:footer="0" w:header="0"/>
          <w:type w:val="continuous"/>
        </w:sectPr>
      </w:pPr>
    </w:p>
    <w:bookmarkStart w:id="305" w:name="page306"/>
    <w:bookmarkEnd w:id="3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360" w:hanging="4461"/>
        <w:spacing w:after="0" w:line="307" w:lineRule="auto"/>
        <w:rPr>
          <w:sz w:val="20"/>
          <w:szCs w:val="20"/>
          <w:color w:val="auto"/>
        </w:rPr>
      </w:pPr>
      <w:r>
        <w:rPr>
          <w:rFonts w:ascii="Arial" w:cs="Arial" w:eastAsia="Arial" w:hAnsi="Arial"/>
          <w:sz w:val="20"/>
          <w:szCs w:val="20"/>
          <w:b w:val="1"/>
          <w:bCs w:val="1"/>
          <w:color w:val="auto"/>
        </w:rPr>
        <w:t>SUMMARY COMPARISON OF MATERIAL SHAREHOLDER RIGHTS UNDER BRITISH COLUMBIA LAW SWISS LAW</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color w:val="auto"/>
        </w:rPr>
        <w:t>Set forth below is a comparison of certain shareholder rights under British Columbia law and Swiss law:</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Comparison of</w:t>
      </w:r>
    </w:p>
    <w:p>
      <w:pPr>
        <w:spacing w:after="0" w:line="72" w:lineRule="exact"/>
        <w:rPr>
          <w:sz w:val="20"/>
          <w:szCs w:val="20"/>
          <w:color w:val="auto"/>
        </w:rPr>
      </w:pPr>
    </w:p>
    <w:p>
      <w:pPr>
        <w:ind w:left="900"/>
        <w:spacing w:after="0"/>
        <w:tabs>
          <w:tab w:leader="none" w:pos="3200" w:val="left"/>
        </w:tabs>
        <w:rPr>
          <w:sz w:val="20"/>
          <w:szCs w:val="20"/>
          <w:color w:val="auto"/>
        </w:rPr>
      </w:pPr>
      <w:r>
        <w:rPr>
          <w:rFonts w:ascii="Arial" w:cs="Arial" w:eastAsia="Arial" w:hAnsi="Arial"/>
          <w:sz w:val="20"/>
          <w:szCs w:val="20"/>
          <w:b w:val="1"/>
          <w:bCs w:val="1"/>
          <w:color w:val="auto"/>
        </w:rPr>
        <w:t>Shareholder Rights</w:t>
      </w:r>
      <w:r>
        <w:rPr>
          <w:sz w:val="20"/>
          <w:szCs w:val="20"/>
          <w:color w:val="auto"/>
        </w:rPr>
        <w:tab/>
      </w:r>
      <w:r>
        <w:rPr>
          <w:rFonts w:ascii="Arial" w:cs="Arial" w:eastAsia="Arial" w:hAnsi="Arial"/>
          <w:sz w:val="19"/>
          <w:szCs w:val="19"/>
          <w:b w:val="1"/>
          <w:bCs w:val="1"/>
          <w:color w:val="auto"/>
        </w:rPr>
        <w:t>British Columbia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26035</wp:posOffset>
            </wp:positionV>
            <wp:extent cx="3904615" cy="63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89">
                      <a:extLst>
                        <a:ext uri="{28A0092B-C50C-407E-A947-70E740481C1C}"/>
                      </a:extLst>
                    </a:blip>
                    <a:srcRect/>
                    <a:stretch>
                      <a:fillRect/>
                    </a:stretch>
                  </pic:blipFill>
                  <pic:spPr bwMode="auto">
                    <a:xfrm>
                      <a:off x="0" y="0"/>
                      <a:ext cx="3904615" cy="6350"/>
                    </a:xfrm>
                    <a:prstGeom prst="rect">
                      <a:avLst/>
                    </a:prstGeom>
                    <a:noFill/>
                  </pic:spPr>
                </pic:pic>
              </a:graphicData>
            </a:graphic>
          </wp:anchor>
        </w:drawing>
      </w:r>
    </w:p>
    <w:p>
      <w:pPr>
        <w:spacing w:after="0" w:line="243" w:lineRule="exact"/>
        <w:rPr>
          <w:sz w:val="20"/>
          <w:szCs w:val="20"/>
          <w:color w:val="auto"/>
        </w:rPr>
      </w:pPr>
    </w:p>
    <w:p>
      <w:pPr>
        <w:ind w:left="900"/>
        <w:spacing w:after="0"/>
        <w:tabs>
          <w:tab w:leader="none" w:pos="3200" w:val="left"/>
        </w:tabs>
        <w:rPr>
          <w:sz w:val="20"/>
          <w:szCs w:val="20"/>
          <w:color w:val="auto"/>
        </w:rPr>
      </w:pPr>
      <w:r>
        <w:rPr>
          <w:rFonts w:ascii="Arial" w:cs="Arial" w:eastAsia="Arial" w:hAnsi="Arial"/>
          <w:sz w:val="20"/>
          <w:szCs w:val="20"/>
          <w:b w:val="1"/>
          <w:bCs w:val="1"/>
          <w:i w:val="1"/>
          <w:iCs w:val="1"/>
          <w:color w:val="auto"/>
        </w:rPr>
        <w:t>Capitalization</w:t>
      </w:r>
      <w:r>
        <w:rPr>
          <w:sz w:val="20"/>
          <w:szCs w:val="20"/>
          <w:color w:val="auto"/>
        </w:rPr>
        <w:tab/>
      </w:r>
      <w:r>
        <w:rPr>
          <w:rFonts w:ascii="Arial" w:cs="Arial" w:eastAsia="Arial" w:hAnsi="Arial"/>
          <w:sz w:val="20"/>
          <w:szCs w:val="20"/>
          <w:color w:val="auto"/>
        </w:rPr>
        <w:t>BCBCA permits the authorized share</w:t>
      </w:r>
    </w:p>
    <w:p>
      <w:pPr>
        <w:spacing w:after="0" w:line="79" w:lineRule="exact"/>
        <w:rPr>
          <w:sz w:val="20"/>
          <w:szCs w:val="20"/>
          <w:color w:val="auto"/>
        </w:rPr>
      </w:pPr>
    </w:p>
    <w:p>
      <w:pPr>
        <w:ind w:left="3220"/>
        <w:spacing w:after="0" w:line="313" w:lineRule="auto"/>
        <w:rPr>
          <w:sz w:val="20"/>
          <w:szCs w:val="20"/>
          <w:color w:val="auto"/>
        </w:rPr>
      </w:pPr>
      <w:r>
        <w:rPr>
          <w:rFonts w:ascii="Arial" w:cs="Arial" w:eastAsia="Arial" w:hAnsi="Arial"/>
          <w:sz w:val="20"/>
          <w:szCs w:val="20"/>
          <w:color w:val="auto"/>
        </w:rPr>
        <w:t>capital of a company to include the issuance of an unlimited number of Shares without nominal/par value. Under the BCBCA, a share must not be issued until it is fully 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Swiss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2109470" cy="63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0">
                      <a:extLst>
                        <a:ext uri="{28A0092B-C50C-407E-A947-70E740481C1C}"/>
                      </a:extLst>
                    </a:blip>
                    <a:srcRect/>
                    <a:stretch>
                      <a:fillRect/>
                    </a:stretch>
                  </pic:blipFill>
                  <pic:spPr bwMode="auto">
                    <a:xfrm>
                      <a:off x="0" y="0"/>
                      <a:ext cx="2109470" cy="6350"/>
                    </a:xfrm>
                    <a:prstGeom prst="rect">
                      <a:avLst/>
                    </a:prstGeom>
                    <a:noFill/>
                  </pic:spPr>
                </pic:pic>
              </a:graphicData>
            </a:graphic>
          </wp:anchor>
        </w:drawing>
      </w:r>
    </w:p>
    <w:p>
      <w:pPr>
        <w:spacing w:after="0" w:line="250"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 xml:space="preserve">Under the </w:t>
      </w:r>
      <w:r>
        <w:rPr>
          <w:rFonts w:ascii="Arial" w:cs="Arial" w:eastAsia="Arial" w:hAnsi="Arial"/>
          <w:sz w:val="20"/>
          <w:szCs w:val="20"/>
          <w:i w:val="1"/>
          <w:iCs w:val="1"/>
          <w:color w:val="auto"/>
        </w:rPr>
        <w:t>Swiss Code of Obligations.</w:t>
      </w:r>
      <w:r>
        <w:rPr>
          <w:rFonts w:ascii="Arial" w:cs="Arial" w:eastAsia="Arial" w:hAnsi="Arial"/>
          <w:sz w:val="20"/>
          <w:szCs w:val="20"/>
          <w:color w:val="auto"/>
        </w:rPr>
        <w:t xml:space="preserve"> shares must be ascribed a nominal/p value greater than zero.</w:t>
      </w:r>
    </w:p>
    <w:p>
      <w:pPr>
        <w:spacing w:after="0" w:line="132" w:lineRule="exact"/>
        <w:rPr>
          <w:sz w:val="20"/>
          <w:szCs w:val="20"/>
          <w:color w:val="auto"/>
        </w:rPr>
      </w:pPr>
    </w:p>
    <w:p>
      <w:pPr>
        <w:spacing w:after="0" w:line="331" w:lineRule="auto"/>
        <w:rPr>
          <w:sz w:val="20"/>
          <w:szCs w:val="20"/>
          <w:color w:val="auto"/>
        </w:rPr>
      </w:pPr>
      <w:r>
        <w:rPr>
          <w:rFonts w:ascii="Arial" w:cs="Arial" w:eastAsia="Arial" w:hAnsi="Arial"/>
          <w:sz w:val="19"/>
          <w:szCs w:val="19"/>
          <w:color w:val="auto"/>
        </w:rPr>
        <w:t xml:space="preserve">As a basic rule, the share capital of a Swiss share corporation may only be increased or decreased if the shareho approve such a change in the share capital. However, the Board may be authorized, in accordance with a corporation's Articles of Association, t alter the share capital in two ways wit needing further authorization from shareholders - namely, in the form of capital band and conditional capital, i each case, See </w:t>
      </w:r>
      <w:r>
        <w:rPr>
          <w:rFonts w:ascii="Arial" w:cs="Arial" w:eastAsia="Arial" w:hAnsi="Arial"/>
          <w:sz w:val="19"/>
          <w:szCs w:val="19"/>
          <w:i w:val="1"/>
          <w:iCs w:val="1"/>
          <w:color w:val="auto"/>
        </w:rPr>
        <w:t>“Item 10 – Memorand</w:t>
      </w:r>
      <w:r>
        <w:rPr>
          <w:rFonts w:ascii="Arial" w:cs="Arial" w:eastAsia="Arial" w:hAnsi="Arial"/>
          <w:sz w:val="19"/>
          <w:szCs w:val="19"/>
          <w:color w:val="auto"/>
        </w:rPr>
        <w:t xml:space="preserve"> </w:t>
      </w:r>
      <w:r>
        <w:rPr>
          <w:rFonts w:ascii="Arial" w:cs="Arial" w:eastAsia="Arial" w:hAnsi="Arial"/>
          <w:sz w:val="19"/>
          <w:szCs w:val="19"/>
          <w:i w:val="1"/>
          <w:iCs w:val="1"/>
          <w:color w:val="auto"/>
        </w:rPr>
        <w:t>and Articles of Incorporation - Differen From Requirements In The United St Creation and issuance of new shares.</w:t>
      </w:r>
    </w:p>
    <w:p>
      <w:pPr>
        <w:spacing w:after="0" w:line="200" w:lineRule="exact"/>
        <w:rPr>
          <w:sz w:val="20"/>
          <w:szCs w:val="20"/>
          <w:color w:val="auto"/>
        </w:rPr>
      </w:pPr>
    </w:p>
    <w:p>
      <w:pPr>
        <w:sectPr>
          <w:pgSz w:w="11900" w:h="16838" w:orient="portrait"/>
          <w:cols w:equalWidth="0" w:num="2">
            <w:col w:w="7000" w:space="140"/>
            <w:col w:w="332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77 / 139</w:t>
      </w:r>
    </w:p>
    <w:p>
      <w:pPr>
        <w:sectPr>
          <w:pgSz w:w="11900" w:h="16838" w:orient="portrait"/>
          <w:cols w:equalWidth="0" w:num="1">
            <w:col w:w="10460"/>
          </w:cols>
          <w:pgMar w:left="1440" w:top="1440" w:right="6" w:bottom="0" w:gutter="0" w:footer="0" w:header="0"/>
          <w:type w:val="continuous"/>
        </w:sectPr>
      </w:pPr>
    </w:p>
    <w:bookmarkStart w:id="306" w:name="page307"/>
    <w:bookmarkEnd w:id="306"/>
    <w:p>
      <w:pPr>
        <w:ind w:left="900"/>
        <w:spacing w:after="0"/>
        <w:tabs>
          <w:tab w:leader="none" w:pos="3200" w:val="left"/>
        </w:tabs>
        <w:rPr>
          <w:sz w:val="20"/>
          <w:szCs w:val="20"/>
          <w:color w:val="auto"/>
        </w:rPr>
      </w:pPr>
      <w:r>
        <w:rPr>
          <w:rFonts w:ascii="Arial" w:cs="Arial" w:eastAsia="Arial" w:hAnsi="Arial"/>
          <w:sz w:val="20"/>
          <w:szCs w:val="20"/>
          <w:b w:val="1"/>
          <w:bCs w:val="1"/>
          <w:i w:val="1"/>
          <w:iCs w:val="1"/>
          <w:color w:val="auto"/>
        </w:rPr>
        <w:t>Consideration for</w:t>
      </w:r>
      <w:r>
        <w:rPr>
          <w:sz w:val="20"/>
          <w:szCs w:val="20"/>
          <w:color w:val="auto"/>
        </w:rPr>
        <w:tab/>
      </w:r>
      <w:r>
        <w:rPr>
          <w:rFonts w:ascii="Arial" w:cs="Arial" w:eastAsia="Arial" w:hAnsi="Arial"/>
          <w:sz w:val="19"/>
          <w:szCs w:val="19"/>
          <w:color w:val="auto"/>
        </w:rPr>
        <w:t>The BCBCA provides that a share shall not</w:t>
      </w:r>
    </w:p>
    <w:p>
      <w:pPr>
        <w:spacing w:after="0" w:line="79" w:lineRule="exact"/>
        <w:rPr>
          <w:sz w:val="20"/>
          <w:szCs w:val="20"/>
          <w:color w:val="auto"/>
        </w:rPr>
      </w:pPr>
    </w:p>
    <w:p>
      <w:pPr>
        <w:ind w:left="3220" w:right="160" w:hanging="2319"/>
        <w:spacing w:after="0" w:line="333" w:lineRule="auto"/>
        <w:tabs>
          <w:tab w:leader="none" w:pos="3200" w:val="left"/>
        </w:tabs>
        <w:rPr>
          <w:sz w:val="20"/>
          <w:szCs w:val="20"/>
          <w:color w:val="auto"/>
        </w:rPr>
      </w:pPr>
      <w:r>
        <w:rPr>
          <w:rFonts w:ascii="Arial" w:cs="Arial" w:eastAsia="Arial" w:hAnsi="Arial"/>
          <w:sz w:val="19"/>
          <w:szCs w:val="19"/>
          <w:b w:val="1"/>
          <w:bCs w:val="1"/>
          <w:i w:val="1"/>
          <w:iCs w:val="1"/>
          <w:color w:val="auto"/>
        </w:rPr>
        <w:t>Shares</w:t>
      </w:r>
      <w:r>
        <w:rPr>
          <w:sz w:val="20"/>
          <w:szCs w:val="20"/>
          <w:color w:val="auto"/>
        </w:rPr>
        <w:tab/>
      </w:r>
      <w:r>
        <w:rPr>
          <w:rFonts w:ascii="Arial" w:cs="Arial" w:eastAsia="Arial" w:hAnsi="Arial"/>
          <w:sz w:val="19"/>
          <w:szCs w:val="19"/>
          <w:color w:val="auto"/>
        </w:rPr>
        <w:t>be issued until the consideration for that share is fully paid in money or in property or past services that are not less in value than the issue price for the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6254115</wp:posOffset>
            </wp:positionV>
            <wp:extent cx="6764020" cy="190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i w:val="1"/>
          <w:iCs w:val="1"/>
          <w:color w:val="auto"/>
        </w:rPr>
        <w:t>Swiss Code of Obligations</w:t>
      </w:r>
      <w:r>
        <w:rPr>
          <w:rFonts w:ascii="Arial" w:cs="Arial" w:eastAsia="Arial" w:hAnsi="Arial"/>
          <w:sz w:val="19"/>
          <w:szCs w:val="19"/>
          <w:color w:val="auto"/>
        </w:rPr>
        <w:t xml:space="preserve"> gener does allow for the issuance of shares are only partly paid (with a minimum 2 of the nominal/par value to be paid-in </w:t>
      </w:r>
      <w:r>
        <w:rPr>
          <w:rFonts w:ascii="Arial" w:cs="Arial" w:eastAsia="Arial" w:hAnsi="Arial"/>
          <w:sz w:val="19"/>
          <w:szCs w:val="19"/>
          <w:i w:val="1"/>
          <w:iCs w:val="1"/>
          <w:color w:val="auto"/>
        </w:rPr>
        <w:t xml:space="preserve">Swiss Code of Obligations </w:t>
      </w:r>
      <w:r>
        <w:rPr>
          <w:rFonts w:ascii="Arial" w:cs="Arial" w:eastAsia="Arial" w:hAnsi="Arial"/>
          <w:sz w:val="19"/>
          <w:szCs w:val="19"/>
          <w:color w:val="auto"/>
        </w:rPr>
        <w:t>provides th</w:t>
      </w:r>
      <w:r>
        <w:rPr>
          <w:rFonts w:ascii="Arial" w:cs="Arial" w:eastAsia="Arial" w:hAnsi="Arial"/>
          <w:sz w:val="19"/>
          <w:szCs w:val="19"/>
          <w:i w:val="1"/>
          <w:iCs w:val="1"/>
          <w:color w:val="auto"/>
        </w:rPr>
        <w:t xml:space="preserve"> </w:t>
      </w:r>
      <w:r>
        <w:rPr>
          <w:rFonts w:ascii="Arial" w:cs="Arial" w:eastAsia="Arial" w:hAnsi="Arial"/>
          <w:sz w:val="19"/>
          <w:szCs w:val="19"/>
          <w:color w:val="auto"/>
        </w:rPr>
        <w:t>the issue price of newly issued shares capital increase must be settled in ca way of a contribution-in-kind, by set-o with a claim or by conversion of freely disposable equity capital, except whe shares are granted as a result of the exercise of a convertible security, in w case payment may not be made via contribution-in-kind or conversion of fr disposable equity capital. When implementing share capital increases, Board must issue a capital increase r When the issue price is paid through contribution-in-kind, by a set-off with a claim or by conversion of freely dispo equity capital, the Board is required to disclose in such report the nature and condition of the contribution-in-kind, t existence of the claim and the free disposability of the equity capital converted, as applicable. An auditor's confirmation is required in certain cas ensure the completeness and accura the capital increase report. The Board Swiss share company also may not is shares in consideration for a price tha not in the best interests of such comp</w:t>
      </w:r>
    </w:p>
    <w:p>
      <w:pPr>
        <w:spacing w:after="0" w:line="200" w:lineRule="exact"/>
        <w:rPr>
          <w:sz w:val="20"/>
          <w:szCs w:val="20"/>
          <w:color w:val="auto"/>
        </w:rPr>
      </w:pPr>
    </w:p>
    <w:p>
      <w:pPr>
        <w:sectPr>
          <w:pgSz w:w="11900" w:h="16838" w:orient="portrait"/>
          <w:cols w:equalWidth="0" w:num="2">
            <w:col w:w="7020" w:space="120"/>
            <w:col w:w="332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78 / 139</w:t>
      </w:r>
    </w:p>
    <w:p>
      <w:pPr>
        <w:sectPr>
          <w:pgSz w:w="11900" w:h="16838" w:orient="portrait"/>
          <w:cols w:equalWidth="0" w:num="1">
            <w:col w:w="10460"/>
          </w:cols>
          <w:pgMar w:left="1440" w:top="1165" w:right="6" w:bottom="0" w:gutter="0" w:footer="0" w:header="0"/>
          <w:type w:val="continuous"/>
        </w:sectPr>
      </w:pPr>
    </w:p>
    <w:bookmarkStart w:id="307" w:name="page308"/>
    <w:bookmarkEnd w:id="3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00"/>
        <w:spacing w:after="0"/>
        <w:tabs>
          <w:tab w:leader="none" w:pos="3200" w:val="left"/>
        </w:tabs>
        <w:rPr>
          <w:sz w:val="20"/>
          <w:szCs w:val="20"/>
          <w:color w:val="auto"/>
        </w:rPr>
      </w:pPr>
      <w:r>
        <w:rPr>
          <w:rFonts w:ascii="Arial" w:cs="Arial" w:eastAsia="Arial" w:hAnsi="Arial"/>
          <w:sz w:val="20"/>
          <w:szCs w:val="20"/>
          <w:b w:val="1"/>
          <w:bCs w:val="1"/>
          <w:i w:val="1"/>
          <w:iCs w:val="1"/>
          <w:color w:val="auto"/>
        </w:rPr>
        <w:t>Amendment of</w:t>
      </w:r>
      <w:r>
        <w:rPr>
          <w:sz w:val="20"/>
          <w:szCs w:val="20"/>
          <w:color w:val="auto"/>
        </w:rPr>
        <w:tab/>
      </w:r>
      <w:r>
        <w:rPr>
          <w:rFonts w:ascii="Arial" w:cs="Arial" w:eastAsia="Arial" w:hAnsi="Arial"/>
          <w:sz w:val="19"/>
          <w:szCs w:val="19"/>
          <w:color w:val="auto"/>
        </w:rPr>
        <w:t>The BCBCA requires that any substantive</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 xml:space="preserve">Constating Documents </w:t>
      </w:r>
      <w:r>
        <w:rPr>
          <w:rFonts w:ascii="Arial" w:cs="Arial" w:eastAsia="Arial" w:hAnsi="Arial"/>
          <w:sz w:val="20"/>
          <w:szCs w:val="20"/>
          <w:color w:val="auto"/>
        </w:rPr>
        <w:t>change to the notice of articles or articles</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(such as, without limitation, an alteration of</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the restrictions of the business carried on</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by the company, a change in the name of</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the company, a continuation of a company</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under a new jurisdiction, an increase or</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reduction of the stated capital of the</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company or other changes to the</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restrictions and rights attached to shares),</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requires the type of resolution specified in</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the BCBCA, failing which specification, the</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type of resolution specified in the</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company's articles. If neither the BCBCA</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nor articles specify the type of resolution</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required for such a change, a special</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resolution passed by at least two-thirds of</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the votes cast by shareholders voting in</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person or by proxy at a meeting of</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shareholders is required. Where certain</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specified rights of the holders of a class or</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series of shares are affected differently by</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the alteration than the rights of the holders</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of other classes or series of shares, a</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special separate resolution passed by not</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less than two-thirds of the votes cast by</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the holders of shares of each class or</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series, whether or not they are otherwise</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entitled to vote is required under the</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BCBCA.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311" w:lineRule="auto"/>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i w:val="1"/>
          <w:iCs w:val="1"/>
          <w:color w:val="auto"/>
        </w:rPr>
        <w:t>“Differences From Requirements</w:t>
      </w:r>
      <w:r>
        <w:rPr>
          <w:rFonts w:ascii="Arial" w:cs="Arial" w:eastAsia="Arial" w:hAnsi="Arial"/>
          <w:sz w:val="20"/>
          <w:szCs w:val="20"/>
          <w:color w:val="auto"/>
        </w:rPr>
        <w:t xml:space="preserve"> </w:t>
      </w:r>
      <w:r>
        <w:rPr>
          <w:rFonts w:ascii="Arial" w:cs="Arial" w:eastAsia="Arial" w:hAnsi="Arial"/>
          <w:sz w:val="20"/>
          <w:szCs w:val="20"/>
          <w:i w:val="1"/>
          <w:iCs w:val="1"/>
          <w:color w:val="auto"/>
        </w:rPr>
        <w:t>The United States – Swiss Law - Amendments to the Charter.”</w:t>
      </w:r>
    </w:p>
    <w:p>
      <w:pPr>
        <w:spacing w:after="0" w:line="8282" w:lineRule="exact"/>
        <w:rPr>
          <w:sz w:val="20"/>
          <w:szCs w:val="20"/>
          <w:color w:val="auto"/>
        </w:rPr>
      </w:pPr>
    </w:p>
    <w:p>
      <w:pPr>
        <w:sectPr>
          <w:pgSz w:w="11900" w:h="16838" w:orient="portrait"/>
          <w:cols w:equalWidth="0" w:num="2">
            <w:col w:w="7000" w:space="140"/>
            <w:col w:w="332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79 / 139</w:t>
      </w:r>
    </w:p>
    <w:p>
      <w:pPr>
        <w:sectPr>
          <w:pgSz w:w="11900" w:h="16838" w:orient="portrait"/>
          <w:cols w:equalWidth="0" w:num="1">
            <w:col w:w="10460"/>
          </w:cols>
          <w:pgMar w:left="1440" w:top="1440" w:right="6" w:bottom="0" w:gutter="0" w:footer="0" w:header="0"/>
          <w:type w:val="continuous"/>
        </w:sectPr>
      </w:pPr>
    </w:p>
    <w:bookmarkStart w:id="308" w:name="page309"/>
    <w:bookmarkEnd w:id="308"/>
    <w:p>
      <w:pPr>
        <w:spacing w:after="0" w:line="7" w:lineRule="exact"/>
        <w:rPr>
          <w:sz w:val="20"/>
          <w:szCs w:val="20"/>
          <w:color w:val="auto"/>
        </w:rPr>
      </w:pPr>
    </w:p>
    <w:p>
      <w:pPr>
        <w:ind w:left="900" w:right="80"/>
        <w:spacing w:after="0" w:line="311" w:lineRule="auto"/>
        <w:rPr>
          <w:sz w:val="20"/>
          <w:szCs w:val="20"/>
          <w:color w:val="auto"/>
        </w:rPr>
      </w:pPr>
      <w:r>
        <w:rPr>
          <w:rFonts w:ascii="Arial" w:cs="Arial" w:eastAsia="Arial" w:hAnsi="Arial"/>
          <w:sz w:val="20"/>
          <w:szCs w:val="20"/>
          <w:b w:val="1"/>
          <w:bCs w:val="1"/>
          <w:i w:val="1"/>
          <w:iCs w:val="1"/>
          <w:color w:val="auto"/>
        </w:rPr>
        <w:t xml:space="preserve">Vote Required for </w:t>
      </w:r>
      <w:r>
        <w:rPr>
          <w:rFonts w:ascii="Arial" w:cs="Arial" w:eastAsia="Arial" w:hAnsi="Arial"/>
          <w:sz w:val="20"/>
          <w:szCs w:val="20"/>
          <w:color w:val="auto"/>
        </w:rPr>
        <w:t>Under the BCBCA, most corporate actions</w:t>
      </w:r>
      <w:r>
        <w:rPr>
          <w:rFonts w:ascii="Arial" w:cs="Arial" w:eastAsia="Arial" w:hAnsi="Arial"/>
          <w:sz w:val="20"/>
          <w:szCs w:val="20"/>
          <w:b w:val="1"/>
          <w:bCs w:val="1"/>
          <w:i w:val="1"/>
          <w:iCs w:val="1"/>
          <w:color w:val="auto"/>
        </w:rPr>
        <w:t xml:space="preserve"> Certain Transactions </w:t>
      </w:r>
      <w:r>
        <w:rPr>
          <w:rFonts w:ascii="Arial" w:cs="Arial" w:eastAsia="Arial" w:hAnsi="Arial"/>
          <w:sz w:val="20"/>
          <w:szCs w:val="20"/>
          <w:color w:val="auto"/>
        </w:rPr>
        <w:t>to be approved by shareholders can be</w:t>
      </w:r>
      <w:r>
        <w:rPr>
          <w:rFonts w:ascii="Arial" w:cs="Arial" w:eastAsia="Arial" w:hAnsi="Arial"/>
          <w:sz w:val="20"/>
          <w:szCs w:val="20"/>
          <w:b w:val="1"/>
          <w:bCs w:val="1"/>
          <w:i w:val="1"/>
          <w:iCs w:val="1"/>
          <w:color w:val="auto"/>
        </w:rPr>
        <w:t xml:space="preserve"> and Corporate Actions </w:t>
      </w:r>
      <w:r>
        <w:rPr>
          <w:rFonts w:ascii="Arial" w:cs="Arial" w:eastAsia="Arial" w:hAnsi="Arial"/>
          <w:sz w:val="20"/>
          <w:szCs w:val="20"/>
          <w:color w:val="auto"/>
        </w:rPr>
        <w:t>approved by an ordinary resolution.</w:t>
      </w:r>
    </w:p>
    <w:p>
      <w:pPr>
        <w:spacing w:after="0" w:line="12" w:lineRule="exact"/>
        <w:rPr>
          <w:sz w:val="20"/>
          <w:szCs w:val="20"/>
          <w:color w:val="auto"/>
        </w:rPr>
      </w:pPr>
    </w:p>
    <w:p>
      <w:pPr>
        <w:ind w:left="3220"/>
        <w:spacing w:after="0" w:line="314" w:lineRule="auto"/>
        <w:rPr>
          <w:sz w:val="20"/>
          <w:szCs w:val="20"/>
          <w:color w:val="auto"/>
        </w:rPr>
      </w:pPr>
      <w:r>
        <w:rPr>
          <w:rFonts w:ascii="Arial" w:cs="Arial" w:eastAsia="Arial" w:hAnsi="Arial"/>
          <w:sz w:val="20"/>
          <w:szCs w:val="20"/>
          <w:color w:val="auto"/>
        </w:rPr>
        <w:t>However, certain extraordinary corporate actions, such as certain amalgamations, continuations, amendments to charter documents (as discussed above), sales, leases or other dispositions of all or substantially all of a company's undertaking other than in the ordinary course of business, and other extraordinary corporate actions such as liquidations, and (if ordered by a court) arrangements, are required to be approved by a special resolution of not less than two-thirds of the votes cast by shareholders voting in person or by proxy at a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3390900</wp:posOffset>
            </wp:positionV>
            <wp:extent cx="6764020" cy="190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 xml:space="preserve">Under the </w:t>
      </w:r>
      <w:r>
        <w:rPr>
          <w:rFonts w:ascii="Arial" w:cs="Arial" w:eastAsia="Arial" w:hAnsi="Arial"/>
          <w:sz w:val="20"/>
          <w:szCs w:val="20"/>
          <w:i w:val="1"/>
          <w:iCs w:val="1"/>
          <w:color w:val="auto"/>
        </w:rPr>
        <w:t>Swiss Code of</w:t>
      </w:r>
    </w:p>
    <w:p>
      <w:pPr>
        <w:spacing w:after="0" w:line="79" w:lineRule="exact"/>
        <w:rPr>
          <w:sz w:val="20"/>
          <w:szCs w:val="20"/>
          <w:color w:val="auto"/>
        </w:rPr>
      </w:pPr>
    </w:p>
    <w:p>
      <w:pPr>
        <w:spacing w:after="0" w:line="331" w:lineRule="auto"/>
        <w:rPr>
          <w:sz w:val="20"/>
          <w:szCs w:val="20"/>
          <w:color w:val="auto"/>
        </w:rPr>
      </w:pPr>
      <w:r>
        <w:rPr>
          <w:rFonts w:ascii="Arial" w:cs="Arial" w:eastAsia="Arial" w:hAnsi="Arial"/>
          <w:sz w:val="19"/>
          <w:szCs w:val="19"/>
          <w:i w:val="1"/>
          <w:iCs w:val="1"/>
          <w:color w:val="auto"/>
        </w:rPr>
        <w:t>Obligations</w:t>
      </w:r>
      <w:r>
        <w:rPr>
          <w:rFonts w:ascii="Arial" w:cs="Arial" w:eastAsia="Arial" w:hAnsi="Arial"/>
          <w:sz w:val="19"/>
          <w:szCs w:val="19"/>
          <w:color w:val="auto"/>
        </w:rPr>
        <w:t>, most decisions or actions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requiring approval by shareholders w require a resolution passed by a majo the votes of shareholders present at t shareholders' meeting. However, som matters that impact the structure, operations, or financial status of a Sw share company - such as, among oth things, changing the company's purpo the merging of shares, certain capital increases, limiting or withdrawing a subscription right, introducing a condi capital or capital band, creating share with privileged voting rights, changing currency of the share capital, delisting equity securities, transferring the registered office of a company and th dissolution of a company - require an Important Resolution. Resolutions on mergers, demergers, or conversions governed by the </w:t>
      </w:r>
      <w:r>
        <w:rPr>
          <w:rFonts w:ascii="Arial" w:cs="Arial" w:eastAsia="Arial" w:hAnsi="Arial"/>
          <w:sz w:val="19"/>
          <w:szCs w:val="19"/>
          <w:i w:val="1"/>
          <w:iCs w:val="1"/>
          <w:color w:val="auto"/>
        </w:rPr>
        <w:t>Swiss Merger Act</w:t>
      </w:r>
      <w:r>
        <w:rPr>
          <w:rFonts w:ascii="Arial" w:cs="Arial" w:eastAsia="Arial" w:hAnsi="Arial"/>
          <w:sz w:val="19"/>
          <w:szCs w:val="19"/>
          <w:color w:val="auto"/>
        </w:rPr>
        <w:t>, a generally require an Important Resolu (with certain exceptions for transactio within group companies). In addition, under Swiss law, the sale of "all or substantially all of its assets" by the corporation may require an Important Resolution depending on the particula transaction, including whether the</w:t>
      </w:r>
    </w:p>
    <w:p>
      <w:pPr>
        <w:spacing w:after="0" w:line="200" w:lineRule="exact"/>
        <w:rPr>
          <w:sz w:val="20"/>
          <w:szCs w:val="20"/>
          <w:color w:val="auto"/>
        </w:rPr>
      </w:pPr>
    </w:p>
    <w:p>
      <w:pPr>
        <w:sectPr>
          <w:pgSz w:w="11900" w:h="16838" w:orient="portrait"/>
          <w:cols w:equalWidth="0" w:num="2">
            <w:col w:w="7040" w:space="100"/>
            <w:col w:w="332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80 / 139</w:t>
      </w:r>
    </w:p>
    <w:p>
      <w:pPr>
        <w:sectPr>
          <w:pgSz w:w="11900" w:h="16838" w:orient="portrait"/>
          <w:cols w:equalWidth="0" w:num="1">
            <w:col w:w="10460"/>
          </w:cols>
          <w:pgMar w:left="1440" w:top="1165" w:right="6" w:bottom="0" w:gutter="0" w:footer="0" w:header="0"/>
          <w:type w:val="continuous"/>
        </w:sectPr>
      </w:pPr>
    </w:p>
    <w:bookmarkStart w:id="309" w:name="page310"/>
    <w:bookmarkEnd w:id="3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following test is satisfied: (i) the corpo</w:t>
      </w:r>
    </w:p>
    <w:p>
      <w:pPr>
        <w:spacing w:after="0" w:line="76"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sells a core part of its business, witho</w:t>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which it is economically impracticable</w:t>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unreasonable to continue to operate t</w:t>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remaining business; (ii) corporation's</w:t>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assets, after the divestment, are not</w:t>
      </w:r>
    </w:p>
    <w:p>
      <w:pPr>
        <w:spacing w:after="0" w:line="79"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invested in accordance with its statuto</w:t>
      </w:r>
    </w:p>
    <w:p>
      <w:pPr>
        <w:spacing w:after="0" w:line="83"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business purpose; and (iii) the procee</w:t>
      </w:r>
    </w:p>
    <w:p>
      <w:pPr>
        <w:spacing w:after="0" w:line="76"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the divestment are not earmarked for</w:t>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reinvestment in accordance with the</w:t>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corporation's business purpose but,</w:t>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instead, are intended for distribution t</w:t>
      </w:r>
    </w:p>
    <w:p>
      <w:pPr>
        <w:spacing w:after="0" w:line="79"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shareholders or for financial investme</w:t>
      </w:r>
    </w:p>
    <w:p>
      <w:pPr>
        <w:spacing w:after="0" w:line="83"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unrelated to the corporation's busines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81 / 139</w:t>
      </w:r>
    </w:p>
    <w:p>
      <w:pPr>
        <w:sectPr>
          <w:pgSz w:w="11900" w:h="16838" w:orient="portrait"/>
          <w:cols w:equalWidth="0" w:num="1">
            <w:col w:w="10460"/>
          </w:cols>
          <w:pgMar w:left="1440" w:top="1440" w:right="6" w:bottom="0" w:gutter="0" w:footer="0" w:header="0"/>
          <w:type w:val="continuous"/>
        </w:sectPr>
      </w:pPr>
    </w:p>
    <w:bookmarkStart w:id="310" w:name="page311"/>
    <w:bookmarkEnd w:id="310"/>
    <w:p>
      <w:pPr>
        <w:ind w:left="900"/>
        <w:spacing w:after="0"/>
        <w:tabs>
          <w:tab w:leader="none" w:pos="3200" w:val="left"/>
        </w:tabs>
        <w:rPr>
          <w:sz w:val="20"/>
          <w:szCs w:val="20"/>
          <w:color w:val="auto"/>
        </w:rPr>
      </w:pPr>
      <w:r>
        <w:rPr>
          <w:rFonts w:ascii="Arial" w:cs="Arial" w:eastAsia="Arial" w:hAnsi="Arial"/>
          <w:sz w:val="20"/>
          <w:szCs w:val="20"/>
          <w:b w:val="1"/>
          <w:bCs w:val="1"/>
          <w:i w:val="1"/>
          <w:iCs w:val="1"/>
          <w:color w:val="auto"/>
        </w:rPr>
        <w:t>Issuance of Options</w:t>
      </w:r>
      <w:r>
        <w:rPr>
          <w:sz w:val="20"/>
          <w:szCs w:val="20"/>
          <w:color w:val="auto"/>
        </w:rPr>
        <w:tab/>
      </w:r>
      <w:r>
        <w:rPr>
          <w:rFonts w:ascii="Arial" w:cs="Arial" w:eastAsia="Arial" w:hAnsi="Arial"/>
          <w:sz w:val="19"/>
          <w:szCs w:val="19"/>
          <w:color w:val="auto"/>
        </w:rPr>
        <w:t>Under the BCBCA, the Board has the</w:t>
      </w:r>
    </w:p>
    <w:p>
      <w:pPr>
        <w:spacing w:after="0" w:line="72" w:lineRule="exact"/>
        <w:rPr>
          <w:sz w:val="20"/>
          <w:szCs w:val="20"/>
          <w:color w:val="auto"/>
        </w:rPr>
      </w:pPr>
    </w:p>
    <w:p>
      <w:pPr>
        <w:ind w:left="900"/>
        <w:spacing w:after="0"/>
        <w:tabs>
          <w:tab w:leader="none" w:pos="3200" w:val="left"/>
        </w:tabs>
        <w:rPr>
          <w:sz w:val="20"/>
          <w:szCs w:val="20"/>
          <w:color w:val="auto"/>
        </w:rPr>
      </w:pPr>
      <w:r>
        <w:rPr>
          <w:rFonts w:ascii="Arial" w:cs="Arial" w:eastAsia="Arial" w:hAnsi="Arial"/>
          <w:sz w:val="20"/>
          <w:szCs w:val="20"/>
          <w:b w:val="1"/>
          <w:bCs w:val="1"/>
          <w:i w:val="1"/>
          <w:iCs w:val="1"/>
          <w:color w:val="auto"/>
        </w:rPr>
        <w:t>and Repurchase of</w:t>
      </w:r>
      <w:r>
        <w:rPr>
          <w:sz w:val="20"/>
          <w:szCs w:val="20"/>
          <w:color w:val="auto"/>
        </w:rPr>
        <w:tab/>
      </w:r>
      <w:r>
        <w:rPr>
          <w:rFonts w:ascii="Arial" w:cs="Arial" w:eastAsia="Arial" w:hAnsi="Arial"/>
          <w:sz w:val="20"/>
          <w:szCs w:val="20"/>
          <w:color w:val="auto"/>
        </w:rPr>
        <w:t>power, subject to applicable shareholder</w:t>
      </w:r>
    </w:p>
    <w:p>
      <w:pPr>
        <w:spacing w:after="0" w:line="79" w:lineRule="exact"/>
        <w:rPr>
          <w:sz w:val="20"/>
          <w:szCs w:val="20"/>
          <w:color w:val="auto"/>
        </w:rPr>
      </w:pPr>
    </w:p>
    <w:p>
      <w:pPr>
        <w:ind w:left="900"/>
        <w:spacing w:after="0"/>
        <w:tabs>
          <w:tab w:leader="none" w:pos="3200" w:val="left"/>
        </w:tabs>
        <w:rPr>
          <w:sz w:val="20"/>
          <w:szCs w:val="20"/>
          <w:color w:val="auto"/>
        </w:rPr>
      </w:pPr>
      <w:r>
        <w:rPr>
          <w:rFonts w:ascii="Arial" w:cs="Arial" w:eastAsia="Arial" w:hAnsi="Arial"/>
          <w:sz w:val="19"/>
          <w:szCs w:val="19"/>
          <w:b w:val="1"/>
          <w:bCs w:val="1"/>
          <w:i w:val="1"/>
          <w:iCs w:val="1"/>
          <w:color w:val="auto"/>
        </w:rPr>
        <w:t>Shares</w:t>
      </w:r>
      <w:r>
        <w:rPr>
          <w:sz w:val="20"/>
          <w:szCs w:val="20"/>
          <w:color w:val="auto"/>
        </w:rPr>
        <w:tab/>
      </w:r>
      <w:r>
        <w:rPr>
          <w:rFonts w:ascii="Arial" w:cs="Arial" w:eastAsia="Arial" w:hAnsi="Arial"/>
          <w:sz w:val="19"/>
          <w:szCs w:val="19"/>
          <w:color w:val="auto"/>
        </w:rPr>
        <w:t>approval requirements under law and stock</w:t>
      </w:r>
    </w:p>
    <w:p>
      <w:pPr>
        <w:spacing w:after="0" w:line="76"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exchange rules, to cause a company to</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issue options, warrants and other</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convertible securities to purchase the</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underlying shares of such convertible</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securities, as well as the power to</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repurchase or otherwise acquire its</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shareholder authorization. TSX rules</w:t>
      </w:r>
    </w:p>
    <w:p>
      <w:pPr>
        <w:spacing w:after="0" w:line="79" w:lineRule="exact"/>
        <w:rPr>
          <w:sz w:val="20"/>
          <w:szCs w:val="20"/>
          <w:color w:val="auto"/>
        </w:rPr>
      </w:pPr>
    </w:p>
    <w:p>
      <w:pPr>
        <w:ind w:left="3220"/>
        <w:spacing w:after="0"/>
        <w:rPr>
          <w:sz w:val="20"/>
          <w:szCs w:val="20"/>
          <w:color w:val="auto"/>
        </w:rPr>
      </w:pPr>
      <w:r>
        <w:rPr>
          <w:rFonts w:ascii="Arial" w:cs="Arial" w:eastAsia="Arial" w:hAnsi="Arial"/>
          <w:sz w:val="19"/>
          <w:szCs w:val="19"/>
          <w:color w:val="auto"/>
        </w:rPr>
        <w:t>separately require shareholder approval for</w:t>
      </w:r>
    </w:p>
    <w:p>
      <w:pPr>
        <w:spacing w:after="0" w:line="76"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the adoption of and certain amendments to</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equity-based employee benefit plans with</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limited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6115685</wp:posOffset>
            </wp:positionV>
            <wp:extent cx="6764020" cy="190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i w:val="1"/>
          <w:iCs w:val="1"/>
          <w:color w:val="auto"/>
        </w:rPr>
        <w:t>Swiss Code of Obligations</w:t>
      </w:r>
      <w:r>
        <w:rPr>
          <w:rFonts w:ascii="Arial" w:cs="Arial" w:eastAsia="Arial" w:hAnsi="Arial"/>
          <w:sz w:val="19"/>
          <w:szCs w:val="19"/>
          <w:color w:val="auto"/>
        </w:rPr>
        <w:t xml:space="preserve"> autho the Board to cause the corporation to options, warrants and other convertibl securities such that holders thereof m subject to the terms and conditions th purchase the underlying shares of su convertible securities, subject to the conditional capital. Under applicable law, the Board has the power to caus company to repurchase its shares, so as the total nominal value of the shar acquired does not exceed 10% of the share capital and only to the extent th sufficient freely distributable reserves (including contributed surplus) are available to do so. However, the corporation may repurchase its own s beyond the statutory limit of 10% if th shareholders have passed a resolutio majority of the votes cast at a shareh meeting (including as part of the capit band provision included in the propos Articles of Association) authorizing th Board to repurchase shares beyond t 10% (but in no event above 20%), wh are to be cancelled. Any shares repurchased pursuant to such an authorization will then be cancelled ei upon the approval of shareholders ho a majority of the votes cast at a shareholders meeting or, if the authorization is included in the capital provision, upon the Board effecting th cancellation based on the authority gr to it in the capital band provision. Repurchased shares held by a compa its subsidiaries do not carry any rights vote at a shareholders meeting but ar entitled to the economic benefits gene associated with such shares.</w:t>
      </w:r>
    </w:p>
    <w:p>
      <w:pPr>
        <w:spacing w:after="0" w:line="200" w:lineRule="exact"/>
        <w:rPr>
          <w:sz w:val="20"/>
          <w:szCs w:val="20"/>
          <w:color w:val="auto"/>
        </w:rPr>
      </w:pPr>
    </w:p>
    <w:p>
      <w:pPr>
        <w:sectPr>
          <w:pgSz w:w="11900" w:h="16838" w:orient="portrait"/>
          <w:cols w:equalWidth="0" w:num="2">
            <w:col w:w="7040" w:space="100"/>
            <w:col w:w="332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82 / 139</w:t>
      </w:r>
    </w:p>
    <w:p>
      <w:pPr>
        <w:sectPr>
          <w:pgSz w:w="11900" w:h="16838" w:orient="portrait"/>
          <w:cols w:equalWidth="0" w:num="1">
            <w:col w:w="10460"/>
          </w:cols>
          <w:pgMar w:left="1440" w:top="1165" w:right="6" w:bottom="0" w:gutter="0" w:footer="0" w:header="0"/>
          <w:type w:val="continuous"/>
        </w:sectPr>
      </w:pPr>
    </w:p>
    <w:bookmarkStart w:id="311" w:name="page312"/>
    <w:bookmarkEnd w:id="3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00"/>
        <w:spacing w:after="0"/>
        <w:tabs>
          <w:tab w:leader="none" w:pos="3200" w:val="left"/>
        </w:tabs>
        <w:rPr>
          <w:sz w:val="20"/>
          <w:szCs w:val="20"/>
          <w:color w:val="auto"/>
        </w:rPr>
      </w:pPr>
      <w:r>
        <w:rPr>
          <w:rFonts w:ascii="Arial" w:cs="Arial" w:eastAsia="Arial" w:hAnsi="Arial"/>
          <w:sz w:val="20"/>
          <w:szCs w:val="20"/>
          <w:b w:val="1"/>
          <w:bCs w:val="1"/>
          <w:i w:val="1"/>
          <w:iCs w:val="1"/>
          <w:color w:val="auto"/>
        </w:rPr>
        <w:t>Appointment of</w:t>
      </w:r>
      <w:r>
        <w:rPr>
          <w:sz w:val="20"/>
          <w:szCs w:val="20"/>
          <w:color w:val="auto"/>
        </w:rPr>
        <w:tab/>
      </w:r>
      <w:r>
        <w:rPr>
          <w:rFonts w:ascii="Arial" w:cs="Arial" w:eastAsia="Arial" w:hAnsi="Arial"/>
          <w:sz w:val="19"/>
          <w:szCs w:val="19"/>
          <w:color w:val="auto"/>
        </w:rPr>
        <w:t>The BCBCA requires that a reporting</w:t>
      </w:r>
    </w:p>
    <w:p>
      <w:pPr>
        <w:spacing w:after="0" w:line="72" w:lineRule="exact"/>
        <w:rPr>
          <w:sz w:val="20"/>
          <w:szCs w:val="20"/>
          <w:color w:val="auto"/>
        </w:rPr>
      </w:pPr>
    </w:p>
    <w:p>
      <w:pPr>
        <w:ind w:left="900"/>
        <w:spacing w:after="0"/>
        <w:tabs>
          <w:tab w:leader="none" w:pos="3200" w:val="left"/>
        </w:tabs>
        <w:rPr>
          <w:sz w:val="20"/>
          <w:szCs w:val="20"/>
          <w:color w:val="auto"/>
        </w:rPr>
      </w:pPr>
      <w:r>
        <w:rPr>
          <w:rFonts w:ascii="Arial" w:cs="Arial" w:eastAsia="Arial" w:hAnsi="Arial"/>
          <w:sz w:val="20"/>
          <w:szCs w:val="20"/>
          <w:b w:val="1"/>
          <w:bCs w:val="1"/>
          <w:i w:val="1"/>
          <w:iCs w:val="1"/>
          <w:color w:val="auto"/>
        </w:rPr>
        <w:t>Directors</w:t>
      </w:r>
      <w:r>
        <w:rPr>
          <w:sz w:val="20"/>
          <w:szCs w:val="20"/>
          <w:color w:val="auto"/>
        </w:rPr>
        <w:tab/>
      </w:r>
      <w:r>
        <w:rPr>
          <w:rFonts w:ascii="Arial" w:cs="Arial" w:eastAsia="Arial" w:hAnsi="Arial"/>
          <w:sz w:val="20"/>
          <w:szCs w:val="20"/>
          <w:color w:val="auto"/>
        </w:rPr>
        <w:t>issuer must have a minimum of three</w:t>
      </w:r>
    </w:p>
    <w:p>
      <w:pPr>
        <w:spacing w:after="0" w:line="79" w:lineRule="exact"/>
        <w:rPr>
          <w:sz w:val="20"/>
          <w:szCs w:val="20"/>
          <w:color w:val="auto"/>
        </w:rPr>
      </w:pPr>
    </w:p>
    <w:p>
      <w:pPr>
        <w:ind w:left="3220"/>
        <w:spacing w:after="0" w:line="314" w:lineRule="auto"/>
        <w:rPr>
          <w:sz w:val="20"/>
          <w:szCs w:val="20"/>
          <w:color w:val="auto"/>
        </w:rPr>
      </w:pPr>
      <w:r>
        <w:rPr>
          <w:rFonts w:ascii="Arial" w:cs="Arial" w:eastAsia="Arial" w:hAnsi="Arial"/>
          <w:sz w:val="20"/>
          <w:szCs w:val="20"/>
          <w:color w:val="auto"/>
        </w:rPr>
        <w:t xml:space="preserve">directors. Under the BCBCA and applicable Canadian and U.S. securities laws which continue to apply to the Company, shareholders vote "for" or "withhold" their vote for individual director nominees, whether in a contested or uncontested election, and directors are elected by a simple majority of votes cast at the shareholders' meeting. The chair of the Board is appointed by the directors. While under the BCBCA, all director nominees who receive any "for" votes in an uncontested election will be elected, the Company’s majority voting policy, as required for all TSX-listed issuers, requires that any director not elected with a majority of votes cast "for" in an uncontested election immediately tender their resignation following the applicable meeting of shareholders, which resignation the Board may accept or reject in its discretion. As a result of the Continuation and application of the </w:t>
      </w:r>
      <w:r>
        <w:rPr>
          <w:rFonts w:ascii="Arial" w:cs="Arial" w:eastAsia="Arial" w:hAnsi="Arial"/>
          <w:sz w:val="20"/>
          <w:szCs w:val="20"/>
          <w:i w:val="1"/>
          <w:iCs w:val="1"/>
          <w:color w:val="auto"/>
        </w:rPr>
        <w:t>Swiss Code of</w:t>
      </w:r>
      <w:r>
        <w:rPr>
          <w:rFonts w:ascii="Arial" w:cs="Arial" w:eastAsia="Arial" w:hAnsi="Arial"/>
          <w:sz w:val="20"/>
          <w:szCs w:val="20"/>
          <w:color w:val="auto"/>
        </w:rPr>
        <w:t xml:space="preserve"> </w:t>
      </w:r>
      <w:r>
        <w:rPr>
          <w:rFonts w:ascii="Arial" w:cs="Arial" w:eastAsia="Arial" w:hAnsi="Arial"/>
          <w:sz w:val="20"/>
          <w:szCs w:val="20"/>
          <w:i w:val="1"/>
          <w:iCs w:val="1"/>
          <w:color w:val="auto"/>
        </w:rPr>
        <w:t>Obligations</w:t>
      </w:r>
      <w:r>
        <w:rPr>
          <w:rFonts w:ascii="Arial" w:cs="Arial" w:eastAsia="Arial" w:hAnsi="Arial"/>
          <w:sz w:val="20"/>
          <w:szCs w:val="20"/>
          <w:color w:val="auto"/>
        </w:rPr>
        <w:t>, the Company’s existing</w:t>
      </w:r>
      <w:r>
        <w:rPr>
          <w:rFonts w:ascii="Arial" w:cs="Arial" w:eastAsia="Arial" w:hAnsi="Arial"/>
          <w:sz w:val="20"/>
          <w:szCs w:val="20"/>
          <w:i w:val="1"/>
          <w:iCs w:val="1"/>
          <w:color w:val="auto"/>
        </w:rPr>
        <w:t xml:space="preserve"> </w:t>
      </w:r>
      <w:r>
        <w:rPr>
          <w:rFonts w:ascii="Arial" w:cs="Arial" w:eastAsia="Arial" w:hAnsi="Arial"/>
          <w:sz w:val="20"/>
          <w:szCs w:val="20"/>
          <w:color w:val="auto"/>
        </w:rPr>
        <w:t>majority voting policy will not, as a result, apply to the Company, although the Company will continue to respect the majority voting requirements of the TSX.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313" w:lineRule="auto"/>
        <w:rPr>
          <w:sz w:val="20"/>
          <w:szCs w:val="20"/>
          <w:color w:val="auto"/>
        </w:rPr>
      </w:pPr>
      <w:r>
        <w:rPr>
          <w:rFonts w:ascii="Arial" w:cs="Arial" w:eastAsia="Arial" w:hAnsi="Arial"/>
          <w:sz w:val="20"/>
          <w:szCs w:val="20"/>
          <w:color w:val="auto"/>
        </w:rPr>
        <w:t xml:space="preserve">Under the </w:t>
      </w:r>
      <w:r>
        <w:rPr>
          <w:rFonts w:ascii="Arial" w:cs="Arial" w:eastAsia="Arial" w:hAnsi="Arial"/>
          <w:sz w:val="20"/>
          <w:szCs w:val="20"/>
          <w:i w:val="1"/>
          <w:iCs w:val="1"/>
          <w:color w:val="auto"/>
        </w:rPr>
        <w:t>Swiss Code of Obligations</w:t>
      </w:r>
      <w:r>
        <w:rPr>
          <w:rFonts w:ascii="Arial" w:cs="Arial" w:eastAsia="Arial" w:hAnsi="Arial"/>
          <w:sz w:val="20"/>
          <w:szCs w:val="20"/>
          <w:color w:val="auto"/>
        </w:rPr>
        <w:t>, Board shall consist of one or more members, which members are electe the annual general meeting by the shareholders.</w:t>
      </w:r>
    </w:p>
    <w:p>
      <w:pPr>
        <w:spacing w:after="0" w:line="210" w:lineRule="exact"/>
        <w:rPr>
          <w:sz w:val="20"/>
          <w:szCs w:val="20"/>
          <w:color w:val="auto"/>
        </w:rPr>
      </w:pPr>
    </w:p>
    <w:p>
      <w:pPr>
        <w:spacing w:after="0" w:line="332" w:lineRule="auto"/>
        <w:rPr>
          <w:sz w:val="20"/>
          <w:szCs w:val="20"/>
          <w:color w:val="auto"/>
        </w:rPr>
      </w:pPr>
      <w:r>
        <w:rPr>
          <w:rFonts w:ascii="Arial" w:cs="Arial" w:eastAsia="Arial" w:hAnsi="Arial"/>
          <w:sz w:val="19"/>
          <w:szCs w:val="19"/>
          <w:color w:val="auto"/>
        </w:rPr>
        <w:t xml:space="preserve">Unless the Articles of Association con upon different classes of shareholder right to have at least one of their representatives elected to the Board, </w:t>
      </w:r>
      <w:r>
        <w:rPr>
          <w:rFonts w:ascii="Arial" w:cs="Arial" w:eastAsia="Arial" w:hAnsi="Arial"/>
          <w:sz w:val="19"/>
          <w:szCs w:val="19"/>
          <w:i w:val="1"/>
          <w:iCs w:val="1"/>
          <w:color w:val="auto"/>
        </w:rPr>
        <w:t xml:space="preserve">Swiss Code of Obligations </w:t>
      </w:r>
      <w:r>
        <w:rPr>
          <w:rFonts w:ascii="Arial" w:cs="Arial" w:eastAsia="Arial" w:hAnsi="Arial"/>
          <w:sz w:val="19"/>
          <w:szCs w:val="19"/>
          <w:color w:val="auto"/>
        </w:rPr>
        <w:t>provide th</w:t>
      </w:r>
      <w:r>
        <w:rPr>
          <w:rFonts w:ascii="Arial" w:cs="Arial" w:eastAsia="Arial" w:hAnsi="Arial"/>
          <w:sz w:val="19"/>
          <w:szCs w:val="19"/>
          <w:i w:val="1"/>
          <w:iCs w:val="1"/>
          <w:color w:val="auto"/>
        </w:rPr>
        <w:t xml:space="preserve"> </w:t>
      </w:r>
      <w:r>
        <w:rPr>
          <w:rFonts w:ascii="Arial" w:cs="Arial" w:eastAsia="Arial" w:hAnsi="Arial"/>
          <w:sz w:val="19"/>
          <w:szCs w:val="19"/>
          <w:color w:val="auto"/>
        </w:rPr>
        <w:t>elections of the members of the Boar including the chair of the Board, requi majority of all of the votes cast.</w:t>
      </w:r>
    </w:p>
    <w:p>
      <w:pPr>
        <w:spacing w:after="0" w:line="197" w:lineRule="exact"/>
        <w:rPr>
          <w:sz w:val="20"/>
          <w:szCs w:val="20"/>
          <w:color w:val="auto"/>
        </w:rPr>
      </w:pPr>
    </w:p>
    <w:p>
      <w:pPr>
        <w:spacing w:after="0" w:line="331" w:lineRule="auto"/>
        <w:rPr>
          <w:sz w:val="20"/>
          <w:szCs w:val="20"/>
          <w:color w:val="auto"/>
        </w:rPr>
      </w:pPr>
      <w:r>
        <w:rPr>
          <w:rFonts w:ascii="Arial" w:cs="Arial" w:eastAsia="Arial" w:hAnsi="Arial"/>
          <w:sz w:val="19"/>
          <w:szCs w:val="19"/>
          <w:color w:val="auto"/>
        </w:rPr>
        <w:t xml:space="preserve">Directors may not fill vacancies on the Board, appoint additional directors or appoint alternate directors. Under the </w:t>
      </w:r>
      <w:r>
        <w:rPr>
          <w:rFonts w:ascii="Arial" w:cs="Arial" w:eastAsia="Arial" w:hAnsi="Arial"/>
          <w:sz w:val="19"/>
          <w:szCs w:val="19"/>
          <w:i w:val="1"/>
          <w:iCs w:val="1"/>
          <w:color w:val="auto"/>
        </w:rPr>
        <w:t xml:space="preserve">Swiss Code of Obligations </w:t>
      </w:r>
      <w:r>
        <w:rPr>
          <w:rFonts w:ascii="Arial" w:cs="Arial" w:eastAsia="Arial" w:hAnsi="Arial"/>
          <w:sz w:val="19"/>
          <w:szCs w:val="19"/>
          <w:color w:val="auto"/>
        </w:rPr>
        <w:t>nomination</w:t>
      </w:r>
      <w:r>
        <w:rPr>
          <w:rFonts w:ascii="Arial" w:cs="Arial" w:eastAsia="Arial" w:hAnsi="Arial"/>
          <w:sz w:val="19"/>
          <w:szCs w:val="19"/>
          <w:i w:val="1"/>
          <w:iCs w:val="1"/>
          <w:color w:val="auto"/>
        </w:rPr>
        <w:t xml:space="preserve"> </w:t>
      </w:r>
      <w:r>
        <w:rPr>
          <w:rFonts w:ascii="Arial" w:cs="Arial" w:eastAsia="Arial" w:hAnsi="Arial"/>
          <w:sz w:val="19"/>
          <w:szCs w:val="19"/>
          <w:color w:val="auto"/>
        </w:rPr>
        <w:t>shareholders of persons for election t Board may be made at any time prior at the general meeting of shareholder provided that such election is include the agenda and, if the nomination is submitted prior to the general meeting requesting shareholder must hold, individually or together with other shareholders with whom the proposal made, at least 0.5% of the total share capital or of the votes, the request mu submitted to the chairperson of the B at least three (3) months before the anniversary of the previous year's gen shareholders' meeting and shall be in writing, specifying the item and the proposal.</w:t>
      </w:r>
    </w:p>
    <w:p>
      <w:pPr>
        <w:spacing w:after="0" w:line="200" w:lineRule="exact"/>
        <w:rPr>
          <w:sz w:val="20"/>
          <w:szCs w:val="20"/>
          <w:color w:val="auto"/>
        </w:rPr>
      </w:pPr>
    </w:p>
    <w:p>
      <w:pPr>
        <w:sectPr>
          <w:pgSz w:w="11900" w:h="16838" w:orient="portrait"/>
          <w:cols w:equalWidth="0" w:num="2">
            <w:col w:w="7040" w:space="100"/>
            <w:col w:w="332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83 / 139</w:t>
      </w:r>
    </w:p>
    <w:p>
      <w:pPr>
        <w:sectPr>
          <w:pgSz w:w="11900" w:h="16838" w:orient="portrait"/>
          <w:cols w:equalWidth="0" w:num="1">
            <w:col w:w="10460"/>
          </w:cols>
          <w:pgMar w:left="1440" w:top="1440" w:right="6" w:bottom="0" w:gutter="0" w:footer="0" w:header="0"/>
          <w:type w:val="continuous"/>
        </w:sectPr>
      </w:pPr>
    </w:p>
    <w:bookmarkStart w:id="312" w:name="page313"/>
    <w:bookmarkEnd w:id="312"/>
    <w:p>
      <w:pPr>
        <w:ind w:left="900" w:right="180"/>
        <w:spacing w:after="0" w:line="307" w:lineRule="auto"/>
        <w:rPr>
          <w:sz w:val="20"/>
          <w:szCs w:val="20"/>
          <w:color w:val="auto"/>
        </w:rPr>
      </w:pPr>
      <w:r>
        <w:rPr>
          <w:rFonts w:ascii="Arial" w:cs="Arial" w:eastAsia="Arial" w:hAnsi="Arial"/>
          <w:sz w:val="20"/>
          <w:szCs w:val="20"/>
          <w:b w:val="1"/>
          <w:bCs w:val="1"/>
          <w:i w:val="1"/>
          <w:iCs w:val="1"/>
          <w:color w:val="auto"/>
        </w:rPr>
        <w:t xml:space="preserve">Removal, Resignation </w:t>
      </w:r>
      <w:r>
        <w:rPr>
          <w:rFonts w:ascii="Arial" w:cs="Arial" w:eastAsia="Arial" w:hAnsi="Arial"/>
          <w:sz w:val="20"/>
          <w:szCs w:val="20"/>
          <w:color w:val="auto"/>
        </w:rPr>
        <w:t>The BCBCA provides that shareholders</w:t>
      </w:r>
      <w:r>
        <w:rPr>
          <w:rFonts w:ascii="Arial" w:cs="Arial" w:eastAsia="Arial" w:hAnsi="Arial"/>
          <w:sz w:val="20"/>
          <w:szCs w:val="20"/>
          <w:b w:val="1"/>
          <w:bCs w:val="1"/>
          <w:i w:val="1"/>
          <w:iCs w:val="1"/>
          <w:color w:val="auto"/>
        </w:rPr>
        <w:t xml:space="preserve"> and Disqualification of </w:t>
      </w:r>
      <w:r>
        <w:rPr>
          <w:rFonts w:ascii="Arial" w:cs="Arial" w:eastAsia="Arial" w:hAnsi="Arial"/>
          <w:sz w:val="20"/>
          <w:szCs w:val="20"/>
          <w:color w:val="auto"/>
        </w:rPr>
        <w:t>may remove a director from the Board by</w:t>
      </w:r>
    </w:p>
    <w:p>
      <w:pPr>
        <w:spacing w:after="0" w:line="8" w:lineRule="exact"/>
        <w:rPr>
          <w:sz w:val="20"/>
          <w:szCs w:val="20"/>
          <w:color w:val="auto"/>
        </w:rPr>
      </w:pPr>
    </w:p>
    <w:p>
      <w:pPr>
        <w:ind w:left="900"/>
        <w:spacing w:after="0"/>
        <w:tabs>
          <w:tab w:leader="none" w:pos="3200" w:val="left"/>
        </w:tabs>
        <w:rPr>
          <w:sz w:val="20"/>
          <w:szCs w:val="20"/>
          <w:color w:val="auto"/>
        </w:rPr>
      </w:pPr>
      <w:r>
        <w:rPr>
          <w:rFonts w:ascii="Arial" w:cs="Arial" w:eastAsia="Arial" w:hAnsi="Arial"/>
          <w:sz w:val="20"/>
          <w:szCs w:val="20"/>
          <w:b w:val="1"/>
          <w:bCs w:val="1"/>
          <w:i w:val="1"/>
          <w:iCs w:val="1"/>
          <w:color w:val="auto"/>
        </w:rPr>
        <w:t>Directors</w:t>
      </w:r>
      <w:r>
        <w:rPr>
          <w:sz w:val="20"/>
          <w:szCs w:val="20"/>
          <w:color w:val="auto"/>
        </w:rPr>
        <w:tab/>
      </w:r>
      <w:r>
        <w:rPr>
          <w:rFonts w:ascii="Arial" w:cs="Arial" w:eastAsia="Arial" w:hAnsi="Arial"/>
          <w:sz w:val="20"/>
          <w:szCs w:val="20"/>
          <w:color w:val="auto"/>
        </w:rPr>
        <w:t>the method specified in its articles or,</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failing any specification, by a special</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resolution. The BCBCA further provides</w:t>
      </w:r>
    </w:p>
    <w:p>
      <w:pPr>
        <w:spacing w:after="0" w:line="79" w:lineRule="exact"/>
        <w:rPr>
          <w:sz w:val="20"/>
          <w:szCs w:val="20"/>
          <w:color w:val="auto"/>
        </w:rPr>
      </w:pPr>
    </w:p>
    <w:p>
      <w:pPr>
        <w:ind w:left="3220"/>
        <w:spacing w:after="0"/>
        <w:rPr>
          <w:sz w:val="20"/>
          <w:szCs w:val="20"/>
          <w:color w:val="auto"/>
        </w:rPr>
      </w:pPr>
      <w:r>
        <w:rPr>
          <w:rFonts w:ascii="Arial" w:cs="Arial" w:eastAsia="Arial" w:hAnsi="Arial"/>
          <w:sz w:val="19"/>
          <w:szCs w:val="19"/>
          <w:color w:val="auto"/>
        </w:rPr>
        <w:t>that if holders of a class or series of shares</w:t>
      </w:r>
    </w:p>
    <w:p>
      <w:pPr>
        <w:spacing w:after="0" w:line="76"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have the exclusive right to elect or appoint</w:t>
      </w:r>
    </w:p>
    <w:p>
      <w:pPr>
        <w:spacing w:after="0" w:line="79" w:lineRule="exact"/>
        <w:rPr>
          <w:sz w:val="20"/>
          <w:szCs w:val="20"/>
          <w:color w:val="auto"/>
        </w:rPr>
      </w:pPr>
    </w:p>
    <w:p>
      <w:pPr>
        <w:ind w:left="3220"/>
        <w:spacing w:after="0"/>
        <w:rPr>
          <w:sz w:val="20"/>
          <w:szCs w:val="20"/>
          <w:color w:val="auto"/>
        </w:rPr>
      </w:pPr>
      <w:r>
        <w:rPr>
          <w:rFonts w:ascii="Arial" w:cs="Arial" w:eastAsia="Arial" w:hAnsi="Arial"/>
          <w:sz w:val="19"/>
          <w:szCs w:val="19"/>
          <w:color w:val="auto"/>
        </w:rPr>
        <w:t>one or more directors, a director so elected</w:t>
      </w:r>
    </w:p>
    <w:p>
      <w:pPr>
        <w:spacing w:after="0" w:line="76"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or appointed may only be removed by a</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separate special resolution of the</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shareholders of that class or series or</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whatever method otherwise specified in</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the articles. The office of a director is also</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vacated if he or she dies, resigns by notice</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in writing, or becomes disqualified to hold</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the office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1323340</wp:posOffset>
            </wp:positionV>
            <wp:extent cx="6764020" cy="190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i w:val="1"/>
          <w:iCs w:val="1"/>
          <w:color w:val="auto"/>
        </w:rPr>
        <w:t>Swiss Code of Obligations</w:t>
      </w:r>
      <w:r>
        <w:rPr>
          <w:rFonts w:ascii="Arial" w:cs="Arial" w:eastAsia="Arial" w:hAnsi="Arial"/>
          <w:sz w:val="19"/>
          <w:szCs w:val="19"/>
          <w:color w:val="auto"/>
        </w:rPr>
        <w:t xml:space="preserve"> provid that directors may be removed by a resolution passed by a majority of the votes of shareholders present at the shareholders' meeting unless the Arti of Association provide otherwise. The office of a director is also vacated if h she is not re-elected, becomes incapacitated, dies or resigns by notic writing. Directors have no authority to remove a director.</w:t>
      </w:r>
    </w:p>
    <w:p>
      <w:pPr>
        <w:spacing w:after="0" w:line="1626" w:lineRule="exact"/>
        <w:rPr>
          <w:sz w:val="20"/>
          <w:szCs w:val="20"/>
          <w:color w:val="auto"/>
        </w:rPr>
      </w:pPr>
    </w:p>
    <w:p>
      <w:pPr>
        <w:sectPr>
          <w:pgSz w:w="11900" w:h="16838" w:orient="portrait"/>
          <w:cols w:equalWidth="0" w:num="2">
            <w:col w:w="7020" w:space="120"/>
            <w:col w:w="332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84 / 139</w:t>
      </w:r>
    </w:p>
    <w:p>
      <w:pPr>
        <w:sectPr>
          <w:pgSz w:w="11900" w:h="16838" w:orient="portrait"/>
          <w:cols w:equalWidth="0" w:num="1">
            <w:col w:w="10460"/>
          </w:cols>
          <w:pgMar w:left="1440" w:top="1172" w:right="6" w:bottom="0" w:gutter="0" w:footer="0" w:header="0"/>
          <w:type w:val="continuous"/>
        </w:sectPr>
      </w:pPr>
    </w:p>
    <w:bookmarkStart w:id="313" w:name="page314"/>
    <w:bookmarkEnd w:id="3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900"/>
        <w:spacing w:after="0"/>
        <w:tabs>
          <w:tab w:leader="none" w:pos="3200" w:val="left"/>
        </w:tabs>
        <w:rPr>
          <w:sz w:val="20"/>
          <w:szCs w:val="20"/>
          <w:color w:val="auto"/>
        </w:rPr>
      </w:pPr>
      <w:r>
        <w:rPr>
          <w:rFonts w:ascii="Arial" w:cs="Arial" w:eastAsia="Arial" w:hAnsi="Arial"/>
          <w:sz w:val="20"/>
          <w:szCs w:val="20"/>
          <w:b w:val="1"/>
          <w:bCs w:val="1"/>
          <w:i w:val="1"/>
          <w:iCs w:val="1"/>
          <w:color w:val="auto"/>
        </w:rPr>
        <w:t>Duties of Directors</w:t>
      </w:r>
      <w:r>
        <w:rPr>
          <w:sz w:val="20"/>
          <w:szCs w:val="20"/>
          <w:color w:val="auto"/>
        </w:rPr>
        <w:tab/>
      </w:r>
      <w:r>
        <w:rPr>
          <w:rFonts w:ascii="Arial" w:cs="Arial" w:eastAsia="Arial" w:hAnsi="Arial"/>
          <w:sz w:val="19"/>
          <w:szCs w:val="19"/>
          <w:color w:val="auto"/>
        </w:rPr>
        <w:t>Under the BCBCA, in exercising their</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powers and discharging their duties,</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directors must act honestly and in good</w:t>
      </w:r>
    </w:p>
    <w:p>
      <w:pPr>
        <w:spacing w:after="0" w:line="79" w:lineRule="exact"/>
        <w:rPr>
          <w:sz w:val="20"/>
          <w:szCs w:val="20"/>
          <w:color w:val="auto"/>
        </w:rPr>
      </w:pPr>
    </w:p>
    <w:p>
      <w:pPr>
        <w:ind w:left="3220"/>
        <w:spacing w:after="0"/>
        <w:rPr>
          <w:sz w:val="20"/>
          <w:szCs w:val="20"/>
          <w:color w:val="auto"/>
        </w:rPr>
      </w:pPr>
      <w:r>
        <w:rPr>
          <w:rFonts w:ascii="Arial" w:cs="Arial" w:eastAsia="Arial" w:hAnsi="Arial"/>
          <w:sz w:val="19"/>
          <w:szCs w:val="19"/>
          <w:color w:val="auto"/>
        </w:rPr>
        <w:t>faith, with a view to the best interests of the</w:t>
      </w:r>
    </w:p>
    <w:p>
      <w:pPr>
        <w:spacing w:after="0" w:line="76"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company and exercise the care, diligence</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and skill that a reasonably prudent person</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would exercise in comparable</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circumstances. No provision in the</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company's articles, resolutions or contracts</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can relieve a director of these duties.</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Under the BCBCA, a company's articles or</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if a company has resolved by special</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resolution to add this provision to its</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articles, may transfer, in whole or in part,</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the powers of directors to manage or</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supervise management of the business</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and affairs of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i w:val="1"/>
          <w:iCs w:val="1"/>
          <w:color w:val="auto"/>
        </w:rPr>
        <w:t>“Differences From Requirements</w:t>
      </w:r>
      <w:r>
        <w:rPr>
          <w:rFonts w:ascii="Arial" w:cs="Arial" w:eastAsia="Arial" w:hAnsi="Arial"/>
          <w:sz w:val="20"/>
          <w:szCs w:val="20"/>
          <w:color w:val="auto"/>
        </w:rPr>
        <w:t xml:space="preserve"> </w:t>
      </w:r>
      <w:r>
        <w:rPr>
          <w:rFonts w:ascii="Arial" w:cs="Arial" w:eastAsia="Arial" w:hAnsi="Arial"/>
          <w:sz w:val="20"/>
          <w:szCs w:val="20"/>
          <w:i w:val="1"/>
          <w:iCs w:val="1"/>
          <w:color w:val="auto"/>
        </w:rPr>
        <w:t>The United States – Swiss Law - Dire fiduciary duties.”</w:t>
      </w:r>
    </w:p>
    <w:p>
      <w:pPr>
        <w:spacing w:after="0" w:line="4358" w:lineRule="exact"/>
        <w:rPr>
          <w:sz w:val="20"/>
          <w:szCs w:val="20"/>
          <w:color w:val="auto"/>
        </w:rPr>
      </w:pPr>
    </w:p>
    <w:p>
      <w:pPr>
        <w:sectPr>
          <w:pgSz w:w="11900" w:h="16838" w:orient="portrait"/>
          <w:cols w:equalWidth="0" w:num="2">
            <w:col w:w="7040" w:space="100"/>
            <w:col w:w="332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85 / 139</w:t>
      </w:r>
    </w:p>
    <w:p>
      <w:pPr>
        <w:sectPr>
          <w:pgSz w:w="11900" w:h="16838" w:orient="portrait"/>
          <w:cols w:equalWidth="0" w:num="1">
            <w:col w:w="10460"/>
          </w:cols>
          <w:pgMar w:left="1440" w:top="1440" w:right="6" w:bottom="0" w:gutter="0" w:footer="0" w:header="0"/>
          <w:type w:val="continuous"/>
        </w:sectPr>
      </w:pPr>
    </w:p>
    <w:bookmarkStart w:id="314" w:name="page315"/>
    <w:bookmarkEnd w:id="314"/>
    <w:p>
      <w:pPr>
        <w:jc w:val="both"/>
        <w:ind w:left="900"/>
        <w:spacing w:after="0" w:line="334" w:lineRule="auto"/>
        <w:rPr>
          <w:sz w:val="20"/>
          <w:szCs w:val="20"/>
          <w:color w:val="auto"/>
        </w:rPr>
      </w:pPr>
      <w:r>
        <w:rPr>
          <w:rFonts w:ascii="Arial" w:cs="Arial" w:eastAsia="Arial" w:hAnsi="Arial"/>
          <w:sz w:val="19"/>
          <w:szCs w:val="19"/>
          <w:b w:val="1"/>
          <w:bCs w:val="1"/>
          <w:i w:val="1"/>
          <w:iCs w:val="1"/>
          <w:color w:val="auto"/>
        </w:rPr>
        <w:t>Limitation on Liability and Indemnification of Directors and Officers</w:t>
      </w:r>
    </w:p>
    <w:p>
      <w:pPr>
        <w:spacing w:after="0" w:line="20" w:lineRule="exact"/>
        <w:rPr>
          <w:sz w:val="20"/>
          <w:szCs w:val="20"/>
          <w:color w:val="auto"/>
        </w:rPr>
      </w:pPr>
      <w:r>
        <w:rPr>
          <w:sz w:val="20"/>
          <w:szCs w:val="20"/>
          <w:color w:val="auto"/>
        </w:rPr>
        <w:br w:type="column"/>
      </w:r>
    </w:p>
    <w:p>
      <w:pPr>
        <w:spacing w:after="0" w:line="314" w:lineRule="auto"/>
        <w:rPr>
          <w:sz w:val="20"/>
          <w:szCs w:val="20"/>
          <w:color w:val="auto"/>
        </w:rPr>
      </w:pPr>
      <w:r>
        <w:rPr>
          <w:rFonts w:ascii="Arial" w:cs="Arial" w:eastAsia="Arial" w:hAnsi="Arial"/>
          <w:sz w:val="20"/>
          <w:szCs w:val="20"/>
          <w:color w:val="auto"/>
        </w:rPr>
        <w:t>The BCBCA provides that a company may indemnify a director or officer of the company, a former director or officer of the company or another individual who acts or acted at the company's request as a director or officer, or an individual acting in a similar capacity, of another entity, against judgments, penalties or fines awarded or imposed in, or an amount paid in settlement of, a proceeding to which the individual is or may be liable. In addition, after the final disposition of a proceeding, a company may pay the expenses actually and reasonably incurred by the individual in respect of a proceeding after the final disposition of any said proceeding. However, a company must not indemnify an individual (i) if such individual did not act honestly and in good faith with a view to the best interests of the company, or, as the case may be, to the best interests of the other entity for which the individual acted as director or officer or in a similar capacity at the company's request; and (ii) in the case of a proceeding other than a civil proceeding, the individual did not have reasonable grounds for believing that his or her conduct was lawful.</w:t>
      </w:r>
    </w:p>
    <w:p>
      <w:pPr>
        <w:spacing w:after="0" w:line="20" w:lineRule="exact"/>
        <w:rPr>
          <w:sz w:val="20"/>
          <w:szCs w:val="20"/>
          <w:color w:val="auto"/>
        </w:rPr>
      </w:pPr>
      <w:r>
        <w:rPr>
          <w:sz w:val="20"/>
          <w:szCs w:val="20"/>
          <w:color w:val="auto"/>
        </w:rPr>
        <w:br w:type="column"/>
      </w:r>
    </w:p>
    <w:p>
      <w:pPr>
        <w:spacing w:after="0" w:line="312" w:lineRule="auto"/>
        <w:rPr>
          <w:sz w:val="20"/>
          <w:szCs w:val="20"/>
          <w:color w:val="auto"/>
        </w:rPr>
      </w:pPr>
      <w:r>
        <w:rPr>
          <w:rFonts w:ascii="Arial" w:cs="Arial" w:eastAsia="Arial" w:hAnsi="Arial"/>
          <w:sz w:val="20"/>
          <w:szCs w:val="20"/>
          <w:i w:val="1"/>
          <w:iCs w:val="1"/>
          <w:color w:val="auto"/>
        </w:rPr>
        <w:t>See “Differences From Requirements The United States – Swiss Law - Limitations on Director’s Liability and Indemnification of Directors and Offic</w:t>
      </w:r>
    </w:p>
    <w:p>
      <w:pPr>
        <w:spacing w:after="0" w:line="7428" w:lineRule="exact"/>
        <w:rPr>
          <w:sz w:val="20"/>
          <w:szCs w:val="20"/>
          <w:color w:val="auto"/>
        </w:rPr>
      </w:pPr>
    </w:p>
    <w:p>
      <w:pPr>
        <w:sectPr>
          <w:pgSz w:w="11900" w:h="16838" w:orient="portrait"/>
          <w:cols w:equalWidth="0" w:num="3">
            <w:col w:w="3020" w:space="200"/>
            <w:col w:w="3800" w:space="120"/>
            <w:col w:w="3320"/>
          </w:cols>
          <w:pgMar w:left="1440" w:top="1172" w:right="6" w:bottom="0" w:gutter="0" w:footer="0" w:header="0"/>
        </w:sectPr>
      </w:pPr>
    </w:p>
    <w:p>
      <w:pPr>
        <w:spacing w:after="0" w:line="122" w:lineRule="exact"/>
        <w:rPr>
          <w:sz w:val="20"/>
          <w:szCs w:val="20"/>
          <w:color w:val="auto"/>
        </w:rPr>
      </w:pPr>
    </w:p>
    <w:p>
      <w:pPr>
        <w:ind w:left="900"/>
        <w:spacing w:after="0"/>
        <w:tabs>
          <w:tab w:leader="none" w:pos="3200" w:val="left"/>
        </w:tabs>
        <w:rPr>
          <w:sz w:val="20"/>
          <w:szCs w:val="20"/>
          <w:color w:val="auto"/>
        </w:rPr>
      </w:pPr>
      <w:r>
        <w:rPr>
          <w:rFonts w:ascii="Arial" w:cs="Arial" w:eastAsia="Arial" w:hAnsi="Arial"/>
          <w:sz w:val="20"/>
          <w:szCs w:val="20"/>
          <w:b w:val="1"/>
          <w:bCs w:val="1"/>
          <w:i w:val="1"/>
          <w:iCs w:val="1"/>
          <w:color w:val="auto"/>
        </w:rPr>
        <w:t>Say-on-Pay</w:t>
      </w:r>
      <w:r>
        <w:rPr>
          <w:sz w:val="20"/>
          <w:szCs w:val="20"/>
          <w:color w:val="auto"/>
        </w:rPr>
        <w:tab/>
      </w:r>
      <w:r>
        <w:rPr>
          <w:rFonts w:ascii="Arial" w:cs="Arial" w:eastAsia="Arial" w:hAnsi="Arial"/>
          <w:sz w:val="19"/>
          <w:szCs w:val="19"/>
          <w:color w:val="auto"/>
        </w:rPr>
        <w:t>The BCBCA does not require companies</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to seek shareholder approval of</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remuneration for directors or executive</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1323340</wp:posOffset>
            </wp:positionV>
            <wp:extent cx="6764020" cy="190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312" w:lineRule="auto"/>
        <w:rPr>
          <w:sz w:val="20"/>
          <w:szCs w:val="20"/>
          <w:color w:val="auto"/>
        </w:rPr>
      </w:pPr>
      <w:r>
        <w:rPr>
          <w:rFonts w:ascii="Arial" w:cs="Arial" w:eastAsia="Arial" w:hAnsi="Arial"/>
          <w:sz w:val="20"/>
          <w:szCs w:val="20"/>
          <w:i w:val="1"/>
          <w:iCs w:val="1"/>
          <w:color w:val="auto"/>
        </w:rPr>
        <w:t>See “Differences From Requirements The United States – Swiss Law - Shareholder vote on board and management compensation.”</w:t>
      </w:r>
    </w:p>
    <w:p>
      <w:pPr>
        <w:spacing w:after="0" w:line="200" w:lineRule="exact"/>
        <w:rPr>
          <w:sz w:val="20"/>
          <w:szCs w:val="20"/>
          <w:color w:val="auto"/>
        </w:rPr>
      </w:pPr>
    </w:p>
    <w:p>
      <w:pPr>
        <w:sectPr>
          <w:pgSz w:w="11900" w:h="16838" w:orient="portrait"/>
          <w:cols w:equalWidth="0" w:num="2">
            <w:col w:w="6820" w:space="320"/>
            <w:col w:w="3320"/>
          </w:cols>
          <w:pgMar w:left="1440" w:top="1172"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86 / 139</w:t>
      </w:r>
    </w:p>
    <w:p>
      <w:pPr>
        <w:sectPr>
          <w:pgSz w:w="11900" w:h="16838" w:orient="portrait"/>
          <w:cols w:equalWidth="0" w:num="1">
            <w:col w:w="10460"/>
          </w:cols>
          <w:pgMar w:left="1440" w:top="1172" w:right="6" w:bottom="0" w:gutter="0" w:footer="0" w:header="0"/>
          <w:type w:val="continuous"/>
        </w:sectPr>
      </w:pPr>
    </w:p>
    <w:bookmarkStart w:id="315" w:name="page316"/>
    <w:bookmarkEnd w:id="3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20" w:right="100" w:hanging="2317"/>
        <w:spacing w:after="0" w:line="314" w:lineRule="auto"/>
        <w:rPr>
          <w:sz w:val="20"/>
          <w:szCs w:val="20"/>
          <w:color w:val="auto"/>
        </w:rPr>
      </w:pPr>
      <w:r>
        <w:rPr>
          <w:rFonts w:ascii="Arial" w:cs="Arial" w:eastAsia="Arial" w:hAnsi="Arial"/>
          <w:sz w:val="20"/>
          <w:szCs w:val="20"/>
          <w:b w:val="1"/>
          <w:bCs w:val="1"/>
          <w:i w:val="1"/>
          <w:iCs w:val="1"/>
          <w:color w:val="auto"/>
        </w:rPr>
        <w:t xml:space="preserve">General Dissent Rights </w:t>
      </w:r>
      <w:r>
        <w:rPr>
          <w:rFonts w:ascii="Arial" w:cs="Arial" w:eastAsia="Arial" w:hAnsi="Arial"/>
          <w:sz w:val="20"/>
          <w:szCs w:val="20"/>
          <w:color w:val="auto"/>
        </w:rPr>
        <w:t>The BCBCA provides that shareholders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who dissent to certain actions being taken by a company may exercise a right of dissent and require the company to purchase the dissenting shareholder's shares for the fair value of such shares. The dissent right may be exercised by a holder of shares of any class of the company if the company proposes:</w:t>
      </w:r>
    </w:p>
    <w:p>
      <w:pPr>
        <w:spacing w:after="0" w:line="209" w:lineRule="exact"/>
        <w:rPr>
          <w:sz w:val="20"/>
          <w:szCs w:val="20"/>
          <w:color w:val="auto"/>
        </w:rPr>
      </w:pPr>
    </w:p>
    <w:p>
      <w:pPr>
        <w:ind w:left="3220" w:right="40"/>
        <w:spacing w:after="0" w:line="334" w:lineRule="auto"/>
        <w:rPr>
          <w:sz w:val="20"/>
          <w:szCs w:val="20"/>
          <w:color w:val="auto"/>
        </w:rPr>
      </w:pPr>
      <w:r>
        <w:rPr>
          <w:rFonts w:ascii="Arial" w:cs="Arial" w:eastAsia="Arial" w:hAnsi="Arial"/>
          <w:sz w:val="19"/>
          <w:szCs w:val="19"/>
          <w:color w:val="auto"/>
        </w:rPr>
        <w:t>1, to amend the articles to alter restrictions on the powers of the company or on the business it is permitted to carry on;</w:t>
      </w:r>
    </w:p>
    <w:p>
      <w:pPr>
        <w:spacing w:after="0" w:line="186" w:lineRule="exact"/>
        <w:rPr>
          <w:sz w:val="20"/>
          <w:szCs w:val="20"/>
          <w:color w:val="auto"/>
        </w:rPr>
      </w:pPr>
    </w:p>
    <w:p>
      <w:pPr>
        <w:ind w:left="3440" w:hanging="228"/>
        <w:spacing w:after="0"/>
        <w:tabs>
          <w:tab w:leader="none" w:pos="344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to adopt an amalgamation agreement;</w:t>
      </w:r>
    </w:p>
    <w:p>
      <w:pPr>
        <w:spacing w:after="0" w:line="278" w:lineRule="exact"/>
        <w:rPr>
          <w:rFonts w:ascii="Arial" w:cs="Arial" w:eastAsia="Arial" w:hAnsi="Arial"/>
          <w:sz w:val="20"/>
          <w:szCs w:val="20"/>
          <w:color w:val="auto"/>
        </w:rPr>
      </w:pPr>
    </w:p>
    <w:p>
      <w:pPr>
        <w:ind w:left="3220" w:right="500" w:hanging="8"/>
        <w:spacing w:after="0" w:line="307" w:lineRule="auto"/>
        <w:tabs>
          <w:tab w:leader="none" w:pos="3442"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to approve an amalgamation into a foreign jurisdiction;</w:t>
      </w:r>
    </w:p>
    <w:p>
      <w:pPr>
        <w:spacing w:after="0" w:line="215" w:lineRule="exact"/>
        <w:rPr>
          <w:rFonts w:ascii="Arial" w:cs="Arial" w:eastAsia="Arial" w:hAnsi="Arial"/>
          <w:sz w:val="20"/>
          <w:szCs w:val="20"/>
          <w:color w:val="auto"/>
        </w:rPr>
      </w:pPr>
    </w:p>
    <w:p>
      <w:pPr>
        <w:ind w:left="3220" w:hanging="8"/>
        <w:spacing w:after="0" w:line="312" w:lineRule="auto"/>
        <w:tabs>
          <w:tab w:leader="none" w:pos="3442"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to approve an arrangement, the terms of which arrangement permit dissent or where the right of dissent is given pursuant to a court order;</w:t>
      </w:r>
    </w:p>
    <w:p>
      <w:pPr>
        <w:spacing w:after="0" w:line="204" w:lineRule="exact"/>
        <w:rPr>
          <w:rFonts w:ascii="Arial" w:cs="Arial" w:eastAsia="Arial" w:hAnsi="Arial"/>
          <w:sz w:val="20"/>
          <w:szCs w:val="20"/>
          <w:color w:val="auto"/>
        </w:rPr>
      </w:pPr>
    </w:p>
    <w:p>
      <w:pPr>
        <w:ind w:left="3440" w:hanging="228"/>
        <w:spacing w:after="0"/>
        <w:tabs>
          <w:tab w:leader="none" w:pos="344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to authorize or ratify the sale, lease or</w:t>
      </w:r>
    </w:p>
    <w:p>
      <w:pPr>
        <w:spacing w:after="0" w:line="78" w:lineRule="exact"/>
        <w:rPr>
          <w:rFonts w:ascii="Arial" w:cs="Arial" w:eastAsia="Arial" w:hAnsi="Arial"/>
          <w:sz w:val="20"/>
          <w:szCs w:val="20"/>
          <w:color w:val="auto"/>
        </w:rPr>
      </w:pPr>
    </w:p>
    <w:p>
      <w:pPr>
        <w:ind w:left="3220"/>
        <w:spacing w:after="0" w:line="307" w:lineRule="auto"/>
        <w:rPr>
          <w:rFonts w:ascii="Arial" w:cs="Arial" w:eastAsia="Arial" w:hAnsi="Arial"/>
          <w:sz w:val="20"/>
          <w:szCs w:val="20"/>
          <w:color w:val="auto"/>
        </w:rPr>
      </w:pPr>
      <w:r>
        <w:rPr>
          <w:rFonts w:ascii="Arial" w:cs="Arial" w:eastAsia="Arial" w:hAnsi="Arial"/>
          <w:sz w:val="20"/>
          <w:szCs w:val="20"/>
          <w:color w:val="auto"/>
        </w:rPr>
        <w:t>other disposition of all or substantially all of the company's undertaking;</w:t>
      </w:r>
    </w:p>
    <w:p>
      <w:pPr>
        <w:spacing w:after="0" w:line="215" w:lineRule="exact"/>
        <w:rPr>
          <w:rFonts w:ascii="Arial" w:cs="Arial" w:eastAsia="Arial" w:hAnsi="Arial"/>
          <w:sz w:val="20"/>
          <w:szCs w:val="20"/>
          <w:color w:val="auto"/>
        </w:rPr>
      </w:pPr>
    </w:p>
    <w:p>
      <w:pPr>
        <w:jc w:val="both"/>
        <w:ind w:left="3220" w:right="500" w:hanging="8"/>
        <w:spacing w:after="0" w:line="311" w:lineRule="auto"/>
        <w:tabs>
          <w:tab w:leader="none" w:pos="3442"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to authorize the continuation of the company into a jurisdiction other than British Columbia;</w:t>
      </w:r>
    </w:p>
    <w:p>
      <w:pPr>
        <w:spacing w:after="0" w:line="211" w:lineRule="exact"/>
        <w:rPr>
          <w:rFonts w:ascii="Arial" w:cs="Arial" w:eastAsia="Arial" w:hAnsi="Arial"/>
          <w:sz w:val="20"/>
          <w:szCs w:val="20"/>
          <w:color w:val="auto"/>
        </w:rPr>
      </w:pPr>
    </w:p>
    <w:p>
      <w:pPr>
        <w:ind w:left="3220" w:right="180" w:hanging="8"/>
        <w:spacing w:after="0" w:line="336" w:lineRule="auto"/>
        <w:tabs>
          <w:tab w:leader="none" w:pos="344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to approve any other resolution, if dissent is authorized by the resolution; or</w:t>
      </w:r>
    </w:p>
    <w:p>
      <w:pPr>
        <w:spacing w:after="0" w:line="191" w:lineRule="exact"/>
        <w:rPr>
          <w:rFonts w:ascii="Arial" w:cs="Arial" w:eastAsia="Arial" w:hAnsi="Arial"/>
          <w:sz w:val="19"/>
          <w:szCs w:val="19"/>
          <w:color w:val="auto"/>
        </w:rPr>
      </w:pPr>
    </w:p>
    <w:p>
      <w:pPr>
        <w:ind w:left="3220" w:right="480" w:hanging="8"/>
        <w:spacing w:after="0" w:line="307" w:lineRule="auto"/>
        <w:tabs>
          <w:tab w:leader="none" w:pos="3442"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 matter to which dissent rights are permitted by court order.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331" w:lineRule="auto"/>
        <w:rPr>
          <w:sz w:val="20"/>
          <w:szCs w:val="20"/>
          <w:color w:val="auto"/>
        </w:rPr>
      </w:pPr>
      <w:r>
        <w:rPr>
          <w:rFonts w:ascii="Arial" w:cs="Arial" w:eastAsia="Arial" w:hAnsi="Arial"/>
          <w:sz w:val="19"/>
          <w:szCs w:val="19"/>
          <w:color w:val="auto"/>
        </w:rPr>
        <w:t xml:space="preserve">No direct equivalent to dissent rights in the </w:t>
      </w:r>
      <w:r>
        <w:rPr>
          <w:rFonts w:ascii="Arial" w:cs="Arial" w:eastAsia="Arial" w:hAnsi="Arial"/>
          <w:sz w:val="19"/>
          <w:szCs w:val="19"/>
          <w:i w:val="1"/>
          <w:iCs w:val="1"/>
          <w:color w:val="auto"/>
        </w:rPr>
        <w:t>Swiss Code of Obligations</w:t>
      </w:r>
      <w:r>
        <w:rPr>
          <w:rFonts w:ascii="Arial" w:cs="Arial" w:eastAsia="Arial" w:hAnsi="Arial"/>
          <w:sz w:val="19"/>
          <w:szCs w:val="19"/>
          <w:color w:val="auto"/>
        </w:rPr>
        <w:t xml:space="preserve"> and, under applicable Swiss law, sharehol are not entitled to dissent or appraisal rights in respect of any corporate acti other than with respect to certain transactions to which the </w:t>
      </w:r>
      <w:r>
        <w:rPr>
          <w:rFonts w:ascii="Arial" w:cs="Arial" w:eastAsia="Arial" w:hAnsi="Arial"/>
          <w:sz w:val="19"/>
          <w:szCs w:val="19"/>
          <w:i w:val="1"/>
          <w:iCs w:val="1"/>
          <w:color w:val="auto"/>
        </w:rPr>
        <w:t>Swiss Merg</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Act </w:t>
      </w:r>
      <w:r>
        <w:rPr>
          <w:rFonts w:ascii="Arial" w:cs="Arial" w:eastAsia="Arial" w:hAnsi="Arial"/>
          <w:sz w:val="19"/>
          <w:szCs w:val="19"/>
          <w:color w:val="auto"/>
        </w:rPr>
        <w:t>applies. If, in the event of a merge</w:t>
      </w:r>
      <w:r>
        <w:rPr>
          <w:rFonts w:ascii="Arial" w:cs="Arial" w:eastAsia="Arial" w:hAnsi="Arial"/>
          <w:sz w:val="19"/>
          <w:szCs w:val="19"/>
          <w:i w:val="1"/>
          <w:iCs w:val="1"/>
          <w:color w:val="auto"/>
        </w:rPr>
        <w:t xml:space="preserve"> </w:t>
      </w:r>
      <w:r>
        <w:rPr>
          <w:rFonts w:ascii="Arial" w:cs="Arial" w:eastAsia="Arial" w:hAnsi="Arial"/>
          <w:sz w:val="19"/>
          <w:szCs w:val="19"/>
          <w:color w:val="auto"/>
        </w:rPr>
        <w:t>demerger or conversion, the share or membership rights are not adequately safeguarded or the compensation is n appropriate, any shareholder may, wit two months of the publication of the merger, demerger or conversion resolution, request that the court dete an appropriate compensation paymen (appraisal suit).</w:t>
      </w:r>
    </w:p>
    <w:p>
      <w:pPr>
        <w:spacing w:after="0" w:line="5415" w:lineRule="exact"/>
        <w:rPr>
          <w:sz w:val="20"/>
          <w:szCs w:val="20"/>
          <w:color w:val="auto"/>
        </w:rPr>
      </w:pPr>
    </w:p>
    <w:p>
      <w:pPr>
        <w:sectPr>
          <w:pgSz w:w="11900" w:h="16838" w:orient="portrait"/>
          <w:cols w:equalWidth="0" w:num="2">
            <w:col w:w="7020" w:space="120"/>
            <w:col w:w="332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87 / 139</w:t>
      </w:r>
    </w:p>
    <w:p>
      <w:pPr>
        <w:sectPr>
          <w:pgSz w:w="11900" w:h="16838" w:orient="portrait"/>
          <w:cols w:equalWidth="0" w:num="1">
            <w:col w:w="10460"/>
          </w:cols>
          <w:pgMar w:left="1440" w:top="1440" w:right="6" w:bottom="0" w:gutter="0" w:footer="0" w:header="0"/>
          <w:type w:val="continuous"/>
        </w:sectPr>
      </w:pPr>
    </w:p>
    <w:bookmarkStart w:id="316" w:name="page317"/>
    <w:bookmarkEnd w:id="316"/>
    <w:p>
      <w:pPr>
        <w:ind w:left="900"/>
        <w:spacing w:after="0"/>
        <w:tabs>
          <w:tab w:leader="none" w:pos="3200" w:val="left"/>
        </w:tabs>
        <w:rPr>
          <w:sz w:val="20"/>
          <w:szCs w:val="20"/>
          <w:color w:val="auto"/>
        </w:rPr>
      </w:pPr>
      <w:r>
        <w:rPr>
          <w:rFonts w:ascii="Arial" w:cs="Arial" w:eastAsia="Arial" w:hAnsi="Arial"/>
          <w:sz w:val="20"/>
          <w:szCs w:val="20"/>
          <w:b w:val="1"/>
          <w:bCs w:val="1"/>
          <w:i w:val="1"/>
          <w:iCs w:val="1"/>
          <w:color w:val="auto"/>
        </w:rPr>
        <w:t>Shareholder</w:t>
      </w:r>
      <w:r>
        <w:rPr>
          <w:sz w:val="20"/>
          <w:szCs w:val="20"/>
          <w:color w:val="auto"/>
        </w:rPr>
        <w:tab/>
      </w:r>
      <w:r>
        <w:rPr>
          <w:rFonts w:ascii="Arial" w:cs="Arial" w:eastAsia="Arial" w:hAnsi="Arial"/>
          <w:sz w:val="20"/>
          <w:szCs w:val="20"/>
          <w:color w:val="auto"/>
        </w:rPr>
        <w:t>The BCBCA provides that in order for one</w:t>
      </w:r>
    </w:p>
    <w:p>
      <w:pPr>
        <w:spacing w:after="0" w:line="72" w:lineRule="exact"/>
        <w:rPr>
          <w:sz w:val="20"/>
          <w:szCs w:val="20"/>
          <w:color w:val="auto"/>
        </w:rPr>
      </w:pPr>
    </w:p>
    <w:p>
      <w:pPr>
        <w:ind w:left="900"/>
        <w:spacing w:after="0"/>
        <w:tabs>
          <w:tab w:leader="none" w:pos="3200" w:val="left"/>
        </w:tabs>
        <w:rPr>
          <w:sz w:val="20"/>
          <w:szCs w:val="20"/>
          <w:color w:val="auto"/>
        </w:rPr>
      </w:pPr>
      <w:r>
        <w:rPr>
          <w:rFonts w:ascii="Arial" w:cs="Arial" w:eastAsia="Arial" w:hAnsi="Arial"/>
          <w:sz w:val="20"/>
          <w:szCs w:val="20"/>
          <w:b w:val="1"/>
          <w:bCs w:val="1"/>
          <w:i w:val="1"/>
          <w:iCs w:val="1"/>
          <w:color w:val="auto"/>
        </w:rPr>
        <w:t>Requisitions and</w:t>
      </w:r>
      <w:r>
        <w:rPr>
          <w:sz w:val="20"/>
          <w:szCs w:val="20"/>
          <w:color w:val="auto"/>
        </w:rPr>
        <w:tab/>
      </w:r>
      <w:r>
        <w:rPr>
          <w:rFonts w:ascii="Arial" w:cs="Arial" w:eastAsia="Arial" w:hAnsi="Arial"/>
          <w:sz w:val="20"/>
          <w:szCs w:val="20"/>
          <w:color w:val="auto"/>
        </w:rPr>
        <w:t>or more registered holders or beneficial</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 xml:space="preserve">Shareholder Proposals </w:t>
      </w:r>
      <w:r>
        <w:rPr>
          <w:rFonts w:ascii="Arial" w:cs="Arial" w:eastAsia="Arial" w:hAnsi="Arial"/>
          <w:sz w:val="20"/>
          <w:szCs w:val="20"/>
          <w:color w:val="auto"/>
        </w:rPr>
        <w:t>owners of voting shares to be entitled to</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submit a proposal, they must have held</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one or more voting shares for an</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uninterrupted period of at least two years</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before the date the proposal is signed by</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the shareholders and they must own not</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less than 1% of the total number of voting</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shares or voting shares with a fair market</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value in excess of $2,000. If the submitter</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is a qualified shareholder at the time of the</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annual general meeting to which its</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proposal relates, the company must allow</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the submitter to present the proposal, in</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person or by proxy, at such meeting. Such</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a shareholder proposal must be submitted</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to the company not later than three months</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before the anniversary date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1131570</wp:posOffset>
            </wp:positionV>
            <wp:extent cx="6764020" cy="190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i w:val="1"/>
          <w:iCs w:val="1"/>
          <w:color w:val="auto"/>
        </w:rPr>
        <w:t>Swiss Code of Obligations</w:t>
      </w:r>
      <w:r>
        <w:rPr>
          <w:rFonts w:ascii="Arial" w:cs="Arial" w:eastAsia="Arial" w:hAnsi="Arial"/>
          <w:sz w:val="19"/>
          <w:szCs w:val="19"/>
          <w:color w:val="auto"/>
        </w:rPr>
        <w:t xml:space="preserve"> also provides shareholders with the right t submit shareholder proposals; shareholders holding, individually, or together with other shareholders with whom the proposal is made, 0.5% of t shares or of the votes may request th items be placed on the agenda for the general shareholders' meeting and/or motions relating to items on the agen included in the notice convening the meeting. Such requested motions and agenda items must be submitted to th Board in writing before the general shareholders' meeting to be included meeting notice and may be accompa by a brief explanation, which the Boar must include in the meeting notice to shareholders.</w:t>
      </w:r>
    </w:p>
    <w:p>
      <w:pPr>
        <w:spacing w:after="0" w:line="200" w:lineRule="exact"/>
        <w:rPr>
          <w:sz w:val="20"/>
          <w:szCs w:val="20"/>
          <w:color w:val="auto"/>
        </w:rPr>
      </w:pPr>
    </w:p>
    <w:p>
      <w:pPr>
        <w:sectPr>
          <w:pgSz w:w="11900" w:h="16838" w:orient="portrait"/>
          <w:cols w:equalWidth="0" w:num="2">
            <w:col w:w="7020" w:space="120"/>
            <w:col w:w="332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88 / 139</w:t>
      </w:r>
    </w:p>
    <w:p>
      <w:pPr>
        <w:sectPr>
          <w:pgSz w:w="11900" w:h="16838" w:orient="portrait"/>
          <w:cols w:equalWidth="0" w:num="1">
            <w:col w:w="10460"/>
          </w:cols>
          <w:pgMar w:left="1440" w:top="1165" w:right="6" w:bottom="0" w:gutter="0" w:footer="0" w:header="0"/>
          <w:type w:val="continuous"/>
        </w:sectPr>
      </w:pPr>
    </w:p>
    <w:bookmarkStart w:id="317" w:name="page318"/>
    <w:bookmarkEnd w:id="3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20" w:right="20"/>
        <w:spacing w:after="0" w:line="314" w:lineRule="auto"/>
        <w:rPr>
          <w:sz w:val="20"/>
          <w:szCs w:val="20"/>
          <w:color w:val="auto"/>
        </w:rPr>
      </w:pPr>
      <w:r>
        <w:rPr>
          <w:rFonts w:ascii="Arial" w:cs="Arial" w:eastAsia="Arial" w:hAnsi="Arial"/>
          <w:sz w:val="20"/>
          <w:szCs w:val="20"/>
          <w:color w:val="auto"/>
        </w:rPr>
        <w:t>company's prior annual general meeting, except where such proposal relates to the nomination of a director, in which case such proposal must be submitted not less than 30 and not more than 65 days prior to the date of the meeting, subject to certain exceptions provided in the company's articles of incorporation. If the Board refuses to accept a validly submitted shareholder proposal, the requesting shareholder(s) may seek to enforce their rights through the court.</w:t>
      </w:r>
    </w:p>
    <w:p>
      <w:pPr>
        <w:spacing w:after="0" w:line="212" w:lineRule="exact"/>
        <w:rPr>
          <w:sz w:val="20"/>
          <w:szCs w:val="20"/>
          <w:color w:val="auto"/>
        </w:rPr>
      </w:pPr>
    </w:p>
    <w:p>
      <w:pPr>
        <w:ind w:left="3220"/>
        <w:spacing w:after="0" w:line="314" w:lineRule="auto"/>
        <w:rPr>
          <w:sz w:val="20"/>
          <w:szCs w:val="20"/>
          <w:color w:val="auto"/>
        </w:rPr>
      </w:pPr>
      <w:r>
        <w:rPr>
          <w:rFonts w:ascii="Arial" w:cs="Arial" w:eastAsia="Arial" w:hAnsi="Arial"/>
          <w:sz w:val="20"/>
          <w:szCs w:val="20"/>
          <w:color w:val="auto"/>
        </w:rPr>
        <w:t>The BCBCA also provides that one or more registered shareholders holding at least 5% of the outstanding voting shares may requisition a meeting of shareholders, and permits the requisitioning registered shareholder to call the meeting where the Board of the company does not do so within 21 days following the company's receipt of the shareholder meeting requisition. The BCBCA specifies that the requisitioned shareholder meeting must be held within not more than four months after the date the company received the requisition.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313" w:lineRule="auto"/>
        <w:rPr>
          <w:sz w:val="20"/>
          <w:szCs w:val="20"/>
          <w:color w:val="auto"/>
        </w:rPr>
      </w:pPr>
      <w:r>
        <w:rPr>
          <w:rFonts w:ascii="Arial" w:cs="Arial" w:eastAsia="Arial" w:hAnsi="Arial"/>
          <w:sz w:val="20"/>
          <w:szCs w:val="20"/>
          <w:color w:val="auto"/>
        </w:rPr>
        <w:t xml:space="preserve">Pursuant to the </w:t>
      </w:r>
      <w:r>
        <w:rPr>
          <w:rFonts w:ascii="Arial" w:cs="Arial" w:eastAsia="Arial" w:hAnsi="Arial"/>
          <w:sz w:val="20"/>
          <w:szCs w:val="20"/>
          <w:i w:val="1"/>
          <w:iCs w:val="1"/>
          <w:color w:val="auto"/>
        </w:rPr>
        <w:t>Swiss Code of</w:t>
      </w:r>
      <w:r>
        <w:rPr>
          <w:rFonts w:ascii="Arial" w:cs="Arial" w:eastAsia="Arial" w:hAnsi="Arial"/>
          <w:sz w:val="20"/>
          <w:szCs w:val="20"/>
          <w:color w:val="auto"/>
        </w:rPr>
        <w:t xml:space="preserve"> </w:t>
      </w:r>
      <w:r>
        <w:rPr>
          <w:rFonts w:ascii="Arial" w:cs="Arial" w:eastAsia="Arial" w:hAnsi="Arial"/>
          <w:sz w:val="20"/>
          <w:szCs w:val="20"/>
          <w:i w:val="1"/>
          <w:iCs w:val="1"/>
          <w:color w:val="auto"/>
        </w:rPr>
        <w:t>Obligations</w:t>
      </w:r>
      <w:r>
        <w:rPr>
          <w:rFonts w:ascii="Arial" w:cs="Arial" w:eastAsia="Arial" w:hAnsi="Arial"/>
          <w:sz w:val="20"/>
          <w:szCs w:val="20"/>
          <w:color w:val="auto"/>
        </w:rPr>
        <w:t>, at the meeting itself, any</w:t>
      </w:r>
      <w:r>
        <w:rPr>
          <w:rFonts w:ascii="Arial" w:cs="Arial" w:eastAsia="Arial" w:hAnsi="Arial"/>
          <w:sz w:val="20"/>
          <w:szCs w:val="20"/>
          <w:i w:val="1"/>
          <w:iCs w:val="1"/>
          <w:color w:val="auto"/>
        </w:rPr>
        <w:t xml:space="preserve"> </w:t>
      </w:r>
      <w:r>
        <w:rPr>
          <w:rFonts w:ascii="Arial" w:cs="Arial" w:eastAsia="Arial" w:hAnsi="Arial"/>
          <w:sz w:val="20"/>
          <w:szCs w:val="20"/>
          <w:color w:val="auto"/>
        </w:rPr>
        <w:t>shareholder present may submit a mo concerning existing agenda items, including the nomination of a director where election of directors is on the agenda.</w:t>
      </w:r>
    </w:p>
    <w:p>
      <w:pPr>
        <w:spacing w:after="0" w:line="214" w:lineRule="exact"/>
        <w:rPr>
          <w:sz w:val="20"/>
          <w:szCs w:val="20"/>
          <w:color w:val="auto"/>
        </w:rPr>
      </w:pPr>
    </w:p>
    <w:p>
      <w:pPr>
        <w:spacing w:after="0" w:line="332"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i w:val="1"/>
          <w:iCs w:val="1"/>
          <w:color w:val="auto"/>
        </w:rPr>
        <w:t>Swiss Code of Obligations</w:t>
      </w:r>
      <w:r>
        <w:rPr>
          <w:rFonts w:ascii="Arial" w:cs="Arial" w:eastAsia="Arial" w:hAnsi="Arial"/>
          <w:sz w:val="19"/>
          <w:szCs w:val="19"/>
          <w:color w:val="auto"/>
        </w:rPr>
        <w:t xml:space="preserve"> also provides shareholders the right to requisition shareholders' meetings, enabling shareholders holding, individ or together with other shareholders, 5 the shares or of the voting rights to demand that the Board call a shareho meeting. The shareholders' meeting s be convened by the Board within 60 d of receipt of such a request.</w:t>
      </w:r>
    </w:p>
    <w:p>
      <w:pPr>
        <w:spacing w:after="0" w:line="2699" w:lineRule="exact"/>
        <w:rPr>
          <w:sz w:val="20"/>
          <w:szCs w:val="20"/>
          <w:color w:val="auto"/>
        </w:rPr>
      </w:pPr>
    </w:p>
    <w:p>
      <w:pPr>
        <w:sectPr>
          <w:pgSz w:w="11900" w:h="16838" w:orient="portrait"/>
          <w:cols w:equalWidth="0" w:num="2">
            <w:col w:w="7020" w:space="120"/>
            <w:col w:w="332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89 / 139</w:t>
      </w:r>
    </w:p>
    <w:p>
      <w:pPr>
        <w:sectPr>
          <w:pgSz w:w="11900" w:h="16838" w:orient="portrait"/>
          <w:cols w:equalWidth="0" w:num="1">
            <w:col w:w="10460"/>
          </w:cols>
          <w:pgMar w:left="1440" w:top="1440" w:right="6" w:bottom="0" w:gutter="0" w:footer="0" w:header="0"/>
          <w:type w:val="continuous"/>
        </w:sectPr>
      </w:pPr>
    </w:p>
    <w:bookmarkStart w:id="318" w:name="page319"/>
    <w:bookmarkEnd w:id="318"/>
    <w:p>
      <w:pPr>
        <w:ind w:left="900"/>
        <w:spacing w:after="0"/>
        <w:tabs>
          <w:tab w:leader="none" w:pos="3200" w:val="left"/>
        </w:tabs>
        <w:rPr>
          <w:sz w:val="20"/>
          <w:szCs w:val="20"/>
          <w:color w:val="auto"/>
        </w:rPr>
      </w:pPr>
      <w:r>
        <w:rPr>
          <w:rFonts w:ascii="Arial" w:cs="Arial" w:eastAsia="Arial" w:hAnsi="Arial"/>
          <w:sz w:val="20"/>
          <w:szCs w:val="20"/>
          <w:b w:val="1"/>
          <w:bCs w:val="1"/>
          <w:i w:val="1"/>
          <w:iCs w:val="1"/>
          <w:color w:val="auto"/>
        </w:rPr>
        <w:t>Shareholders'</w:t>
      </w:r>
      <w:r>
        <w:rPr>
          <w:sz w:val="20"/>
          <w:szCs w:val="20"/>
          <w:color w:val="auto"/>
        </w:rPr>
        <w:tab/>
      </w:r>
      <w:r>
        <w:rPr>
          <w:rFonts w:ascii="Arial" w:cs="Arial" w:eastAsia="Arial" w:hAnsi="Arial"/>
          <w:sz w:val="20"/>
          <w:szCs w:val="20"/>
          <w:color w:val="auto"/>
        </w:rPr>
        <w:t>Per the BCBCA, a company must hold an</w:t>
      </w:r>
    </w:p>
    <w:p>
      <w:pPr>
        <w:spacing w:after="0" w:line="72" w:lineRule="exact"/>
        <w:rPr>
          <w:sz w:val="20"/>
          <w:szCs w:val="20"/>
          <w:color w:val="auto"/>
        </w:rPr>
      </w:pPr>
    </w:p>
    <w:p>
      <w:pPr>
        <w:ind w:left="900"/>
        <w:spacing w:after="0"/>
        <w:tabs>
          <w:tab w:leader="none" w:pos="3200" w:val="left"/>
        </w:tabs>
        <w:rPr>
          <w:sz w:val="20"/>
          <w:szCs w:val="20"/>
          <w:color w:val="auto"/>
        </w:rPr>
      </w:pPr>
      <w:r>
        <w:rPr>
          <w:rFonts w:ascii="Arial" w:cs="Arial" w:eastAsia="Arial" w:hAnsi="Arial"/>
          <w:sz w:val="20"/>
          <w:szCs w:val="20"/>
          <w:b w:val="1"/>
          <w:bCs w:val="1"/>
          <w:i w:val="1"/>
          <w:iCs w:val="1"/>
          <w:color w:val="auto"/>
        </w:rPr>
        <w:t>Meetings</w:t>
      </w:r>
      <w:r>
        <w:rPr>
          <w:sz w:val="20"/>
          <w:szCs w:val="20"/>
          <w:color w:val="auto"/>
        </w:rPr>
        <w:tab/>
      </w:r>
      <w:r>
        <w:rPr>
          <w:rFonts w:ascii="Arial" w:cs="Arial" w:eastAsia="Arial" w:hAnsi="Arial"/>
          <w:sz w:val="20"/>
          <w:szCs w:val="20"/>
          <w:color w:val="auto"/>
        </w:rPr>
        <w:t>annual general meeting of its</w:t>
      </w:r>
    </w:p>
    <w:p>
      <w:pPr>
        <w:spacing w:after="0" w:line="79" w:lineRule="exact"/>
        <w:rPr>
          <w:sz w:val="20"/>
          <w:szCs w:val="20"/>
          <w:color w:val="auto"/>
        </w:rPr>
      </w:pPr>
    </w:p>
    <w:p>
      <w:pPr>
        <w:ind w:left="3220"/>
        <w:spacing w:after="0" w:line="314" w:lineRule="auto"/>
        <w:rPr>
          <w:sz w:val="20"/>
          <w:szCs w:val="20"/>
          <w:color w:val="auto"/>
        </w:rPr>
      </w:pPr>
      <w:r>
        <w:rPr>
          <w:rFonts w:ascii="Arial" w:cs="Arial" w:eastAsia="Arial" w:hAnsi="Arial"/>
          <w:sz w:val="20"/>
          <w:szCs w:val="20"/>
          <w:color w:val="auto"/>
        </w:rPr>
        <w:t>shareholders, if for the first time, not more than 18 months after the date on which the company was recognized, and, if after its first annual reference date, at least once in each calendar year and not more than 15 months after the annual reference date for the preceding calendar year. In some instances, a company need not hold an annual general meeting of its shareholders if a written unanimous resolution of shareholders is passed with respect to the approval of the business required to be transacted at the meeting.</w:t>
      </w:r>
    </w:p>
    <w:p>
      <w:pPr>
        <w:spacing w:after="0" w:line="213" w:lineRule="exact"/>
        <w:rPr>
          <w:sz w:val="20"/>
          <w:szCs w:val="20"/>
          <w:color w:val="auto"/>
        </w:rPr>
      </w:pPr>
    </w:p>
    <w:p>
      <w:pPr>
        <w:ind w:left="3220" w:right="180"/>
        <w:spacing w:after="0" w:line="313" w:lineRule="auto"/>
        <w:rPr>
          <w:sz w:val="20"/>
          <w:szCs w:val="20"/>
          <w:color w:val="auto"/>
        </w:rPr>
      </w:pPr>
      <w:r>
        <w:rPr>
          <w:rFonts w:ascii="Arial" w:cs="Arial" w:eastAsia="Arial" w:hAnsi="Arial"/>
          <w:sz w:val="20"/>
          <w:szCs w:val="20"/>
          <w:color w:val="auto"/>
        </w:rPr>
        <w:t>Under the BCBCA, general meetings of shareholders must be held in British Columbia. Hybrid shareholder meetings, which comprise both an in-person and a virtual element, and fully virtual Shareholder meetings are also permitted under the BCBCA.</w:t>
      </w:r>
    </w:p>
    <w:p>
      <w:pPr>
        <w:spacing w:after="0" w:line="214" w:lineRule="exact"/>
        <w:rPr>
          <w:sz w:val="20"/>
          <w:szCs w:val="20"/>
          <w:color w:val="auto"/>
        </w:rPr>
      </w:pPr>
    </w:p>
    <w:p>
      <w:pPr>
        <w:ind w:left="3220"/>
        <w:spacing w:after="0" w:line="313" w:lineRule="auto"/>
        <w:rPr>
          <w:sz w:val="20"/>
          <w:szCs w:val="20"/>
          <w:color w:val="auto"/>
        </w:rPr>
      </w:pPr>
      <w:r>
        <w:rPr>
          <w:rFonts w:ascii="Arial" w:cs="Arial" w:eastAsia="Arial" w:hAnsi="Arial"/>
          <w:sz w:val="20"/>
          <w:szCs w:val="20"/>
          <w:color w:val="auto"/>
        </w:rPr>
        <w:t>Nothing in the BCBCA or in applicable Canadian or U.S. securities law prevents a company from appointing a director or member of management to act as proxyholder for shareholders who wish to vote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1729105</wp:posOffset>
            </wp:positionV>
            <wp:extent cx="6764020" cy="190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49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auto"/>
        <w:rPr>
          <w:sz w:val="20"/>
          <w:szCs w:val="20"/>
          <w:color w:val="auto"/>
        </w:rPr>
      </w:pPr>
      <w:r>
        <w:rPr>
          <w:rFonts w:ascii="Arial" w:cs="Arial" w:eastAsia="Arial" w:hAnsi="Arial"/>
          <w:sz w:val="19"/>
          <w:szCs w:val="19"/>
          <w:color w:val="auto"/>
        </w:rPr>
        <w:t xml:space="preserve">Under the </w:t>
      </w:r>
      <w:r>
        <w:rPr>
          <w:rFonts w:ascii="Arial" w:cs="Arial" w:eastAsia="Arial" w:hAnsi="Arial"/>
          <w:sz w:val="19"/>
          <w:szCs w:val="19"/>
          <w:i w:val="1"/>
          <w:iCs w:val="1"/>
          <w:color w:val="auto"/>
        </w:rPr>
        <w:t>Swiss Code of Obligations</w:t>
      </w:r>
      <w:r>
        <w:rPr>
          <w:rFonts w:ascii="Arial" w:cs="Arial" w:eastAsia="Arial" w:hAnsi="Arial"/>
          <w:sz w:val="19"/>
          <w:szCs w:val="19"/>
          <w:color w:val="auto"/>
        </w:rPr>
        <w:t xml:space="preserve">, corporation must hold an annual gene meeting of shareholders within six mo after the end of its business year. Und the </w:t>
      </w:r>
      <w:r>
        <w:rPr>
          <w:rFonts w:ascii="Arial" w:cs="Arial" w:eastAsia="Arial" w:hAnsi="Arial"/>
          <w:sz w:val="19"/>
          <w:szCs w:val="19"/>
          <w:i w:val="1"/>
          <w:iCs w:val="1"/>
          <w:color w:val="auto"/>
        </w:rPr>
        <w:t>Swiss Code of Obligations</w:t>
      </w:r>
      <w:r>
        <w:rPr>
          <w:rFonts w:ascii="Arial" w:cs="Arial" w:eastAsia="Arial" w:hAnsi="Arial"/>
          <w:sz w:val="19"/>
          <w:szCs w:val="19"/>
          <w:color w:val="auto"/>
        </w:rPr>
        <w:t xml:space="preserve">, a mee of shareholders for which a notice of meeting has been duly published may be adjourned, except where the requi attendance quorum, if provided by the Articles of Association, is not met, in case the meeting cannot be adjourne without publishing a new notice of the meeting. Swiss law does not provide f attendance quorum in respect of shareholders' meetings. Under the </w:t>
      </w:r>
      <w:r>
        <w:rPr>
          <w:rFonts w:ascii="Arial" w:cs="Arial" w:eastAsia="Arial" w:hAnsi="Arial"/>
          <w:sz w:val="19"/>
          <w:szCs w:val="19"/>
          <w:i w:val="1"/>
          <w:iCs w:val="1"/>
          <w:color w:val="auto"/>
        </w:rPr>
        <w:t>Sw</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Code of Obligations </w:t>
      </w:r>
      <w:r>
        <w:rPr>
          <w:rFonts w:ascii="Arial" w:cs="Arial" w:eastAsia="Arial" w:hAnsi="Arial"/>
          <w:sz w:val="19"/>
          <w:szCs w:val="19"/>
          <w:color w:val="auto"/>
        </w:rPr>
        <w:t>, meetings of</w:t>
      </w:r>
      <w:r>
        <w:rPr>
          <w:rFonts w:ascii="Arial" w:cs="Arial" w:eastAsia="Arial" w:hAnsi="Arial"/>
          <w:sz w:val="19"/>
          <w:szCs w:val="19"/>
          <w:i w:val="1"/>
          <w:iCs w:val="1"/>
          <w:color w:val="auto"/>
        </w:rPr>
        <w:t xml:space="preserve"> </w:t>
      </w:r>
      <w:r>
        <w:rPr>
          <w:rFonts w:ascii="Arial" w:cs="Arial" w:eastAsia="Arial" w:hAnsi="Arial"/>
          <w:sz w:val="19"/>
          <w:szCs w:val="19"/>
          <w:color w:val="auto"/>
        </w:rPr>
        <w:t>shareholders may be held outside Switzerland. Hybrid shareholder meet and fully virtual shareholder meetings also permitted.</w:t>
      </w:r>
    </w:p>
    <w:p>
      <w:pPr>
        <w:spacing w:after="0" w:line="211" w:lineRule="exact"/>
        <w:rPr>
          <w:sz w:val="20"/>
          <w:szCs w:val="20"/>
          <w:color w:val="auto"/>
        </w:rPr>
      </w:pPr>
    </w:p>
    <w:p>
      <w:pPr>
        <w:spacing w:after="0" w:line="332" w:lineRule="auto"/>
        <w:rPr>
          <w:sz w:val="20"/>
          <w:szCs w:val="20"/>
          <w:color w:val="auto"/>
        </w:rPr>
      </w:pPr>
      <w:r>
        <w:rPr>
          <w:rFonts w:ascii="Arial" w:cs="Arial" w:eastAsia="Arial" w:hAnsi="Arial"/>
          <w:sz w:val="19"/>
          <w:szCs w:val="19"/>
          <w:color w:val="auto"/>
        </w:rPr>
        <w:t xml:space="preserve">Under the </w:t>
      </w:r>
      <w:r>
        <w:rPr>
          <w:rFonts w:ascii="Arial" w:cs="Arial" w:eastAsia="Arial" w:hAnsi="Arial"/>
          <w:sz w:val="19"/>
          <w:szCs w:val="19"/>
          <w:i w:val="1"/>
          <w:iCs w:val="1"/>
          <w:color w:val="auto"/>
        </w:rPr>
        <w:t>Swiss Code of Obligations</w:t>
      </w:r>
      <w:r>
        <w:rPr>
          <w:rFonts w:ascii="Arial" w:cs="Arial" w:eastAsia="Arial" w:hAnsi="Arial"/>
          <w:sz w:val="19"/>
          <w:szCs w:val="19"/>
          <w:color w:val="auto"/>
        </w:rPr>
        <w:t>, following powers, among others, are vested exclusively with the sharehold adoption and amendment of the corporation's Articles of Association; election and removal of the members the Board, the chairperson of the Boa the members of the compensation committee, the statutory auditor and t independent voting representative; approval of the management report a the consolidated</w:t>
      </w:r>
    </w:p>
    <w:p>
      <w:pPr>
        <w:spacing w:after="0" w:line="200" w:lineRule="exact"/>
        <w:rPr>
          <w:sz w:val="20"/>
          <w:szCs w:val="20"/>
          <w:color w:val="auto"/>
        </w:rPr>
      </w:pPr>
    </w:p>
    <w:p>
      <w:pPr>
        <w:sectPr>
          <w:pgSz w:w="11900" w:h="16838" w:orient="portrait"/>
          <w:cols w:equalWidth="0" w:num="2">
            <w:col w:w="7000" w:space="140"/>
            <w:col w:w="332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90 / 139</w:t>
      </w:r>
    </w:p>
    <w:p>
      <w:pPr>
        <w:sectPr>
          <w:pgSz w:w="11900" w:h="16838" w:orient="portrait"/>
          <w:cols w:equalWidth="0" w:num="1">
            <w:col w:w="10460"/>
          </w:cols>
          <w:pgMar w:left="1440" w:top="1165" w:right="6" w:bottom="0" w:gutter="0" w:footer="0" w:header="0"/>
          <w:type w:val="continuous"/>
        </w:sectPr>
      </w:pPr>
    </w:p>
    <w:bookmarkStart w:id="319" w:name="page320"/>
    <w:bookmarkEnd w:id="3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statements of account, if any; the ado</w:t>
      </w:r>
    </w:p>
    <w:p>
      <w:pPr>
        <w:spacing w:after="0" w:line="76"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of resolutions on the use of the availa</w:t>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earnings, in particular the declaration</w:t>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dividends or the return of capital; and</w:t>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release from liability of the members</w:t>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Board and the other management bo</w:t>
      </w:r>
    </w:p>
    <w:p>
      <w:pPr>
        <w:spacing w:after="0" w:line="27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Swiss law requires that shareholders</w:t>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appoint an independent voting</w:t>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representative who acts as proxyhold</w:t>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shareholders who wish to vote by pro</w:t>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whose term ends at the conclusion of</w:t>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shareholders meeting following their</w:t>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appointment. Shareholders may,</w:t>
      </w:r>
    </w:p>
    <w:p>
      <w:pPr>
        <w:spacing w:after="0" w:line="79"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nevertheless, choose to appoint some</w:t>
      </w:r>
    </w:p>
    <w:p>
      <w:pPr>
        <w:spacing w:after="0" w:line="76"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else to act as their proxy, who need n</w:t>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a shareholder. The independent votin</w:t>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representative may not exercise any</w:t>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shareholder rights beyond voting in</w:t>
      </w:r>
    </w:p>
    <w:p>
      <w:pPr>
        <w:spacing w:after="0" w:line="79"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accordance with the proxies received.</w:t>
      </w:r>
    </w:p>
    <w:p>
      <w:pPr>
        <w:spacing w:after="0" w:line="76"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particular, shareholders cannot instru</w:t>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independent voting representative to</w:t>
      </w:r>
    </w:p>
    <w:p>
      <w:pPr>
        <w:spacing w:after="0" w:line="79"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submit proposals, make statements, o</w:t>
      </w:r>
    </w:p>
    <w:p>
      <w:pPr>
        <w:spacing w:after="0" w:line="76"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exercise the right to information.</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91 / 139</w:t>
      </w:r>
    </w:p>
    <w:p>
      <w:pPr>
        <w:sectPr>
          <w:pgSz w:w="11900" w:h="16838" w:orient="portrait"/>
          <w:cols w:equalWidth="0" w:num="1">
            <w:col w:w="10460"/>
          </w:cols>
          <w:pgMar w:left="1440" w:top="1440" w:right="6" w:bottom="0" w:gutter="0" w:footer="0" w:header="0"/>
          <w:type w:val="continuous"/>
        </w:sectPr>
      </w:pPr>
    </w:p>
    <w:bookmarkStart w:id="320" w:name="page321"/>
    <w:bookmarkEnd w:id="320"/>
    <w:p>
      <w:pPr>
        <w:ind w:left="900"/>
        <w:spacing w:after="0"/>
        <w:tabs>
          <w:tab w:leader="none" w:pos="3200" w:val="left"/>
        </w:tabs>
        <w:rPr>
          <w:sz w:val="20"/>
          <w:szCs w:val="20"/>
          <w:color w:val="auto"/>
        </w:rPr>
      </w:pPr>
      <w:r>
        <w:rPr>
          <w:rFonts w:ascii="Arial" w:cs="Arial" w:eastAsia="Arial" w:hAnsi="Arial"/>
          <w:sz w:val="20"/>
          <w:szCs w:val="20"/>
          <w:b w:val="1"/>
          <w:bCs w:val="1"/>
          <w:i w:val="1"/>
          <w:iCs w:val="1"/>
          <w:color w:val="auto"/>
        </w:rPr>
        <w:t>Notice of Meetings of</w:t>
      </w:r>
      <w:r>
        <w:rPr>
          <w:sz w:val="20"/>
          <w:szCs w:val="20"/>
          <w:color w:val="auto"/>
        </w:rPr>
        <w:tab/>
      </w:r>
      <w:r>
        <w:rPr>
          <w:rFonts w:ascii="Arial" w:cs="Arial" w:eastAsia="Arial" w:hAnsi="Arial"/>
          <w:sz w:val="20"/>
          <w:szCs w:val="20"/>
          <w:color w:val="auto"/>
        </w:rPr>
        <w:t>Pursuant to the BCBCA, a company must</w:t>
      </w:r>
    </w:p>
    <w:p>
      <w:pPr>
        <w:spacing w:after="0" w:line="72" w:lineRule="exact"/>
        <w:rPr>
          <w:sz w:val="20"/>
          <w:szCs w:val="20"/>
          <w:color w:val="auto"/>
        </w:rPr>
      </w:pPr>
    </w:p>
    <w:p>
      <w:pPr>
        <w:ind w:left="900"/>
        <w:spacing w:after="0"/>
        <w:tabs>
          <w:tab w:leader="none" w:pos="3200" w:val="left"/>
        </w:tabs>
        <w:rPr>
          <w:sz w:val="20"/>
          <w:szCs w:val="20"/>
          <w:color w:val="auto"/>
        </w:rPr>
      </w:pPr>
      <w:r>
        <w:rPr>
          <w:rFonts w:ascii="Arial" w:cs="Arial" w:eastAsia="Arial" w:hAnsi="Arial"/>
          <w:sz w:val="20"/>
          <w:szCs w:val="20"/>
          <w:b w:val="1"/>
          <w:bCs w:val="1"/>
          <w:i w:val="1"/>
          <w:iCs w:val="1"/>
          <w:color w:val="auto"/>
        </w:rPr>
        <w:t>Shareholders</w:t>
      </w:r>
      <w:r>
        <w:rPr>
          <w:sz w:val="20"/>
          <w:szCs w:val="20"/>
          <w:color w:val="auto"/>
        </w:rPr>
        <w:tab/>
      </w:r>
      <w:r>
        <w:rPr>
          <w:rFonts w:ascii="Arial" w:cs="Arial" w:eastAsia="Arial" w:hAnsi="Arial"/>
          <w:sz w:val="20"/>
          <w:szCs w:val="20"/>
          <w:color w:val="auto"/>
        </w:rPr>
        <w:t>give notice of a general meeting by</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sending out the date, time and location of</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the general meeting as well as a clear</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description of the matters and business to</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be discussed between 21 days and two</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months before the meeting is held. In the</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case of a meeting requisitioned by the</w:t>
      </w:r>
    </w:p>
    <w:p>
      <w:pPr>
        <w:spacing w:after="0" w:line="79" w:lineRule="exact"/>
        <w:rPr>
          <w:sz w:val="20"/>
          <w:szCs w:val="20"/>
          <w:color w:val="auto"/>
        </w:rPr>
      </w:pPr>
    </w:p>
    <w:p>
      <w:pPr>
        <w:ind w:left="3220"/>
        <w:spacing w:after="0"/>
        <w:rPr>
          <w:sz w:val="20"/>
          <w:szCs w:val="20"/>
          <w:color w:val="auto"/>
        </w:rPr>
      </w:pPr>
      <w:r>
        <w:rPr>
          <w:rFonts w:ascii="Arial" w:cs="Arial" w:eastAsia="Arial" w:hAnsi="Arial"/>
          <w:sz w:val="19"/>
          <w:szCs w:val="19"/>
          <w:color w:val="auto"/>
        </w:rPr>
        <w:t>shareholders, notice must be sent between</w:t>
      </w:r>
    </w:p>
    <w:p>
      <w:pPr>
        <w:spacing w:after="0" w:line="76"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21 days and four months after the date on</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which the requisition was received by the</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company. In addition, so long as a</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company is a reporting issuer in a</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jurisdiction of Canada, applicable</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Canadian securities law generally requires</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that notice be given to shareholders</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between 30 (or 40 if using notice-and-</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access) and 60 days in advance of a</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meeting of shareholders.</w:t>
      </w:r>
    </w:p>
    <w:p>
      <w:pPr>
        <w:spacing w:after="0" w:line="279" w:lineRule="exact"/>
        <w:rPr>
          <w:sz w:val="20"/>
          <w:szCs w:val="20"/>
          <w:color w:val="auto"/>
        </w:rPr>
      </w:pPr>
    </w:p>
    <w:p>
      <w:pPr>
        <w:ind w:left="3220"/>
        <w:spacing w:after="0" w:line="314" w:lineRule="auto"/>
        <w:rPr>
          <w:sz w:val="20"/>
          <w:szCs w:val="20"/>
          <w:color w:val="auto"/>
        </w:rPr>
      </w:pPr>
      <w:r>
        <w:rPr>
          <w:rFonts w:ascii="Arial" w:cs="Arial" w:eastAsia="Arial" w:hAnsi="Arial"/>
          <w:sz w:val="20"/>
          <w:szCs w:val="20"/>
          <w:color w:val="auto"/>
        </w:rPr>
        <w:t>If a resolution in respect of which a shareholder is entitled to dissent is to be considered at a shareholders' meeting, the notice for such meeting must contain a statement to this effect and a copy of the resolution in question. Notice may be given by mail to the shareholder's registered address or electronically using notice-and-access.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1087120</wp:posOffset>
            </wp:positionV>
            <wp:extent cx="6764020" cy="190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49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auto"/>
        <w:rPr>
          <w:sz w:val="20"/>
          <w:szCs w:val="20"/>
          <w:color w:val="auto"/>
        </w:rPr>
      </w:pPr>
      <w:r>
        <w:rPr>
          <w:rFonts w:ascii="Arial" w:cs="Arial" w:eastAsia="Arial" w:hAnsi="Arial"/>
          <w:sz w:val="20"/>
          <w:szCs w:val="20"/>
          <w:color w:val="auto"/>
        </w:rPr>
        <w:t xml:space="preserve">Under the </w:t>
      </w:r>
      <w:r>
        <w:rPr>
          <w:rFonts w:ascii="Arial" w:cs="Arial" w:eastAsia="Arial" w:hAnsi="Arial"/>
          <w:sz w:val="20"/>
          <w:szCs w:val="20"/>
          <w:i w:val="1"/>
          <w:iCs w:val="1"/>
          <w:color w:val="auto"/>
        </w:rPr>
        <w:t>Swiss Code of Obligations</w:t>
      </w:r>
      <w:r>
        <w:rPr>
          <w:rFonts w:ascii="Arial" w:cs="Arial" w:eastAsia="Arial" w:hAnsi="Arial"/>
          <w:sz w:val="20"/>
          <w:szCs w:val="20"/>
          <w:color w:val="auto"/>
        </w:rPr>
        <w:t>, notice of an annual general meeting o shareholders must be provided no les than 20 days before the scheduled meeting date.</w:t>
      </w:r>
    </w:p>
    <w:p>
      <w:pPr>
        <w:spacing w:after="0" w:line="210" w:lineRule="exact"/>
        <w:rPr>
          <w:sz w:val="20"/>
          <w:szCs w:val="20"/>
          <w:color w:val="auto"/>
        </w:rPr>
      </w:pPr>
    </w:p>
    <w:p>
      <w:pPr>
        <w:spacing w:after="0" w:line="331" w:lineRule="auto"/>
        <w:rPr>
          <w:sz w:val="20"/>
          <w:szCs w:val="20"/>
          <w:color w:val="auto"/>
        </w:rPr>
      </w:pPr>
      <w:r>
        <w:rPr>
          <w:rFonts w:ascii="Arial" w:cs="Arial" w:eastAsia="Arial" w:hAnsi="Arial"/>
          <w:sz w:val="19"/>
          <w:szCs w:val="19"/>
          <w:color w:val="auto"/>
        </w:rPr>
        <w:t>The notice must contain the date, tim form and location of the general meet as well as a clear description of the matters and business to be discussed Further the notice must contain the motions of the Board and a short explanation thereof, the name and the address of the independent voting representative and any shareholder's motion that has been submitted with a short explanation thereof. In the case meeting requested by the shareholde the directors shall convene a shareho meeting within 60 days of receipt of s request.</w:t>
      </w:r>
    </w:p>
    <w:p>
      <w:pPr>
        <w:spacing w:after="0" w:line="2614" w:lineRule="exact"/>
        <w:rPr>
          <w:sz w:val="20"/>
          <w:szCs w:val="20"/>
          <w:color w:val="auto"/>
        </w:rPr>
      </w:pPr>
    </w:p>
    <w:p>
      <w:pPr>
        <w:sectPr>
          <w:pgSz w:w="11900" w:h="16838" w:orient="portrait"/>
          <w:cols w:equalWidth="0" w:num="2">
            <w:col w:w="7020" w:space="120"/>
            <w:col w:w="332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92 / 139</w:t>
      </w:r>
    </w:p>
    <w:p>
      <w:pPr>
        <w:sectPr>
          <w:pgSz w:w="11900" w:h="16838" w:orient="portrait"/>
          <w:cols w:equalWidth="0" w:num="1">
            <w:col w:w="10460"/>
          </w:cols>
          <w:pgMar w:left="1440" w:top="1165" w:right="6" w:bottom="0" w:gutter="0" w:footer="0" w:header="0"/>
          <w:type w:val="continuous"/>
        </w:sectPr>
      </w:pPr>
    </w:p>
    <w:bookmarkStart w:id="321" w:name="page322"/>
    <w:bookmarkEnd w:id="3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00"/>
        <w:spacing w:after="0"/>
        <w:tabs>
          <w:tab w:leader="none" w:pos="3200" w:val="left"/>
          <w:tab w:leader="none" w:pos="7120" w:val="left"/>
        </w:tabs>
        <w:rPr>
          <w:sz w:val="20"/>
          <w:szCs w:val="20"/>
          <w:color w:val="auto"/>
        </w:rPr>
      </w:pPr>
      <w:r>
        <w:rPr>
          <w:rFonts w:ascii="Arial" w:cs="Arial" w:eastAsia="Arial" w:hAnsi="Arial"/>
          <w:sz w:val="20"/>
          <w:szCs w:val="20"/>
          <w:b w:val="1"/>
          <w:bCs w:val="1"/>
          <w:i w:val="1"/>
          <w:iCs w:val="1"/>
          <w:color w:val="auto"/>
        </w:rPr>
        <w:t>Dividends</w:t>
      </w:r>
      <w:r>
        <w:rPr>
          <w:sz w:val="20"/>
          <w:szCs w:val="20"/>
          <w:color w:val="auto"/>
        </w:rPr>
        <w:tab/>
      </w:r>
      <w:r>
        <w:rPr>
          <w:rFonts w:ascii="Arial" w:cs="Arial" w:eastAsia="Arial" w:hAnsi="Arial"/>
          <w:sz w:val="20"/>
          <w:szCs w:val="20"/>
          <w:color w:val="auto"/>
        </w:rPr>
        <w:t>Under the BCBCA, directors may declare</w:t>
      </w:r>
      <w:r>
        <w:rPr>
          <w:sz w:val="20"/>
          <w:szCs w:val="20"/>
          <w:color w:val="auto"/>
        </w:rPr>
        <w:tab/>
      </w:r>
      <w:r>
        <w:rPr>
          <w:rFonts w:ascii="Arial" w:cs="Arial" w:eastAsia="Arial" w:hAnsi="Arial"/>
          <w:sz w:val="20"/>
          <w:szCs w:val="20"/>
          <w:i w:val="1"/>
          <w:iCs w:val="1"/>
          <w:color w:val="auto"/>
        </w:rPr>
        <w:t>See “Differences From Requirements</w:t>
      </w:r>
    </w:p>
    <w:p>
      <w:pPr>
        <w:spacing w:after="0" w:line="72" w:lineRule="exact"/>
        <w:rPr>
          <w:sz w:val="20"/>
          <w:szCs w:val="20"/>
          <w:color w:val="auto"/>
        </w:rPr>
      </w:pPr>
    </w:p>
    <w:p>
      <w:pPr>
        <w:ind w:left="3220"/>
        <w:spacing w:after="0"/>
        <w:tabs>
          <w:tab w:leader="none" w:pos="7120" w:val="left"/>
        </w:tabs>
        <w:rPr>
          <w:sz w:val="20"/>
          <w:szCs w:val="20"/>
          <w:color w:val="auto"/>
        </w:rPr>
      </w:pPr>
      <w:r>
        <w:rPr>
          <w:rFonts w:ascii="Arial" w:cs="Arial" w:eastAsia="Arial" w:hAnsi="Arial"/>
          <w:sz w:val="20"/>
          <w:szCs w:val="20"/>
          <w:color w:val="auto"/>
        </w:rPr>
        <w:t>or pay dividends by issuing shares or</w:t>
      </w:r>
      <w:r>
        <w:rPr>
          <w:sz w:val="20"/>
          <w:szCs w:val="20"/>
          <w:color w:val="auto"/>
        </w:rPr>
        <w:tab/>
      </w:r>
      <w:r>
        <w:rPr>
          <w:rFonts w:ascii="Arial" w:cs="Arial" w:eastAsia="Arial" w:hAnsi="Arial"/>
          <w:sz w:val="20"/>
          <w:szCs w:val="20"/>
          <w:i w:val="1"/>
          <w:iCs w:val="1"/>
          <w:color w:val="auto"/>
        </w:rPr>
        <w:t>The United States – Swiss Law -</w:t>
      </w:r>
    </w:p>
    <w:p>
      <w:pPr>
        <w:spacing w:after="0" w:line="72" w:lineRule="exact"/>
        <w:rPr>
          <w:sz w:val="20"/>
          <w:szCs w:val="20"/>
          <w:color w:val="auto"/>
        </w:rPr>
      </w:pPr>
    </w:p>
    <w:p>
      <w:pPr>
        <w:ind w:left="3220"/>
        <w:spacing w:after="0"/>
        <w:tabs>
          <w:tab w:leader="none" w:pos="7120" w:val="left"/>
        </w:tabs>
        <w:rPr>
          <w:sz w:val="20"/>
          <w:szCs w:val="20"/>
          <w:color w:val="auto"/>
        </w:rPr>
      </w:pPr>
      <w:r>
        <w:rPr>
          <w:rFonts w:ascii="Arial" w:cs="Arial" w:eastAsia="Arial" w:hAnsi="Arial"/>
          <w:sz w:val="20"/>
          <w:szCs w:val="20"/>
          <w:color w:val="auto"/>
        </w:rPr>
        <w:t>warrants by way of dividend or in property,</w:t>
      </w:r>
      <w:r>
        <w:rPr>
          <w:sz w:val="20"/>
          <w:szCs w:val="20"/>
          <w:color w:val="auto"/>
        </w:rPr>
        <w:tab/>
      </w:r>
      <w:r>
        <w:rPr>
          <w:rFonts w:ascii="Arial" w:cs="Arial" w:eastAsia="Arial" w:hAnsi="Arial"/>
          <w:sz w:val="19"/>
          <w:szCs w:val="19"/>
          <w:i w:val="1"/>
          <w:iCs w:val="1"/>
          <w:color w:val="auto"/>
        </w:rPr>
        <w:t>Distributions and Dividends.”</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including in money, subject to the</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restriction that a corporation may not</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declare or pay dividends if the corporation</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is insolvent, or the payment of the dividend</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would render the corporation insolvent.</w:t>
      </w:r>
    </w:p>
    <w:p>
      <w:pPr>
        <w:sectPr>
          <w:pgSz w:w="11900" w:h="16838" w:orient="portrait"/>
          <w:cols w:equalWidth="0" w:num="1">
            <w:col w:w="10460"/>
          </w:cols>
          <w:pgMar w:left="1440" w:top="1440" w:right="6" w:bottom="0" w:gutter="0" w:footer="0" w:header="0"/>
        </w:sectPr>
      </w:pPr>
    </w:p>
    <w:p>
      <w:pPr>
        <w:spacing w:after="0" w:line="374" w:lineRule="exact"/>
        <w:rPr>
          <w:sz w:val="20"/>
          <w:szCs w:val="20"/>
          <w:color w:val="auto"/>
        </w:rPr>
      </w:pPr>
    </w:p>
    <w:p>
      <w:pPr>
        <w:ind w:left="900"/>
        <w:spacing w:after="0"/>
        <w:tabs>
          <w:tab w:leader="none" w:pos="3200" w:val="left"/>
        </w:tabs>
        <w:rPr>
          <w:sz w:val="20"/>
          <w:szCs w:val="20"/>
          <w:color w:val="auto"/>
        </w:rPr>
      </w:pPr>
      <w:r>
        <w:rPr>
          <w:rFonts w:ascii="Arial" w:cs="Arial" w:eastAsia="Arial" w:hAnsi="Arial"/>
          <w:sz w:val="20"/>
          <w:szCs w:val="20"/>
          <w:b w:val="1"/>
          <w:bCs w:val="1"/>
          <w:i w:val="1"/>
          <w:iCs w:val="1"/>
          <w:color w:val="auto"/>
        </w:rPr>
        <w:t>Reduction of Share</w:t>
      </w:r>
      <w:r>
        <w:rPr>
          <w:sz w:val="20"/>
          <w:szCs w:val="20"/>
          <w:color w:val="auto"/>
        </w:rPr>
        <w:tab/>
      </w:r>
      <w:r>
        <w:rPr>
          <w:rFonts w:ascii="Arial" w:cs="Arial" w:eastAsia="Arial" w:hAnsi="Arial"/>
          <w:sz w:val="19"/>
          <w:szCs w:val="19"/>
          <w:color w:val="auto"/>
        </w:rPr>
        <w:t>There is no similar mechanism for capital</w:t>
      </w:r>
    </w:p>
    <w:p>
      <w:pPr>
        <w:spacing w:after="0" w:line="72" w:lineRule="exact"/>
        <w:rPr>
          <w:sz w:val="20"/>
          <w:szCs w:val="20"/>
          <w:color w:val="auto"/>
        </w:rPr>
      </w:pPr>
    </w:p>
    <w:p>
      <w:pPr>
        <w:ind w:left="900"/>
        <w:spacing w:after="0"/>
        <w:tabs>
          <w:tab w:leader="none" w:pos="3200" w:val="left"/>
        </w:tabs>
        <w:rPr>
          <w:sz w:val="20"/>
          <w:szCs w:val="20"/>
          <w:color w:val="auto"/>
        </w:rPr>
      </w:pPr>
      <w:r>
        <w:rPr>
          <w:rFonts w:ascii="Arial" w:cs="Arial" w:eastAsia="Arial" w:hAnsi="Arial"/>
          <w:sz w:val="20"/>
          <w:szCs w:val="20"/>
          <w:b w:val="1"/>
          <w:bCs w:val="1"/>
          <w:i w:val="1"/>
          <w:iCs w:val="1"/>
          <w:color w:val="auto"/>
        </w:rPr>
        <w:t>Capital</w:t>
      </w:r>
      <w:r>
        <w:rPr>
          <w:sz w:val="20"/>
          <w:szCs w:val="20"/>
          <w:color w:val="auto"/>
        </w:rPr>
        <w:tab/>
      </w:r>
      <w:r>
        <w:rPr>
          <w:rFonts w:ascii="Arial" w:cs="Arial" w:eastAsia="Arial" w:hAnsi="Arial"/>
          <w:sz w:val="20"/>
          <w:szCs w:val="20"/>
          <w:color w:val="auto"/>
        </w:rPr>
        <w:t>distributions from the share capital under</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the BCBCA.</w:t>
      </w:r>
    </w:p>
    <w:p>
      <w:pPr>
        <w:spacing w:after="0" w:line="374" w:lineRule="exact"/>
        <w:rPr>
          <w:sz w:val="20"/>
          <w:szCs w:val="20"/>
          <w:color w:val="auto"/>
        </w:rPr>
      </w:pPr>
    </w:p>
    <w:p>
      <w:pPr>
        <w:ind w:left="900"/>
        <w:spacing w:after="0"/>
        <w:tabs>
          <w:tab w:leader="none" w:pos="3200" w:val="left"/>
        </w:tabs>
        <w:rPr>
          <w:sz w:val="20"/>
          <w:szCs w:val="20"/>
          <w:color w:val="auto"/>
        </w:rPr>
      </w:pPr>
      <w:r>
        <w:rPr>
          <w:rFonts w:ascii="Arial" w:cs="Arial" w:eastAsia="Arial" w:hAnsi="Arial"/>
          <w:sz w:val="20"/>
          <w:szCs w:val="20"/>
          <w:b w:val="1"/>
          <w:bCs w:val="1"/>
          <w:i w:val="1"/>
          <w:iCs w:val="1"/>
          <w:color w:val="auto"/>
        </w:rPr>
        <w:t>Rights Upon</w:t>
      </w:r>
      <w:r>
        <w:rPr>
          <w:sz w:val="20"/>
          <w:szCs w:val="20"/>
          <w:color w:val="auto"/>
        </w:rPr>
        <w:tab/>
      </w:r>
      <w:r>
        <w:rPr>
          <w:rFonts w:ascii="Arial" w:cs="Arial" w:eastAsia="Arial" w:hAnsi="Arial"/>
          <w:sz w:val="19"/>
          <w:szCs w:val="19"/>
          <w:color w:val="auto"/>
        </w:rPr>
        <w:t>Under the BCBCA, in the event of the</w:t>
      </w:r>
    </w:p>
    <w:p>
      <w:pPr>
        <w:spacing w:after="0" w:line="79" w:lineRule="exact"/>
        <w:rPr>
          <w:sz w:val="20"/>
          <w:szCs w:val="20"/>
          <w:color w:val="auto"/>
        </w:rPr>
      </w:pPr>
    </w:p>
    <w:p>
      <w:pPr>
        <w:ind w:left="900"/>
        <w:spacing w:after="0"/>
        <w:tabs>
          <w:tab w:leader="none" w:pos="3200" w:val="left"/>
        </w:tabs>
        <w:rPr>
          <w:sz w:val="20"/>
          <w:szCs w:val="20"/>
          <w:color w:val="auto"/>
        </w:rPr>
      </w:pPr>
      <w:r>
        <w:rPr>
          <w:rFonts w:ascii="Arial" w:cs="Arial" w:eastAsia="Arial" w:hAnsi="Arial"/>
          <w:sz w:val="19"/>
          <w:szCs w:val="19"/>
          <w:b w:val="1"/>
          <w:bCs w:val="1"/>
          <w:i w:val="1"/>
          <w:iCs w:val="1"/>
          <w:color w:val="auto"/>
        </w:rPr>
        <w:t>Liquidation</w:t>
      </w:r>
      <w:r>
        <w:rPr>
          <w:sz w:val="20"/>
          <w:szCs w:val="20"/>
          <w:color w:val="auto"/>
        </w:rPr>
        <w:tab/>
      </w:r>
      <w:r>
        <w:rPr>
          <w:rFonts w:ascii="Arial" w:cs="Arial" w:eastAsia="Arial" w:hAnsi="Arial"/>
          <w:sz w:val="19"/>
          <w:szCs w:val="19"/>
          <w:color w:val="auto"/>
        </w:rPr>
        <w:t>liquidation or dissolution of the corporation,</w:t>
      </w:r>
    </w:p>
    <w:p>
      <w:pPr>
        <w:spacing w:after="0" w:line="83" w:lineRule="exact"/>
        <w:rPr>
          <w:sz w:val="20"/>
          <w:szCs w:val="20"/>
          <w:color w:val="auto"/>
        </w:rPr>
      </w:pPr>
    </w:p>
    <w:p>
      <w:pPr>
        <w:ind w:left="3220" w:right="20"/>
        <w:spacing w:after="0" w:line="313" w:lineRule="auto"/>
        <w:rPr>
          <w:sz w:val="20"/>
          <w:szCs w:val="20"/>
          <w:color w:val="auto"/>
        </w:rPr>
      </w:pPr>
      <w:r>
        <w:rPr>
          <w:rFonts w:ascii="Arial" w:cs="Arial" w:eastAsia="Arial" w:hAnsi="Arial"/>
          <w:sz w:val="20"/>
          <w:szCs w:val="20"/>
          <w:color w:val="auto"/>
        </w:rPr>
        <w:t xml:space="preserve">after the full amounts that creditors as to distribution on liquidation or winding up are entitled to receive have been paid or set aside for payment, shareholders would be entitled to receive, </w:t>
      </w:r>
      <w:r>
        <w:rPr>
          <w:rFonts w:ascii="Arial" w:cs="Arial" w:eastAsia="Arial" w:hAnsi="Arial"/>
          <w:sz w:val="20"/>
          <w:szCs w:val="20"/>
          <w:i w:val="1"/>
          <w:iCs w:val="1"/>
          <w:color w:val="auto"/>
        </w:rPr>
        <w:t>pro rata</w:t>
      </w:r>
      <w:r>
        <w:rPr>
          <w:rFonts w:ascii="Arial" w:cs="Arial" w:eastAsia="Arial" w:hAnsi="Arial"/>
          <w:sz w:val="20"/>
          <w:szCs w:val="20"/>
          <w:color w:val="auto"/>
        </w:rPr>
        <w:t>, any remaining assets of the corporation available for distribution.</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line="311" w:lineRule="auto"/>
        <w:rPr>
          <w:sz w:val="20"/>
          <w:szCs w:val="20"/>
          <w:color w:val="auto"/>
        </w:rPr>
      </w:pPr>
      <w:r>
        <w:rPr>
          <w:rFonts w:ascii="Arial" w:cs="Arial" w:eastAsia="Arial" w:hAnsi="Arial"/>
          <w:sz w:val="20"/>
          <w:szCs w:val="20"/>
          <w:i w:val="1"/>
          <w:iCs w:val="1"/>
          <w:color w:val="auto"/>
        </w:rPr>
        <w:t>See “Differences From Requirements The United States – Swiss Law - Distributions and Dividends.”</w:t>
      </w:r>
    </w:p>
    <w:p>
      <w:pPr>
        <w:spacing w:after="0" w:line="313" w:lineRule="exact"/>
        <w:rPr>
          <w:sz w:val="20"/>
          <w:szCs w:val="20"/>
          <w:color w:val="auto"/>
        </w:rPr>
      </w:pPr>
    </w:p>
    <w:p>
      <w:pPr>
        <w:spacing w:after="0" w:line="332" w:lineRule="auto"/>
        <w:rPr>
          <w:sz w:val="20"/>
          <w:szCs w:val="20"/>
          <w:color w:val="auto"/>
        </w:rPr>
      </w:pPr>
      <w:r>
        <w:rPr>
          <w:rFonts w:ascii="Arial" w:cs="Arial" w:eastAsia="Arial" w:hAnsi="Arial"/>
          <w:sz w:val="19"/>
          <w:szCs w:val="19"/>
          <w:color w:val="auto"/>
        </w:rPr>
        <w:t xml:space="preserve">Under the </w:t>
      </w:r>
      <w:r>
        <w:rPr>
          <w:rFonts w:ascii="Arial" w:cs="Arial" w:eastAsia="Arial" w:hAnsi="Arial"/>
          <w:sz w:val="19"/>
          <w:szCs w:val="19"/>
          <w:i w:val="1"/>
          <w:iCs w:val="1"/>
          <w:color w:val="auto"/>
        </w:rPr>
        <w:t>Swiss Code of Obligations</w:t>
      </w:r>
      <w:r>
        <w:rPr>
          <w:rFonts w:ascii="Arial" w:cs="Arial" w:eastAsia="Arial" w:hAnsi="Arial"/>
          <w:sz w:val="19"/>
          <w:szCs w:val="19"/>
          <w:color w:val="auto"/>
        </w:rPr>
        <w:t xml:space="preserve">, the event of the liquidation, after the f amounts that creditors as to distributi liquidation or winding up are entitled t receive have been paid or set aside f payment, the holders of Shares would entitled to receive, </w:t>
      </w:r>
      <w:r>
        <w:rPr>
          <w:rFonts w:ascii="Arial" w:cs="Arial" w:eastAsia="Arial" w:hAnsi="Arial"/>
          <w:sz w:val="19"/>
          <w:szCs w:val="19"/>
          <w:i w:val="1"/>
          <w:iCs w:val="1"/>
          <w:color w:val="auto"/>
        </w:rPr>
        <w:t>pro rata</w:t>
      </w:r>
      <w:r>
        <w:rPr>
          <w:rFonts w:ascii="Arial" w:cs="Arial" w:eastAsia="Arial" w:hAnsi="Arial"/>
          <w:sz w:val="19"/>
          <w:szCs w:val="19"/>
          <w:color w:val="auto"/>
        </w:rPr>
        <w:t>, any rema assets of the corporation available for distribution to the holders of Shares, subject to Swiss withholding tax requirements.</w:t>
      </w:r>
    </w:p>
    <w:p>
      <w:pPr>
        <w:spacing w:after="0" w:line="200" w:lineRule="exact"/>
        <w:rPr>
          <w:sz w:val="20"/>
          <w:szCs w:val="20"/>
          <w:color w:val="auto"/>
        </w:rPr>
      </w:pPr>
    </w:p>
    <w:p>
      <w:pPr>
        <w:sectPr>
          <w:pgSz w:w="11900" w:h="16838" w:orient="portrait"/>
          <w:cols w:equalWidth="0" w:num="2">
            <w:col w:w="7020" w:space="120"/>
            <w:col w:w="3320"/>
          </w:cols>
          <w:pgMar w:left="1440" w:top="1440" w:right="6" w:bottom="0" w:gutter="0" w:footer="0" w:header="0"/>
          <w:type w:val="continuous"/>
        </w:sectPr>
      </w:pPr>
    </w:p>
    <w:p>
      <w:pPr>
        <w:spacing w:after="0" w:line="91" w:lineRule="exact"/>
        <w:rPr>
          <w:sz w:val="20"/>
          <w:szCs w:val="20"/>
          <w:color w:val="auto"/>
        </w:rPr>
      </w:pPr>
    </w:p>
    <w:tbl>
      <w:tblPr>
        <w:tblLayout w:type="fixed"/>
        <w:tblInd w:w="90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r>
              <w:rPr>
                <w:rFonts w:ascii="Arial" w:cs="Arial" w:eastAsia="Arial" w:hAnsi="Arial"/>
                <w:sz w:val="20"/>
                <w:szCs w:val="20"/>
                <w:b w:val="1"/>
                <w:bCs w:val="1"/>
                <w:i w:val="1"/>
                <w:iCs w:val="1"/>
                <w:color w:val="auto"/>
              </w:rPr>
              <w:t>Inspection of Books</w:t>
            </w:r>
          </w:p>
        </w:tc>
        <w:tc>
          <w:tcPr>
            <w:tcW w:w="4080" w:type="dxa"/>
            <w:vAlign w:val="bottom"/>
          </w:tcPr>
          <w:p>
            <w:pPr>
              <w:ind w:left="220"/>
              <w:spacing w:after="0"/>
              <w:rPr>
                <w:sz w:val="20"/>
                <w:szCs w:val="20"/>
                <w:color w:val="auto"/>
              </w:rPr>
            </w:pPr>
            <w:r>
              <w:rPr>
                <w:rFonts w:ascii="Arial" w:cs="Arial" w:eastAsia="Arial" w:hAnsi="Arial"/>
                <w:sz w:val="20"/>
                <w:szCs w:val="20"/>
                <w:color w:val="auto"/>
              </w:rPr>
              <w:t>Under the BCBCA, any current director</w:t>
            </w:r>
          </w:p>
        </w:tc>
        <w:tc>
          <w:tcPr>
            <w:tcW w:w="3380" w:type="dxa"/>
            <w:vAlign w:val="bottom"/>
          </w:tcPr>
          <w:p>
            <w:pPr>
              <w:ind w:left="60"/>
              <w:spacing w:after="0"/>
              <w:rPr>
                <w:sz w:val="20"/>
                <w:szCs w:val="20"/>
                <w:color w:val="auto"/>
              </w:rPr>
            </w:pPr>
            <w:r>
              <w:rPr>
                <w:rFonts w:ascii="Arial" w:cs="Arial" w:eastAsia="Arial" w:hAnsi="Arial"/>
                <w:sz w:val="20"/>
                <w:szCs w:val="20"/>
                <w:i w:val="1"/>
                <w:iCs w:val="1"/>
                <w:color w:val="auto"/>
                <w:w w:val="99"/>
              </w:rPr>
              <w:t>See “Differences From Requirements</w:t>
            </w:r>
          </w:p>
        </w:tc>
      </w:tr>
      <w:tr>
        <w:trPr>
          <w:trHeight w:val="302"/>
        </w:trPr>
        <w:tc>
          <w:tcPr>
            <w:tcW w:w="2100" w:type="dxa"/>
            <w:vAlign w:val="bottom"/>
          </w:tcPr>
          <w:p>
            <w:pPr>
              <w:spacing w:after="0"/>
              <w:rPr>
                <w:sz w:val="20"/>
                <w:szCs w:val="20"/>
                <w:color w:val="auto"/>
              </w:rPr>
            </w:pPr>
            <w:r>
              <w:rPr>
                <w:rFonts w:ascii="Arial" w:cs="Arial" w:eastAsia="Arial" w:hAnsi="Arial"/>
                <w:sz w:val="20"/>
                <w:szCs w:val="20"/>
                <w:b w:val="1"/>
                <w:bCs w:val="1"/>
                <w:i w:val="1"/>
                <w:iCs w:val="1"/>
                <w:color w:val="auto"/>
              </w:rPr>
              <w:t>and Records by</w:t>
            </w:r>
          </w:p>
        </w:tc>
        <w:tc>
          <w:tcPr>
            <w:tcW w:w="4080" w:type="dxa"/>
            <w:vAlign w:val="bottom"/>
          </w:tcPr>
          <w:p>
            <w:pPr>
              <w:ind w:left="220"/>
              <w:spacing w:after="0"/>
              <w:rPr>
                <w:sz w:val="20"/>
                <w:szCs w:val="20"/>
                <w:color w:val="auto"/>
              </w:rPr>
            </w:pPr>
            <w:r>
              <w:rPr>
                <w:rFonts w:ascii="Arial" w:cs="Arial" w:eastAsia="Arial" w:hAnsi="Arial"/>
                <w:sz w:val="20"/>
                <w:szCs w:val="20"/>
                <w:color w:val="auto"/>
              </w:rPr>
              <w:t>and, if permitted by the Articles, any</w:t>
            </w:r>
          </w:p>
        </w:tc>
        <w:tc>
          <w:tcPr>
            <w:tcW w:w="3380" w:type="dxa"/>
            <w:vAlign w:val="bottom"/>
          </w:tcPr>
          <w:p>
            <w:pPr>
              <w:ind w:left="60"/>
              <w:spacing w:after="0"/>
              <w:rPr>
                <w:sz w:val="20"/>
                <w:szCs w:val="20"/>
                <w:color w:val="auto"/>
              </w:rPr>
            </w:pPr>
            <w:r>
              <w:rPr>
                <w:rFonts w:ascii="Arial" w:cs="Arial" w:eastAsia="Arial" w:hAnsi="Arial"/>
                <w:sz w:val="20"/>
                <w:szCs w:val="20"/>
                <w:i w:val="1"/>
                <w:iCs w:val="1"/>
                <w:color w:val="auto"/>
              </w:rPr>
              <w:t>The United States – Swiss Law -Insp</w:t>
            </w:r>
          </w:p>
        </w:tc>
      </w:tr>
      <w:tr>
        <w:trPr>
          <w:trHeight w:val="302"/>
        </w:trPr>
        <w:tc>
          <w:tcPr>
            <w:tcW w:w="2100" w:type="dxa"/>
            <w:vAlign w:val="bottom"/>
          </w:tcPr>
          <w:p>
            <w:pPr>
              <w:spacing w:after="0"/>
              <w:rPr>
                <w:sz w:val="20"/>
                <w:szCs w:val="20"/>
                <w:color w:val="auto"/>
              </w:rPr>
            </w:pPr>
            <w:r>
              <w:rPr>
                <w:rFonts w:ascii="Arial" w:cs="Arial" w:eastAsia="Arial" w:hAnsi="Arial"/>
                <w:sz w:val="20"/>
                <w:szCs w:val="20"/>
                <w:b w:val="1"/>
                <w:bCs w:val="1"/>
                <w:i w:val="1"/>
                <w:iCs w:val="1"/>
                <w:color w:val="auto"/>
              </w:rPr>
              <w:t>Shareholders</w:t>
            </w:r>
          </w:p>
        </w:tc>
        <w:tc>
          <w:tcPr>
            <w:tcW w:w="4080" w:type="dxa"/>
            <w:vAlign w:val="bottom"/>
          </w:tcPr>
          <w:p>
            <w:pPr>
              <w:ind w:left="220"/>
              <w:spacing w:after="0"/>
              <w:rPr>
                <w:sz w:val="20"/>
                <w:szCs w:val="20"/>
                <w:color w:val="auto"/>
              </w:rPr>
            </w:pPr>
            <w:r>
              <w:rPr>
                <w:rFonts w:ascii="Arial" w:cs="Arial" w:eastAsia="Arial" w:hAnsi="Arial"/>
                <w:sz w:val="20"/>
                <w:szCs w:val="20"/>
                <w:color w:val="auto"/>
              </w:rPr>
              <w:t>shareholder of the corporation or any other</w:t>
            </w:r>
          </w:p>
        </w:tc>
        <w:tc>
          <w:tcPr>
            <w:tcW w:w="3380" w:type="dxa"/>
            <w:vAlign w:val="bottom"/>
          </w:tcPr>
          <w:p>
            <w:pPr>
              <w:ind w:left="60"/>
              <w:spacing w:after="0"/>
              <w:rPr>
                <w:sz w:val="20"/>
                <w:szCs w:val="20"/>
                <w:color w:val="auto"/>
              </w:rPr>
            </w:pPr>
            <w:r>
              <w:rPr>
                <w:rFonts w:ascii="Arial" w:cs="Arial" w:eastAsia="Arial" w:hAnsi="Arial"/>
                <w:sz w:val="20"/>
                <w:szCs w:val="20"/>
                <w:i w:val="1"/>
                <w:iCs w:val="1"/>
                <w:color w:val="auto"/>
              </w:rPr>
              <w:t>of Books and Records.”</w:t>
            </w:r>
          </w:p>
        </w:tc>
      </w:tr>
      <w:tr>
        <w:trPr>
          <w:trHeight w:val="302"/>
        </w:trPr>
        <w:tc>
          <w:tcPr>
            <w:tcW w:w="2100" w:type="dxa"/>
            <w:vAlign w:val="bottom"/>
          </w:tcPr>
          <w:p>
            <w:pPr>
              <w:spacing w:after="0"/>
              <w:rPr>
                <w:sz w:val="24"/>
                <w:szCs w:val="24"/>
                <w:color w:val="auto"/>
              </w:rPr>
            </w:pPr>
          </w:p>
        </w:tc>
        <w:tc>
          <w:tcPr>
            <w:tcW w:w="4080" w:type="dxa"/>
            <w:vAlign w:val="bottom"/>
          </w:tcPr>
          <w:p>
            <w:pPr>
              <w:ind w:left="220"/>
              <w:spacing w:after="0"/>
              <w:rPr>
                <w:sz w:val="20"/>
                <w:szCs w:val="20"/>
                <w:color w:val="auto"/>
              </w:rPr>
            </w:pPr>
            <w:r>
              <w:rPr>
                <w:rFonts w:ascii="Arial" w:cs="Arial" w:eastAsia="Arial" w:hAnsi="Arial"/>
                <w:sz w:val="20"/>
                <w:szCs w:val="20"/>
                <w:color w:val="auto"/>
              </w:rPr>
              <w:t>person may for any proper purpose inspect</w:t>
            </w:r>
          </w:p>
        </w:tc>
        <w:tc>
          <w:tcPr>
            <w:tcW w:w="3380" w:type="dxa"/>
            <w:vAlign w:val="bottom"/>
          </w:tcPr>
          <w:p>
            <w:pPr>
              <w:spacing w:after="0"/>
              <w:rPr>
                <w:sz w:val="24"/>
                <w:szCs w:val="24"/>
                <w:color w:val="auto"/>
              </w:rPr>
            </w:pPr>
          </w:p>
        </w:tc>
      </w:tr>
      <w:tr>
        <w:trPr>
          <w:trHeight w:val="302"/>
        </w:trPr>
        <w:tc>
          <w:tcPr>
            <w:tcW w:w="2100" w:type="dxa"/>
            <w:vAlign w:val="bottom"/>
          </w:tcPr>
          <w:p>
            <w:pPr>
              <w:spacing w:after="0"/>
              <w:rPr>
                <w:sz w:val="24"/>
                <w:szCs w:val="24"/>
                <w:color w:val="auto"/>
              </w:rPr>
            </w:pPr>
          </w:p>
        </w:tc>
        <w:tc>
          <w:tcPr>
            <w:tcW w:w="4080" w:type="dxa"/>
            <w:vAlign w:val="bottom"/>
          </w:tcPr>
          <w:p>
            <w:pPr>
              <w:ind w:left="220"/>
              <w:spacing w:after="0"/>
              <w:rPr>
                <w:sz w:val="20"/>
                <w:szCs w:val="20"/>
                <w:color w:val="auto"/>
              </w:rPr>
            </w:pPr>
            <w:r>
              <w:rPr>
                <w:rFonts w:ascii="Arial" w:cs="Arial" w:eastAsia="Arial" w:hAnsi="Arial"/>
                <w:sz w:val="20"/>
                <w:szCs w:val="20"/>
                <w:color w:val="auto"/>
              </w:rPr>
              <w:t>or make copies of the corporation's central</w:t>
            </w:r>
          </w:p>
        </w:tc>
        <w:tc>
          <w:tcPr>
            <w:tcW w:w="3380" w:type="dxa"/>
            <w:vAlign w:val="bottom"/>
          </w:tcPr>
          <w:p>
            <w:pPr>
              <w:spacing w:after="0"/>
              <w:rPr>
                <w:sz w:val="24"/>
                <w:szCs w:val="24"/>
                <w:color w:val="auto"/>
              </w:rPr>
            </w:pPr>
          </w:p>
        </w:tc>
      </w:tr>
      <w:tr>
        <w:trPr>
          <w:trHeight w:val="302"/>
        </w:trPr>
        <w:tc>
          <w:tcPr>
            <w:tcW w:w="2100" w:type="dxa"/>
            <w:vAlign w:val="bottom"/>
          </w:tcPr>
          <w:p>
            <w:pPr>
              <w:spacing w:after="0"/>
              <w:rPr>
                <w:sz w:val="24"/>
                <w:szCs w:val="24"/>
                <w:color w:val="auto"/>
              </w:rPr>
            </w:pPr>
          </w:p>
        </w:tc>
        <w:tc>
          <w:tcPr>
            <w:tcW w:w="4080" w:type="dxa"/>
            <w:vAlign w:val="bottom"/>
          </w:tcPr>
          <w:p>
            <w:pPr>
              <w:ind w:left="220"/>
              <w:spacing w:after="0"/>
              <w:rPr>
                <w:sz w:val="20"/>
                <w:szCs w:val="20"/>
                <w:color w:val="auto"/>
              </w:rPr>
            </w:pPr>
            <w:r>
              <w:rPr>
                <w:rFonts w:ascii="Arial" w:cs="Arial" w:eastAsia="Arial" w:hAnsi="Arial"/>
                <w:sz w:val="20"/>
                <w:szCs w:val="20"/>
                <w:color w:val="auto"/>
              </w:rPr>
              <w:t>securities register, list of shareholders and</w:t>
            </w:r>
          </w:p>
        </w:tc>
        <w:tc>
          <w:tcPr>
            <w:tcW w:w="3380" w:type="dxa"/>
            <w:vAlign w:val="bottom"/>
          </w:tcPr>
          <w:p>
            <w:pPr>
              <w:spacing w:after="0"/>
              <w:rPr>
                <w:sz w:val="24"/>
                <w:szCs w:val="24"/>
                <w:color w:val="auto"/>
              </w:rPr>
            </w:pPr>
          </w:p>
        </w:tc>
      </w:tr>
      <w:tr>
        <w:trPr>
          <w:trHeight w:val="302"/>
        </w:trPr>
        <w:tc>
          <w:tcPr>
            <w:tcW w:w="2100" w:type="dxa"/>
            <w:vAlign w:val="bottom"/>
          </w:tcPr>
          <w:p>
            <w:pPr>
              <w:spacing w:after="0"/>
              <w:rPr>
                <w:sz w:val="24"/>
                <w:szCs w:val="24"/>
                <w:color w:val="auto"/>
              </w:rPr>
            </w:pPr>
          </w:p>
        </w:tc>
        <w:tc>
          <w:tcPr>
            <w:tcW w:w="4080" w:type="dxa"/>
            <w:vAlign w:val="bottom"/>
          </w:tcPr>
          <w:p>
            <w:pPr>
              <w:ind w:left="220"/>
              <w:spacing w:after="0"/>
              <w:rPr>
                <w:sz w:val="20"/>
                <w:szCs w:val="20"/>
                <w:color w:val="auto"/>
              </w:rPr>
            </w:pPr>
            <w:r>
              <w:rPr>
                <w:rFonts w:ascii="Arial" w:cs="Arial" w:eastAsia="Arial" w:hAnsi="Arial"/>
                <w:sz w:val="20"/>
                <w:szCs w:val="20"/>
                <w:color w:val="auto"/>
              </w:rPr>
              <w:t>other books and records, provided</w:t>
            </w:r>
          </w:p>
        </w:tc>
        <w:tc>
          <w:tcPr>
            <w:tcW w:w="3380" w:type="dxa"/>
            <w:vAlign w:val="bottom"/>
          </w:tcPr>
          <w:p>
            <w:pPr>
              <w:spacing w:after="0"/>
              <w:rPr>
                <w:sz w:val="24"/>
                <w:szCs w:val="24"/>
                <w:color w:val="auto"/>
              </w:rPr>
            </w:pPr>
          </w:p>
        </w:tc>
      </w:tr>
      <w:tr>
        <w:trPr>
          <w:trHeight w:val="302"/>
        </w:trPr>
        <w:tc>
          <w:tcPr>
            <w:tcW w:w="2100" w:type="dxa"/>
            <w:vAlign w:val="bottom"/>
          </w:tcPr>
          <w:p>
            <w:pPr>
              <w:spacing w:after="0"/>
              <w:rPr>
                <w:sz w:val="24"/>
                <w:szCs w:val="24"/>
                <w:color w:val="auto"/>
              </w:rPr>
            </w:pPr>
          </w:p>
        </w:tc>
        <w:tc>
          <w:tcPr>
            <w:tcW w:w="4080" w:type="dxa"/>
            <w:vAlign w:val="bottom"/>
          </w:tcPr>
          <w:p>
            <w:pPr>
              <w:ind w:left="220"/>
              <w:spacing w:after="0"/>
              <w:rPr>
                <w:sz w:val="20"/>
                <w:szCs w:val="20"/>
                <w:color w:val="auto"/>
              </w:rPr>
            </w:pPr>
            <w:r>
              <w:rPr>
                <w:rFonts w:ascii="Arial" w:cs="Arial" w:eastAsia="Arial" w:hAnsi="Arial"/>
                <w:sz w:val="20"/>
                <w:szCs w:val="20"/>
                <w:color w:val="auto"/>
              </w:rPr>
              <w:t>however that, unless the directors</w:t>
            </w:r>
          </w:p>
        </w:tc>
        <w:tc>
          <w:tcPr>
            <w:tcW w:w="3380" w:type="dxa"/>
            <w:vAlign w:val="bottom"/>
          </w:tcPr>
          <w:p>
            <w:pPr>
              <w:spacing w:after="0"/>
              <w:rPr>
                <w:sz w:val="24"/>
                <w:szCs w:val="24"/>
                <w:color w:val="auto"/>
              </w:rPr>
            </w:pPr>
          </w:p>
        </w:tc>
      </w:tr>
      <w:tr>
        <w:trPr>
          <w:trHeight w:val="302"/>
        </w:trPr>
        <w:tc>
          <w:tcPr>
            <w:tcW w:w="2100" w:type="dxa"/>
            <w:vAlign w:val="bottom"/>
          </w:tcPr>
          <w:p>
            <w:pPr>
              <w:spacing w:after="0"/>
              <w:rPr>
                <w:sz w:val="24"/>
                <w:szCs w:val="24"/>
                <w:color w:val="auto"/>
              </w:rPr>
            </w:pPr>
          </w:p>
        </w:tc>
        <w:tc>
          <w:tcPr>
            <w:tcW w:w="4080" w:type="dxa"/>
            <w:vAlign w:val="bottom"/>
          </w:tcPr>
          <w:p>
            <w:pPr>
              <w:ind w:left="220"/>
              <w:spacing w:after="0"/>
              <w:rPr>
                <w:sz w:val="20"/>
                <w:szCs w:val="20"/>
                <w:color w:val="auto"/>
              </w:rPr>
            </w:pPr>
            <w:r>
              <w:rPr>
                <w:rFonts w:ascii="Arial" w:cs="Arial" w:eastAsia="Arial" w:hAnsi="Arial"/>
                <w:sz w:val="20"/>
                <w:szCs w:val="20"/>
                <w:color w:val="auto"/>
              </w:rPr>
              <w:t>determine otherwise or unless otherwise</w:t>
            </w:r>
          </w:p>
        </w:tc>
        <w:tc>
          <w:tcPr>
            <w:tcW w:w="3380" w:type="dxa"/>
            <w:vAlign w:val="bottom"/>
          </w:tcPr>
          <w:p>
            <w:pPr>
              <w:spacing w:after="0"/>
              <w:rPr>
                <w:sz w:val="24"/>
                <w:szCs w:val="24"/>
                <w:color w:val="auto"/>
              </w:rPr>
            </w:pPr>
          </w:p>
        </w:tc>
      </w:tr>
      <w:tr>
        <w:trPr>
          <w:trHeight w:val="302"/>
        </w:trPr>
        <w:tc>
          <w:tcPr>
            <w:tcW w:w="2100" w:type="dxa"/>
            <w:vAlign w:val="bottom"/>
          </w:tcPr>
          <w:p>
            <w:pPr>
              <w:spacing w:after="0"/>
              <w:rPr>
                <w:sz w:val="24"/>
                <w:szCs w:val="24"/>
                <w:color w:val="auto"/>
              </w:rPr>
            </w:pPr>
          </w:p>
        </w:tc>
        <w:tc>
          <w:tcPr>
            <w:tcW w:w="4080" w:type="dxa"/>
            <w:vAlign w:val="bottom"/>
          </w:tcPr>
          <w:p>
            <w:pPr>
              <w:ind w:left="220"/>
              <w:spacing w:after="0"/>
              <w:rPr>
                <w:sz w:val="20"/>
                <w:szCs w:val="20"/>
                <w:color w:val="auto"/>
              </w:rPr>
            </w:pPr>
            <w:r>
              <w:rPr>
                <w:rFonts w:ascii="Arial" w:cs="Arial" w:eastAsia="Arial" w:hAnsi="Arial"/>
                <w:sz w:val="20"/>
                <w:szCs w:val="20"/>
                <w:color w:val="auto"/>
              </w:rPr>
              <w:t>determined by ordinary resolution, no</w:t>
            </w:r>
          </w:p>
        </w:tc>
        <w:tc>
          <w:tcPr>
            <w:tcW w:w="3380" w:type="dxa"/>
            <w:vAlign w:val="bottom"/>
          </w:tcPr>
          <w:p>
            <w:pPr>
              <w:spacing w:after="0"/>
              <w:rPr>
                <w:sz w:val="24"/>
                <w:szCs w:val="24"/>
                <w:color w:val="auto"/>
              </w:rPr>
            </w:pPr>
          </w:p>
        </w:tc>
      </w:tr>
      <w:tr>
        <w:trPr>
          <w:trHeight w:val="302"/>
        </w:trPr>
        <w:tc>
          <w:tcPr>
            <w:tcW w:w="2100" w:type="dxa"/>
            <w:vAlign w:val="bottom"/>
          </w:tcPr>
          <w:p>
            <w:pPr>
              <w:spacing w:after="0"/>
              <w:rPr>
                <w:sz w:val="24"/>
                <w:szCs w:val="24"/>
                <w:color w:val="auto"/>
              </w:rPr>
            </w:pPr>
          </w:p>
        </w:tc>
        <w:tc>
          <w:tcPr>
            <w:tcW w:w="4080" w:type="dxa"/>
            <w:vAlign w:val="bottom"/>
          </w:tcPr>
          <w:p>
            <w:pPr>
              <w:ind w:left="220"/>
              <w:spacing w:after="0"/>
              <w:rPr>
                <w:sz w:val="20"/>
                <w:szCs w:val="20"/>
                <w:color w:val="auto"/>
              </w:rPr>
            </w:pPr>
            <w:r>
              <w:rPr>
                <w:rFonts w:ascii="Arial" w:cs="Arial" w:eastAsia="Arial" w:hAnsi="Arial"/>
                <w:sz w:val="20"/>
                <w:szCs w:val="20"/>
                <w:color w:val="auto"/>
              </w:rPr>
              <w:t>shareholder of the corporation is entitled to</w:t>
            </w:r>
          </w:p>
        </w:tc>
        <w:tc>
          <w:tcPr>
            <w:tcW w:w="3380" w:type="dxa"/>
            <w:vAlign w:val="bottom"/>
          </w:tcPr>
          <w:p>
            <w:pPr>
              <w:spacing w:after="0"/>
              <w:rPr>
                <w:sz w:val="24"/>
                <w:szCs w:val="24"/>
                <w:color w:val="auto"/>
              </w:rPr>
            </w:pPr>
          </w:p>
        </w:tc>
      </w:tr>
      <w:tr>
        <w:trPr>
          <w:trHeight w:val="302"/>
        </w:trPr>
        <w:tc>
          <w:tcPr>
            <w:tcW w:w="2100" w:type="dxa"/>
            <w:vAlign w:val="bottom"/>
          </w:tcPr>
          <w:p>
            <w:pPr>
              <w:spacing w:after="0"/>
              <w:rPr>
                <w:sz w:val="24"/>
                <w:szCs w:val="24"/>
                <w:color w:val="auto"/>
              </w:rPr>
            </w:pPr>
          </w:p>
        </w:tc>
        <w:tc>
          <w:tcPr>
            <w:tcW w:w="4080" w:type="dxa"/>
            <w:vAlign w:val="bottom"/>
          </w:tcPr>
          <w:p>
            <w:pPr>
              <w:ind w:left="220"/>
              <w:spacing w:after="0"/>
              <w:rPr>
                <w:sz w:val="20"/>
                <w:szCs w:val="20"/>
                <w:color w:val="auto"/>
              </w:rPr>
            </w:pPr>
            <w:r>
              <w:rPr>
                <w:rFonts w:ascii="Arial" w:cs="Arial" w:eastAsia="Arial" w:hAnsi="Arial"/>
                <w:sz w:val="20"/>
                <w:szCs w:val="20"/>
                <w:color w:val="auto"/>
              </w:rPr>
              <w:t>inspect or obtain a copy of any accounting</w:t>
            </w:r>
          </w:p>
        </w:tc>
        <w:tc>
          <w:tcPr>
            <w:tcW w:w="3380" w:type="dxa"/>
            <w:vAlign w:val="bottom"/>
          </w:tcPr>
          <w:p>
            <w:pPr>
              <w:spacing w:after="0"/>
              <w:rPr>
                <w:sz w:val="24"/>
                <w:szCs w:val="24"/>
                <w:color w:val="auto"/>
              </w:rPr>
            </w:pPr>
          </w:p>
        </w:tc>
      </w:tr>
      <w:tr>
        <w:trPr>
          <w:trHeight w:val="302"/>
        </w:trPr>
        <w:tc>
          <w:tcPr>
            <w:tcW w:w="2100" w:type="dxa"/>
            <w:vAlign w:val="bottom"/>
          </w:tcPr>
          <w:p>
            <w:pPr>
              <w:spacing w:after="0"/>
              <w:rPr>
                <w:sz w:val="24"/>
                <w:szCs w:val="24"/>
                <w:color w:val="auto"/>
              </w:rPr>
            </w:pPr>
          </w:p>
        </w:tc>
        <w:tc>
          <w:tcPr>
            <w:tcW w:w="4080" w:type="dxa"/>
            <w:vAlign w:val="bottom"/>
          </w:tcPr>
          <w:p>
            <w:pPr>
              <w:ind w:left="220"/>
              <w:spacing w:after="0"/>
              <w:rPr>
                <w:sz w:val="20"/>
                <w:szCs w:val="20"/>
                <w:color w:val="auto"/>
              </w:rPr>
            </w:pPr>
            <w:r>
              <w:rPr>
                <w:rFonts w:ascii="Arial" w:cs="Arial" w:eastAsia="Arial" w:hAnsi="Arial"/>
                <w:sz w:val="20"/>
                <w:szCs w:val="20"/>
                <w:color w:val="auto"/>
              </w:rPr>
              <w:t>records of the corporation.</w:t>
            </w:r>
          </w:p>
        </w:tc>
        <w:tc>
          <w:tcPr>
            <w:tcW w:w="33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93 / 139</w:t>
      </w:r>
    </w:p>
    <w:p>
      <w:pPr>
        <w:sectPr>
          <w:pgSz w:w="11900" w:h="16838" w:orient="portrait"/>
          <w:cols w:equalWidth="0" w:num="1">
            <w:col w:w="10460"/>
          </w:cols>
          <w:pgMar w:left="1440" w:top="1440" w:right="6" w:bottom="0" w:gutter="0" w:footer="0" w:header="0"/>
          <w:type w:val="continuous"/>
        </w:sectPr>
      </w:pPr>
    </w:p>
    <w:bookmarkStart w:id="322" w:name="page323"/>
    <w:bookmarkEnd w:id="322"/>
    <w:tbl>
      <w:tblPr>
        <w:tblLayout w:type="fixed"/>
        <w:tblInd w:w="0" w:type="dxa"/>
        <w:tblCellMar>
          <w:top w:w="0" w:type="dxa"/>
          <w:left w:w="0" w:type="dxa"/>
          <w:bottom w:w="0" w:type="dxa"/>
          <w:right w:w="0" w:type="dxa"/>
        </w:tblCellMar>
      </w:tblPr>
      <w:tr>
        <w:trPr>
          <w:trHeight w:val="230"/>
        </w:trPr>
        <w:tc>
          <w:tcPr>
            <w:tcW w:w="3160" w:type="dxa"/>
            <w:vAlign w:val="bottom"/>
          </w:tcPr>
          <w:p>
            <w:pPr>
              <w:ind w:left="1080"/>
              <w:spacing w:after="0"/>
              <w:rPr>
                <w:sz w:val="20"/>
                <w:szCs w:val="20"/>
                <w:color w:val="auto"/>
              </w:rPr>
            </w:pPr>
            <w:r>
              <w:rPr>
                <w:rFonts w:ascii="Arial" w:cs="Arial" w:eastAsia="Arial" w:hAnsi="Arial"/>
                <w:sz w:val="20"/>
                <w:szCs w:val="20"/>
                <w:b w:val="1"/>
                <w:bCs w:val="1"/>
                <w:i w:val="1"/>
                <w:iCs w:val="1"/>
                <w:color w:val="auto"/>
              </w:rPr>
              <w:t>Shareholders' Suits</w:t>
            </w:r>
          </w:p>
        </w:tc>
        <w:tc>
          <w:tcPr>
            <w:tcW w:w="4100" w:type="dxa"/>
            <w:vAlign w:val="bottom"/>
          </w:tcPr>
          <w:p>
            <w:pPr>
              <w:ind w:left="240"/>
              <w:spacing w:after="0"/>
              <w:rPr>
                <w:sz w:val="20"/>
                <w:szCs w:val="20"/>
                <w:color w:val="auto"/>
              </w:rPr>
            </w:pPr>
            <w:r>
              <w:rPr>
                <w:rFonts w:ascii="Arial" w:cs="Arial" w:eastAsia="Arial" w:hAnsi="Arial"/>
                <w:sz w:val="20"/>
                <w:szCs w:val="20"/>
                <w:color w:val="auto"/>
              </w:rPr>
              <w:t>Under the BCBCA, a shareholder or a</w:t>
            </w:r>
          </w:p>
        </w:tc>
        <w:tc>
          <w:tcPr>
            <w:tcW w:w="3380" w:type="dxa"/>
            <w:vAlign w:val="bottom"/>
          </w:tcPr>
          <w:p>
            <w:pPr>
              <w:ind w:left="60"/>
              <w:spacing w:after="0"/>
              <w:rPr>
                <w:sz w:val="20"/>
                <w:szCs w:val="20"/>
                <w:color w:val="auto"/>
              </w:rPr>
            </w:pPr>
            <w:r>
              <w:rPr>
                <w:rFonts w:ascii="Arial" w:cs="Arial" w:eastAsia="Arial" w:hAnsi="Arial"/>
                <w:sz w:val="20"/>
                <w:szCs w:val="20"/>
                <w:i w:val="1"/>
                <w:iCs w:val="1"/>
                <w:color w:val="auto"/>
                <w:w w:val="99"/>
              </w:rPr>
              <w:t>See “Differences From Requirements</w:t>
            </w:r>
          </w:p>
        </w:tc>
      </w:tr>
      <w:tr>
        <w:trPr>
          <w:trHeight w:val="302"/>
        </w:trPr>
        <w:tc>
          <w:tcPr>
            <w:tcW w:w="3160" w:type="dxa"/>
            <w:vAlign w:val="bottom"/>
          </w:tcPr>
          <w:p>
            <w:pPr>
              <w:spacing w:after="0"/>
              <w:rPr>
                <w:sz w:val="24"/>
                <w:szCs w:val="24"/>
                <w:color w:val="auto"/>
              </w:rPr>
            </w:pPr>
          </w:p>
        </w:tc>
        <w:tc>
          <w:tcPr>
            <w:tcW w:w="4100" w:type="dxa"/>
            <w:vAlign w:val="bottom"/>
          </w:tcPr>
          <w:p>
            <w:pPr>
              <w:ind w:left="240"/>
              <w:spacing w:after="0"/>
              <w:rPr>
                <w:sz w:val="20"/>
                <w:szCs w:val="20"/>
                <w:color w:val="auto"/>
              </w:rPr>
            </w:pPr>
            <w:r>
              <w:rPr>
                <w:rFonts w:ascii="Arial" w:cs="Arial" w:eastAsia="Arial" w:hAnsi="Arial"/>
                <w:sz w:val="20"/>
                <w:szCs w:val="20"/>
                <w:color w:val="auto"/>
              </w:rPr>
              <w:t>director of a corporation may, with judicial</w:t>
            </w:r>
          </w:p>
        </w:tc>
        <w:tc>
          <w:tcPr>
            <w:tcW w:w="3380" w:type="dxa"/>
            <w:vAlign w:val="bottom"/>
          </w:tcPr>
          <w:p>
            <w:pPr>
              <w:ind w:left="60"/>
              <w:spacing w:after="0"/>
              <w:rPr>
                <w:sz w:val="20"/>
                <w:szCs w:val="20"/>
                <w:color w:val="auto"/>
              </w:rPr>
            </w:pPr>
            <w:r>
              <w:rPr>
                <w:rFonts w:ascii="Arial" w:cs="Arial" w:eastAsia="Arial" w:hAnsi="Arial"/>
                <w:sz w:val="20"/>
                <w:szCs w:val="20"/>
                <w:i w:val="1"/>
                <w:iCs w:val="1"/>
                <w:color w:val="auto"/>
              </w:rPr>
              <w:t>The United States – Swiss Law -</w:t>
            </w:r>
          </w:p>
        </w:tc>
      </w:tr>
      <w:tr>
        <w:trPr>
          <w:trHeight w:val="302"/>
        </w:trPr>
        <w:tc>
          <w:tcPr>
            <w:tcW w:w="3160" w:type="dxa"/>
            <w:vAlign w:val="bottom"/>
          </w:tcPr>
          <w:p>
            <w:pPr>
              <w:spacing w:after="0"/>
              <w:rPr>
                <w:sz w:val="24"/>
                <w:szCs w:val="24"/>
                <w:color w:val="auto"/>
              </w:rPr>
            </w:pPr>
          </w:p>
        </w:tc>
        <w:tc>
          <w:tcPr>
            <w:tcW w:w="4100" w:type="dxa"/>
            <w:vAlign w:val="bottom"/>
          </w:tcPr>
          <w:p>
            <w:pPr>
              <w:ind w:left="240"/>
              <w:spacing w:after="0"/>
              <w:rPr>
                <w:sz w:val="20"/>
                <w:szCs w:val="20"/>
                <w:color w:val="auto"/>
              </w:rPr>
            </w:pPr>
            <w:r>
              <w:rPr>
                <w:rFonts w:ascii="Arial" w:cs="Arial" w:eastAsia="Arial" w:hAnsi="Arial"/>
                <w:sz w:val="20"/>
                <w:szCs w:val="20"/>
                <w:color w:val="auto"/>
              </w:rPr>
              <w:t>leave, bring an action in the name of and</w:t>
            </w:r>
          </w:p>
        </w:tc>
        <w:tc>
          <w:tcPr>
            <w:tcW w:w="3380" w:type="dxa"/>
            <w:vAlign w:val="bottom"/>
          </w:tcPr>
          <w:p>
            <w:pPr>
              <w:ind w:left="60"/>
              <w:spacing w:after="0"/>
              <w:rPr>
                <w:sz w:val="20"/>
                <w:szCs w:val="20"/>
                <w:color w:val="auto"/>
              </w:rPr>
            </w:pPr>
            <w:r>
              <w:rPr>
                <w:rFonts w:ascii="Arial" w:cs="Arial" w:eastAsia="Arial" w:hAnsi="Arial"/>
                <w:sz w:val="20"/>
                <w:szCs w:val="20"/>
                <w:i w:val="1"/>
                <w:iCs w:val="1"/>
                <w:color w:val="auto"/>
              </w:rPr>
              <w:t>Shareholder Suits.”</w:t>
            </w:r>
          </w:p>
        </w:tc>
      </w:tr>
      <w:tr>
        <w:trPr>
          <w:trHeight w:val="302"/>
        </w:trPr>
        <w:tc>
          <w:tcPr>
            <w:tcW w:w="3160" w:type="dxa"/>
            <w:vAlign w:val="bottom"/>
          </w:tcPr>
          <w:p>
            <w:pPr>
              <w:spacing w:after="0"/>
              <w:rPr>
                <w:sz w:val="24"/>
                <w:szCs w:val="24"/>
                <w:color w:val="auto"/>
              </w:rPr>
            </w:pPr>
          </w:p>
        </w:tc>
        <w:tc>
          <w:tcPr>
            <w:tcW w:w="4100" w:type="dxa"/>
            <w:vAlign w:val="bottom"/>
          </w:tcPr>
          <w:p>
            <w:pPr>
              <w:ind w:left="240"/>
              <w:spacing w:after="0"/>
              <w:rPr>
                <w:sz w:val="20"/>
                <w:szCs w:val="20"/>
                <w:color w:val="auto"/>
              </w:rPr>
            </w:pPr>
            <w:r>
              <w:rPr>
                <w:rFonts w:ascii="Arial" w:cs="Arial" w:eastAsia="Arial" w:hAnsi="Arial"/>
                <w:sz w:val="20"/>
                <w:szCs w:val="20"/>
                <w:color w:val="auto"/>
              </w:rPr>
              <w:t>on behalf of the corporation to enforce a</w:t>
            </w:r>
          </w:p>
        </w:tc>
        <w:tc>
          <w:tcPr>
            <w:tcW w:w="3380" w:type="dxa"/>
            <w:vAlign w:val="bottom"/>
          </w:tcPr>
          <w:p>
            <w:pPr>
              <w:spacing w:after="0"/>
              <w:rPr>
                <w:sz w:val="24"/>
                <w:szCs w:val="24"/>
                <w:color w:val="auto"/>
              </w:rPr>
            </w:pPr>
          </w:p>
        </w:tc>
      </w:tr>
      <w:tr>
        <w:trPr>
          <w:trHeight w:val="302"/>
        </w:trPr>
        <w:tc>
          <w:tcPr>
            <w:tcW w:w="3160" w:type="dxa"/>
            <w:vAlign w:val="bottom"/>
          </w:tcPr>
          <w:p>
            <w:pPr>
              <w:spacing w:after="0"/>
              <w:rPr>
                <w:sz w:val="24"/>
                <w:szCs w:val="24"/>
                <w:color w:val="auto"/>
              </w:rPr>
            </w:pPr>
          </w:p>
        </w:tc>
        <w:tc>
          <w:tcPr>
            <w:tcW w:w="4100" w:type="dxa"/>
            <w:vAlign w:val="bottom"/>
          </w:tcPr>
          <w:p>
            <w:pPr>
              <w:ind w:left="240"/>
              <w:spacing w:after="0"/>
              <w:rPr>
                <w:sz w:val="20"/>
                <w:szCs w:val="20"/>
                <w:color w:val="auto"/>
              </w:rPr>
            </w:pPr>
            <w:r>
              <w:rPr>
                <w:rFonts w:ascii="Arial" w:cs="Arial" w:eastAsia="Arial" w:hAnsi="Arial"/>
                <w:sz w:val="20"/>
                <w:szCs w:val="20"/>
                <w:color w:val="auto"/>
              </w:rPr>
              <w:t>right, duty or obligation owed to the</w:t>
            </w:r>
          </w:p>
        </w:tc>
        <w:tc>
          <w:tcPr>
            <w:tcW w:w="3380" w:type="dxa"/>
            <w:vAlign w:val="bottom"/>
          </w:tcPr>
          <w:p>
            <w:pPr>
              <w:spacing w:after="0"/>
              <w:rPr>
                <w:sz w:val="24"/>
                <w:szCs w:val="24"/>
                <w:color w:val="auto"/>
              </w:rPr>
            </w:pPr>
          </w:p>
        </w:tc>
      </w:tr>
      <w:tr>
        <w:trPr>
          <w:trHeight w:val="302"/>
        </w:trPr>
        <w:tc>
          <w:tcPr>
            <w:tcW w:w="3160" w:type="dxa"/>
            <w:vAlign w:val="bottom"/>
          </w:tcPr>
          <w:p>
            <w:pPr>
              <w:spacing w:after="0"/>
              <w:rPr>
                <w:sz w:val="24"/>
                <w:szCs w:val="24"/>
                <w:color w:val="auto"/>
              </w:rPr>
            </w:pPr>
          </w:p>
        </w:tc>
        <w:tc>
          <w:tcPr>
            <w:tcW w:w="4100" w:type="dxa"/>
            <w:vAlign w:val="bottom"/>
          </w:tcPr>
          <w:p>
            <w:pPr>
              <w:ind w:left="240"/>
              <w:spacing w:after="0"/>
              <w:rPr>
                <w:sz w:val="20"/>
                <w:szCs w:val="20"/>
                <w:color w:val="auto"/>
              </w:rPr>
            </w:pPr>
            <w:r>
              <w:rPr>
                <w:rFonts w:ascii="Arial" w:cs="Arial" w:eastAsia="Arial" w:hAnsi="Arial"/>
                <w:sz w:val="20"/>
                <w:szCs w:val="20"/>
                <w:color w:val="auto"/>
              </w:rPr>
              <w:t>corporation that could be enforced by the</w:t>
            </w:r>
          </w:p>
        </w:tc>
        <w:tc>
          <w:tcPr>
            <w:tcW w:w="3380" w:type="dxa"/>
            <w:vAlign w:val="bottom"/>
          </w:tcPr>
          <w:p>
            <w:pPr>
              <w:spacing w:after="0"/>
              <w:rPr>
                <w:sz w:val="24"/>
                <w:szCs w:val="24"/>
                <w:color w:val="auto"/>
              </w:rPr>
            </w:pPr>
          </w:p>
        </w:tc>
      </w:tr>
      <w:tr>
        <w:trPr>
          <w:trHeight w:val="302"/>
        </w:trPr>
        <w:tc>
          <w:tcPr>
            <w:tcW w:w="3160" w:type="dxa"/>
            <w:vAlign w:val="bottom"/>
          </w:tcPr>
          <w:p>
            <w:pPr>
              <w:spacing w:after="0"/>
              <w:rPr>
                <w:sz w:val="24"/>
                <w:szCs w:val="24"/>
                <w:color w:val="auto"/>
              </w:rPr>
            </w:pPr>
          </w:p>
        </w:tc>
        <w:tc>
          <w:tcPr>
            <w:tcW w:w="4100" w:type="dxa"/>
            <w:vAlign w:val="bottom"/>
          </w:tcPr>
          <w:p>
            <w:pPr>
              <w:ind w:left="240"/>
              <w:spacing w:after="0"/>
              <w:rPr>
                <w:sz w:val="20"/>
                <w:szCs w:val="20"/>
                <w:color w:val="auto"/>
              </w:rPr>
            </w:pPr>
            <w:r>
              <w:rPr>
                <w:rFonts w:ascii="Arial" w:cs="Arial" w:eastAsia="Arial" w:hAnsi="Arial"/>
                <w:sz w:val="20"/>
                <w:szCs w:val="20"/>
                <w:color w:val="auto"/>
              </w:rPr>
              <w:t>corporation itself or to obtain damages for</w:t>
            </w:r>
          </w:p>
        </w:tc>
        <w:tc>
          <w:tcPr>
            <w:tcW w:w="3380" w:type="dxa"/>
            <w:vAlign w:val="bottom"/>
          </w:tcPr>
          <w:p>
            <w:pPr>
              <w:spacing w:after="0"/>
              <w:rPr>
                <w:sz w:val="24"/>
                <w:szCs w:val="24"/>
                <w:color w:val="auto"/>
              </w:rPr>
            </w:pPr>
          </w:p>
        </w:tc>
      </w:tr>
      <w:tr>
        <w:trPr>
          <w:trHeight w:val="302"/>
        </w:trPr>
        <w:tc>
          <w:tcPr>
            <w:tcW w:w="3160" w:type="dxa"/>
            <w:vAlign w:val="bottom"/>
          </w:tcPr>
          <w:p>
            <w:pPr>
              <w:spacing w:after="0"/>
              <w:rPr>
                <w:sz w:val="24"/>
                <w:szCs w:val="24"/>
                <w:color w:val="auto"/>
              </w:rPr>
            </w:pPr>
          </w:p>
        </w:tc>
        <w:tc>
          <w:tcPr>
            <w:tcW w:w="4100" w:type="dxa"/>
            <w:vAlign w:val="bottom"/>
          </w:tcPr>
          <w:p>
            <w:pPr>
              <w:ind w:left="240"/>
              <w:spacing w:after="0"/>
              <w:rPr>
                <w:sz w:val="20"/>
                <w:szCs w:val="20"/>
                <w:color w:val="auto"/>
              </w:rPr>
            </w:pPr>
            <w:r>
              <w:rPr>
                <w:rFonts w:ascii="Arial" w:cs="Arial" w:eastAsia="Arial" w:hAnsi="Arial"/>
                <w:sz w:val="20"/>
                <w:szCs w:val="20"/>
                <w:color w:val="auto"/>
              </w:rPr>
              <w:t>any breach of such right, duty or obligation.</w:t>
            </w:r>
          </w:p>
        </w:tc>
        <w:tc>
          <w:tcPr>
            <w:tcW w:w="3380" w:type="dxa"/>
            <w:vAlign w:val="bottom"/>
          </w:tcPr>
          <w:p>
            <w:pPr>
              <w:spacing w:after="0"/>
              <w:rPr>
                <w:sz w:val="24"/>
                <w:szCs w:val="24"/>
                <w:color w:val="auto"/>
              </w:rPr>
            </w:pPr>
          </w:p>
        </w:tc>
      </w:tr>
      <w:tr>
        <w:trPr>
          <w:trHeight w:val="302"/>
        </w:trPr>
        <w:tc>
          <w:tcPr>
            <w:tcW w:w="3160" w:type="dxa"/>
            <w:vAlign w:val="bottom"/>
          </w:tcPr>
          <w:p>
            <w:pPr>
              <w:spacing w:after="0"/>
              <w:rPr>
                <w:sz w:val="24"/>
                <w:szCs w:val="24"/>
                <w:color w:val="auto"/>
              </w:rPr>
            </w:pPr>
          </w:p>
        </w:tc>
        <w:tc>
          <w:tcPr>
            <w:tcW w:w="4100" w:type="dxa"/>
            <w:vAlign w:val="bottom"/>
          </w:tcPr>
          <w:p>
            <w:pPr>
              <w:ind w:left="240"/>
              <w:spacing w:after="0"/>
              <w:rPr>
                <w:sz w:val="20"/>
                <w:szCs w:val="20"/>
                <w:color w:val="auto"/>
              </w:rPr>
            </w:pPr>
            <w:r>
              <w:rPr>
                <w:rFonts w:ascii="Arial" w:cs="Arial" w:eastAsia="Arial" w:hAnsi="Arial"/>
                <w:sz w:val="20"/>
                <w:szCs w:val="20"/>
                <w:color w:val="auto"/>
              </w:rPr>
              <w:t>The BCBCA also allows a shareholder the</w:t>
            </w:r>
          </w:p>
        </w:tc>
        <w:tc>
          <w:tcPr>
            <w:tcW w:w="3380" w:type="dxa"/>
            <w:vAlign w:val="bottom"/>
          </w:tcPr>
          <w:p>
            <w:pPr>
              <w:spacing w:after="0"/>
              <w:rPr>
                <w:sz w:val="24"/>
                <w:szCs w:val="24"/>
                <w:color w:val="auto"/>
              </w:rPr>
            </w:pPr>
          </w:p>
        </w:tc>
      </w:tr>
      <w:tr>
        <w:trPr>
          <w:trHeight w:val="302"/>
        </w:trPr>
        <w:tc>
          <w:tcPr>
            <w:tcW w:w="3160" w:type="dxa"/>
            <w:vAlign w:val="bottom"/>
          </w:tcPr>
          <w:p>
            <w:pPr>
              <w:spacing w:after="0"/>
              <w:rPr>
                <w:sz w:val="24"/>
                <w:szCs w:val="24"/>
                <w:color w:val="auto"/>
              </w:rPr>
            </w:pPr>
          </w:p>
        </w:tc>
        <w:tc>
          <w:tcPr>
            <w:tcW w:w="4100" w:type="dxa"/>
            <w:vAlign w:val="bottom"/>
          </w:tcPr>
          <w:p>
            <w:pPr>
              <w:ind w:left="240"/>
              <w:spacing w:after="0"/>
              <w:rPr>
                <w:sz w:val="20"/>
                <w:szCs w:val="20"/>
                <w:color w:val="auto"/>
              </w:rPr>
            </w:pPr>
            <w:r>
              <w:rPr>
                <w:rFonts w:ascii="Arial" w:cs="Arial" w:eastAsia="Arial" w:hAnsi="Arial"/>
                <w:sz w:val="20"/>
                <w:szCs w:val="20"/>
                <w:color w:val="auto"/>
              </w:rPr>
              <w:t>right to apply to a court on the grounds</w:t>
            </w:r>
          </w:p>
        </w:tc>
        <w:tc>
          <w:tcPr>
            <w:tcW w:w="3380" w:type="dxa"/>
            <w:vAlign w:val="bottom"/>
          </w:tcPr>
          <w:p>
            <w:pPr>
              <w:spacing w:after="0"/>
              <w:rPr>
                <w:sz w:val="24"/>
                <w:szCs w:val="24"/>
                <w:color w:val="auto"/>
              </w:rPr>
            </w:pPr>
          </w:p>
        </w:tc>
      </w:tr>
      <w:tr>
        <w:trPr>
          <w:trHeight w:val="302"/>
        </w:trPr>
        <w:tc>
          <w:tcPr>
            <w:tcW w:w="3160" w:type="dxa"/>
            <w:vAlign w:val="bottom"/>
          </w:tcPr>
          <w:p>
            <w:pPr>
              <w:spacing w:after="0"/>
              <w:rPr>
                <w:sz w:val="24"/>
                <w:szCs w:val="24"/>
                <w:color w:val="auto"/>
              </w:rPr>
            </w:pPr>
          </w:p>
        </w:tc>
        <w:tc>
          <w:tcPr>
            <w:tcW w:w="4100" w:type="dxa"/>
            <w:vAlign w:val="bottom"/>
          </w:tcPr>
          <w:p>
            <w:pPr>
              <w:ind w:left="240"/>
              <w:spacing w:after="0"/>
              <w:rPr>
                <w:sz w:val="20"/>
                <w:szCs w:val="20"/>
                <w:color w:val="auto"/>
              </w:rPr>
            </w:pPr>
            <w:r>
              <w:rPr>
                <w:rFonts w:ascii="Arial" w:cs="Arial" w:eastAsia="Arial" w:hAnsi="Arial"/>
                <w:sz w:val="20"/>
                <w:szCs w:val="20"/>
                <w:color w:val="auto"/>
              </w:rPr>
              <w:t>that: (i) the affairs of the corporation are</w:t>
            </w:r>
          </w:p>
        </w:tc>
        <w:tc>
          <w:tcPr>
            <w:tcW w:w="3380" w:type="dxa"/>
            <w:vAlign w:val="bottom"/>
          </w:tcPr>
          <w:p>
            <w:pPr>
              <w:spacing w:after="0"/>
              <w:rPr>
                <w:sz w:val="24"/>
                <w:szCs w:val="24"/>
                <w:color w:val="auto"/>
              </w:rPr>
            </w:pPr>
          </w:p>
        </w:tc>
      </w:tr>
      <w:tr>
        <w:trPr>
          <w:trHeight w:val="302"/>
        </w:trPr>
        <w:tc>
          <w:tcPr>
            <w:tcW w:w="3160" w:type="dxa"/>
            <w:vAlign w:val="bottom"/>
          </w:tcPr>
          <w:p>
            <w:pPr>
              <w:spacing w:after="0"/>
              <w:rPr>
                <w:sz w:val="24"/>
                <w:szCs w:val="24"/>
                <w:color w:val="auto"/>
              </w:rPr>
            </w:pPr>
          </w:p>
        </w:tc>
        <w:tc>
          <w:tcPr>
            <w:tcW w:w="4100" w:type="dxa"/>
            <w:vAlign w:val="bottom"/>
          </w:tcPr>
          <w:p>
            <w:pPr>
              <w:ind w:left="240"/>
              <w:spacing w:after="0"/>
              <w:rPr>
                <w:sz w:val="20"/>
                <w:szCs w:val="20"/>
                <w:color w:val="auto"/>
              </w:rPr>
            </w:pPr>
            <w:r>
              <w:rPr>
                <w:rFonts w:ascii="Arial" w:cs="Arial" w:eastAsia="Arial" w:hAnsi="Arial"/>
                <w:sz w:val="20"/>
                <w:szCs w:val="20"/>
                <w:color w:val="auto"/>
              </w:rPr>
              <w:t>being or have been conducted, or that the</w:t>
            </w:r>
          </w:p>
        </w:tc>
        <w:tc>
          <w:tcPr>
            <w:tcW w:w="3380" w:type="dxa"/>
            <w:vAlign w:val="bottom"/>
          </w:tcPr>
          <w:p>
            <w:pPr>
              <w:spacing w:after="0"/>
              <w:rPr>
                <w:sz w:val="24"/>
                <w:szCs w:val="24"/>
                <w:color w:val="auto"/>
              </w:rPr>
            </w:pPr>
          </w:p>
        </w:tc>
      </w:tr>
      <w:tr>
        <w:trPr>
          <w:trHeight w:val="302"/>
        </w:trPr>
        <w:tc>
          <w:tcPr>
            <w:tcW w:w="3160" w:type="dxa"/>
            <w:vAlign w:val="bottom"/>
          </w:tcPr>
          <w:p>
            <w:pPr>
              <w:spacing w:after="0"/>
              <w:rPr>
                <w:sz w:val="24"/>
                <w:szCs w:val="24"/>
                <w:color w:val="auto"/>
              </w:rPr>
            </w:pPr>
          </w:p>
        </w:tc>
        <w:tc>
          <w:tcPr>
            <w:tcW w:w="4100" w:type="dxa"/>
            <w:vAlign w:val="bottom"/>
          </w:tcPr>
          <w:p>
            <w:pPr>
              <w:ind w:left="240"/>
              <w:spacing w:after="0"/>
              <w:rPr>
                <w:sz w:val="20"/>
                <w:szCs w:val="20"/>
                <w:color w:val="auto"/>
              </w:rPr>
            </w:pPr>
            <w:r>
              <w:rPr>
                <w:rFonts w:ascii="Arial" w:cs="Arial" w:eastAsia="Arial" w:hAnsi="Arial"/>
                <w:sz w:val="20"/>
                <w:szCs w:val="20"/>
                <w:color w:val="auto"/>
              </w:rPr>
              <w:t>powers of the directors are being or have</w:t>
            </w:r>
          </w:p>
        </w:tc>
        <w:tc>
          <w:tcPr>
            <w:tcW w:w="3380" w:type="dxa"/>
            <w:vAlign w:val="bottom"/>
          </w:tcPr>
          <w:p>
            <w:pPr>
              <w:spacing w:after="0"/>
              <w:rPr>
                <w:sz w:val="24"/>
                <w:szCs w:val="24"/>
                <w:color w:val="auto"/>
              </w:rPr>
            </w:pPr>
          </w:p>
        </w:tc>
      </w:tr>
      <w:tr>
        <w:trPr>
          <w:trHeight w:val="302"/>
        </w:trPr>
        <w:tc>
          <w:tcPr>
            <w:tcW w:w="3160" w:type="dxa"/>
            <w:vAlign w:val="bottom"/>
          </w:tcPr>
          <w:p>
            <w:pPr>
              <w:spacing w:after="0"/>
              <w:rPr>
                <w:sz w:val="24"/>
                <w:szCs w:val="24"/>
                <w:color w:val="auto"/>
              </w:rPr>
            </w:pPr>
          </w:p>
        </w:tc>
        <w:tc>
          <w:tcPr>
            <w:tcW w:w="4100" w:type="dxa"/>
            <w:vAlign w:val="bottom"/>
          </w:tcPr>
          <w:p>
            <w:pPr>
              <w:ind w:left="240"/>
              <w:spacing w:after="0"/>
              <w:rPr>
                <w:sz w:val="20"/>
                <w:szCs w:val="20"/>
                <w:color w:val="auto"/>
              </w:rPr>
            </w:pPr>
            <w:r>
              <w:rPr>
                <w:rFonts w:ascii="Arial" w:cs="Arial" w:eastAsia="Arial" w:hAnsi="Arial"/>
                <w:sz w:val="20"/>
                <w:szCs w:val="20"/>
                <w:color w:val="auto"/>
              </w:rPr>
              <w:t>been exercised, in a manner that is</w:t>
            </w:r>
          </w:p>
        </w:tc>
        <w:tc>
          <w:tcPr>
            <w:tcW w:w="3380" w:type="dxa"/>
            <w:vAlign w:val="bottom"/>
          </w:tcPr>
          <w:p>
            <w:pPr>
              <w:spacing w:after="0"/>
              <w:rPr>
                <w:sz w:val="24"/>
                <w:szCs w:val="24"/>
                <w:color w:val="auto"/>
              </w:rPr>
            </w:pPr>
          </w:p>
        </w:tc>
      </w:tr>
      <w:tr>
        <w:trPr>
          <w:trHeight w:val="302"/>
        </w:trPr>
        <w:tc>
          <w:tcPr>
            <w:tcW w:w="3160" w:type="dxa"/>
            <w:vAlign w:val="bottom"/>
          </w:tcPr>
          <w:p>
            <w:pPr>
              <w:spacing w:after="0"/>
              <w:rPr>
                <w:sz w:val="24"/>
                <w:szCs w:val="24"/>
                <w:color w:val="auto"/>
              </w:rPr>
            </w:pPr>
          </w:p>
        </w:tc>
        <w:tc>
          <w:tcPr>
            <w:tcW w:w="4100" w:type="dxa"/>
            <w:vAlign w:val="bottom"/>
          </w:tcPr>
          <w:p>
            <w:pPr>
              <w:ind w:left="240"/>
              <w:spacing w:after="0"/>
              <w:rPr>
                <w:sz w:val="20"/>
                <w:szCs w:val="20"/>
                <w:color w:val="auto"/>
              </w:rPr>
            </w:pPr>
            <w:r>
              <w:rPr>
                <w:rFonts w:ascii="Arial" w:cs="Arial" w:eastAsia="Arial" w:hAnsi="Arial"/>
                <w:sz w:val="20"/>
                <w:szCs w:val="20"/>
                <w:color w:val="auto"/>
              </w:rPr>
              <w:t>oppressive to one or more of the</w:t>
            </w:r>
          </w:p>
        </w:tc>
        <w:tc>
          <w:tcPr>
            <w:tcW w:w="3380" w:type="dxa"/>
            <w:vAlign w:val="bottom"/>
          </w:tcPr>
          <w:p>
            <w:pPr>
              <w:spacing w:after="0"/>
              <w:rPr>
                <w:sz w:val="24"/>
                <w:szCs w:val="24"/>
                <w:color w:val="auto"/>
              </w:rPr>
            </w:pPr>
          </w:p>
        </w:tc>
      </w:tr>
      <w:tr>
        <w:trPr>
          <w:trHeight w:val="302"/>
        </w:trPr>
        <w:tc>
          <w:tcPr>
            <w:tcW w:w="3160" w:type="dxa"/>
            <w:vAlign w:val="bottom"/>
          </w:tcPr>
          <w:p>
            <w:pPr>
              <w:spacing w:after="0"/>
              <w:rPr>
                <w:sz w:val="24"/>
                <w:szCs w:val="24"/>
                <w:color w:val="auto"/>
              </w:rPr>
            </w:pPr>
          </w:p>
        </w:tc>
        <w:tc>
          <w:tcPr>
            <w:tcW w:w="4100" w:type="dxa"/>
            <w:vAlign w:val="bottom"/>
          </w:tcPr>
          <w:p>
            <w:pPr>
              <w:ind w:left="240"/>
              <w:spacing w:after="0"/>
              <w:rPr>
                <w:sz w:val="20"/>
                <w:szCs w:val="20"/>
                <w:color w:val="auto"/>
              </w:rPr>
            </w:pPr>
            <w:r>
              <w:rPr>
                <w:rFonts w:ascii="Arial" w:cs="Arial" w:eastAsia="Arial" w:hAnsi="Arial"/>
                <w:sz w:val="20"/>
                <w:szCs w:val="20"/>
                <w:color w:val="auto"/>
              </w:rPr>
              <w:t>shareholders, including the applicant; or (ii)</w:t>
            </w:r>
          </w:p>
        </w:tc>
        <w:tc>
          <w:tcPr>
            <w:tcW w:w="3380" w:type="dxa"/>
            <w:vAlign w:val="bottom"/>
          </w:tcPr>
          <w:p>
            <w:pPr>
              <w:spacing w:after="0"/>
              <w:rPr>
                <w:sz w:val="24"/>
                <w:szCs w:val="24"/>
                <w:color w:val="auto"/>
              </w:rPr>
            </w:pPr>
          </w:p>
        </w:tc>
      </w:tr>
      <w:tr>
        <w:trPr>
          <w:trHeight w:val="302"/>
        </w:trPr>
        <w:tc>
          <w:tcPr>
            <w:tcW w:w="3160" w:type="dxa"/>
            <w:vAlign w:val="bottom"/>
          </w:tcPr>
          <w:p>
            <w:pPr>
              <w:spacing w:after="0"/>
              <w:rPr>
                <w:sz w:val="24"/>
                <w:szCs w:val="24"/>
                <w:color w:val="auto"/>
              </w:rPr>
            </w:pPr>
          </w:p>
        </w:tc>
        <w:tc>
          <w:tcPr>
            <w:tcW w:w="4100" w:type="dxa"/>
            <w:vAlign w:val="bottom"/>
          </w:tcPr>
          <w:p>
            <w:pPr>
              <w:ind w:left="240"/>
              <w:spacing w:after="0"/>
              <w:rPr>
                <w:sz w:val="20"/>
                <w:szCs w:val="20"/>
                <w:color w:val="auto"/>
              </w:rPr>
            </w:pPr>
            <w:r>
              <w:rPr>
                <w:rFonts w:ascii="Arial" w:cs="Arial" w:eastAsia="Arial" w:hAnsi="Arial"/>
                <w:sz w:val="20"/>
                <w:szCs w:val="20"/>
                <w:color w:val="auto"/>
              </w:rPr>
              <w:t>some act of the corporation has been done</w:t>
            </w:r>
          </w:p>
        </w:tc>
        <w:tc>
          <w:tcPr>
            <w:tcW w:w="3380" w:type="dxa"/>
            <w:vAlign w:val="bottom"/>
          </w:tcPr>
          <w:p>
            <w:pPr>
              <w:spacing w:after="0"/>
              <w:rPr>
                <w:sz w:val="24"/>
                <w:szCs w:val="24"/>
                <w:color w:val="auto"/>
              </w:rPr>
            </w:pPr>
          </w:p>
        </w:tc>
      </w:tr>
      <w:tr>
        <w:trPr>
          <w:trHeight w:val="302"/>
        </w:trPr>
        <w:tc>
          <w:tcPr>
            <w:tcW w:w="3160" w:type="dxa"/>
            <w:vAlign w:val="bottom"/>
          </w:tcPr>
          <w:p>
            <w:pPr>
              <w:spacing w:after="0"/>
              <w:rPr>
                <w:sz w:val="24"/>
                <w:szCs w:val="24"/>
                <w:color w:val="auto"/>
              </w:rPr>
            </w:pPr>
          </w:p>
        </w:tc>
        <w:tc>
          <w:tcPr>
            <w:tcW w:w="4100" w:type="dxa"/>
            <w:vAlign w:val="bottom"/>
          </w:tcPr>
          <w:p>
            <w:pPr>
              <w:ind w:left="240"/>
              <w:spacing w:after="0"/>
              <w:rPr>
                <w:sz w:val="20"/>
                <w:szCs w:val="20"/>
                <w:color w:val="auto"/>
              </w:rPr>
            </w:pPr>
            <w:r>
              <w:rPr>
                <w:rFonts w:ascii="Arial" w:cs="Arial" w:eastAsia="Arial" w:hAnsi="Arial"/>
                <w:sz w:val="20"/>
                <w:szCs w:val="20"/>
                <w:color w:val="auto"/>
              </w:rPr>
              <w:t>or is threatened, or that</w:t>
            </w:r>
          </w:p>
        </w:tc>
        <w:tc>
          <w:tcPr>
            <w:tcW w:w="3380" w:type="dxa"/>
            <w:vAlign w:val="bottom"/>
          </w:tcPr>
          <w:p>
            <w:pPr>
              <w:spacing w:after="0"/>
              <w:rPr>
                <w:sz w:val="24"/>
                <w:szCs w:val="24"/>
                <w:color w:val="auto"/>
              </w:rPr>
            </w:pPr>
          </w:p>
        </w:tc>
      </w:tr>
      <w:tr>
        <w:trPr>
          <w:trHeight w:val="1792"/>
        </w:trPr>
        <w:tc>
          <w:tcPr>
            <w:tcW w:w="3160" w:type="dxa"/>
            <w:vAlign w:val="bottom"/>
            <w:tcBorders>
              <w:bottom w:val="single" w:sz="8" w:color="010101"/>
            </w:tcBorders>
          </w:tcPr>
          <w:p>
            <w:pPr>
              <w:spacing w:after="0"/>
              <w:rPr>
                <w:sz w:val="24"/>
                <w:szCs w:val="24"/>
                <w:color w:val="auto"/>
              </w:rPr>
            </w:pPr>
          </w:p>
        </w:tc>
        <w:tc>
          <w:tcPr>
            <w:tcW w:w="4100" w:type="dxa"/>
            <w:vAlign w:val="bottom"/>
            <w:tcBorders>
              <w:bottom w:val="single" w:sz="8" w:color="010101"/>
            </w:tcBorders>
          </w:tcPr>
          <w:p>
            <w:pPr>
              <w:spacing w:after="0"/>
              <w:rPr>
                <w:sz w:val="24"/>
                <w:szCs w:val="24"/>
                <w:color w:val="auto"/>
              </w:rPr>
            </w:pPr>
          </w:p>
        </w:tc>
        <w:tc>
          <w:tcPr>
            <w:tcW w:w="33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499">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10640"/>
          </w:cols>
          <w:pgMar w:left="126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94 / 139</w:t>
      </w:r>
    </w:p>
    <w:p>
      <w:pPr>
        <w:sectPr>
          <w:pgSz w:w="11900" w:h="16838" w:orient="portrait"/>
          <w:cols w:equalWidth="0" w:num="1">
            <w:col w:w="10640"/>
          </w:cols>
          <w:pgMar w:left="1260" w:top="1165" w:right="6" w:bottom="0" w:gutter="0" w:footer="0" w:header="0"/>
          <w:type w:val="continuous"/>
        </w:sectPr>
      </w:pPr>
    </w:p>
    <w:bookmarkStart w:id="323" w:name="page324"/>
    <w:bookmarkEnd w:id="3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some resolution of the shareholders or of</w:t>
      </w:r>
    </w:p>
    <w:p>
      <w:pPr>
        <w:spacing w:after="0" w:line="79" w:lineRule="exact"/>
        <w:rPr>
          <w:sz w:val="20"/>
          <w:szCs w:val="20"/>
          <w:color w:val="auto"/>
        </w:rPr>
      </w:pPr>
    </w:p>
    <w:p>
      <w:pPr>
        <w:ind w:left="3220"/>
        <w:spacing w:after="0"/>
        <w:rPr>
          <w:sz w:val="20"/>
          <w:szCs w:val="20"/>
          <w:color w:val="auto"/>
        </w:rPr>
      </w:pPr>
      <w:r>
        <w:rPr>
          <w:rFonts w:ascii="Arial" w:cs="Arial" w:eastAsia="Arial" w:hAnsi="Arial"/>
          <w:sz w:val="19"/>
          <w:szCs w:val="19"/>
          <w:color w:val="auto"/>
        </w:rPr>
        <w:t>the shareholders holding shares of a class</w:t>
      </w:r>
    </w:p>
    <w:p>
      <w:pPr>
        <w:spacing w:after="0" w:line="76"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or series of shares has been passed or is</w:t>
      </w:r>
    </w:p>
    <w:p>
      <w:pPr>
        <w:spacing w:after="0" w:line="79" w:lineRule="exact"/>
        <w:rPr>
          <w:sz w:val="20"/>
          <w:szCs w:val="20"/>
          <w:color w:val="auto"/>
        </w:rPr>
      </w:pPr>
    </w:p>
    <w:p>
      <w:pPr>
        <w:ind w:left="3220"/>
        <w:spacing w:after="0"/>
        <w:rPr>
          <w:sz w:val="20"/>
          <w:szCs w:val="20"/>
          <w:color w:val="auto"/>
        </w:rPr>
      </w:pPr>
      <w:r>
        <w:rPr>
          <w:rFonts w:ascii="Arial" w:cs="Arial" w:eastAsia="Arial" w:hAnsi="Arial"/>
          <w:sz w:val="19"/>
          <w:szCs w:val="19"/>
          <w:color w:val="auto"/>
        </w:rPr>
        <w:t>proposed, that is unfairly prejudicial to one</w:t>
      </w:r>
    </w:p>
    <w:p>
      <w:pPr>
        <w:spacing w:after="0" w:line="76"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or more of the shareholders, including the</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applicant. If, on such an application, the</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court is satisfied that such grounds exist,</w:t>
      </w:r>
    </w:p>
    <w:p>
      <w:pPr>
        <w:spacing w:after="0" w:line="79" w:lineRule="exact"/>
        <w:rPr>
          <w:sz w:val="20"/>
          <w:szCs w:val="20"/>
          <w:color w:val="auto"/>
        </w:rPr>
      </w:pPr>
    </w:p>
    <w:p>
      <w:pPr>
        <w:ind w:left="3220"/>
        <w:spacing w:after="0"/>
        <w:rPr>
          <w:sz w:val="20"/>
          <w:szCs w:val="20"/>
          <w:color w:val="auto"/>
        </w:rPr>
      </w:pPr>
      <w:r>
        <w:rPr>
          <w:rFonts w:ascii="Arial" w:cs="Arial" w:eastAsia="Arial" w:hAnsi="Arial"/>
          <w:sz w:val="19"/>
          <w:szCs w:val="19"/>
          <w:color w:val="auto"/>
        </w:rPr>
        <w:t>the court may, with a view to remedying or</w:t>
      </w:r>
    </w:p>
    <w:p>
      <w:pPr>
        <w:spacing w:after="0" w:line="76"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bringing to an end the matters complained</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of make any interim or final order it</w:t>
      </w:r>
    </w:p>
    <w:p>
      <w:pPr>
        <w:spacing w:after="0" w:line="7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considers appropriate.</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62" w:lineRule="exact"/>
        <w:rPr>
          <w:sz w:val="20"/>
          <w:szCs w:val="20"/>
          <w:color w:val="auto"/>
        </w:rPr>
      </w:pPr>
    </w:p>
    <w:p>
      <w:pPr>
        <w:ind w:left="900"/>
        <w:spacing w:after="0"/>
        <w:tabs>
          <w:tab w:leader="none" w:pos="3200" w:val="left"/>
        </w:tabs>
        <w:rPr>
          <w:sz w:val="20"/>
          <w:szCs w:val="20"/>
          <w:color w:val="auto"/>
        </w:rPr>
      </w:pPr>
      <w:r>
        <w:rPr>
          <w:rFonts w:ascii="Arial" w:cs="Arial" w:eastAsia="Arial" w:hAnsi="Arial"/>
          <w:sz w:val="19"/>
          <w:szCs w:val="19"/>
          <w:b w:val="1"/>
          <w:bCs w:val="1"/>
          <w:i w:val="1"/>
          <w:iCs w:val="1"/>
          <w:color w:val="auto"/>
        </w:rPr>
        <w:t>Compulsory</w:t>
      </w:r>
      <w:r>
        <w:rPr>
          <w:sz w:val="20"/>
          <w:szCs w:val="20"/>
          <w:color w:val="auto"/>
        </w:rPr>
        <w:tab/>
      </w:r>
      <w:r>
        <w:rPr>
          <w:rFonts w:ascii="Arial" w:cs="Arial" w:eastAsia="Arial" w:hAnsi="Arial"/>
          <w:sz w:val="19"/>
          <w:szCs w:val="19"/>
          <w:color w:val="auto"/>
        </w:rPr>
        <w:t>The BCBCA provides a right of compulsory</w:t>
      </w:r>
    </w:p>
    <w:p>
      <w:pPr>
        <w:spacing w:after="0" w:line="83" w:lineRule="exact"/>
        <w:rPr>
          <w:sz w:val="20"/>
          <w:szCs w:val="20"/>
          <w:color w:val="auto"/>
        </w:rPr>
      </w:pPr>
    </w:p>
    <w:p>
      <w:pPr>
        <w:ind w:left="900"/>
        <w:spacing w:after="0"/>
        <w:tabs>
          <w:tab w:leader="none" w:pos="3200" w:val="left"/>
        </w:tabs>
        <w:rPr>
          <w:sz w:val="20"/>
          <w:szCs w:val="20"/>
          <w:color w:val="auto"/>
        </w:rPr>
      </w:pPr>
      <w:r>
        <w:rPr>
          <w:rFonts w:ascii="Arial" w:cs="Arial" w:eastAsia="Arial" w:hAnsi="Arial"/>
          <w:sz w:val="19"/>
          <w:szCs w:val="19"/>
          <w:b w:val="1"/>
          <w:bCs w:val="1"/>
          <w:i w:val="1"/>
          <w:iCs w:val="1"/>
          <w:color w:val="auto"/>
        </w:rPr>
        <w:t>Acquisition</w:t>
      </w:r>
      <w:r>
        <w:rPr>
          <w:sz w:val="20"/>
          <w:szCs w:val="20"/>
          <w:color w:val="auto"/>
        </w:rPr>
        <w:tab/>
      </w:r>
      <w:r>
        <w:rPr>
          <w:rFonts w:ascii="Arial" w:cs="Arial" w:eastAsia="Arial" w:hAnsi="Arial"/>
          <w:sz w:val="19"/>
          <w:szCs w:val="19"/>
          <w:color w:val="auto"/>
        </w:rPr>
        <w:t>acquisition for an offeror that acquires 90%</w:t>
      </w:r>
    </w:p>
    <w:p>
      <w:pPr>
        <w:spacing w:after="0" w:line="83" w:lineRule="exact"/>
        <w:rPr>
          <w:sz w:val="20"/>
          <w:szCs w:val="20"/>
          <w:color w:val="auto"/>
        </w:rPr>
      </w:pPr>
    </w:p>
    <w:p>
      <w:pPr>
        <w:ind w:left="3220"/>
        <w:spacing w:after="0" w:line="314" w:lineRule="auto"/>
        <w:rPr>
          <w:sz w:val="20"/>
          <w:szCs w:val="20"/>
          <w:color w:val="auto"/>
        </w:rPr>
      </w:pPr>
      <w:r>
        <w:rPr>
          <w:rFonts w:ascii="Arial" w:cs="Arial" w:eastAsia="Arial" w:hAnsi="Arial"/>
          <w:sz w:val="20"/>
          <w:szCs w:val="20"/>
          <w:color w:val="auto"/>
        </w:rPr>
        <w:t>of the target shares pursuant to a takeover bid or issuer bid, other than shares held at the date of the bid by or on behalf of the offeror. The BCBCA provides that where an offeror does not use the compulsory acquisition right when entitled to do so, a shareholder who did not accept the original offer may require the offeror to acquire the shareholder's shares on the same terms contained in the original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C. Material contracts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line="314"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i w:val="1"/>
          <w:iCs w:val="1"/>
          <w:color w:val="auto"/>
        </w:rPr>
        <w:t>Swiss Merger Act</w:t>
      </w:r>
      <w:r>
        <w:rPr>
          <w:rFonts w:ascii="Arial" w:cs="Arial" w:eastAsia="Arial" w:hAnsi="Arial"/>
          <w:sz w:val="20"/>
          <w:szCs w:val="20"/>
          <w:color w:val="auto"/>
        </w:rPr>
        <w:t xml:space="preserve"> provides for a squeeze-out merger if the acquirer co 90% of the outstanding shares. In the limited circumstances, minority shareholders of the company being acquired may be compensated in a fo other than through shares of the acqu company, such as, for example, throu cash or securities of a parent compan the acquiring company or of another company. The </w:t>
      </w:r>
      <w:r>
        <w:rPr>
          <w:rFonts w:ascii="Arial" w:cs="Arial" w:eastAsia="Arial" w:hAnsi="Arial"/>
          <w:sz w:val="20"/>
          <w:szCs w:val="20"/>
          <w:i w:val="1"/>
          <w:iCs w:val="1"/>
          <w:color w:val="auto"/>
        </w:rPr>
        <w:t>Swiss Merger Act</w:t>
      </w:r>
      <w:r>
        <w:rPr>
          <w:rFonts w:ascii="Arial" w:cs="Arial" w:eastAsia="Arial" w:hAnsi="Arial"/>
          <w:sz w:val="20"/>
          <w:szCs w:val="20"/>
          <w:color w:val="auto"/>
        </w:rPr>
        <w:t xml:space="preserve"> gran minority shareholders the right to a ju review of the adequacy of the compensation offered in such a case empowers the courts to determine, if necessary, a reasonable amount of compensation.</w:t>
      </w:r>
    </w:p>
    <w:p>
      <w:pPr>
        <w:spacing w:after="0" w:line="739" w:lineRule="exact"/>
        <w:rPr>
          <w:sz w:val="20"/>
          <w:szCs w:val="20"/>
          <w:color w:val="auto"/>
        </w:rPr>
      </w:pPr>
    </w:p>
    <w:p>
      <w:pPr>
        <w:sectPr>
          <w:pgSz w:w="11900" w:h="16838" w:orient="portrait"/>
          <w:cols w:equalWidth="0" w:num="2">
            <w:col w:w="7020" w:space="120"/>
            <w:col w:w="3320"/>
          </w:cols>
          <w:pgMar w:left="1440" w:top="1440" w:right="6" w:bottom="0" w:gutter="0" w:footer="0" w:header="0"/>
          <w:type w:val="continuous"/>
        </w:sectPr>
      </w:pPr>
    </w:p>
    <w:p>
      <w:pPr>
        <w:spacing w:after="0" w:line="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Unless otherwise described elsewhere in this annual report the Company considers the following contracts both material and outside the ordinary course of business and are to be performed in whole or in part afte filing of this annual report. The Company refers you to "</w:t>
      </w:r>
      <w:r>
        <w:rPr>
          <w:rFonts w:ascii="Arial" w:cs="Arial" w:eastAsia="Arial" w:hAnsi="Arial"/>
          <w:sz w:val="20"/>
          <w:szCs w:val="20"/>
          <w:i w:val="1"/>
          <w:iCs w:val="1"/>
          <w:color w:val="auto"/>
        </w:rPr>
        <w:t>Item 4. - Information on the Company - A. History</w:t>
      </w:r>
      <w:r>
        <w:rPr>
          <w:rFonts w:ascii="Arial" w:cs="Arial" w:eastAsia="Arial" w:hAnsi="Arial"/>
          <w:sz w:val="20"/>
          <w:szCs w:val="20"/>
          <w:color w:val="auto"/>
        </w:rPr>
        <w:t xml:space="preserve"> </w:t>
      </w:r>
      <w:r>
        <w:rPr>
          <w:rFonts w:ascii="Arial" w:cs="Arial" w:eastAsia="Arial" w:hAnsi="Arial"/>
          <w:sz w:val="20"/>
          <w:szCs w:val="20"/>
          <w:i w:val="1"/>
          <w:iCs w:val="1"/>
          <w:color w:val="auto"/>
        </w:rPr>
        <w:t>Development of the Company</w:t>
      </w:r>
      <w:r>
        <w:rPr>
          <w:rFonts w:ascii="Arial" w:cs="Arial" w:eastAsia="Arial" w:hAnsi="Arial"/>
          <w:sz w:val="20"/>
          <w:szCs w:val="20"/>
          <w:color w:val="auto"/>
        </w:rPr>
        <w:t>," "</w:t>
      </w:r>
      <w:r>
        <w:rPr>
          <w:rFonts w:ascii="Arial" w:cs="Arial" w:eastAsia="Arial" w:hAnsi="Arial"/>
          <w:sz w:val="20"/>
          <w:szCs w:val="20"/>
          <w:i w:val="1"/>
          <w:iCs w:val="1"/>
          <w:color w:val="auto"/>
        </w:rPr>
        <w:t>Item 4. - Information on the Company - B. Business Overview</w:t>
      </w:r>
      <w:r>
        <w:rPr>
          <w:rFonts w:ascii="Arial" w:cs="Arial" w:eastAsia="Arial" w:hAnsi="Arial"/>
          <w:sz w:val="20"/>
          <w:szCs w:val="20"/>
          <w:color w:val="auto"/>
        </w:rPr>
        <w:t>," and "</w:t>
      </w:r>
      <w:r>
        <w:rPr>
          <w:rFonts w:ascii="Arial" w:cs="Arial" w:eastAsia="Arial" w:hAnsi="Arial"/>
          <w:sz w:val="20"/>
          <w:szCs w:val="20"/>
          <w:i w:val="1"/>
          <w:iCs w:val="1"/>
          <w:color w:val="auto"/>
        </w:rPr>
        <w:t>Item Major Shareholders and Related Party Transactions - B. Related Party Transactions</w:t>
      </w:r>
      <w:r>
        <w:rPr>
          <w:rFonts w:ascii="Arial" w:cs="Arial" w:eastAsia="Arial" w:hAnsi="Arial"/>
          <w:sz w:val="20"/>
          <w:szCs w:val="20"/>
          <w:color w:val="auto"/>
        </w:rPr>
        <w:t>" for a discussion of t</w:t>
      </w:r>
      <w:r>
        <w:rPr>
          <w:rFonts w:ascii="Arial" w:cs="Arial" w:eastAsia="Arial" w:hAnsi="Arial"/>
          <w:sz w:val="20"/>
          <w:szCs w:val="20"/>
          <w:i w:val="1"/>
          <w:iCs w:val="1"/>
          <w:color w:val="auto"/>
        </w:rPr>
        <w:t xml:space="preserve"> </w:t>
      </w:r>
      <w:r>
        <w:rPr>
          <w:rFonts w:ascii="Arial" w:cs="Arial" w:eastAsia="Arial" w:hAnsi="Arial"/>
          <w:sz w:val="20"/>
          <w:szCs w:val="20"/>
          <w:color w:val="auto"/>
        </w:rPr>
        <w:t>contracts. Other than as discussed in this section or elsewhere in this annual report, the Company ha material contracts, other than contracts entered into in the ordinary course of business, to which the Compan party.</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Arrangement Agreement</w:t>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95 / 139</w:t>
      </w:r>
    </w:p>
    <w:p>
      <w:pPr>
        <w:sectPr>
          <w:pgSz w:w="11900" w:h="16838" w:orient="portrait"/>
          <w:cols w:equalWidth="0" w:num="1">
            <w:col w:w="10460"/>
          </w:cols>
          <w:pgMar w:left="1440" w:top="1440" w:right="6" w:bottom="0" w:gutter="0" w:footer="0" w:header="0"/>
          <w:type w:val="continuous"/>
        </w:sectPr>
      </w:pPr>
    </w:p>
    <w:bookmarkStart w:id="324" w:name="page325"/>
    <w:bookmarkEnd w:id="324"/>
    <w:p>
      <w:pPr>
        <w:ind w:left="900"/>
        <w:spacing w:after="0"/>
        <w:rPr>
          <w:sz w:val="20"/>
          <w:szCs w:val="20"/>
          <w:color w:val="auto"/>
        </w:rPr>
      </w:pPr>
      <w:r>
        <w:rPr>
          <w:rFonts w:ascii="Arial" w:cs="Arial" w:eastAsia="Arial" w:hAnsi="Arial"/>
          <w:sz w:val="20"/>
          <w:szCs w:val="20"/>
          <w:color w:val="auto"/>
        </w:rPr>
        <w:t>On May 15, 2023, Lithium Americas Corp. and the Company entered into an arrangement agreement</w:t>
      </w:r>
    </w:p>
    <w:p>
      <w:pPr>
        <w:spacing w:after="0" w:line="72" w:lineRule="exact"/>
        <w:rPr>
          <w:sz w:val="20"/>
          <w:szCs w:val="20"/>
          <w:color w:val="auto"/>
        </w:rPr>
      </w:pPr>
    </w:p>
    <w:p>
      <w:pPr>
        <w:ind w:left="900"/>
        <w:spacing w:after="0"/>
        <w:tabs>
          <w:tab w:leader="none" w:pos="5720" w:val="left"/>
        </w:tabs>
        <w:rPr>
          <w:sz w:val="20"/>
          <w:szCs w:val="20"/>
          <w:color w:val="auto"/>
        </w:rPr>
      </w:pPr>
      <w:r>
        <w:rPr>
          <w:rFonts w:ascii="Arial" w:cs="Arial" w:eastAsia="Arial" w:hAnsi="Arial"/>
          <w:sz w:val="20"/>
          <w:szCs w:val="20"/>
          <w:b w:val="1"/>
          <w:bCs w:val="1"/>
          <w:color w:val="auto"/>
        </w:rPr>
        <w:t>"Original</w:t>
      </w:r>
      <w:r>
        <w:rPr>
          <w:sz w:val="20"/>
          <w:szCs w:val="20"/>
          <w:color w:val="auto"/>
        </w:rPr>
        <w:tab/>
      </w:r>
      <w:r>
        <w:rPr>
          <w:rFonts w:ascii="Arial" w:cs="Arial" w:eastAsia="Arial" w:hAnsi="Arial"/>
          <w:sz w:val="20"/>
          <w:szCs w:val="20"/>
          <w:b w:val="1"/>
          <w:bCs w:val="1"/>
          <w:color w:val="auto"/>
        </w:rPr>
        <w:t>Arrangement</w:t>
      </w:r>
    </w:p>
    <w:p>
      <w:pPr>
        <w:spacing w:after="0" w:line="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b w:val="1"/>
          <w:bCs w:val="1"/>
          <w:color w:val="auto"/>
        </w:rPr>
        <w:t>Agreement"</w:t>
      </w:r>
      <w:r>
        <w:rPr>
          <w:rFonts w:ascii="Arial" w:cs="Arial" w:eastAsia="Arial" w:hAnsi="Arial"/>
          <w:sz w:val="20"/>
          <w:szCs w:val="20"/>
          <w:color w:val="auto"/>
        </w:rPr>
        <w:t>). On June 14, 2023, Lithium Americas Corp. and the Company entered into an arrange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which amended and restated the Original Arrangement Agreement to, among other things, in information with respect to the finalized composition of the Board of each of Lithium Argentina and the Com in the Separation Transaction (the "</w:t>
      </w:r>
      <w:r>
        <w:rPr>
          <w:rFonts w:ascii="Arial" w:cs="Arial" w:eastAsia="Arial" w:hAnsi="Arial"/>
          <w:sz w:val="20"/>
          <w:szCs w:val="20"/>
          <w:b w:val="1"/>
          <w:bCs w:val="1"/>
          <w:color w:val="auto"/>
        </w:rPr>
        <w:t>Amended and Restated Original Arrangement Agreement</w:t>
      </w:r>
      <w:r>
        <w:rPr>
          <w:rFonts w:ascii="Arial" w:cs="Arial" w:eastAsia="Arial" w:hAnsi="Arial"/>
          <w:sz w:val="20"/>
          <w:szCs w:val="20"/>
          <w:color w:val="auto"/>
        </w:rPr>
        <w:t>”).</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Amended and Restated Arrangement Agreement provided for, among other things, the terms of the Ori Arrangement, the conditions to its completion, actions to be taken prior to and after the effective date o Separation Transaction and indemnities between the companies after the effective date of the Separ Transaction. A copy of the Amended and Restated Arrangement Agreement is filed as exhibit to this an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1087755</wp:posOffset>
            </wp:positionV>
            <wp:extent cx="6764020" cy="190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96 / 139</w:t>
      </w:r>
    </w:p>
    <w:p>
      <w:pPr>
        <w:sectPr>
          <w:pgSz w:w="11900" w:h="16838" w:orient="portrait"/>
          <w:cols w:equalWidth="0" w:num="1">
            <w:col w:w="10460"/>
          </w:cols>
          <w:pgMar w:left="1440" w:top="1165" w:right="6" w:bottom="0" w:gutter="0" w:footer="0" w:header="0"/>
          <w:type w:val="continuous"/>
        </w:sectPr>
      </w:pPr>
    </w:p>
    <w:bookmarkStart w:id="325" w:name="page326"/>
    <w:bookmarkEnd w:id="3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Pursuant to the Amended and Restated Arrangement Agreement , the Company agreed to bear all fees, cos expenses incurred directly in connection with the Separation Transaction, including financing fees, advisory other professional expenses, printing and mailing costs associated with the information circular prepare connection with the meeting of the Company shareholders to approve the Separation Transaction, accompa form of proxy and/or voting instruction form, and any payments made to dissenting shareholders of the Com other than fees, costs, expenses and payment obligations incurred in connection with indemnification obliga arising under the Amended and Restated Arrangement Agreement.</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Tax Indemnity and Cooperation Agreement</w:t>
      </w:r>
    </w:p>
    <w:p>
      <w:pPr>
        <w:spacing w:after="0" w:line="279"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On October 3, 2023, the Company entered into the Tax Indemnity and Cooperation Agreement between Company and Lithium Americas Corp. dated October 3, 2023, which provides cross-indemnities agains specific claims a party or its representatives become subject to as a result of a breach of covenant by an party. The Tax Indemnity and Cooperation Agreement contains certain covenants that, for a period of three after the effective date of the Separation Transaction, October 3, 2026, may prohibit, except in spe circumstances, the parties from taking or failing to take certain actions that could cause the arrangement o transaction contemplated by the Amended and Restated Arrangement Agreement to be taxed in a manner t inconsistent with the tax rulings. In addition, the Tax Indemnity and Cooperation Agreement also contains c customary covenants with respect to the separate filing of tax returns, payment of taxes, cooperation, assist document retention and certain other administration and procedural matters regarding taxes.</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Indenture</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On December 6, 2021, the Company entered into the Indenture with Computershare Trust Company, N.A trustee in connection with the Company’s private placement offering of an aggregate of US$258,750,000 prin amount of convertible senior notes (“</w:t>
      </w:r>
      <w:r>
        <w:rPr>
          <w:rFonts w:ascii="Arial" w:cs="Arial" w:eastAsia="Arial" w:hAnsi="Arial"/>
          <w:sz w:val="20"/>
          <w:szCs w:val="20"/>
          <w:b w:val="1"/>
          <w:bCs w:val="1"/>
          <w:color w:val="auto"/>
        </w:rPr>
        <w:t>Convertible Notes</w:t>
      </w:r>
      <w:r>
        <w:rPr>
          <w:rFonts w:ascii="Arial" w:cs="Arial" w:eastAsia="Arial" w:hAnsi="Arial"/>
          <w:sz w:val="20"/>
          <w:szCs w:val="20"/>
          <w:color w:val="auto"/>
        </w:rPr>
        <w:t>”). On October 3, 2023, the Company amende Indenture by a first supplemental indenture to reflect the name change to “Lithium Americas (Argentina) C The Indenture, as amended, set out the terms and conditions upon which the Convertible Notes authenticated, issued and delivered.</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On January 23, 2025, the Company entered into a second supplemental indenture to reflect the name chan “Lithium Argentina AG” and the Continuation.</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D. Exchange Controls</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There is no law, governmental decree or regulation in Switzerland that restricts the export or import of capit which would affect the remittance of dividends or other payments by the Company to non-resident holde Shares, other than withholding tax.</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E. Taxation</w:t>
      </w:r>
    </w:p>
    <w:p>
      <w:pPr>
        <w:spacing w:after="0" w:line="279" w:lineRule="exact"/>
        <w:rPr>
          <w:sz w:val="20"/>
          <w:szCs w:val="20"/>
          <w:color w:val="auto"/>
        </w:rPr>
      </w:pPr>
    </w:p>
    <w:p>
      <w:pPr>
        <w:jc w:val="both"/>
        <w:ind w:left="900"/>
        <w:spacing w:after="0" w:line="332" w:lineRule="auto"/>
        <w:rPr>
          <w:sz w:val="20"/>
          <w:szCs w:val="20"/>
          <w:color w:val="auto"/>
        </w:rPr>
      </w:pPr>
      <w:r>
        <w:rPr>
          <w:rFonts w:ascii="Arial" w:cs="Arial" w:eastAsia="Arial" w:hAnsi="Arial"/>
          <w:sz w:val="19"/>
          <w:szCs w:val="19"/>
          <w:color w:val="auto"/>
        </w:rPr>
        <w:t>The following summary of the material U.S., Swiss, and Canadian federal income tax considerations of re ownership and disposition of the Company's Shares is based upon laws, regulations, decrees, rulings, incom conventions (treaties), administrative practice and judicial decisions in effect at the date of this annual re Legislative, judicial or administrative changes or interpretations may, however, be forthcoming that could alt modify the descriptions and conclusions set forth herein. Any such changes or interpretations may be retroa</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3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97 / 139</w:t>
      </w:r>
    </w:p>
    <w:p>
      <w:pPr>
        <w:sectPr>
          <w:pgSz w:w="11900" w:h="16838" w:orient="portrait"/>
          <w:cols w:equalWidth="0" w:num="1">
            <w:col w:w="10460"/>
          </w:cols>
          <w:pgMar w:left="1440" w:top="1440" w:right="6" w:bottom="0" w:gutter="0" w:footer="0" w:header="0"/>
          <w:type w:val="continuous"/>
        </w:sectPr>
      </w:pPr>
    </w:p>
    <w:bookmarkStart w:id="326" w:name="page327"/>
    <w:bookmarkEnd w:id="326"/>
    <w:p>
      <w:pPr>
        <w:jc w:val="both"/>
        <w:ind w:left="900"/>
        <w:spacing w:after="0" w:line="313" w:lineRule="auto"/>
        <w:rPr>
          <w:sz w:val="20"/>
          <w:szCs w:val="20"/>
          <w:color w:val="auto"/>
        </w:rPr>
      </w:pPr>
      <w:r>
        <w:rPr>
          <w:rFonts w:ascii="Arial" w:cs="Arial" w:eastAsia="Arial" w:hAnsi="Arial"/>
          <w:sz w:val="20"/>
          <w:szCs w:val="20"/>
          <w:color w:val="auto"/>
        </w:rPr>
        <w:t>and could affect the tax consequences to holders of Shares. This summary does not purport to be a legal op or to address all tax aspects that may be relevant to a holder of the Shares. Each prospective holder is urg consult its own tax adviser as to the particular tax consequences to such holder of the receipt, disposition ownership of Shares, including the applicability and effect of any other tax laws or tax treaties, of pendin proposed changes in applicable tax laws as of the date of this annual report, and of any actual chang applicable tax laws after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98 / 139</w:t>
      </w:r>
    </w:p>
    <w:p>
      <w:pPr>
        <w:sectPr>
          <w:pgSz w:w="11900" w:h="16838" w:orient="portrait"/>
          <w:cols w:equalWidth="0" w:num="1">
            <w:col w:w="10460"/>
          </w:cols>
          <w:pgMar w:left="1440" w:top="1172" w:right="6" w:bottom="0" w:gutter="0" w:footer="0" w:header="0"/>
          <w:type w:val="continuous"/>
        </w:sectPr>
      </w:pPr>
    </w:p>
    <w:bookmarkStart w:id="327" w:name="page328"/>
    <w:bookmarkEnd w:id="3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Material U.S. Federal Income Tax Considerations</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following is a general summary of certain material U.S. federal income tax considerations applicable to a Shareholder (as defined below) arising from and relating to the acquisition, ownership and disposition o Shares.</w:t>
      </w:r>
    </w:p>
    <w:p>
      <w:pPr>
        <w:spacing w:after="0" w:line="212"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This summary is for general information purposes only and does not purport to be a complete analysis or list all potential U.S. federal income tax considerations that may apply to a U.S. Shareholder arising from and rel to the acquisition, ownership or disposition of Shares. In addition, this summary does not take into accoun individual facts and circumstances of any particular U.S. Shareholder that may affect the U.S. federal incom consequences to such U.S. Shareholder, including specific tax consequences to a U.S. Shareholder und applicable income tax treaty. Accordingly, this summary is not intended to be, and should not be construe legal or U.S. federal income tax advice with respect to any particular U.S. Shareholder. This summary doe address the U.S. federal net investment income tax, U.S. federal alternative minimum tax, U.S. federal estat gift tax, U.S. state and local tax, or non-U.S. tax consequences to U.S. Shareholders of the acquisition, owne and disposition of Shares. In addition, except as specifically set forth below, this summary does not dis applicable tax reporting requirements. Each U.S. Shareholder should consult its own tax advisors regardin U.S. federal, U.S. state and local and non-U.S. tax consequences relating to the acquisition, ownership disposition of Shares.</w:t>
      </w:r>
    </w:p>
    <w:p>
      <w:pPr>
        <w:spacing w:after="0" w:line="213"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 xml:space="preserve">No opinion from legal counsel or ruling from the Internal Revenue Service (the " </w:t>
      </w:r>
      <w:r>
        <w:rPr>
          <w:rFonts w:ascii="Arial" w:cs="Arial" w:eastAsia="Arial" w:hAnsi="Arial"/>
          <w:sz w:val="20"/>
          <w:szCs w:val="20"/>
          <w:b w:val="1"/>
          <w:bCs w:val="1"/>
          <w:color w:val="auto"/>
        </w:rPr>
        <w:t>IRS</w:t>
      </w:r>
      <w:r>
        <w:rPr>
          <w:rFonts w:ascii="Arial" w:cs="Arial" w:eastAsia="Arial" w:hAnsi="Arial"/>
          <w:sz w:val="20"/>
          <w:szCs w:val="20"/>
          <w:color w:val="auto"/>
        </w:rPr>
        <w:t>") has been requested, o be obtained, regarding the U.S. federal income tax considerations applicable to U.S. Shareholders as discu in this summary. This summary is not binding on the IRS, and the IRS is not precluded from taking a positio is different from, and contrary to, the positions taken in this summary. In addition, because the authoritie which this summary is based are subject to various interpretations, the IRS and the U.S. courts could disa with one or more of the conclusions in this summary.</w:t>
      </w:r>
    </w:p>
    <w:p>
      <w:pPr>
        <w:spacing w:after="0" w:line="212" w:lineRule="exact"/>
        <w:rPr>
          <w:sz w:val="20"/>
          <w:szCs w:val="20"/>
          <w:color w:val="auto"/>
        </w:rPr>
      </w:pPr>
    </w:p>
    <w:p>
      <w:pPr>
        <w:ind w:left="900"/>
        <w:spacing w:after="0" w:line="314" w:lineRule="auto"/>
        <w:rPr>
          <w:sz w:val="20"/>
          <w:szCs w:val="20"/>
          <w:color w:val="auto"/>
        </w:rPr>
      </w:pPr>
      <w:r>
        <w:rPr>
          <w:rFonts w:ascii="Arial" w:cs="Arial" w:eastAsia="Arial" w:hAnsi="Arial"/>
          <w:sz w:val="20"/>
          <w:szCs w:val="20"/>
          <w:color w:val="auto"/>
        </w:rPr>
        <w:t>This summary is based on the U.S. Internal Revenue Code of 1986, as amended (the "</w:t>
      </w:r>
      <w:r>
        <w:rPr>
          <w:rFonts w:ascii="Arial" w:cs="Arial" w:eastAsia="Arial" w:hAnsi="Arial"/>
          <w:sz w:val="20"/>
          <w:szCs w:val="20"/>
          <w:b w:val="1"/>
          <w:bCs w:val="1"/>
          <w:color w:val="auto"/>
        </w:rPr>
        <w:t>Code</w:t>
      </w:r>
      <w:r>
        <w:rPr>
          <w:rFonts w:ascii="Arial" w:cs="Arial" w:eastAsia="Arial" w:hAnsi="Arial"/>
          <w:sz w:val="20"/>
          <w:szCs w:val="20"/>
          <w:color w:val="auto"/>
        </w:rPr>
        <w:t xml:space="preserve">"), Trea Regulations (whether final, temporary, or proposed) promulgated under the Code, published rulings of the published administrative positions of the IRS, the </w:t>
      </w:r>
      <w:r>
        <w:rPr>
          <w:rFonts w:ascii="Arial" w:cs="Arial" w:eastAsia="Arial" w:hAnsi="Arial"/>
          <w:sz w:val="20"/>
          <w:szCs w:val="20"/>
          <w:i w:val="1"/>
          <w:iCs w:val="1"/>
          <w:color w:val="auto"/>
        </w:rPr>
        <w:t>Convention Between the United States of America and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Swiss Confederation for the Avoidance of Double Taxation with Respect to Taxes on Income of 1996 corrected and amended </w:t>
      </w:r>
      <w:r>
        <w:rPr>
          <w:rFonts w:ascii="Arial" w:cs="Arial" w:eastAsia="Arial" w:hAnsi="Arial"/>
          <w:sz w:val="20"/>
          <w:szCs w:val="20"/>
          <w:color w:val="auto"/>
        </w:rPr>
        <w:t>(the "</w:t>
      </w:r>
      <w:r>
        <w:rPr>
          <w:rFonts w:ascii="Arial" w:cs="Arial" w:eastAsia="Arial" w:hAnsi="Arial"/>
          <w:sz w:val="20"/>
          <w:szCs w:val="20"/>
          <w:b w:val="1"/>
          <w:bCs w:val="1"/>
          <w:color w:val="auto"/>
        </w:rPr>
        <w:t>U.S. Treaty</w:t>
      </w:r>
      <w:r>
        <w:rPr>
          <w:rFonts w:ascii="Arial" w:cs="Arial" w:eastAsia="Arial" w:hAnsi="Arial"/>
          <w:sz w:val="20"/>
          <w:szCs w:val="20"/>
          <w:color w:val="auto"/>
        </w:rPr>
        <w:t>"), and U.S. court decisions, that are in effect and available, as o</w:t>
      </w:r>
      <w:r>
        <w:rPr>
          <w:rFonts w:ascii="Arial" w:cs="Arial" w:eastAsia="Arial" w:hAnsi="Arial"/>
          <w:sz w:val="20"/>
          <w:szCs w:val="20"/>
          <w:i w:val="1"/>
          <w:iCs w:val="1"/>
          <w:color w:val="auto"/>
        </w:rPr>
        <w:t xml:space="preserve"> </w:t>
      </w:r>
      <w:r>
        <w:rPr>
          <w:rFonts w:ascii="Arial" w:cs="Arial" w:eastAsia="Arial" w:hAnsi="Arial"/>
          <w:sz w:val="20"/>
          <w:szCs w:val="20"/>
          <w:color w:val="auto"/>
        </w:rPr>
        <w:t>date of this document. Any of the authorities on which this summary is based could be changed in a materia adverse manner at any time, and any such change could be applied on a retroactive or prospective basis, could affect the U.S. federal income tax considerations described in this summary. This summary does discuss the potential effects, whether adverse or beneficial, of any proposed legislation that, if enacted, cou applied on a retroactive or prospective basis.</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u w:val="single" w:color="auto"/>
          <w:color w:val="auto"/>
        </w:rPr>
        <w:t>U.S. Shareholders</w:t>
      </w:r>
    </w:p>
    <w:p>
      <w:pPr>
        <w:spacing w:after="0" w:line="279"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For purposes of this summary, the term "</w:t>
      </w:r>
      <w:r>
        <w:rPr>
          <w:rFonts w:ascii="Arial" w:cs="Arial" w:eastAsia="Arial" w:hAnsi="Arial"/>
          <w:sz w:val="20"/>
          <w:szCs w:val="20"/>
          <w:b w:val="1"/>
          <w:bCs w:val="1"/>
          <w:color w:val="auto"/>
        </w:rPr>
        <w:t>U.S. Shareholder</w:t>
      </w:r>
      <w:r>
        <w:rPr>
          <w:rFonts w:ascii="Arial" w:cs="Arial" w:eastAsia="Arial" w:hAnsi="Arial"/>
          <w:sz w:val="20"/>
          <w:szCs w:val="20"/>
          <w:color w:val="auto"/>
        </w:rPr>
        <w:t>" means a beneficial owner of Shares that is for federal income tax purposes:</w:t>
      </w:r>
    </w:p>
    <w:p>
      <w:pPr>
        <w:spacing w:after="0" w:line="128" w:lineRule="exact"/>
        <w:rPr>
          <w:sz w:val="20"/>
          <w:szCs w:val="20"/>
          <w:color w:val="auto"/>
        </w:rPr>
      </w:pPr>
    </w:p>
    <w:p>
      <w:pPr>
        <w:ind w:left="1440" w:hanging="186"/>
        <w:spacing w:after="0"/>
        <w:tabs>
          <w:tab w:leader="none" w:pos="144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an individual who is a citizen or resident of the United States;</w:t>
      </w:r>
    </w:p>
    <w:p>
      <w:pPr>
        <w:spacing w:after="0" w:line="198" w:lineRule="exact"/>
        <w:rPr>
          <w:rFonts w:ascii="Arial" w:cs="Arial" w:eastAsia="Arial" w:hAnsi="Arial"/>
          <w:sz w:val="20"/>
          <w:szCs w:val="20"/>
          <w:color w:val="auto"/>
        </w:rPr>
      </w:pPr>
    </w:p>
    <w:p>
      <w:pPr>
        <w:ind w:left="1440" w:hanging="186"/>
        <w:spacing w:after="0"/>
        <w:tabs>
          <w:tab w:leader="none" w:pos="144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 corporation organized under the laws of the United States, any state thereof or the District of Columb</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7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99 / 139</w:t>
      </w:r>
    </w:p>
    <w:p>
      <w:pPr>
        <w:sectPr>
          <w:pgSz w:w="11900" w:h="16838" w:orient="portrait"/>
          <w:cols w:equalWidth="0" w:num="1">
            <w:col w:w="10460"/>
          </w:cols>
          <w:pgMar w:left="1440" w:top="1440" w:right="6" w:bottom="0" w:gutter="0" w:footer="0" w:header="0"/>
          <w:type w:val="continuous"/>
        </w:sectPr>
      </w:pPr>
    </w:p>
    <w:bookmarkStart w:id="328" w:name="page329"/>
    <w:bookmarkEnd w:id="328"/>
    <w:p>
      <w:pPr>
        <w:ind w:left="1440" w:hanging="186"/>
        <w:spacing w:after="0"/>
        <w:tabs>
          <w:tab w:leader="none" w:pos="144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an estate the income of which is subject to U.S. federal income taxation regardless of its source; or</w:t>
      </w:r>
    </w:p>
    <w:p>
      <w:pPr>
        <w:spacing w:after="0" w:line="198" w:lineRule="exact"/>
        <w:rPr>
          <w:rFonts w:ascii="Arial" w:cs="Arial" w:eastAsia="Arial" w:hAnsi="Arial"/>
          <w:sz w:val="20"/>
          <w:szCs w:val="20"/>
          <w:color w:val="auto"/>
        </w:rPr>
      </w:pPr>
    </w:p>
    <w:p>
      <w:pPr>
        <w:jc w:val="both"/>
        <w:ind w:left="1260" w:hanging="6"/>
        <w:spacing w:after="0" w:line="311" w:lineRule="auto"/>
        <w:tabs>
          <w:tab w:leader="none" w:pos="1441"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 trust that (1) is subject to the primary supervision of a court within the United States and the control o or more U.S. persons for all substantial decisions or (2) has a valid election in effect under applic Treasury Regulations to be treated as a U.S. person.</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u w:val="single" w:color="auto"/>
          <w:color w:val="auto"/>
        </w:rPr>
        <w:t>U.S. Shareholders Subject to Special U.S. Federal Income Tax Rules Not Addressed</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This summary does not address the U.S. federal income tax considerations applicable to U.S. Shareholders are subject to special provisions under the Code, including, but not limited to, U.S. Shareholders that: (a governmental organizations, tax-exempt organizations, qualified retirement plans, individual retirement acco</w:t>
      </w:r>
    </w:p>
    <w:p>
      <w:pPr>
        <w:spacing w:after="0" w:line="12" w:lineRule="exact"/>
        <w:rPr>
          <w:sz w:val="20"/>
          <w:szCs w:val="20"/>
          <w:color w:val="auto"/>
        </w:rPr>
      </w:pPr>
    </w:p>
    <w:p>
      <w:pPr>
        <w:ind w:left="900" w:right="20"/>
        <w:spacing w:after="0" w:line="312" w:lineRule="auto"/>
        <w:rPr>
          <w:sz w:val="20"/>
          <w:szCs w:val="20"/>
          <w:color w:val="auto"/>
        </w:rPr>
      </w:pPr>
      <w:r>
        <w:rPr>
          <w:rFonts w:ascii="Arial" w:cs="Arial" w:eastAsia="Arial" w:hAnsi="Arial"/>
          <w:sz w:val="20"/>
          <w:szCs w:val="20"/>
          <w:color w:val="auto"/>
        </w:rPr>
        <w:t>or other tax-deferred accounts; (b) are banks, financial institutions, underwriters, insurance companies, real estate investment trusts, or regulated invest companies; (c) are brokers, broker-dealers, dealers or traders in securities or currencies or are trade securities that elect to apply a mark-to-market accounting method; (d)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2">
                      <a:extLst>
                        <a:ext uri="{28A0092B-C50C-407E-A947-70E740481C1C}"/>
                      </a:extLst>
                    </a:blip>
                    <a:srcRect/>
                    <a:stretch>
                      <a:fillRect/>
                    </a:stretch>
                  </pic:blipFill>
                  <pic:spPr bwMode="auto">
                    <a:xfrm>
                      <a:off x="0" y="0"/>
                      <a:ext cx="6764020" cy="190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6014085</wp:posOffset>
                </wp:positionH>
                <wp:positionV relativeFrom="paragraph">
                  <wp:posOffset>-626110</wp:posOffset>
                </wp:positionV>
                <wp:extent cx="631190" cy="0"/>
                <wp:wrapNone/>
                <wp:docPr id="499" name="Shape 4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190" cy="4763"/>
                        </a:xfrm>
                        <a:prstGeom prst="line">
                          <a:avLst/>
                        </a:prstGeom>
                        <a:solidFill>
                          <a:srgbClr val="FFFFFF"/>
                        </a:solidFill>
                        <a:ln w="9301">
                          <a:solidFill>
                            <a:srgbClr val="000000"/>
                          </a:solidFill>
                          <a:miter lim="800000"/>
                          <a:headEnd/>
                          <a:tailEnd/>
                        </a:ln>
                      </wps:spPr>
                      <wps:bodyPr/>
                    </wps:wsp>
                  </a:graphicData>
                </a:graphic>
              </wp:anchor>
            </w:drawing>
          </mc:Choice>
          <mc:Fallback>
            <w:pict>
              <v:line id="Shape 499" o:spid="_x0000_s15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3.55pt,-49.2999pt" to="523.25pt,-49.2999pt" o:allowincell="f" strokecolor="#000000" strokeweight="0.7324pt"/>
            </w:pict>
          </mc:Fallback>
        </mc:AlternateContent>
      </w:r>
    </w:p>
    <w:p>
      <w:pPr>
        <w:sectPr>
          <w:pgSz w:w="11900" w:h="16838" w:orient="portrait"/>
          <w:cols w:equalWidth="0" w:num="1">
            <w:col w:w="1046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100 / 139</w:t>
      </w:r>
    </w:p>
    <w:p>
      <w:pPr>
        <w:sectPr>
          <w:pgSz w:w="11900" w:h="16838" w:orient="portrait"/>
          <w:cols w:equalWidth="0" w:num="1">
            <w:col w:w="10460"/>
          </w:cols>
          <w:pgMar w:left="1440" w:top="1165" w:right="6" w:bottom="0" w:gutter="0" w:footer="0" w:header="0"/>
          <w:type w:val="continuous"/>
        </w:sectPr>
      </w:pPr>
    </w:p>
    <w:bookmarkStart w:id="329" w:name="page330"/>
    <w:bookmarkEnd w:id="3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 xml:space="preserve">a "functional currency" other than the U.S. dollar; (e) own Shares as part of a straddle, hedging transac conversion transaction, constructive sale, or other integrated transaction; (f) acquired Shares in connection the exercise or cancellation of employee stock options or otherwise as compensation for services; (g) hold S other than as a capital asset within the meaning of Section 1221 of the Code (generally, property hel investment purposes); (h) are partnerships and other </w:t>
      </w:r>
      <w:r>
        <w:rPr>
          <w:rFonts w:ascii="Arial" w:cs="Arial" w:eastAsia="Arial" w:hAnsi="Arial"/>
          <w:sz w:val="20"/>
          <w:szCs w:val="20"/>
          <w:u w:val="single" w:color="auto"/>
          <w:color w:val="auto"/>
        </w:rPr>
        <w:t>“</w:t>
      </w:r>
      <w:r>
        <w:rPr>
          <w:rFonts w:ascii="Arial" w:cs="Arial" w:eastAsia="Arial" w:hAnsi="Arial"/>
          <w:sz w:val="20"/>
          <w:szCs w:val="20"/>
          <w:color w:val="auto"/>
        </w:rPr>
        <w:t>pass-through</w:t>
      </w:r>
      <w:r>
        <w:rPr>
          <w:rFonts w:ascii="Arial" w:cs="Arial" w:eastAsia="Arial" w:hAnsi="Arial"/>
          <w:sz w:val="20"/>
          <w:szCs w:val="20"/>
          <w:u w:val="single" w:color="auto"/>
          <w:color w:val="auto"/>
        </w:rPr>
        <w:t>”</w:t>
      </w:r>
      <w:r>
        <w:rPr>
          <w:rFonts w:ascii="Arial" w:cs="Arial" w:eastAsia="Arial" w:hAnsi="Arial"/>
          <w:sz w:val="20"/>
          <w:szCs w:val="20"/>
          <w:color w:val="auto"/>
        </w:rPr>
        <w:t xml:space="preserve"> entities (and </w:t>
      </w:r>
      <w:r>
        <w:rPr>
          <w:rFonts w:ascii="Arial" w:cs="Arial" w:eastAsia="Arial" w:hAnsi="Arial"/>
          <w:sz w:val="20"/>
          <w:szCs w:val="20"/>
          <w:u w:val="single" w:color="auto"/>
          <w:color w:val="auto"/>
        </w:rPr>
        <w:t>partners or</w:t>
      </w:r>
      <w:r>
        <w:rPr>
          <w:rFonts w:ascii="Arial" w:cs="Arial" w:eastAsia="Arial" w:hAnsi="Arial"/>
          <w:sz w:val="20"/>
          <w:szCs w:val="20"/>
          <w:color w:val="auto"/>
        </w:rPr>
        <w:t xml:space="preserve"> other ow thereof); (i) are S corporations (and shareholders thereof); (j) are subject to special tax accounting rules respect to the Shares; (k) own, have owned or will own (directly, indirectly, or by attribution) 10% or more o total combined voting power or value of the Company's outstanding shares; (l) are U.S. expatriates or fo long-term residents of the United States; or (m) hold Shares in connection with a trade or business, perma establishment, or fixed base outside the United States. U.S. Shareholders that are subject to special provi under the Code, including U.S. Shareholders described immediately above, should consult their own tax adv regarding the U.S. federal, U.S. state and local and non-U.S. tax considerations applicable to the acquis ownership and disposition of Shares.</w:t>
      </w:r>
    </w:p>
    <w:p>
      <w:pPr>
        <w:spacing w:after="0" w:line="213"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 xml:space="preserve">If an entity or arrangement that is classified as a partnership (or other </w:t>
      </w:r>
      <w:r>
        <w:rPr>
          <w:rFonts w:ascii="Arial" w:cs="Arial" w:eastAsia="Arial" w:hAnsi="Arial"/>
          <w:sz w:val="20"/>
          <w:szCs w:val="20"/>
          <w:u w:val="single" w:color="auto"/>
          <w:color w:val="auto"/>
        </w:rPr>
        <w:t>"</w:t>
      </w:r>
      <w:r>
        <w:rPr>
          <w:rFonts w:ascii="Arial" w:cs="Arial" w:eastAsia="Arial" w:hAnsi="Arial"/>
          <w:sz w:val="20"/>
          <w:szCs w:val="20"/>
          <w:color w:val="auto"/>
        </w:rPr>
        <w:t>pass-through</w:t>
      </w:r>
      <w:r>
        <w:rPr>
          <w:rFonts w:ascii="Arial" w:cs="Arial" w:eastAsia="Arial" w:hAnsi="Arial"/>
          <w:sz w:val="20"/>
          <w:szCs w:val="20"/>
          <w:u w:val="single" w:color="auto"/>
          <w:color w:val="auto"/>
        </w:rPr>
        <w:t>"</w:t>
      </w:r>
      <w:r>
        <w:rPr>
          <w:rFonts w:ascii="Arial" w:cs="Arial" w:eastAsia="Arial" w:hAnsi="Arial"/>
          <w:sz w:val="20"/>
          <w:szCs w:val="20"/>
          <w:color w:val="auto"/>
        </w:rPr>
        <w:t xml:space="preserve"> entity) for U.S. fe income tax purposes holds Shares, the U.S. federal income tax consequences to such entity or arrangemen the partners (or other owners or participants) of such entity or arrangement generally will depend on the acti of such entity or arrangement and the status of such partners (or other owners or participants). This sum does not address the tax consequences to any such entity, arrangement or partner (or other owner or partici Partners (or other owners or participants) of entities or arrangements that are classified as partnerships for federal income tax purposes should consult their own tax advisor regarding the U.S. federal income considerations arising from and relating to the acquisition, ownership, and disposition of Shares.</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Passive Foreign Investment Company Rules</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u w:val="single" w:color="auto"/>
          <w:color w:val="auto"/>
        </w:rPr>
        <w:t>PFIC Status</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If the Company were to constitute a “passive foreign investment company” within the meaning of Section 12 of the Code (a "PFIC") for any tax year during a U.S. Shareholder's holding period, then certain poten adverse rules would affect the U.S. federal income tax considerations applicable to such U.S. Shareholder result of the acquisition, ownership, and disposition of Shares.</w:t>
      </w:r>
    </w:p>
    <w:p>
      <w:pPr>
        <w:spacing w:after="0" w:line="212" w:lineRule="exact"/>
        <w:rPr>
          <w:sz w:val="20"/>
          <w:szCs w:val="20"/>
          <w:color w:val="auto"/>
        </w:rPr>
      </w:pPr>
    </w:p>
    <w:p>
      <w:pPr>
        <w:ind w:left="900"/>
        <w:spacing w:after="0" w:line="332" w:lineRule="auto"/>
        <w:rPr>
          <w:sz w:val="20"/>
          <w:szCs w:val="20"/>
          <w:color w:val="auto"/>
        </w:rPr>
      </w:pPr>
      <w:r>
        <w:rPr>
          <w:rFonts w:ascii="Arial" w:cs="Arial" w:eastAsia="Arial" w:hAnsi="Arial"/>
          <w:sz w:val="19"/>
          <w:szCs w:val="19"/>
          <w:color w:val="auto"/>
        </w:rPr>
        <w:t>The Company believes it likely was classified as a PFIC for its most recently completed taxable year. Based current business plans and expected income, assets and activities, the Company expects that it may be clas as a PFIC for its current tax year and may be a PFIC for subsequent tax years. No opinion of legal couns ruling from the IRS concerning the Company's status as a PFIC has been obtained or is currently planned requested. The determination of whether any corporation was, or will be, a PFIC for a tax year depends, in on the application of complex U.S. federal income tax rules, which are subject to differing interpretation addition, whether any corporation will be a PFIC for any tax year depends on the income, assets and nature activities of such corporation over the course of each such tax year and, as a result, the Company's PFIC st and the PFIC status of each of the Corporation’s non-U.S. subsidiaries for the current tax year or any futur year cannot be predicted with certainty as of the date of this document. Accordingly, there can be no assur that the IRS will not challenge any determination made in respect of the Company or any non-U.S. subsidia the Company. If the Company is a PFIC for any tax year during which a U.S. Shareholder holds Shares,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101 / 139</w:t>
      </w:r>
    </w:p>
    <w:p>
      <w:pPr>
        <w:sectPr>
          <w:pgSz w:w="11900" w:h="16838" w:orient="portrait"/>
          <w:cols w:equalWidth="0" w:num="1">
            <w:col w:w="10460"/>
          </w:cols>
          <w:pgMar w:left="1440" w:top="1440" w:right="6" w:bottom="0" w:gutter="0" w:footer="0" w:header="0"/>
          <w:type w:val="continuous"/>
        </w:sectPr>
      </w:pPr>
    </w:p>
    <w:bookmarkStart w:id="330" w:name="page331"/>
    <w:bookmarkEnd w:id="330"/>
    <w:p>
      <w:pPr>
        <w:jc w:val="both"/>
        <w:ind w:left="900"/>
        <w:spacing w:after="0" w:line="311" w:lineRule="auto"/>
        <w:rPr>
          <w:sz w:val="20"/>
          <w:szCs w:val="20"/>
          <w:color w:val="auto"/>
        </w:rPr>
      </w:pPr>
      <w:r>
        <w:rPr>
          <w:rFonts w:ascii="Arial" w:cs="Arial" w:eastAsia="Arial" w:hAnsi="Arial"/>
          <w:sz w:val="20"/>
          <w:szCs w:val="20"/>
          <w:color w:val="auto"/>
        </w:rPr>
        <w:t>continue to be treated as a PFIC with respect to such U.S. Shareholder, regardless of whether it ceases to PFIC in one or more subsequent tax years. Each U.S. Shareholder should consult its own tax advisors rega the Company's status as a PFIC and the PFIC status of each of the Company's non-U.S. subsidiaries.</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In any year in which the Company is classified as a PFIC, a U.S. Shareholder will be required to file an a report with the IRS containing such information as Treasury Regulations and/or other IRS guidance may req In addition to penalties, a failure to satisfy such reporting requirements may result in an extension of the period during which the IRS can assess a tax. U.S. Shareholders should consult their own tax advisors rega the requirements of filing such information returns under these rules, including the requirement to file an IRS 8621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102 / 139</w:t>
      </w:r>
    </w:p>
    <w:p>
      <w:pPr>
        <w:sectPr>
          <w:pgSz w:w="11900" w:h="16838" w:orient="portrait"/>
          <w:cols w:equalWidth="0" w:num="1">
            <w:col w:w="10460"/>
          </w:cols>
          <w:pgMar w:left="1440" w:top="1172" w:right="6" w:bottom="0" w:gutter="0" w:footer="0" w:header="0"/>
          <w:type w:val="continuous"/>
        </w:sectPr>
      </w:pPr>
    </w:p>
    <w:bookmarkStart w:id="331" w:name="page332"/>
    <w:bookmarkEnd w:id="3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The Company generally will be a PFIC for any tax year in which (a) 75% or more of the Company's gross in for such tax year is passive income (the "</w:t>
      </w:r>
      <w:r>
        <w:rPr>
          <w:rFonts w:ascii="Arial" w:cs="Arial" w:eastAsia="Arial" w:hAnsi="Arial"/>
          <w:sz w:val="20"/>
          <w:szCs w:val="20"/>
          <w:b w:val="1"/>
          <w:bCs w:val="1"/>
          <w:color w:val="auto"/>
        </w:rPr>
        <w:t>PFIC income test</w:t>
      </w:r>
      <w:r>
        <w:rPr>
          <w:rFonts w:ascii="Arial" w:cs="Arial" w:eastAsia="Arial" w:hAnsi="Arial"/>
          <w:sz w:val="20"/>
          <w:szCs w:val="20"/>
          <w:color w:val="auto"/>
        </w:rPr>
        <w:t xml:space="preserve">") or (b) 50% or more of the value of the Comp assets either produce passive income or are held for the production of passive income, based on the qua average of the fair market value of such assets (the </w:t>
      </w:r>
      <w:r>
        <w:rPr>
          <w:rFonts w:ascii="Arial" w:cs="Arial" w:eastAsia="Arial" w:hAnsi="Arial"/>
          <w:sz w:val="20"/>
          <w:szCs w:val="20"/>
          <w:b w:val="1"/>
          <w:bCs w:val="1"/>
          <w:color w:val="auto"/>
        </w:rPr>
        <w:t>"PFIC asset test</w:t>
      </w:r>
      <w:r>
        <w:rPr>
          <w:rFonts w:ascii="Arial" w:cs="Arial" w:eastAsia="Arial" w:hAnsi="Arial"/>
          <w:sz w:val="20"/>
          <w:szCs w:val="20"/>
          <w:color w:val="auto"/>
        </w:rPr>
        <w:t>"). "Gross income" generally includes revenues less the cost of goods sold, plus income from investments and from incidental or outside operatio sources, and "passive income" generally includes, for example, dividends, interest, certain rents and roya certain gains from the sale of stock and securities, and certain gains from commodities transactions. A business gains arising from the sale of commodities generally are excluded from passive income if substan all of a foreign corporation’s commodities are stock in trade or other inventory, depreciable property used trade or business, or supplies regularly used or consumed in the ordinary course of its trade or business, certain other requirements are satisfied.</w:t>
      </w:r>
    </w:p>
    <w:p>
      <w:pPr>
        <w:spacing w:after="0" w:line="211"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For purposes of the PFIC income test and PFIC asset test described above, if the Company owns, direc indirectly, 25% or more of the total value of the outstanding shares of another corporation, the Company w treated as if it (a) held a proportionate share of the assets of such other corporation and (b) received dire proportionate share of the income of such other corporation. In addition, for purposes of the PFIC income tes PFIC asset test described above, and assuming certain other requirements are met, "passive income" doe include certain interest, dividends, rents, or royalties that are received or accrued by the Company from ce "related persons" (as defined in Section 954(d)(3) of the Code), to the extent such items are properly alloca the income of such related person that is not passive income.</w:t>
      </w:r>
    </w:p>
    <w:p>
      <w:pPr>
        <w:spacing w:after="0" w:line="215" w:lineRule="exact"/>
        <w:rPr>
          <w:sz w:val="20"/>
          <w:szCs w:val="20"/>
          <w:color w:val="auto"/>
        </w:rPr>
      </w:pPr>
    </w:p>
    <w:p>
      <w:pPr>
        <w:ind w:left="900"/>
        <w:spacing w:after="0" w:line="314" w:lineRule="auto"/>
        <w:rPr>
          <w:sz w:val="20"/>
          <w:szCs w:val="20"/>
          <w:color w:val="auto"/>
        </w:rPr>
      </w:pPr>
      <w:r>
        <w:rPr>
          <w:rFonts w:ascii="Arial" w:cs="Arial" w:eastAsia="Arial" w:hAnsi="Arial"/>
          <w:sz w:val="20"/>
          <w:szCs w:val="20"/>
          <w:color w:val="auto"/>
        </w:rPr>
        <w:t>Under certain attribution rules, if the Company is a PFIC, U.S. Shareholders will generally be deemed to own proportionate share of the Company’s direct or indirect equity interest in any company that is also a PFI "</w:t>
      </w:r>
      <w:r>
        <w:rPr>
          <w:rFonts w:ascii="Arial" w:cs="Arial" w:eastAsia="Arial" w:hAnsi="Arial"/>
          <w:sz w:val="20"/>
          <w:szCs w:val="20"/>
          <w:b w:val="1"/>
          <w:bCs w:val="1"/>
          <w:color w:val="auto"/>
        </w:rPr>
        <w:t>Subsidiary PFIC</w:t>
      </w:r>
      <w:r>
        <w:rPr>
          <w:rFonts w:ascii="Arial" w:cs="Arial" w:eastAsia="Arial" w:hAnsi="Arial"/>
          <w:sz w:val="20"/>
          <w:szCs w:val="20"/>
          <w:color w:val="auto"/>
        </w:rPr>
        <w:t>"), and will generally be subject to U.S. federal income tax under the default PFIC discussed below on their proportionate share of (i) any "excess distributions" as described below, on the sha a Subsidiary PFIC and (ii) a disposition or deemed disposition of shares of a Subsidiary PFIC by the Compa another Subsidiary PFIC, both as if such U.S. Shareholders directly held the shares of such Subsidiary PFI addition, U.S. Shareholders may be subject to U.S. federal income tax on any indirect gain realized on the of a Subsidiary PFIC on the sale or disposition of Shares. Accordingly, U.S. Shareholders should be aware they could be subject to tax under the PFIC rules even if no distributions are received and no redemptio other dispositions of Shares are made.</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u w:val="single" w:color="auto"/>
          <w:color w:val="auto"/>
        </w:rPr>
        <w:t>Default PFIC Rules Under Section 1291 of the Code</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If the Company is a PFIC for any tax year during which a U.S. Shareholder owns Shares, the U.S. federal in tax consequences to such U.S. Shareholder of the acquisition, ownership and disposition of Shares will de on whether and when such U.S. Shareholder makes elections to treat the Company and each Subsidiary PF any, as a “qualified electing fund” (or "QEF") under Section 1295 of the Code (a "</w:t>
      </w:r>
      <w:r>
        <w:rPr>
          <w:rFonts w:ascii="Arial" w:cs="Arial" w:eastAsia="Arial" w:hAnsi="Arial"/>
          <w:sz w:val="20"/>
          <w:szCs w:val="20"/>
          <w:b w:val="1"/>
          <w:bCs w:val="1"/>
          <w:color w:val="auto"/>
        </w:rPr>
        <w:t>QEF Election</w:t>
      </w:r>
      <w:r>
        <w:rPr>
          <w:rFonts w:ascii="Arial" w:cs="Arial" w:eastAsia="Arial" w:hAnsi="Arial"/>
          <w:sz w:val="20"/>
          <w:szCs w:val="20"/>
          <w:color w:val="auto"/>
        </w:rPr>
        <w:t>") or mak mark-to-market election under Section 1296 of the Code (a "</w:t>
      </w:r>
      <w:r>
        <w:rPr>
          <w:rFonts w:ascii="Arial" w:cs="Arial" w:eastAsia="Arial" w:hAnsi="Arial"/>
          <w:sz w:val="20"/>
          <w:szCs w:val="20"/>
          <w:b w:val="1"/>
          <w:bCs w:val="1"/>
          <w:color w:val="auto"/>
        </w:rPr>
        <w:t>Mark-to-Market Election</w:t>
      </w:r>
      <w:r>
        <w:rPr>
          <w:rFonts w:ascii="Arial" w:cs="Arial" w:eastAsia="Arial" w:hAnsi="Arial"/>
          <w:sz w:val="20"/>
          <w:szCs w:val="20"/>
          <w:color w:val="auto"/>
        </w:rPr>
        <w:t xml:space="preserve">") with respect t Shares. A U.S. Shareholder that does not make either a QEF Election or a Mark-to-Market Election (a </w:t>
      </w:r>
      <w:r>
        <w:rPr>
          <w:rFonts w:ascii="Arial" w:cs="Arial" w:eastAsia="Arial" w:hAnsi="Arial"/>
          <w:sz w:val="20"/>
          <w:szCs w:val="20"/>
          <w:b w:val="1"/>
          <w:bCs w:val="1"/>
          <w:color w:val="auto"/>
        </w:rPr>
        <w:t>Electing U.S. Shareholder</w:t>
      </w:r>
      <w:r>
        <w:rPr>
          <w:rFonts w:ascii="Arial" w:cs="Arial" w:eastAsia="Arial" w:hAnsi="Arial"/>
          <w:sz w:val="20"/>
          <w:szCs w:val="20"/>
          <w:color w:val="auto"/>
        </w:rPr>
        <w:t>") will be subject to tax as described below.</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103 / 139</w:t>
      </w:r>
    </w:p>
    <w:p>
      <w:pPr>
        <w:sectPr>
          <w:pgSz w:w="11900" w:h="16838" w:orient="portrait"/>
          <w:cols w:equalWidth="0" w:num="1">
            <w:col w:w="10460"/>
          </w:cols>
          <w:pgMar w:left="1440" w:top="1440" w:right="6" w:bottom="0" w:gutter="0" w:footer="0" w:header="0"/>
          <w:type w:val="continuous"/>
        </w:sectPr>
      </w:pPr>
    </w:p>
    <w:bookmarkStart w:id="332" w:name="page333"/>
    <w:bookmarkEnd w:id="332"/>
    <w:p>
      <w:pPr>
        <w:ind w:left="900"/>
        <w:spacing w:after="0" w:line="313" w:lineRule="auto"/>
        <w:rPr>
          <w:sz w:val="20"/>
          <w:szCs w:val="20"/>
          <w:color w:val="auto"/>
        </w:rPr>
      </w:pPr>
      <w:r>
        <w:rPr>
          <w:rFonts w:ascii="Arial" w:cs="Arial" w:eastAsia="Arial" w:hAnsi="Arial"/>
          <w:sz w:val="20"/>
          <w:szCs w:val="20"/>
          <w:color w:val="auto"/>
        </w:rPr>
        <w:t>A Non-Electing U.S. Shareholder will be subject to the default rules of Section 1291 of the Code described b with respect to: (a) any gain recognized on the sale or other taxable disposition of Shares and (b) any "ex distribution" received on the Shares. A distribution generally will be an "excess distribution" to the extent that distribution (together with all other distributions with respect to the Shares received in the current tax exceeds 125% of the average annual distributions such U.S. Shareholder has received from the Company d the three preceding tax years (or during a U.S. Shareholder's holding period for the Shares, if shorter).</w:t>
      </w:r>
    </w:p>
    <w:p>
      <w:pPr>
        <w:spacing w:after="0" w:line="212"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Under Section 1291 of the Code, if the Company were to constitute a PFIC during a Non-Electing Shareholder’s holding period, any gain recognized on the sale or other taxable disposition of Shares (includi indirect disposition of shares of a Subsidiary PFIC), and any "excess distribution" received on such Shares distribution by a Subsidiary PFIC to its shareholder that is deemed to be received by a U.S. Shareholder) mu ratably allocated to each day in the Non-Electing U.S. Shareholder's holding period for the respective Shares amount of any such gain or excess distribution allocated to the tax year of disposition or distribution of the ex distribution and to years before the entity became a PFIC, if any, would be taxed as ordinary income (an eligible for certain preferential tax rates). The amounts allocated to any other tax year would be subject to federal income tax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1087120</wp:posOffset>
            </wp:positionV>
            <wp:extent cx="6764020" cy="190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104 / 139</w:t>
      </w:r>
    </w:p>
    <w:p>
      <w:pPr>
        <w:sectPr>
          <w:pgSz w:w="11900" w:h="16838" w:orient="portrait"/>
          <w:cols w:equalWidth="0" w:num="1">
            <w:col w:w="10460"/>
          </w:cols>
          <w:pgMar w:left="1440" w:top="1172" w:right="6" w:bottom="0" w:gutter="0" w:footer="0" w:header="0"/>
          <w:type w:val="continuous"/>
        </w:sectPr>
      </w:pPr>
    </w:p>
    <w:bookmarkStart w:id="333" w:name="page334"/>
    <w:bookmarkEnd w:id="3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spacing w:after="0" w:line="312" w:lineRule="auto"/>
        <w:rPr>
          <w:sz w:val="20"/>
          <w:szCs w:val="20"/>
          <w:color w:val="auto"/>
        </w:rPr>
      </w:pPr>
      <w:r>
        <w:rPr>
          <w:rFonts w:ascii="Arial" w:cs="Arial" w:eastAsia="Arial" w:hAnsi="Arial"/>
          <w:sz w:val="20"/>
          <w:szCs w:val="20"/>
          <w:color w:val="auto"/>
        </w:rPr>
        <w:t>the highest tax rate applicable to ordinary income in each such year, and an interest charge would be impos the tax liability for each such year, calculated as if such tax liability had been due in each such year. A Electing U.S. Shareholder that is not a corporation must treat any such interest paid as "personal interest", is not deductible.</w:t>
      </w:r>
    </w:p>
    <w:p>
      <w:pPr>
        <w:spacing w:after="0" w:line="2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If the Company ceases to be a PFIC, a Non-Electing U.S. Shareholder may terminate ongoing deemed status with respect to the Shares by electing to recognize gain (which will be taxed under the default rul Section 1291 of the Code as discussed above), but not loss, as if such Shares were sold on the last day o last tax year for which the Company was a PFIC.</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u w:val="single" w:color="auto"/>
          <w:color w:val="auto"/>
        </w:rPr>
        <w:t>QEF Election</w:t>
      </w:r>
    </w:p>
    <w:p>
      <w:pPr>
        <w:spacing w:after="0" w:line="279" w:lineRule="exact"/>
        <w:rPr>
          <w:sz w:val="20"/>
          <w:szCs w:val="20"/>
          <w:color w:val="auto"/>
        </w:rPr>
      </w:pPr>
    </w:p>
    <w:p>
      <w:pPr>
        <w:ind w:left="900"/>
        <w:spacing w:after="0" w:line="314" w:lineRule="auto"/>
        <w:rPr>
          <w:sz w:val="20"/>
          <w:szCs w:val="20"/>
          <w:color w:val="auto"/>
        </w:rPr>
      </w:pPr>
      <w:r>
        <w:rPr>
          <w:rFonts w:ascii="Arial" w:cs="Arial" w:eastAsia="Arial" w:hAnsi="Arial"/>
          <w:sz w:val="20"/>
          <w:szCs w:val="20"/>
          <w:color w:val="auto"/>
        </w:rPr>
        <w:t>A U.S. Shareholder that makes a timely and effective QEF Election with respect to the Company for the fir year in which the holding period of its Shares begins generally will not be subject to the default rules of Se 1291 of the Code discussed above with respect to its Shares. A U.S. Shareholder that makes a timely effective QEF Election with respect to the Company will be subject to U.S. federal income tax on such Shareholder's pro rata share of (a) the Company's net capital gain, which will be taxed as long-term capital g such U.S. Shareholder, and (b) the Company's ordinary earnings, which will be taxed as ordinary income to U.S. Shareholder. Generally, "net capital gain" is the excess of (a) net long-term capital gain over (b) net term capital loss, and "ordinary earnings" are the excess of (a) "earnings and profits" over (b) net capital ga U.S. Shareholder that makes a QEF Election with respect to the Company will be subject to U.S. federal in tax on such amounts for each tax year in which the Company is a PFIC, regardless of whether such amount actually distributed to such U.S. Shareholder by the Company. However, for any tax year in which the Comp a PFIC and has no net income or gain, U.S. Shareholders that have made a QEF Election with respect t Company would not have any income inclusions as a result of the QEF Election. If a U.S. Shareholder that a QEF Election has an income inclusion, such a U.S. Shareholder may, subject to certain limitations, ele defer payment of current U.S. federal income tax on such amounts, subject to an interest charge. If such Shareholder is not a corporation, any such interest paid will be treated as "personal interest," which is deductible.</w:t>
      </w:r>
    </w:p>
    <w:p>
      <w:pPr>
        <w:spacing w:after="0" w:line="217"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 U.S. Shareholder that makes a timely and effective QEF Election with respect to the Company generall may receive a tax-free distribution from the Company to the extent that such distribution represents "earning profits" of the Company that were previously included in income by the U.S. Shareholder because of such Election and (b) will adjust such U.S. Shareholder's tax basis in the Shares to reflect the amount includ income or allowed as a tax-free distribution because of such QEF Election. In addition, a U.S. Shareholde makes a QEF Election generally will recognize capital gain or loss on the sale or other taxable dispositi Shares.</w:t>
      </w:r>
    </w:p>
    <w:p>
      <w:pPr>
        <w:spacing w:after="0" w:line="214" w:lineRule="exact"/>
        <w:rPr>
          <w:sz w:val="20"/>
          <w:szCs w:val="20"/>
          <w:color w:val="auto"/>
        </w:rPr>
      </w:pPr>
    </w:p>
    <w:p>
      <w:pPr>
        <w:jc w:val="both"/>
        <w:ind w:left="900"/>
        <w:spacing w:after="0" w:line="332" w:lineRule="auto"/>
        <w:rPr>
          <w:sz w:val="20"/>
          <w:szCs w:val="20"/>
          <w:color w:val="auto"/>
        </w:rPr>
      </w:pPr>
      <w:r>
        <w:rPr>
          <w:rFonts w:ascii="Arial" w:cs="Arial" w:eastAsia="Arial" w:hAnsi="Arial"/>
          <w:sz w:val="19"/>
          <w:szCs w:val="19"/>
          <w:color w:val="auto"/>
        </w:rPr>
        <w:t>The procedure for making a QEF Election, and the U.S. federal income tax consequences of making a Election, will depend on whether such QEF Election is timely. A QEF Election will be treated as "timely" if QEF Election is made for the first year in the U.S. Shareholder's holding period for the Shares in which Company is a PFIC. A U.S. Shareholder may make a timely QEF Election by filing the appropriate QEF Ele documents at the time such U.S. Shareholder files a U.S. federal income tax return for such year. If a Shareholder does not make a timely and effective QEF Election for the first year in the U.S. Shareholder’s ho</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105 / 139</w:t>
      </w:r>
    </w:p>
    <w:p>
      <w:pPr>
        <w:sectPr>
          <w:pgSz w:w="11900" w:h="16838" w:orient="portrait"/>
          <w:cols w:equalWidth="0" w:num="1">
            <w:col w:w="10460"/>
          </w:cols>
          <w:pgMar w:left="1440" w:top="1440" w:right="6" w:bottom="0" w:gutter="0" w:footer="0" w:header="0"/>
          <w:type w:val="continuous"/>
        </w:sectPr>
      </w:pPr>
    </w:p>
    <w:bookmarkStart w:id="334" w:name="page335"/>
    <w:bookmarkEnd w:id="334"/>
    <w:p>
      <w:pPr>
        <w:jc w:val="both"/>
        <w:ind w:left="900"/>
        <w:spacing w:after="0" w:line="314" w:lineRule="auto"/>
        <w:rPr>
          <w:sz w:val="20"/>
          <w:szCs w:val="20"/>
          <w:color w:val="auto"/>
        </w:rPr>
      </w:pPr>
      <w:r>
        <w:rPr>
          <w:rFonts w:ascii="Arial" w:cs="Arial" w:eastAsia="Arial" w:hAnsi="Arial"/>
          <w:sz w:val="20"/>
          <w:szCs w:val="20"/>
          <w:color w:val="auto"/>
        </w:rPr>
        <w:t>period for the Shares, the U.S. Shareholder may still be able to make a timely and effective QEF Election subsequent year if such U.S. Shareholder meets certain requirements and makes a “purging” electio recognize gain (which will be taxed under the default rules of Section 1291 of the Code discussed above) such Shares were sold for their fair market value on the day the QEF Election is effective. If a U.S. Shareh makes a QEF Election but does not make a “purging” election to recognize gain as discussed in the prece sentence, then such U.S. Holder will be subject to the QEF Election rules and will continue to be subject t under the default rules of Section 1291 of the Code discussed above with respect to its Shares. If a Shareholder owns PFIC stock indirectly through another PFIC, separate QEF Elections must be made fo PFIC in which the U.S. Shareholder is a direct shareholder and the Subsidiary PFIC for the QEF rules to ap both PFICs.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1087755</wp:posOffset>
            </wp:positionV>
            <wp:extent cx="6764020" cy="190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106 / 139</w:t>
      </w:r>
    </w:p>
    <w:p>
      <w:pPr>
        <w:sectPr>
          <w:pgSz w:w="11900" w:h="16838" w:orient="portrait"/>
          <w:cols w:equalWidth="0" w:num="1">
            <w:col w:w="10460"/>
          </w:cols>
          <w:pgMar w:left="1440" w:top="1172" w:right="6" w:bottom="0" w:gutter="0" w:footer="0" w:header="0"/>
          <w:type w:val="continuous"/>
        </w:sectPr>
      </w:pPr>
    </w:p>
    <w:bookmarkStart w:id="335" w:name="page336"/>
    <w:bookmarkEnd w:id="3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 QEF Election will apply to the tax year for which such QEF Election is timely made and to all subsequen years, unless such QEF Election is invalidated or terminated or the IRS consents to revocation of such Election. If a U.S. Shareholder makes a QEF Election and, in a subsequent tax year, the Company ceases to PFIC, the QEF Election will remain in effect (although it will not be applicable) during those tax years in whic Company is not a PFIC. Accordingly, if the Company becomes a PFIC again in a later tax year, the QEF Ele will be effective and the U.S. Shareholder will be subject to the QEF rules described above during subsequent tax year in which the Company qualifies as a PFIC.</w:t>
      </w:r>
    </w:p>
    <w:p>
      <w:pPr>
        <w:spacing w:after="0" w:line="214"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For each tax year that the Company qualifies as a PFIC, as determined by the Company, the Company intends to make publicly available to U.S. Shareholders, upon their written request, a "PFIC Annual Inform Statement" for the Company as described in Treasury Regulations Section 1.1295-1(g) (or any succe Treasury Regulation), and (b) upon written request, intends to use commercially reasonable efforts to pr such additional information that such U.S. Shareholder is reasonably required to obtain in connection maintaining such QEF Election with regard to the Company. The Company may elect to provide such inform on the Company's website. However, no assurances can be given that the Company will provide any information relating to any Subsidiary PFIC and as a result, a QEF Election may not be available with respe any Subsidiary PFIC. Because the Company may own shares in one or more Subsidiary PFICs at any time, Shareholders will continue to be subject to the rules discussed above with respect to the taxation of gains excess distributions with respect to any Subsidiary PFIC for which the U.S. Shareholders do not obtain required information. Each U.S. Shareholder should consult its own tax advisors regarding the availability of procedure for making, a QEF Election with respect to the Company and any Subsidiary PFIC.</w:t>
      </w:r>
    </w:p>
    <w:p>
      <w:pPr>
        <w:spacing w:after="0" w:line="213"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 U.S. Shareholder makes a QEF Election by attaching a completed IRS Form 8621, including a PFIC An Information Statement, to a timely filed U.S. federal income tax return. However, if the Company does not pr the required information with regard to the Company or any of its Subsidiary PFICs, U.S. Shareholders will n able to make a QEF Election for such entity and will continue to be subject to the rules of Section 1291 o Code discussed above that apply to Non-Electing U.S. Shareholders with respect to the taxation of gains excess distributions.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u w:val="single" w:color="auto"/>
          <w:color w:val="auto"/>
        </w:rPr>
        <w:t>Mark-to-Market Election</w:t>
      </w:r>
    </w:p>
    <w:p>
      <w:pPr>
        <w:spacing w:after="0" w:line="279"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 xml:space="preserve">A U.S. Shareholder may make a Mark-to-Market Election with respect to its Shares only if the Shares marketable stock. The Shares generally will be "marketable stock" if the Shares are regularly traded on national securities exchange that is registered with the SEC, (b) the national market system established pur to Section 11A of the Exchange Act or (c) a foreign securities exchange that is regulated or supervised governmental authority of the country in which the market is located, provided that (i) such foreign exchang trading volume, listing, financial disclosure, and surveillance requirements, and meets other requirements an laws of the country in which such foreign exchange is located, together with the rules of such foreign excha ensure that such requirements are actually enforced and (ii) the rules of such foreign exchange effect promote active trading of listed stocks. If such stock is traded on such a qualified exchange or other market, stock generally will be "regularly traded" for any calendar year during which such stock is traded, other than </w:t>
      </w:r>
      <w:r>
        <w:rPr>
          <w:rFonts w:ascii="Arial" w:cs="Arial" w:eastAsia="Arial" w:hAnsi="Arial"/>
          <w:sz w:val="20"/>
          <w:szCs w:val="20"/>
          <w:i w:val="1"/>
          <w:iCs w:val="1"/>
          <w:color w:val="auto"/>
        </w:rPr>
        <w:t xml:space="preserve">minimis </w:t>
      </w:r>
      <w:r>
        <w:rPr>
          <w:rFonts w:ascii="Arial" w:cs="Arial" w:eastAsia="Arial" w:hAnsi="Arial"/>
          <w:sz w:val="20"/>
          <w:szCs w:val="20"/>
          <w:color w:val="auto"/>
        </w:rPr>
        <w:t>quantities, on at least 15 days during each calendar quarter. There can be no assurance that tradi</w:t>
      </w:r>
      <w:r>
        <w:rPr>
          <w:rFonts w:ascii="Arial" w:cs="Arial" w:eastAsia="Arial" w:hAnsi="Arial"/>
          <w:sz w:val="20"/>
          <w:szCs w:val="20"/>
          <w:i w:val="1"/>
          <w:iCs w:val="1"/>
          <w:color w:val="auto"/>
        </w:rPr>
        <w:t xml:space="preserve"> </w:t>
      </w:r>
      <w:r>
        <w:rPr>
          <w:rFonts w:ascii="Arial" w:cs="Arial" w:eastAsia="Arial" w:hAnsi="Arial"/>
          <w:sz w:val="20"/>
          <w:szCs w:val="20"/>
          <w:color w:val="auto"/>
        </w:rPr>
        <w:t>the Shares will be sufficiently regular for the shares to qualify as marketable stock. U.S. Shareholders sh consult their own tax advisors regarding the marketable stock rules.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41"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107 / 139</w:t>
      </w:r>
    </w:p>
    <w:p>
      <w:pPr>
        <w:sectPr>
          <w:pgSz w:w="11900" w:h="16838" w:orient="portrait"/>
          <w:cols w:equalWidth="0" w:num="1">
            <w:col w:w="10460"/>
          </w:cols>
          <w:pgMar w:left="1440" w:top="1440" w:right="6" w:bottom="0" w:gutter="0" w:footer="0" w:header="0"/>
          <w:type w:val="continuous"/>
        </w:sectPr>
      </w:pPr>
    </w:p>
    <w:bookmarkStart w:id="336" w:name="page337"/>
    <w:bookmarkEnd w:id="336"/>
    <w:p>
      <w:pPr>
        <w:jc w:val="both"/>
        <w:ind w:left="900"/>
        <w:spacing w:after="0" w:line="313" w:lineRule="auto"/>
        <w:rPr>
          <w:sz w:val="20"/>
          <w:szCs w:val="20"/>
          <w:color w:val="auto"/>
        </w:rPr>
      </w:pPr>
      <w:r>
        <w:rPr>
          <w:rFonts w:ascii="Arial" w:cs="Arial" w:eastAsia="Arial" w:hAnsi="Arial"/>
          <w:sz w:val="20"/>
          <w:szCs w:val="20"/>
          <w:color w:val="auto"/>
        </w:rPr>
        <w:t>A U.S. Shareholder that makes a Mark-to-Market Election with respect to its Shares generally will not be su to the default rules of Section 1291 of the Code discussed above with respect to such Shares. However, if a Shareholder does not make a Mark-to-Market Election beginning in the first tax year of such U.S. Sharehol holding period for the Shares for which the Company is a PFIC and such U.S. Shareholder has not made a t QEF Election, the default rules of Section 1291 of the Code discussed above will apply to certain dispositio and distributions on,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1089025</wp:posOffset>
            </wp:positionV>
            <wp:extent cx="6764020" cy="190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0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108 / 139</w:t>
      </w:r>
    </w:p>
    <w:p>
      <w:pPr>
        <w:sectPr>
          <w:pgSz w:w="11900" w:h="16838" w:orient="portrait"/>
          <w:cols w:equalWidth="0" w:num="1">
            <w:col w:w="10460"/>
          </w:cols>
          <w:pgMar w:left="1440" w:top="1172" w:right="6" w:bottom="0" w:gutter="0" w:footer="0" w:header="0"/>
          <w:type w:val="continuous"/>
        </w:sectPr>
      </w:pPr>
    </w:p>
    <w:bookmarkStart w:id="337" w:name="page338"/>
    <w:bookmarkEnd w:id="3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 U.S. Shareholder that makes a timely and effective Mark-to-Market Election will include in ordinary incom each tax year in which the Company is a PFIC, an amount equal to the excess, if any, of (a) the fair market of the Shares, as of the close of such tax year over (b) such U.S. Shareholder's adjusted tax basis in the Sh A U.S. Shareholder that makes a Mark-to-Market Election will be allowed a deduction in an amount equal t excess, if any, of (i) such U.S. Shareholder's adjusted tax basis in the Shares, over (ii) the fair market val such Shares (but only to the extent of the net amount of previously included income as a result of the Ma Market Election for prior tax years).</w:t>
      </w:r>
    </w:p>
    <w:p>
      <w:pPr>
        <w:spacing w:after="0" w:line="214"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 U.S. Shareholder that makes a timely and effective Mark-to-Market Election generally also will adjust such Shareholder's tax basis in the Shares to reflect the amount included in gross income or allowed as a dedu because of such Mark-to-Market Election. In addition, upon a sale or other taxable disposition of Shares, a Shareholder that makes a Mark-to-Market Election will recognize ordinary income or ordinary loss (not to ex the excess, if any, of (a) the amount included in ordinary income because of such Mark-to-Market Electio prior tax years over (b) the amount allowed as a deduction because of such Mark-to-Market Election for prio years). Losses that exceed this limitation are subject to the rules generally applicable to losses provided i Code and Treasury Regulations.</w:t>
      </w:r>
    </w:p>
    <w:p>
      <w:pPr>
        <w:spacing w:after="0" w:line="2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 U.S. Shareholder makes a Mark-to-Market Election by attaching a completed IRS Form 8621 to a timely U.S. federal income tax return. A timely Mark-to-Market Election applies to the tax year for which such Ma Market Election is made and to each subsequent tax year, unless the Shares cease to be "marketable stoc the IRS consents to revocation of such election. Each U.S. Shareholder should consult its own tax adv regarding the availability of, and procedure for making, a Mark-to-Market Election.</w:t>
      </w:r>
    </w:p>
    <w:p>
      <w:pPr>
        <w:spacing w:after="0" w:line="210"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Although a U.S. Shareholder may be eligible to make a Mark-to-Market Election with respect to the Share such election may be made with respect to the stock of any Subsidiary PFIC that a U.S. Shareholder is treat owning, because such stock is not marketable. Hence, the Mark-to-Market Election will not be effective to the application of the default rules of Section 1291 of the Code described above with respect to dee dispositions of Subsidiary PFIC stock or distributions from a Subsidiary PFIC to its shareholder.</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u w:val="single" w:color="auto"/>
          <w:color w:val="auto"/>
        </w:rPr>
        <w:t>Other PFIC Rules</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Under Section 1291(f) of the Code, the IRS has issued proposed Treasury Regulations that,, subject to ce exceptions, would cause a U.S. Shareholder that had not made a timely QEF Election to recognize gain (bu loss) upon certain transfers of Shares that would otherwise be tax-deferred (e.g., gifts and exchanges pursu corporate reorganizations) in the event that the Company is a PFIC during such U.S. Shareholder’s holding p for the relevant Shares. However, the specific U.S. federal income tax consequences to a U.S. Shareholder vary based on the manner in which such Shares are transferred.</w:t>
      </w:r>
    </w:p>
    <w:p>
      <w:pPr>
        <w:spacing w:after="0" w:line="212" w:lineRule="exact"/>
        <w:rPr>
          <w:sz w:val="20"/>
          <w:szCs w:val="20"/>
          <w:color w:val="auto"/>
        </w:rPr>
      </w:pPr>
    </w:p>
    <w:p>
      <w:pPr>
        <w:ind w:left="900"/>
        <w:spacing w:after="0" w:line="332" w:lineRule="auto"/>
        <w:rPr>
          <w:sz w:val="20"/>
          <w:szCs w:val="20"/>
          <w:color w:val="auto"/>
        </w:rPr>
      </w:pPr>
      <w:r>
        <w:rPr>
          <w:rFonts w:ascii="Arial" w:cs="Arial" w:eastAsia="Arial" w:hAnsi="Arial"/>
          <w:sz w:val="19"/>
          <w:szCs w:val="19"/>
          <w:color w:val="auto"/>
        </w:rPr>
        <w:t>If finalized in their current form, the proposed Treasury Regulations applicable to PFICs would be effectiv transactions occurring on or after April 1, 1992. Because the proposed Treasury Regulations have not yet adopted in final form, they are not currently effective, and there is no assurance that they will be adopted i form and with the effective date proposed. Nevertheless, the IRS has announced that, in the absence of Treasury Regulations, taxpayers may apply reasonable interpretations of the Code provisions applicable to P and that it considers the rules set forth in the proposed Treasury Regulations to be reasonable interpretatio those Code provisions. The PFIC rules are complex, and the implementation of certain aspects of the PFIC</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27"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109 / 139</w:t>
      </w:r>
    </w:p>
    <w:p>
      <w:pPr>
        <w:sectPr>
          <w:pgSz w:w="11900" w:h="16838" w:orient="portrait"/>
          <w:cols w:equalWidth="0" w:num="1">
            <w:col w:w="10460"/>
          </w:cols>
          <w:pgMar w:left="1440" w:top="1440" w:right="6" w:bottom="0" w:gutter="0" w:footer="0" w:header="0"/>
          <w:type w:val="continuous"/>
        </w:sectPr>
      </w:pPr>
    </w:p>
    <w:bookmarkStart w:id="338" w:name="page339"/>
    <w:bookmarkEnd w:id="338"/>
    <w:p>
      <w:pPr>
        <w:jc w:val="both"/>
        <w:ind w:left="900"/>
        <w:spacing w:after="0" w:line="311" w:lineRule="auto"/>
        <w:rPr>
          <w:sz w:val="20"/>
          <w:szCs w:val="20"/>
          <w:color w:val="auto"/>
        </w:rPr>
      </w:pPr>
      <w:r>
        <w:rPr>
          <w:rFonts w:ascii="Arial" w:cs="Arial" w:eastAsia="Arial" w:hAnsi="Arial"/>
          <w:sz w:val="20"/>
          <w:szCs w:val="20"/>
          <w:color w:val="auto"/>
        </w:rPr>
        <w:t>requires the issuance of Treasury Regulations which in many instances have not been promulgated and w when promulgated, may have retroactive effect. U.S. Shareholders should consult their own tax advisors a the potential applicability of the proposed Treasury Regulations.</w:t>
      </w:r>
    </w:p>
    <w:p>
      <w:pPr>
        <w:spacing w:after="0" w:line="2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Certain additional adverse rules may apply with respect to a U.S. Shareholder if the Company is a P regardless of whether such U.S. Shareholder makes a QEF Election. For example under Section 1298(b)( the Code, a U.S. Shareholder that uses Shares as security for a loan will, except as may be provided in Tre Regulations, be treated as having made a taxable disposition of such Shares.</w:t>
      </w:r>
    </w:p>
    <w:p>
      <w:pPr>
        <w:spacing w:after="0" w:line="212" w:lineRule="exact"/>
        <w:rPr>
          <w:sz w:val="20"/>
          <w:szCs w:val="20"/>
          <w:color w:val="auto"/>
        </w:rPr>
      </w:pPr>
    </w:p>
    <w:p>
      <w:pPr>
        <w:ind w:left="900" w:right="20"/>
        <w:spacing w:after="0" w:line="307" w:lineRule="auto"/>
        <w:rPr>
          <w:sz w:val="20"/>
          <w:szCs w:val="20"/>
          <w:color w:val="auto"/>
        </w:rPr>
      </w:pPr>
      <w:r>
        <w:rPr>
          <w:rFonts w:ascii="Arial" w:cs="Arial" w:eastAsia="Arial" w:hAnsi="Arial"/>
          <w:sz w:val="20"/>
          <w:szCs w:val="20"/>
          <w:color w:val="auto"/>
        </w:rPr>
        <w:t>In addition, a U.S. Shareholder who acquires Shares from a decedent will not receive a "step up" in tax ba such Shares to fair market value unless such decedent had a timely and effective QEF Election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1091565</wp:posOffset>
            </wp:positionV>
            <wp:extent cx="6764020" cy="1905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0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110 / 139</w:t>
      </w:r>
    </w:p>
    <w:p>
      <w:pPr>
        <w:sectPr>
          <w:pgSz w:w="11900" w:h="16838" w:orient="portrait"/>
          <w:cols w:equalWidth="0" w:num="1">
            <w:col w:w="10460"/>
          </w:cols>
          <w:pgMar w:left="1440" w:top="1172" w:right="6" w:bottom="0" w:gutter="0" w:footer="0" w:header="0"/>
          <w:type w:val="continuous"/>
        </w:sectPr>
      </w:pPr>
    </w:p>
    <w:bookmarkStart w:id="339" w:name="page340"/>
    <w:bookmarkEnd w:id="3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Special rules also apply to the amount of foreign tax credit that a U.S. Shareholder may claim on a distrib from a PFIC. Subject to such special rules, foreign taxes paid with respect to any distribution in respect of sto a PFIC are generally eligible for the foreign tax credit. The rules relating to distributions by a PFIC and eligibility for the foreign tax credit are complicated, and a U.S. Shareholder should consult with its own advisors regarding the availability of the foreign tax credit with respect to distributions by a PFIC.</w:t>
      </w:r>
    </w:p>
    <w:p>
      <w:pPr>
        <w:spacing w:after="0" w:line="210"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PFIC rules are complex, and each U.S. Shareholder should consult its own tax advisors regarding the rules (including the availability and advisability of making a QEF Election or Mark-to-Market Election) and ho PFIC rules may affect the U.S. federal income tax consequences of the acquisition, ownership, and dispositi Shares.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General Rules Applicable to the Ownership and Disposition of Shares</w:t>
      </w:r>
    </w:p>
    <w:p>
      <w:pPr>
        <w:spacing w:after="0" w:line="27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following discussion is subject, in its entirety, to the special rules described above under the hea "</w:t>
      </w:r>
      <w:r>
        <w:rPr>
          <w:rFonts w:ascii="Arial" w:cs="Arial" w:eastAsia="Arial" w:hAnsi="Arial"/>
          <w:sz w:val="20"/>
          <w:szCs w:val="20"/>
          <w:i w:val="1"/>
          <w:iCs w:val="1"/>
          <w:color w:val="auto"/>
        </w:rPr>
        <w:t>Passive Foreign Investment Company Rules</w:t>
      </w:r>
      <w:r>
        <w:rPr>
          <w:rFonts w:ascii="Arial" w:cs="Arial" w:eastAsia="Arial" w:hAnsi="Arial"/>
          <w:sz w:val="20"/>
          <w:szCs w:val="20"/>
          <w:color w:val="auto"/>
        </w:rPr>
        <w:t>".</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u w:val="single" w:color="auto"/>
          <w:color w:val="auto"/>
        </w:rPr>
        <w:t>Distributions on Shares</w:t>
      </w:r>
    </w:p>
    <w:p>
      <w:pPr>
        <w:spacing w:after="0" w:line="279"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The Company does not anticipate making distributions with respect to the Shares in the foreseeable futu U.S. Shareholder that receives a distribution, including a constructive distribution, with respect to a Share w required to include the amount of such distribution in gross income as a dividend (without reduction for any S income tax withheld from such distribution) to the extent of the Company's current and accumulated "ear and profits," as computed in accordance with U.S. federal income tax principles. To the extent that a distrib exceeds the current and accumulated "earnings and profits" of the Company, such distribution will be treate as a tax-free return of capital to the extent of a U.S. Shareholder's adjusted tax basis in the Shares and there as gain from the sale or exchange of such Shares. (See “</w:t>
      </w:r>
      <w:r>
        <w:rPr>
          <w:rFonts w:ascii="Arial" w:cs="Arial" w:eastAsia="Arial" w:hAnsi="Arial"/>
          <w:sz w:val="20"/>
          <w:szCs w:val="20"/>
          <w:i w:val="1"/>
          <w:iCs w:val="1"/>
          <w:color w:val="auto"/>
        </w:rPr>
        <w:t>Sale or Other Taxable Disposition of Shares</w:t>
      </w:r>
      <w:r>
        <w:rPr>
          <w:rFonts w:ascii="Arial" w:cs="Arial" w:eastAsia="Arial" w:hAnsi="Arial"/>
          <w:sz w:val="20"/>
          <w:szCs w:val="20"/>
          <w:color w:val="auto"/>
        </w:rPr>
        <w:t>” be The Company does not intend to maintain calculations of its earnings and profits in accordance with U.S. fe income tax principles and each U.S. Shareholder should therefore assume that any distributions by the Com with respect to the Shares will constitute dividend income.</w:t>
      </w:r>
    </w:p>
    <w:p>
      <w:pPr>
        <w:spacing w:after="0" w:line="211"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Dividends received on Shares by corporate U.S. Shareholders generally will not be eligible for the "divid received deduction". Subject to applicable limitations and provided the Company is eligible for the benefits o U.S. Treaty, or the Shares are readily tradable on a United States. securities market, dividends paid by Company to non-corporate U.S. Shareholders, including individuals, generally will be eligible for the prefer tax rates applicable to long-term capital gains for dividends, provided certain holding period and other condi are satisfied, including that the Company not be classified as a PFIC in the tax year of distribution or in preceding tax year. A dividend generally will be taxed to a U.S. Shareholder at ordinary income rates (rather preferential rates for qualified dividend income to the extent otherwise applicable) if the Company is a PFI the tax year of such distribution or was a PFIC for the preceding year. The dividend rules are complex, and U.S. Shareholder should consult its own tax advisors regarding the application of such rules.</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u w:val="single" w:color="auto"/>
          <w:color w:val="auto"/>
        </w:rPr>
        <w:t>Sale or Other Taxable Disposition of Shares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111 / 139</w:t>
      </w:r>
    </w:p>
    <w:p>
      <w:pPr>
        <w:sectPr>
          <w:pgSz w:w="11900" w:h="16838" w:orient="portrait"/>
          <w:cols w:equalWidth="0" w:num="1">
            <w:col w:w="10460"/>
          </w:cols>
          <w:pgMar w:left="1440" w:top="1440" w:right="6" w:bottom="0" w:gutter="0" w:footer="0" w:header="0"/>
          <w:type w:val="continuous"/>
        </w:sectPr>
      </w:pPr>
    </w:p>
    <w:bookmarkStart w:id="340" w:name="page341"/>
    <w:bookmarkEnd w:id="340"/>
    <w:p>
      <w:pPr>
        <w:jc w:val="both"/>
        <w:ind w:left="900"/>
        <w:spacing w:after="0" w:line="314" w:lineRule="auto"/>
        <w:rPr>
          <w:sz w:val="20"/>
          <w:szCs w:val="20"/>
          <w:color w:val="auto"/>
        </w:rPr>
      </w:pPr>
      <w:r>
        <w:rPr>
          <w:rFonts w:ascii="Arial" w:cs="Arial" w:eastAsia="Arial" w:hAnsi="Arial"/>
          <w:sz w:val="20"/>
          <w:szCs w:val="20"/>
          <w:color w:val="auto"/>
        </w:rPr>
        <w:t>Upon the sale or other taxable disposition of Shares, a U.S. Shareholder generally will recognize capital ga loss in an amount equal to the difference, if any, between (a) the U.S. dollar value of any cash received plu fair market value of any property received, and (b) such U.S. Shareholder's adjusted tax basis in such Sh sold or otherwise disposed of. A U.S. Shareholder’s initial tax basis will generally equal the purchase price for such Shares. Gain or loss recognized on such sale or other taxable disposition generally will be long-capital gain or loss if, at the time of the sale or other taxable disposition, the Shares have been held for lo than one year. Preferential tax rates currently apply to long-term capital gain of a U.S. Shareholder that individual, estate, or trust. There are currently no preferential tax rates for long-term capital gain of a Shareholder that is a corporation. Deductions for capital losses are subject to significant limitations unde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1087755</wp:posOffset>
            </wp:positionV>
            <wp:extent cx="6764020" cy="190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0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112 / 139</w:t>
      </w:r>
    </w:p>
    <w:p>
      <w:pPr>
        <w:sectPr>
          <w:pgSz w:w="11900" w:h="16838" w:orient="portrait"/>
          <w:cols w:equalWidth="0" w:num="1">
            <w:col w:w="10460"/>
          </w:cols>
          <w:pgMar w:left="1440" w:top="1172" w:right="6" w:bottom="0" w:gutter="0" w:footer="0" w:header="0"/>
          <w:type w:val="continuous"/>
        </w:sectPr>
      </w:pPr>
    </w:p>
    <w:bookmarkStart w:id="341" w:name="page342"/>
    <w:bookmarkEnd w:id="3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u w:val="single" w:color="auto"/>
          <w:color w:val="auto"/>
        </w:rPr>
        <w:t>Receipt of Foreign Currency</w:t>
      </w:r>
    </w:p>
    <w:p>
      <w:pPr>
        <w:spacing w:after="0" w:line="279"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The amount of any distribution paid to a U.S. Shareholder in foreign currency or on the sale, exchange or taxable disposition of Shares generally will be equal to the U.S. dollar value of such foreign currency based o exchange rate applicable on the date of receipt or, if applicable, the date of settlement if the Shares are trad an established securities market (regardless of whether such foreign currency is converted into U.S. dolla that time). A U.S. Shareholder will have a tax basis in the foreign currency equal to its U.S. dollar value o date of receipt. Any U.S. Shareholder who converts or otherwise disposes of the foreign currency after the d receipt may have a foreign currency exchange gain or loss that would be treated as ordinary income or loss generally will be U.S.-source income or loss for foreign tax credit purposes. Different rules apply to Shareholders who use the accrual method of tax accounting. Each U.S. Shareholder should consult its own tax advisors regarding the U.S. federal income tax consequences of receiving, owning, and disposing of fo currency.</w:t>
      </w:r>
    </w:p>
    <w:p>
      <w:pPr>
        <w:spacing w:after="0" w:line="204" w:lineRule="exact"/>
        <w:rPr>
          <w:sz w:val="20"/>
          <w:szCs w:val="20"/>
          <w:color w:val="auto"/>
        </w:rPr>
      </w:pPr>
    </w:p>
    <w:p>
      <w:pPr>
        <w:ind w:left="900"/>
        <w:spacing w:after="0"/>
        <w:rPr>
          <w:sz w:val="20"/>
          <w:szCs w:val="20"/>
          <w:color w:val="auto"/>
        </w:rPr>
      </w:pPr>
      <w:r>
        <w:rPr>
          <w:rFonts w:ascii="Arial" w:cs="Arial" w:eastAsia="Arial" w:hAnsi="Arial"/>
          <w:sz w:val="20"/>
          <w:szCs w:val="20"/>
          <w:u w:val="single" w:color="auto"/>
          <w:color w:val="auto"/>
        </w:rPr>
        <w:t>Foreign Tax Credit</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Dividends paid on the Shares will be treated as foreign-source income, and generally will be treated as "pa category income" or "general category income" for U.S. foreign tax credit purposes. The Code applies va complex limitations on the amount of foreign taxes that may be claimed as a credit by U.S. taxpayers. In add Treasury Regulations that apply to foreign taxes paid or accrued (the "</w:t>
      </w:r>
      <w:r>
        <w:rPr>
          <w:rFonts w:ascii="Arial" w:cs="Arial" w:eastAsia="Arial" w:hAnsi="Arial"/>
          <w:sz w:val="20"/>
          <w:szCs w:val="20"/>
          <w:b w:val="1"/>
          <w:bCs w:val="1"/>
          <w:color w:val="auto"/>
        </w:rPr>
        <w:t>Foreign Tax Credit Regulations</w:t>
      </w:r>
      <w:r>
        <w:rPr>
          <w:rFonts w:ascii="Arial" w:cs="Arial" w:eastAsia="Arial" w:hAnsi="Arial"/>
          <w:sz w:val="20"/>
          <w:szCs w:val="20"/>
          <w:color w:val="auto"/>
        </w:rPr>
        <w:t>") im additional requirements for Swiss withholding taxes to be eligible for a foreign tax credit, and there can b assurance that those requirements will be satisfied. The Treasury Department has released guidance tempo pausing the application of certain of the Foreign Tax Credit Regulations.</w:t>
      </w:r>
    </w:p>
    <w:p>
      <w:pPr>
        <w:spacing w:after="0" w:line="214"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Subject to the PFIC rules and the Foreign Tax Credit Regulations, each as discussed above, a U.S. Shareh that pays (whether directly or through withholding) Swiss income tax with respect to dividends paid on the S generally is entitled, at the election of such U.S. Shareholder, to receive either a deduction or a credit for Swiss income tax paid. Generally, a credit will reduce a U.S. Shareholder's U.S. federal income tax liability dollar-for-dollar basis, whereas a deduction will reduce a U.S. Shareholder's income that is subject to U.S. fe income tax. This election is made on a year-by-year basis and applies to all foreign taxes paid (whether direc through withholding) by a U.S. Shareholder during a year. The foreign tax credit rules are complex and invol application of rules that depend on a U.S. Shareholder's particular circumstances. Accordingly, each Shareholder should consult its own tax advisors regarding the foreign tax credit rules.</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20"/>
          <w:szCs w:val="20"/>
          <w:u w:val="single" w:color="auto"/>
          <w:color w:val="auto"/>
        </w:rPr>
        <w:t>Information Reporting and Backup Withholding Tax</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Under U.S. federal income tax law and Treasury Regulations certain categories of U.S. Shareholders mus information returns with respect to their investment in, or involvement in, a foreign corporation. For example, return disclosure obligations (and related penalties) are imposed on individuals who are U.S. Shareholders hold certain specified foreign financial assets in excess of certain threshold amounts. The definition of spe foreign financial assets includes not only financial accounts maintained in foreign financial institutions, but unless held in accounts maintained by a financial institution, any stock or security issued by a non-U.S. pe any financial instrument or contract held for investment that has an issuer or counterparty other than a person and any interest in a non-U.S. entity. U.S. Shareholders may be subject to these reporting requirem</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113 / 139</w:t>
      </w:r>
    </w:p>
    <w:p>
      <w:pPr>
        <w:sectPr>
          <w:pgSz w:w="11900" w:h="16838" w:orient="portrait"/>
          <w:cols w:equalWidth="0" w:num="1">
            <w:col w:w="10460"/>
          </w:cols>
          <w:pgMar w:left="1440" w:top="1440" w:right="6" w:bottom="0" w:gutter="0" w:footer="0" w:header="0"/>
          <w:type w:val="continuous"/>
        </w:sectPr>
      </w:pPr>
    </w:p>
    <w:bookmarkStart w:id="342" w:name="page343"/>
    <w:bookmarkEnd w:id="342"/>
    <w:p>
      <w:pPr>
        <w:jc w:val="both"/>
        <w:ind w:left="900"/>
        <w:spacing w:after="0" w:line="311" w:lineRule="auto"/>
        <w:rPr>
          <w:sz w:val="20"/>
          <w:szCs w:val="20"/>
          <w:color w:val="auto"/>
        </w:rPr>
      </w:pPr>
      <w:r>
        <w:rPr>
          <w:rFonts w:ascii="Arial" w:cs="Arial" w:eastAsia="Arial" w:hAnsi="Arial"/>
          <w:sz w:val="20"/>
          <w:szCs w:val="20"/>
          <w:color w:val="auto"/>
        </w:rPr>
        <w:t>unless their Shares are held in an account at certain financial institutions. Penalties for failure to file certa these information returns are substantial. U.S. Shareholders should consult their own tax advisors regardin requirements of filing information returns, including the requirement to file an IRS Form 8938.</w:t>
      </w:r>
    </w:p>
    <w:p>
      <w:pPr>
        <w:spacing w:after="0" w:line="212"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Payments made within the U.S., or by a U.S. payor or U.S. middleman, of dividends on, and proceeds ar from the sale or other taxable disposition of the Shares generally may be subject to information reporting backup withholding tax, currently at the rate of 24%, if a U.S. Shareholder (a) fails to furnish its correct taxpayer identification number (generally on IRS Form W-9), (b) furnishes an incorrect U.S. taxpayer identific number, (c) is notified by the IRS that such U.S. Shareholder has previously failed to properly report items su to backup withholding tax, or (d) fails to certify, under penalty of perjury, that it has furnished its correct taxpayer identification number and that the IRS has not notified such U.S. Shareholder that it is subject to ba withholding tax. However, certain exempt persons, such as U.S. Shareholders that are corporations, general excluded from these information reporting and backup withholding tax rules. Backup withholding is no additional tax. Any amounts withheld under the U.S. backup withholding tax rules generally will be allowed credit against a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1088390</wp:posOffset>
            </wp:positionV>
            <wp:extent cx="6764020" cy="190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0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114 / 139</w:t>
      </w:r>
    </w:p>
    <w:p>
      <w:pPr>
        <w:sectPr>
          <w:pgSz w:w="11900" w:h="16838" w:orient="portrait"/>
          <w:cols w:equalWidth="0" w:num="1">
            <w:col w:w="10460"/>
          </w:cols>
          <w:pgMar w:left="1440" w:top="1172" w:right="6" w:bottom="0" w:gutter="0" w:footer="0" w:header="0"/>
          <w:type w:val="continuous"/>
        </w:sectPr>
      </w:pPr>
    </w:p>
    <w:bookmarkStart w:id="343" w:name="page344"/>
    <w:bookmarkEnd w:id="3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Shareholder's U.S. federal income tax liability, if any, or will be refunded, if such U.S. Shareholder furni required information to the IRS in a timely manner.</w:t>
      </w:r>
    </w:p>
    <w:p>
      <w:pPr>
        <w:spacing w:after="0" w:line="2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discussion of reporting requirements set forth above is not intended to constitute a complete description reporting requirements that may apply to a U.S. Shareholder. A failure to satisfy certain reporting requirem may result in an extension of the time period during which the IRS can assess a tax and, under ce circumstances, such an extension may apply to assessments of amounts unrelated to any unsatisfied repo requirement. Each U.S. Shareholder should consult its own tax advisors regarding the information reporting backup withholding rules.</w:t>
      </w:r>
    </w:p>
    <w:p>
      <w:pPr>
        <w:spacing w:after="0" w:line="212"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b w:val="1"/>
          <w:bCs w:val="1"/>
          <w:color w:val="auto"/>
        </w:rPr>
        <w:t>THE ABOVE SUMMARY IS NOT INTENDED TO CONSTITUTE A COMPLETE ANALYSIS OF ALL CONSIDERATIONS APPLICABLE TO U.S. SHAREHOLDERS WITH RESPECT TO THE ACQUISIT OWNERSHIP, AND DISPOSITION OF SHARES. U.S. SHAREHOLDERS SHOULD CONSULT THEIR TAX ADVISORS AS TO THE TAX CONSIDERATIONS APPLICABLE TO THEM IN THEIR OWN PARTICU CIRCUMSTANCES.</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Material Swiss Income Tax Considerations</w:t>
      </w:r>
    </w:p>
    <w:p>
      <w:pPr>
        <w:spacing w:after="0" w:line="279"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The following is a general summary of certain tax consequences of the acquisition, ownership and dispositi Shares under Swiss income tax laws and regulations in force on the date of this annual report. Tax consequ are subject to changes in applicable law, including changes that could have a retroactive effect. This is complete analysis of the potential tax effects relevant to a decision to invest in Shares nor does the follo summary take into account or discuss the tax laws of any jurisdiction other than Switzerland. It also does not into account investors’ individual circumstances. This summary does not purport to be a legal opinion address all tax aspects that may be relevant to any particular holder of Shares.</w:t>
      </w:r>
    </w:p>
    <w:p>
      <w:pPr>
        <w:spacing w:after="0" w:line="214"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Investors are urged to consult their own tax advisors as to tax consequences of the acquisition, ownership disposition of Shares. Tax consequences may differ according to the provisions of different tax treaties below) and the investor’s particular circumstances.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u w:val="single" w:color="auto"/>
          <w:color w:val="auto"/>
        </w:rPr>
        <w:t>Swiss Withholding Tax</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Under Swiss tax law, dividends and similar cash or in-kind distributions paid on the Shares (including liquid proceeds and bonus shares or repurchases of Shares) are subject to Swiss federal withholding (</w:t>
      </w:r>
      <w:r>
        <w:rPr>
          <w:rFonts w:ascii="Arial" w:cs="Arial" w:eastAsia="Arial" w:hAnsi="Arial"/>
          <w:sz w:val="20"/>
          <w:szCs w:val="20"/>
          <w:i w:val="1"/>
          <w:iCs w:val="1"/>
          <w:color w:val="auto"/>
        </w:rPr>
        <w:t>Verrechnungssteuer</w:t>
      </w:r>
      <w:r>
        <w:rPr>
          <w:rFonts w:ascii="Arial" w:cs="Arial" w:eastAsia="Arial" w:hAnsi="Arial"/>
          <w:sz w:val="20"/>
          <w:szCs w:val="20"/>
          <w:color w:val="auto"/>
        </w:rPr>
        <w:t>) (“</w:t>
      </w:r>
      <w:r>
        <w:rPr>
          <w:rFonts w:ascii="Arial" w:cs="Arial" w:eastAsia="Arial" w:hAnsi="Arial"/>
          <w:sz w:val="20"/>
          <w:szCs w:val="20"/>
          <w:b w:val="1"/>
          <w:bCs w:val="1"/>
          <w:color w:val="auto"/>
        </w:rPr>
        <w:t>Swiss Withholding Tax</w:t>
      </w:r>
      <w:r>
        <w:rPr>
          <w:rFonts w:ascii="Arial" w:cs="Arial" w:eastAsia="Arial" w:hAnsi="Arial"/>
          <w:sz w:val="20"/>
          <w:szCs w:val="20"/>
          <w:color w:val="auto"/>
        </w:rPr>
        <w:t>”), currently at a rate of 35% (applicable to the gross amou taxable distribution). The repayment of the nominal value of the Shares and any permissible repayme qualifying additional paid in capital (capital contribution reserves (</w:t>
      </w:r>
      <w:r>
        <w:rPr>
          <w:rFonts w:ascii="Arial" w:cs="Arial" w:eastAsia="Arial" w:hAnsi="Arial"/>
          <w:sz w:val="20"/>
          <w:szCs w:val="20"/>
          <w:i w:val="1"/>
          <w:iCs w:val="1"/>
          <w:color w:val="auto"/>
        </w:rPr>
        <w:t>Reserven aus Kapitaleinlagen</w:t>
      </w:r>
      <w:r>
        <w:rPr>
          <w:rFonts w:ascii="Arial" w:cs="Arial" w:eastAsia="Arial" w:hAnsi="Arial"/>
          <w:sz w:val="20"/>
          <w:szCs w:val="20"/>
          <w:color w:val="auto"/>
        </w:rPr>
        <w:t>)) are not su to Swiss Withholding Tax.</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Swiss tax resident individuals who hold their shares as private assets (“</w:t>
      </w:r>
      <w:r>
        <w:rPr>
          <w:rFonts w:ascii="Arial" w:cs="Arial" w:eastAsia="Arial" w:hAnsi="Arial"/>
          <w:sz w:val="20"/>
          <w:szCs w:val="20"/>
          <w:b w:val="1"/>
          <w:bCs w:val="1"/>
          <w:color w:val="auto"/>
        </w:rPr>
        <w:t>Resident Private Shareholders</w:t>
      </w:r>
      <w:r>
        <w:rPr>
          <w:rFonts w:ascii="Arial" w:cs="Arial" w:eastAsia="Arial" w:hAnsi="Arial"/>
          <w:sz w:val="20"/>
          <w:szCs w:val="20"/>
          <w:color w:val="auto"/>
        </w:rPr>
        <w:t>”) a principle eligible for a full refund or credit against income tax of the Swiss Withholding Tax if they duly repo underlying income in their income tax return. In addition, (i) corporate and individual shareholders who resident in Switzerland for tax purposes, (ii) corporate and individual shareholders who are not reside Switzerland and who hold their shares as part of a trade or business carried on in Switzerland throu permanent establishment or fixed place of business situated in Switzerland for tax purposes and (iii) 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115 / 139</w:t>
      </w:r>
    </w:p>
    <w:p>
      <w:pPr>
        <w:sectPr>
          <w:pgSz w:w="11900" w:h="16838" w:orient="portrait"/>
          <w:cols w:equalWidth="0" w:num="1">
            <w:col w:w="10460"/>
          </w:cols>
          <w:pgMar w:left="1440" w:top="1440" w:right="6" w:bottom="0" w:gutter="0" w:footer="0" w:header="0"/>
          <w:type w:val="continuous"/>
        </w:sectPr>
      </w:pPr>
    </w:p>
    <w:bookmarkStart w:id="344" w:name="page345"/>
    <w:bookmarkEnd w:id="344"/>
    <w:p>
      <w:pPr>
        <w:jc w:val="both"/>
        <w:ind w:left="900"/>
        <w:spacing w:after="0" w:line="313" w:lineRule="auto"/>
        <w:rPr>
          <w:sz w:val="20"/>
          <w:szCs w:val="20"/>
          <w:color w:val="auto"/>
        </w:rPr>
      </w:pPr>
      <w:r>
        <w:rPr>
          <w:rFonts w:ascii="Arial" w:cs="Arial" w:eastAsia="Arial" w:hAnsi="Arial"/>
          <w:sz w:val="20"/>
          <w:szCs w:val="20"/>
          <w:color w:val="auto"/>
        </w:rPr>
        <w:t>resident private individuals who, for income tax purposes are classified as “professional securities dealers reasons of, inter alia, frequent dealing, or leveraged transactions, in shares and other securities (collecti “</w:t>
      </w:r>
      <w:r>
        <w:rPr>
          <w:rFonts w:ascii="Arial" w:cs="Arial" w:eastAsia="Arial" w:hAnsi="Arial"/>
          <w:sz w:val="20"/>
          <w:szCs w:val="20"/>
          <w:b w:val="1"/>
          <w:bCs w:val="1"/>
          <w:color w:val="auto"/>
        </w:rPr>
        <w:t>Domestic Commercial Shareholders</w:t>
      </w:r>
      <w:r>
        <w:rPr>
          <w:rFonts w:ascii="Arial" w:cs="Arial" w:eastAsia="Arial" w:hAnsi="Arial"/>
          <w:sz w:val="20"/>
          <w:szCs w:val="20"/>
          <w:color w:val="auto"/>
        </w:rPr>
        <w:t>”) are in principle eligible for a full refund or credit against income t the Swiss Withholding Tax if they duly report the underlying income in their income statements or incom return, as the case may be.</w:t>
      </w:r>
    </w:p>
    <w:p>
      <w:pPr>
        <w:spacing w:after="0" w:line="210"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Shareholders who are not resident in Switzerland for tax purposes, and who, during the respective taxation have not engaged in a trade or business carried on through a permanent establishment or fixed place of bus situated in Switzerland for tax purposes, and who are not subject to corporate or individual income taxati Switzerland for any other reason (collectively, “</w:t>
      </w:r>
      <w:r>
        <w:rPr>
          <w:rFonts w:ascii="Arial" w:cs="Arial" w:eastAsia="Arial" w:hAnsi="Arial"/>
          <w:sz w:val="20"/>
          <w:szCs w:val="20"/>
          <w:b w:val="1"/>
          <w:bCs w:val="1"/>
          <w:color w:val="auto"/>
        </w:rPr>
        <w:t>Non-Resident Shareholders</w:t>
      </w:r>
      <w:r>
        <w:rPr>
          <w:rFonts w:ascii="Arial" w:cs="Arial" w:eastAsia="Arial" w:hAnsi="Arial"/>
          <w:sz w:val="20"/>
          <w:szCs w:val="20"/>
          <w:color w:val="auto"/>
        </w:rPr>
        <w:t>”) may be entitled to a total or p refund of the Swiss Withholding Tax if the country in which such recipient resides for tax purposes mainta bilateral treaty for the avoidance of double taxation with Switzerland and further conditions of such treaty are Non-Resident Shareholders should be aware that the procedures for claiming treaty benefits (and the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1091565</wp:posOffset>
            </wp:positionV>
            <wp:extent cx="6764020" cy="190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116 / 139</w:t>
      </w:r>
    </w:p>
    <w:p>
      <w:pPr>
        <w:sectPr>
          <w:pgSz w:w="11900" w:h="16838" w:orient="portrait"/>
          <w:cols w:equalWidth="0" w:num="1">
            <w:col w:w="10460"/>
          </w:cols>
          <w:pgMar w:left="1440" w:top="1172" w:right="6" w:bottom="0" w:gutter="0" w:footer="0" w:header="0"/>
          <w:type w:val="continuous"/>
        </w:sectPr>
      </w:pPr>
    </w:p>
    <w:bookmarkStart w:id="345" w:name="page346"/>
    <w:bookmarkEnd w:id="3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for obtaining a refund) may differ from country to country. Non-Resident Shareholders should consult their legal, financial or tax advisors regarding receipt, ownership, purchases, sale or other dispositions of Shares the procedures for claiming a refund of the Swiss Withholding Tax.</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u w:val="single" w:color="auto"/>
          <w:color w:val="auto"/>
        </w:rPr>
        <w:t>Swiss Federal Stamp Taxes</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Swiss Federal Issuance Stamp Tax (</w:t>
      </w:r>
      <w:r>
        <w:rPr>
          <w:rFonts w:ascii="Arial" w:cs="Arial" w:eastAsia="Arial" w:hAnsi="Arial"/>
          <w:sz w:val="20"/>
          <w:szCs w:val="20"/>
          <w:i w:val="1"/>
          <w:iCs w:val="1"/>
          <w:color w:val="auto"/>
        </w:rPr>
        <w:t>Emissionsabgabe</w:t>
      </w:r>
      <w:r>
        <w:rPr>
          <w:rFonts w:ascii="Arial" w:cs="Arial" w:eastAsia="Arial" w:hAnsi="Arial"/>
          <w:sz w:val="20"/>
          <w:szCs w:val="20"/>
          <w:color w:val="auto"/>
        </w:rPr>
        <w:t>) of 1% is levied on the issuance of shares increases in or contributions to the equity of Swiss tax resident corporations. The Swiss Federal Issuance S Tax levied on the proceeds from the issuance of the Shares will be borne by the Company.</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purchase or sale of Shares, whether by Resident Private Shareholders, Domestic Commercial Shareho or Non-Resident Shareholders, may be subject to Swiss Federal Securities Transfer Stamp Tax at a curren of up to 0.15%, calculated on the purchase price or the sale proceeds, respectively, if (i) such transfer o through or with a Swiss or Liechtensteinian bank or by or with involvement of another Swiss securities deal defined in the Swiss federal stamp tax act and (ii) no exemption applies.</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u w:val="single" w:color="auto"/>
          <w:color w:val="auto"/>
        </w:rPr>
        <w:t>Swiss Federal, Cantonal and Communal Individual Income Tax and Corporate Income Tax</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Non-Resident Shareholders are not subject to any Swiss federal, cantonal or communal income tax on divi payments and similar distributions simply because they hold Shares. The same applies for capital gains o sale of Shares. For Swiss Withholding Tax consequences, see above.</w:t>
      </w:r>
    </w:p>
    <w:p>
      <w:pPr>
        <w:spacing w:after="0" w:line="212" w:lineRule="exact"/>
        <w:rPr>
          <w:sz w:val="20"/>
          <w:szCs w:val="20"/>
          <w:color w:val="auto"/>
        </w:rPr>
      </w:pPr>
    </w:p>
    <w:p>
      <w:pPr>
        <w:jc w:val="both"/>
        <w:ind w:left="900"/>
        <w:spacing w:after="0" w:line="332" w:lineRule="auto"/>
        <w:rPr>
          <w:sz w:val="20"/>
          <w:szCs w:val="20"/>
          <w:color w:val="auto"/>
        </w:rPr>
      </w:pPr>
      <w:r>
        <w:rPr>
          <w:rFonts w:ascii="Arial" w:cs="Arial" w:eastAsia="Arial" w:hAnsi="Arial"/>
          <w:sz w:val="19"/>
          <w:szCs w:val="19"/>
          <w:color w:val="auto"/>
        </w:rPr>
        <w:t>Resident Private Shareholders who receive dividends and similar cash or in-kind distributions (inclu liquidation proceeds as well as bonus shares or taxable repurchases of Shares as described above), whic not repayments of the nominal value of the Shares or permissible repayment of qualifying additional pa capital (capital contribution reserves (</w:t>
      </w:r>
      <w:r>
        <w:rPr>
          <w:rFonts w:ascii="Arial" w:cs="Arial" w:eastAsia="Arial" w:hAnsi="Arial"/>
          <w:sz w:val="19"/>
          <w:szCs w:val="19"/>
          <w:i w:val="1"/>
          <w:iCs w:val="1"/>
          <w:color w:val="auto"/>
        </w:rPr>
        <w:t>Reserven aus Kapitaleinlagen</w:t>
      </w:r>
      <w:r>
        <w:rPr>
          <w:rFonts w:ascii="Arial" w:cs="Arial" w:eastAsia="Arial" w:hAnsi="Arial"/>
          <w:sz w:val="19"/>
          <w:szCs w:val="19"/>
          <w:color w:val="auto"/>
        </w:rPr>
        <w:t>)), are required to report such receipts in individual income tax returns and are subject to Swiss federal, cantonal and communal income tax on an taxable income for the relevant tax period. A gain or a loss by Resident Private Shareholders realized upo sale or other disposition of Shares to a third party will generally be a tax-free private capital gain or a no deductible capital loss, as the case may be. Domestic Commercial Shareholders who receive dividends similar cash or in-kind distributions (including liquidation proceeds and bonus shares or taxable repurchas Shares as described above) are required to recognize such payments in their income statements for the rel tax period and are subject to Swiss federal, cantonal and communal individual or corporate income tax, a case may be, on any net taxable earnings accumulated (including the dividends) for such period. The s taxation treatment also applies to Swiss-resident individuals who, for Swiss income tax purposes, are classifi “professional securities dealers” for reasons of, inter alia, frequent dealings or leveraged transaction securities. Domestic Commercial Shareholders who are corporate taxpayers may qualify for participation reli dividend distributions (</w:t>
      </w:r>
      <w:r>
        <w:rPr>
          <w:rFonts w:ascii="Arial" w:cs="Arial" w:eastAsia="Arial" w:hAnsi="Arial"/>
          <w:sz w:val="19"/>
          <w:szCs w:val="19"/>
          <w:i w:val="1"/>
          <w:iCs w:val="1"/>
          <w:color w:val="auto"/>
        </w:rPr>
        <w:t>Beteiligungsabzug</w:t>
      </w:r>
      <w:r>
        <w:rPr>
          <w:rFonts w:ascii="Arial" w:cs="Arial" w:eastAsia="Arial" w:hAnsi="Arial"/>
          <w:sz w:val="19"/>
          <w:szCs w:val="19"/>
          <w:color w:val="auto"/>
        </w:rPr>
        <w:t>), if the shares held have an aggregate market value of at least C million. Domestic Commercial Shareholders are required to recognize a gain or loss realized upon the dispo Shares in their income statement for the respective taxation period and are subject to Swiss federal, cantona communal individual or corporate income tax, as the case may be, on any net taxable earnings (including the or loss realized on the sale or other disposition of Shares) for such taxation period. The same tax treatment applies to Swiss-resident individuals who, for Swiss income tax purposes, are classified as “professi securities dealers” for reasons of, inter alia, frequent dealings or leveraged transactions in securities.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117 / 139</w:t>
      </w:r>
    </w:p>
    <w:p>
      <w:pPr>
        <w:sectPr>
          <w:pgSz w:w="11900" w:h="16838" w:orient="portrait"/>
          <w:cols w:equalWidth="0" w:num="1">
            <w:col w:w="10460"/>
          </w:cols>
          <w:pgMar w:left="1440" w:top="1440" w:right="6" w:bottom="0" w:gutter="0" w:footer="0" w:header="0"/>
          <w:type w:val="continuous"/>
        </w:sectPr>
      </w:pPr>
    </w:p>
    <w:bookmarkStart w:id="346" w:name="page347"/>
    <w:bookmarkEnd w:id="346"/>
    <w:p>
      <w:pPr>
        <w:ind w:left="900"/>
        <w:spacing w:after="0"/>
        <w:rPr>
          <w:sz w:val="20"/>
          <w:szCs w:val="20"/>
          <w:color w:val="auto"/>
        </w:rPr>
      </w:pPr>
      <w:r>
        <w:rPr>
          <w:rFonts w:ascii="Arial" w:cs="Arial" w:eastAsia="Arial" w:hAnsi="Arial"/>
          <w:sz w:val="20"/>
          <w:szCs w:val="20"/>
          <w:b w:val="1"/>
          <w:bCs w:val="1"/>
          <w:i w:val="1"/>
          <w:iCs w:val="1"/>
          <w:u w:val="single" w:color="auto"/>
          <w:color w:val="auto"/>
        </w:rPr>
        <w:t>Swiss Wealth Tax and Capital Tax</w:t>
      </w:r>
    </w:p>
    <w:p>
      <w:pPr>
        <w:spacing w:after="0" w:line="279" w:lineRule="exact"/>
        <w:rPr>
          <w:sz w:val="20"/>
          <w:szCs w:val="20"/>
          <w:color w:val="auto"/>
        </w:rPr>
      </w:pPr>
    </w:p>
    <w:p>
      <w:pPr>
        <w:ind w:left="900" w:right="40"/>
        <w:spacing w:after="0" w:line="307" w:lineRule="auto"/>
        <w:rPr>
          <w:sz w:val="20"/>
          <w:szCs w:val="20"/>
          <w:color w:val="auto"/>
        </w:rPr>
      </w:pPr>
      <w:r>
        <w:rPr>
          <w:rFonts w:ascii="Arial" w:cs="Arial" w:eastAsia="Arial" w:hAnsi="Arial"/>
          <w:sz w:val="20"/>
          <w:szCs w:val="20"/>
          <w:color w:val="auto"/>
        </w:rPr>
        <w:t>Non-Resident Shareholders holding Shares are not subject to cantonal and communal wealth or annual c tax simply because they hold Shares.</w:t>
      </w:r>
    </w:p>
    <w:p>
      <w:pPr>
        <w:spacing w:after="0" w:line="2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Resident Private Shareholders are required to report their Shares as part of their private wealth and are subj cantonal and communal wealth tax on any net taxable wealth (including Shares). Domestic Comme Shareholders are required to report their Shares as part of their business wealth or taxable capital, as def and are subject to cantonal and communal wealth or annual capital tax. No wealth or capital tax is levied a federal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1087755</wp:posOffset>
            </wp:positionV>
            <wp:extent cx="6764020" cy="190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118 / 139</w:t>
      </w:r>
    </w:p>
    <w:p>
      <w:pPr>
        <w:sectPr>
          <w:pgSz w:w="11900" w:h="16838" w:orient="portrait"/>
          <w:cols w:equalWidth="0" w:num="1">
            <w:col w:w="10460"/>
          </w:cols>
          <w:pgMar w:left="1440" w:top="1165" w:right="6" w:bottom="0" w:gutter="0" w:footer="0" w:header="0"/>
          <w:type w:val="continuous"/>
        </w:sectPr>
      </w:pPr>
    </w:p>
    <w:bookmarkStart w:id="347" w:name="page348"/>
    <w:bookmarkEnd w:id="3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u w:val="single" w:color="auto"/>
          <w:color w:val="auto"/>
        </w:rPr>
        <w:t>International Automatic Exchange of Information in Tax Matters</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Switzerland has concluded a bilateral agreement with the European Union on the international autom</w:t>
      </w:r>
    </w:p>
    <w:p>
      <w:pPr>
        <w:spacing w:after="0" w:line="79"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exchange of information (“</w:t>
      </w:r>
      <w:r>
        <w:rPr>
          <w:rFonts w:ascii="Arial" w:cs="Arial" w:eastAsia="Arial" w:hAnsi="Arial"/>
          <w:sz w:val="20"/>
          <w:szCs w:val="20"/>
          <w:b w:val="1"/>
          <w:bCs w:val="1"/>
          <w:color w:val="auto"/>
        </w:rPr>
        <w:t>AEOI</w:t>
      </w:r>
      <w:r>
        <w:rPr>
          <w:rFonts w:ascii="Arial" w:cs="Arial" w:eastAsia="Arial" w:hAnsi="Arial"/>
          <w:sz w:val="20"/>
          <w:szCs w:val="20"/>
          <w:color w:val="auto"/>
        </w:rPr>
        <w:t>”) in tax matters (the “</w:t>
      </w:r>
      <w:r>
        <w:rPr>
          <w:rFonts w:ascii="Arial" w:cs="Arial" w:eastAsia="Arial" w:hAnsi="Arial"/>
          <w:sz w:val="20"/>
          <w:szCs w:val="20"/>
          <w:b w:val="1"/>
          <w:bCs w:val="1"/>
          <w:color w:val="auto"/>
        </w:rPr>
        <w:t>AEOI</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This AEOI Agreement became effective as of January 1, 2017, and applies to all 27 member s</w:t>
      </w:r>
      <w:r>
        <w:rPr>
          <w:rFonts w:ascii="Arial" w:cs="Arial" w:eastAsia="Arial" w:hAnsi="Arial"/>
          <w:sz w:val="20"/>
          <w:szCs w:val="20"/>
          <w:b w:val="1"/>
          <w:bCs w:val="1"/>
          <w:color w:val="auto"/>
        </w:rPr>
        <w:t xml:space="preserve"> </w:t>
      </w:r>
      <w:r>
        <w:rPr>
          <w:rFonts w:ascii="Arial" w:cs="Arial" w:eastAsia="Arial" w:hAnsi="Arial"/>
          <w:sz w:val="20"/>
          <w:szCs w:val="20"/>
          <w:color w:val="auto"/>
        </w:rPr>
        <w:t>as well as Gibraltar. Furthermore, on January 1, 2017, the multilateral competent authority agreement o automatic exchange of financial account information and, based on such agreement, a number of bilateral agreements with other countries, such as the United Kingdom, became effective. Based on this AEOI Agree and the bilateral AEOI agreements and the implementing laws of Switzerland, Switzerland collects data in re of financial assets, which may include shares, held in, and income derived from and credited to, accoun deposits with a paying agent in Switzerland for the benefit of residents in a EU member state or a treaty from 2017, and exchanges such information since 2018. Switzerland has signed and is expected to sign fu AEOI agreements with other countries. A list of the AEOI agreements of Switzerland in effect or signed becoming effective can be found on the website of the State Secretariat for International Finance (SIF).</w:t>
      </w:r>
    </w:p>
    <w:p>
      <w:pPr>
        <w:spacing w:after="0" w:line="204"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u w:val="single" w:color="auto"/>
          <w:color w:val="auto"/>
        </w:rPr>
        <w:t>Swiss Facilitation of the Implementation of the U.S. Foreign Account Tax Compliance Act</w:t>
      </w:r>
    </w:p>
    <w:p>
      <w:pPr>
        <w:spacing w:after="0" w:line="279" w:lineRule="exact"/>
        <w:rPr>
          <w:sz w:val="20"/>
          <w:szCs w:val="20"/>
          <w:color w:val="auto"/>
        </w:rPr>
      </w:pPr>
    </w:p>
    <w:p>
      <w:pPr>
        <w:ind w:left="900"/>
        <w:spacing w:after="0" w:line="331" w:lineRule="auto"/>
        <w:rPr>
          <w:sz w:val="20"/>
          <w:szCs w:val="20"/>
          <w:color w:val="auto"/>
        </w:rPr>
      </w:pPr>
      <w:r>
        <w:rPr>
          <w:rFonts w:ascii="Arial" w:cs="Arial" w:eastAsia="Arial" w:hAnsi="Arial"/>
          <w:sz w:val="19"/>
          <w:szCs w:val="19"/>
          <w:color w:val="auto"/>
        </w:rPr>
        <w:t>The United States and Switzerland entered into an intergovernmental agreement (the "U.S</w:t>
      </w:r>
      <w:r>
        <w:rPr>
          <w:rFonts w:ascii="Arial" w:cs="Arial" w:eastAsia="Arial" w:hAnsi="Arial"/>
          <w:sz w:val="19"/>
          <w:szCs w:val="19"/>
          <w:b w:val="1"/>
          <w:bCs w:val="1"/>
          <w:color w:val="auto"/>
        </w:rPr>
        <w:t>.-Switzerland IG</w:t>
      </w:r>
      <w:r>
        <w:rPr>
          <w:rFonts w:ascii="Arial" w:cs="Arial" w:eastAsia="Arial" w:hAnsi="Arial"/>
          <w:sz w:val="19"/>
          <w:szCs w:val="19"/>
          <w:color w:val="auto"/>
        </w:rPr>
        <w:t xml:space="preserve"> facilitate the implementation of the U.S. Foreign Account Tax Compliance Act ("</w:t>
      </w:r>
      <w:r>
        <w:rPr>
          <w:rFonts w:ascii="Arial" w:cs="Arial" w:eastAsia="Arial" w:hAnsi="Arial"/>
          <w:sz w:val="19"/>
          <w:szCs w:val="19"/>
          <w:b w:val="1"/>
          <w:bCs w:val="1"/>
          <w:color w:val="auto"/>
        </w:rPr>
        <w:t>FATCA</w:t>
      </w:r>
      <w:r>
        <w:rPr>
          <w:rFonts w:ascii="Arial" w:cs="Arial" w:eastAsia="Arial" w:hAnsi="Arial"/>
          <w:sz w:val="19"/>
          <w:szCs w:val="19"/>
          <w:color w:val="auto"/>
        </w:rPr>
        <w:t>"). Under the Switzerland IGA, financial institutions acting out of Switzerland generally are directed to become particip foreign financial institutions (FFIs). The U.S.-Switzerland IGA ensures that accounts held by U.S. persons Swiss financial institutions (including accounts in which Shares are held) are disclosed to the U.S. tax autho either with the consent of the account holder or by means of group requests within the scope of administr assistance on the basis of the double taxation agreement between the United States and Switzerland Treaty). The Treaty, as amended in 2019, includes a mechanism for the exchange of information in tax ma upon request between Switzerland and the United States, which is in line with international standards, and a the United States to make group requests under FATCA concerning non-consenting U.S. accounts and consenting non-participating foreign financial institutions for periods from June 30, 2014. On October 8, 201 Swiss Federal Council approved a mandate for negotiations with the U.S. on changing the current d notification-based regime (Model 2) to a regime where the relevant information is sent to the Swiss Federa Administration, which in turn provides the information to the U.S. tax authorities (Model 1). The negotiations concluded on November 13, 2023 and on June 27, 2024, the Swiss Federal Tax Administration issued a release announcing the signing of a reciprocal FATCA Model 1 intergovernmental agreement (the “</w:t>
      </w:r>
      <w:r>
        <w:rPr>
          <w:rFonts w:ascii="Arial" w:cs="Arial" w:eastAsia="Arial" w:hAnsi="Arial"/>
          <w:sz w:val="19"/>
          <w:szCs w:val="19"/>
          <w:b w:val="1"/>
          <w:bCs w:val="1"/>
          <w:color w:val="auto"/>
        </w:rPr>
        <w:t>Mod</w:t>
      </w:r>
      <w:r>
        <w:rPr>
          <w:rFonts w:ascii="Arial" w:cs="Arial" w:eastAsia="Arial" w:hAnsi="Arial"/>
          <w:sz w:val="19"/>
          <w:szCs w:val="19"/>
          <w:color w:val="auto"/>
        </w:rPr>
        <w:t xml:space="preserve"> </w:t>
      </w:r>
      <w:r>
        <w:rPr>
          <w:rFonts w:ascii="Arial" w:cs="Arial" w:eastAsia="Arial" w:hAnsi="Arial"/>
          <w:sz w:val="19"/>
          <w:szCs w:val="19"/>
          <w:b w:val="1"/>
          <w:bCs w:val="1"/>
          <w:color w:val="auto"/>
        </w:rPr>
        <w:t>IGA</w:t>
      </w:r>
      <w:r>
        <w:rPr>
          <w:rFonts w:ascii="Arial" w:cs="Arial" w:eastAsia="Arial" w:hAnsi="Arial"/>
          <w:sz w:val="19"/>
          <w:szCs w:val="19"/>
          <w:color w:val="auto"/>
        </w:rPr>
        <w:t>”). This means that Switzerland will also receive account data from the United States in the future. S</w:t>
      </w:r>
      <w:r>
        <w:rPr>
          <w:rFonts w:ascii="Arial" w:cs="Arial" w:eastAsia="Arial" w:hAnsi="Arial"/>
          <w:sz w:val="19"/>
          <w:szCs w:val="19"/>
          <w:b w:val="1"/>
          <w:bCs w:val="1"/>
          <w:color w:val="auto"/>
        </w:rPr>
        <w:t xml:space="preserve"> </w:t>
      </w:r>
      <w:r>
        <w:rPr>
          <w:rFonts w:ascii="Arial" w:cs="Arial" w:eastAsia="Arial" w:hAnsi="Arial"/>
          <w:sz w:val="19"/>
          <w:szCs w:val="19"/>
          <w:color w:val="auto"/>
        </w:rPr>
        <w:t>financial institutions will no longer provide the required data to the U.S. authorities, but rather to the Swiss Fe Tax Administration, which will then transmit it to the Internal Revenue Service. In Switzerland, the implement of the Model 1 IGA necessitates changes to national law, which will be decided by the Federal Assembly. changes to national law implementing the Model 1 IGA are currently expected to enter into force in Switzerla January 1, 2027. However, it is not possible to predict whether and when such changes will be enacted.</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F. Dividends and Paying Agents</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 applicable.</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G. Statement by Experts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09"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119 / 139</w:t>
      </w:r>
    </w:p>
    <w:p>
      <w:pPr>
        <w:sectPr>
          <w:pgSz w:w="11900" w:h="16838" w:orient="portrait"/>
          <w:cols w:equalWidth="0" w:num="1">
            <w:col w:w="10460"/>
          </w:cols>
          <w:pgMar w:left="1440" w:top="1440" w:right="6" w:bottom="0" w:gutter="0" w:footer="0" w:header="0"/>
          <w:type w:val="continuous"/>
        </w:sectPr>
      </w:pPr>
    </w:p>
    <w:bookmarkStart w:id="348" w:name="page349"/>
    <w:bookmarkEnd w:id="348"/>
    <w:p>
      <w:pPr>
        <w:ind w:left="900"/>
        <w:spacing w:after="0"/>
        <w:rPr>
          <w:sz w:val="20"/>
          <w:szCs w:val="20"/>
          <w:color w:val="auto"/>
        </w:rPr>
      </w:pPr>
      <w:r>
        <w:rPr>
          <w:rFonts w:ascii="Arial" w:cs="Arial" w:eastAsia="Arial" w:hAnsi="Arial"/>
          <w:sz w:val="20"/>
          <w:szCs w:val="20"/>
          <w:color w:val="auto"/>
        </w:rPr>
        <w:t>Not applicable.</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H. Documents on Display</w:t>
      </w:r>
    </w:p>
    <w:p>
      <w:pPr>
        <w:spacing w:after="0" w:line="279"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The Company is subject to the informational requirements of the Exchange Act. In accordance with t requirements the Company files reports and other information with the SEC. You may inspect and copy any or document that the Company files, including this annual report and the accompanying exhibits, at the S public reference facilities located at 100 F Street, N.E., Room 1580, Washington, D.C. 20549. You may o information on the operation of the public reference facilities by calling the SEC at 1-800-SEC-0330, and you obtain copies at prescribed rates. The Company's SEC filings are also available to the public at the we maintained by the SEC at http://www.sec.gov, as well as on the Company's website at www.lit argentina.com. Information on the Company's website does not constitute a part of this annual report and i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1087120</wp:posOffset>
            </wp:positionV>
            <wp:extent cx="6764020" cy="190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120 / 139</w:t>
      </w:r>
    </w:p>
    <w:p>
      <w:pPr>
        <w:sectPr>
          <w:pgSz w:w="11900" w:h="16838" w:orient="portrait"/>
          <w:cols w:equalWidth="0" w:num="1">
            <w:col w:w="10460"/>
          </w:cols>
          <w:pgMar w:left="1440" w:top="1165" w:right="6" w:bottom="0" w:gutter="0" w:footer="0" w:header="0"/>
          <w:type w:val="continuous"/>
        </w:sectPr>
      </w:pPr>
    </w:p>
    <w:bookmarkStart w:id="349" w:name="page350"/>
    <w:bookmarkEnd w:id="3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Company will also provide without charge to each person, including any beneficial owner of the Shares, written or oral request of that person, a copy of any and all of the information that has been incorporate reference in this annual report. Please direct such requests to the Company’s administrative office at, 310 West Hastings Street, Vancouver, British Columbia, V6C 1E5.</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I. Subsidiary Information</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 applicable.</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J. Annual Report to Security Holders</w:t>
      </w:r>
    </w:p>
    <w:p>
      <w:pPr>
        <w:spacing w:after="0" w:line="27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To the extent the Company furnishes an annual report to security holders, the Company will promptly subm English version of this annual report to U.S. security holders under the cover of Form 6-K.</w:t>
      </w:r>
    </w:p>
    <w:p>
      <w:pPr>
        <w:spacing w:after="0" w:line="231" w:lineRule="exact"/>
        <w:rPr>
          <w:sz w:val="20"/>
          <w:szCs w:val="20"/>
          <w:color w:val="auto"/>
        </w:rPr>
      </w:pPr>
    </w:p>
    <w:p>
      <w:pPr>
        <w:ind w:left="900" w:right="60"/>
        <w:spacing w:after="0" w:line="305" w:lineRule="auto"/>
        <w:rPr>
          <w:sz w:val="20"/>
          <w:szCs w:val="20"/>
          <w:color w:val="auto"/>
        </w:rPr>
      </w:pPr>
      <w:r>
        <w:rPr>
          <w:rFonts w:ascii="Arial" w:cs="Arial" w:eastAsia="Arial" w:hAnsi="Arial"/>
          <w:sz w:val="28"/>
          <w:szCs w:val="28"/>
          <w:b w:val="1"/>
          <w:bCs w:val="1"/>
          <w:color w:val="auto"/>
        </w:rPr>
        <w:t>ITEM 11. QUANTITATIVE AND QUALITATIVE DISCLOSURES ABO MARKET RISK</w:t>
      </w:r>
    </w:p>
    <w:p>
      <w:pPr>
        <w:spacing w:after="0" w:line="199"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Credit Risk</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Credit risk is the risk of loss associated with a counterparty’s inability to fulfill its payment obligations.</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For descriptions of the Company’s credit risk, see Note 24 of the Company’s audited consolidated fina statements for the years ended December 31, 2025, 2024 and 2023 included in “</w:t>
      </w:r>
      <w:r>
        <w:rPr>
          <w:rFonts w:ascii="Arial" w:cs="Arial" w:eastAsia="Arial" w:hAnsi="Arial"/>
          <w:sz w:val="20"/>
          <w:szCs w:val="20"/>
          <w:i w:val="1"/>
          <w:iCs w:val="1"/>
          <w:color w:val="auto"/>
        </w:rPr>
        <w:t>Item 18. – Fina</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Statements” </w:t>
      </w:r>
      <w:r>
        <w:rPr>
          <w:rFonts w:ascii="Arial" w:cs="Arial" w:eastAsia="Arial" w:hAnsi="Arial"/>
          <w:sz w:val="20"/>
          <w:szCs w:val="20"/>
          <w:color w:val="auto"/>
        </w:rPr>
        <w:t>of this annual report., which comply with IFRS Accounting Standards.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Liquidity Risk</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Liquidity risk is the risk that the Company will not be able to meet its financial obligations as they fall due.</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For descriptions of the Company’s liquidity risk, see Note 24 of the Company’s audited consolidated fina statements for the years ended December 31, 2025, 2024 and 2023 included in “</w:t>
      </w:r>
      <w:r>
        <w:rPr>
          <w:rFonts w:ascii="Arial" w:cs="Arial" w:eastAsia="Arial" w:hAnsi="Arial"/>
          <w:sz w:val="20"/>
          <w:szCs w:val="20"/>
          <w:i w:val="1"/>
          <w:iCs w:val="1"/>
          <w:color w:val="auto"/>
        </w:rPr>
        <w:t>Item 18. – Fina</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Statements” </w:t>
      </w:r>
      <w:r>
        <w:rPr>
          <w:rFonts w:ascii="Arial" w:cs="Arial" w:eastAsia="Arial" w:hAnsi="Arial"/>
          <w:sz w:val="20"/>
          <w:szCs w:val="20"/>
          <w:color w:val="auto"/>
        </w:rPr>
        <w:t>of this annual report., which comply with IFRS Accounting Standards.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Market Risk</w:t>
      </w:r>
    </w:p>
    <w:p>
      <w:pPr>
        <w:spacing w:after="0" w:line="279" w:lineRule="exact"/>
        <w:rPr>
          <w:sz w:val="20"/>
          <w:szCs w:val="20"/>
          <w:color w:val="auto"/>
        </w:rPr>
      </w:pPr>
    </w:p>
    <w:p>
      <w:pPr>
        <w:ind w:left="900" w:right="20"/>
        <w:spacing w:after="0" w:line="307" w:lineRule="auto"/>
        <w:rPr>
          <w:sz w:val="20"/>
          <w:szCs w:val="20"/>
          <w:color w:val="auto"/>
        </w:rPr>
      </w:pPr>
      <w:r>
        <w:rPr>
          <w:rFonts w:ascii="Arial" w:cs="Arial" w:eastAsia="Arial" w:hAnsi="Arial"/>
          <w:sz w:val="20"/>
          <w:szCs w:val="20"/>
          <w:color w:val="auto"/>
        </w:rPr>
        <w:t>Market risk encompasses a range of risks. Movement in risk factors, such as market price risk, the Comp share price, and currency risk, can affect the fair values of financial assets and liabilities.</w:t>
      </w:r>
    </w:p>
    <w:p>
      <w:pPr>
        <w:spacing w:after="0" w:line="215"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For descriptions of the Company’s market risk, see Note 24 of the Company’s audited consolidated fina statements for the years ended December 31, 2025, 2024 and 2023 included in “</w:t>
      </w:r>
      <w:r>
        <w:rPr>
          <w:rFonts w:ascii="Arial" w:cs="Arial" w:eastAsia="Arial" w:hAnsi="Arial"/>
          <w:sz w:val="20"/>
          <w:szCs w:val="20"/>
          <w:i w:val="1"/>
          <w:iCs w:val="1"/>
          <w:color w:val="auto"/>
        </w:rPr>
        <w:t>Item 18. – Fina</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Statements” </w:t>
      </w:r>
      <w:r>
        <w:rPr>
          <w:rFonts w:ascii="Arial" w:cs="Arial" w:eastAsia="Arial" w:hAnsi="Arial"/>
          <w:sz w:val="20"/>
          <w:szCs w:val="20"/>
          <w:color w:val="auto"/>
        </w:rPr>
        <w:t>of this annual report., which comply with IFRS Accounting Standards..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Foreign Currency Risk</w:t>
      </w:r>
    </w:p>
    <w:p>
      <w:pPr>
        <w:spacing w:after="0" w:line="27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Company’s operations in foreign countries are subject to currency fluctuations, which may affect its fina results.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121 / 139</w:t>
      </w:r>
    </w:p>
    <w:p>
      <w:pPr>
        <w:sectPr>
          <w:pgSz w:w="11900" w:h="16838" w:orient="portrait"/>
          <w:cols w:equalWidth="0" w:num="1">
            <w:col w:w="10460"/>
          </w:cols>
          <w:pgMar w:left="1440" w:top="1440" w:right="6" w:bottom="0" w:gutter="0" w:footer="0" w:header="0"/>
          <w:type w:val="continuous"/>
        </w:sectPr>
      </w:pPr>
    </w:p>
    <w:bookmarkStart w:id="350" w:name="page351"/>
    <w:bookmarkEnd w:id="350"/>
    <w:p>
      <w:pPr>
        <w:jc w:val="both"/>
        <w:ind w:left="900"/>
        <w:spacing w:after="0" w:line="311" w:lineRule="auto"/>
        <w:rPr>
          <w:sz w:val="20"/>
          <w:szCs w:val="20"/>
          <w:color w:val="auto"/>
        </w:rPr>
      </w:pPr>
      <w:r>
        <w:rPr>
          <w:rFonts w:ascii="Arial" w:cs="Arial" w:eastAsia="Arial" w:hAnsi="Arial"/>
          <w:sz w:val="20"/>
          <w:szCs w:val="20"/>
          <w:color w:val="auto"/>
        </w:rPr>
        <w:t>For descriptions of the Company’s foreign currency risk, see Note 24 of the Company’s audited consolid financial statements for the years ended December 31, 2025, 2024 and 2023 included in “</w:t>
      </w:r>
      <w:r>
        <w:rPr>
          <w:rFonts w:ascii="Arial" w:cs="Arial" w:eastAsia="Arial" w:hAnsi="Arial"/>
          <w:sz w:val="20"/>
          <w:szCs w:val="20"/>
          <w:i w:val="1"/>
          <w:iCs w:val="1"/>
          <w:color w:val="auto"/>
        </w:rPr>
        <w:t>Item 18. – Fina</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Statements” </w:t>
      </w:r>
      <w:r>
        <w:rPr>
          <w:rFonts w:ascii="Arial" w:cs="Arial" w:eastAsia="Arial" w:hAnsi="Arial"/>
          <w:sz w:val="20"/>
          <w:szCs w:val="20"/>
          <w:color w:val="auto"/>
        </w:rPr>
        <w:t>of this annual report., which comply with IFRS Accounting Standards.</w:t>
      </w:r>
    </w:p>
    <w:p>
      <w:pPr>
        <w:spacing w:after="0" w:line="227" w:lineRule="exact"/>
        <w:rPr>
          <w:sz w:val="20"/>
          <w:szCs w:val="20"/>
          <w:color w:val="auto"/>
        </w:rPr>
      </w:pPr>
    </w:p>
    <w:p>
      <w:pPr>
        <w:jc w:val="both"/>
        <w:ind w:left="900"/>
        <w:spacing w:after="0" w:line="305" w:lineRule="auto"/>
        <w:rPr>
          <w:sz w:val="20"/>
          <w:szCs w:val="20"/>
          <w:color w:val="auto"/>
        </w:rPr>
      </w:pPr>
      <w:r>
        <w:rPr>
          <w:rFonts w:ascii="Arial" w:cs="Arial" w:eastAsia="Arial" w:hAnsi="Arial"/>
          <w:sz w:val="28"/>
          <w:szCs w:val="28"/>
          <w:b w:val="1"/>
          <w:bCs w:val="1"/>
          <w:color w:val="auto"/>
        </w:rPr>
        <w:t>ITEM 12. DESCRIPTION OF SECURITIES OTHER THAN EQUIT SECURITIES</w:t>
      </w:r>
    </w:p>
    <w:p>
      <w:pPr>
        <w:spacing w:after="0" w:line="199"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A. to C.</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1131570</wp:posOffset>
            </wp:positionV>
            <wp:extent cx="6764020" cy="190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122 / 139</w:t>
      </w:r>
    </w:p>
    <w:p>
      <w:pPr>
        <w:sectPr>
          <w:pgSz w:w="11900" w:h="16838" w:orient="portrait"/>
          <w:cols w:equalWidth="0" w:num="1">
            <w:col w:w="10460"/>
          </w:cols>
          <w:pgMar w:left="1440" w:top="1172" w:right="6" w:bottom="0" w:gutter="0" w:footer="0" w:header="0"/>
          <w:type w:val="continuous"/>
        </w:sectPr>
      </w:pPr>
    </w:p>
    <w:bookmarkStart w:id="351" w:name="page352"/>
    <w:bookmarkEnd w:id="3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D. American Depositary Receipts</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Company does not have securities registered as American Depositary Receipts.</w:t>
      </w:r>
    </w:p>
    <w:p>
      <w:pPr>
        <w:spacing w:after="0" w:line="284" w:lineRule="exact"/>
        <w:rPr>
          <w:sz w:val="20"/>
          <w:szCs w:val="20"/>
          <w:color w:val="auto"/>
        </w:rPr>
      </w:pPr>
    </w:p>
    <w:p>
      <w:pPr>
        <w:ind w:left="5440"/>
        <w:spacing w:after="0"/>
        <w:rPr>
          <w:sz w:val="20"/>
          <w:szCs w:val="20"/>
          <w:color w:val="auto"/>
        </w:rPr>
      </w:pPr>
      <w:r>
        <w:rPr>
          <w:rFonts w:ascii="Arial" w:cs="Arial" w:eastAsia="Arial" w:hAnsi="Arial"/>
          <w:sz w:val="28"/>
          <w:szCs w:val="28"/>
          <w:b w:val="1"/>
          <w:bCs w:val="1"/>
          <w:color w:val="auto"/>
        </w:rPr>
        <w:t>PART II</w:t>
      </w:r>
    </w:p>
    <w:p>
      <w:pPr>
        <w:spacing w:after="0" w:line="298"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13. DEFAULTS, DIVIDEND ARREARAGES AND DELINQUENCIES</w:t>
      </w:r>
    </w:p>
    <w:p>
      <w:pPr>
        <w:spacing w:after="0" w:line="293" w:lineRule="exact"/>
        <w:rPr>
          <w:sz w:val="20"/>
          <w:szCs w:val="20"/>
          <w:color w:val="auto"/>
        </w:rPr>
      </w:pPr>
    </w:p>
    <w:p>
      <w:pPr>
        <w:jc w:val="both"/>
        <w:ind w:left="900" w:right="40"/>
        <w:spacing w:after="0" w:line="312" w:lineRule="auto"/>
        <w:rPr>
          <w:sz w:val="20"/>
          <w:szCs w:val="20"/>
          <w:color w:val="auto"/>
        </w:rPr>
      </w:pPr>
      <w:r>
        <w:rPr>
          <w:rFonts w:ascii="Arial" w:cs="Arial" w:eastAsia="Arial" w:hAnsi="Arial"/>
          <w:sz w:val="20"/>
          <w:szCs w:val="20"/>
          <w:color w:val="auto"/>
        </w:rPr>
        <w:t>There has not been a material default in the payment of principal, interest, a sinking or purchase fund install or any other material default not cured within thirty days, relating to indebtedness of the Company or any significant subsidiaries. There are no payments of dividends by the Company in arrears, nor has there bee other material delinquency relating to any class of preference shares of the Company.</w:t>
      </w:r>
    </w:p>
    <w:p>
      <w:pPr>
        <w:spacing w:after="0" w:line="227" w:lineRule="exact"/>
        <w:rPr>
          <w:sz w:val="20"/>
          <w:szCs w:val="20"/>
          <w:color w:val="auto"/>
        </w:rPr>
      </w:pPr>
    </w:p>
    <w:p>
      <w:pPr>
        <w:jc w:val="both"/>
        <w:ind w:left="900" w:right="20"/>
        <w:spacing w:after="0" w:line="305" w:lineRule="auto"/>
        <w:rPr>
          <w:sz w:val="20"/>
          <w:szCs w:val="20"/>
          <w:color w:val="auto"/>
        </w:rPr>
      </w:pPr>
      <w:r>
        <w:rPr>
          <w:rFonts w:ascii="Arial" w:cs="Arial" w:eastAsia="Arial" w:hAnsi="Arial"/>
          <w:sz w:val="28"/>
          <w:szCs w:val="28"/>
          <w:b w:val="1"/>
          <w:bCs w:val="1"/>
          <w:color w:val="auto"/>
        </w:rPr>
        <w:t>ITEM 14. MATERIAL MODIFICATIONS TO THE RIGHTS OF SECURI HOLDERS AND USE OF PROCEEDS</w:t>
      </w:r>
    </w:p>
    <w:p>
      <w:pPr>
        <w:spacing w:after="0" w:line="199"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A. to B. Modifications to the Rights of Security Holders</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 xml:space="preserve">In January 2025, the Company completed a corporate reorganization, as a result of which the Compa corporate jurisdiction was moved from British Columbia, Canada to Zug, Canton of Zug, Switzerland. Accord the rights of the Company's Shares became governed by the Articles of Association and the laws of Switzer The rights attaching to each share remained substantially equivalent. Se </w:t>
      </w:r>
      <w:r>
        <w:rPr>
          <w:rFonts w:ascii="Arial" w:cs="Arial" w:eastAsia="Arial" w:hAnsi="Arial"/>
          <w:sz w:val="20"/>
          <w:szCs w:val="20"/>
          <w:i w:val="1"/>
          <w:iCs w:val="1"/>
          <w:color w:val="auto"/>
        </w:rPr>
        <w:t>“Item 10 – Memorandum and Articles of Incorporation - Summary Comparison Of Material Shareholder R Under British Columbia Law And Swiss Law.”</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C.</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 applicable.</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D.</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 applicable.</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E. Use of Proceeds</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 applicable.</w:t>
      </w:r>
    </w:p>
    <w:p>
      <w:pPr>
        <w:spacing w:after="0" w:line="284"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15. CONTROLS AND PROCEDURES</w:t>
      </w:r>
    </w:p>
    <w:p>
      <w:pPr>
        <w:spacing w:after="0" w:line="286"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A. Disclosure Controls and Procedures</w:t>
      </w:r>
    </w:p>
    <w:p>
      <w:pPr>
        <w:spacing w:after="0" w:line="279" w:lineRule="exact"/>
        <w:rPr>
          <w:sz w:val="20"/>
          <w:szCs w:val="20"/>
          <w:color w:val="auto"/>
        </w:rPr>
      </w:pPr>
    </w:p>
    <w:p>
      <w:pPr>
        <w:jc w:val="both"/>
        <w:ind w:left="900"/>
        <w:spacing w:after="0" w:line="333" w:lineRule="auto"/>
        <w:rPr>
          <w:sz w:val="20"/>
          <w:szCs w:val="20"/>
          <w:color w:val="auto"/>
        </w:rPr>
      </w:pPr>
      <w:r>
        <w:rPr>
          <w:rFonts w:ascii="Arial" w:cs="Arial" w:eastAsia="Arial" w:hAnsi="Arial"/>
          <w:sz w:val="19"/>
          <w:szCs w:val="19"/>
          <w:color w:val="auto"/>
        </w:rPr>
        <w:t>As of December 31, 2025, an evaluation of the effectiveness of the Company’s “disclosure controls procedures” (as such term is defined in Rules 13a-15(e) and 15d-15(e) of the Exchange Act) was carried o the Company’s CEO and CFO. Based on that evaluation, the CEO and CFO have concluded that as of such the Company’s disclosure controls and procedures are effective to provide a reasonable level of assurance</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123 / 139</w:t>
      </w:r>
    </w:p>
    <w:p>
      <w:pPr>
        <w:sectPr>
          <w:pgSz w:w="11900" w:h="16838" w:orient="portrait"/>
          <w:cols w:equalWidth="0" w:num="1">
            <w:col w:w="10460"/>
          </w:cols>
          <w:pgMar w:left="1440" w:top="1440" w:right="6" w:bottom="0" w:gutter="0" w:footer="0" w:header="0"/>
          <w:type w:val="continuous"/>
        </w:sectPr>
      </w:pPr>
    </w:p>
    <w:bookmarkStart w:id="352" w:name="page353"/>
    <w:bookmarkEnd w:id="352"/>
    <w:p>
      <w:pPr>
        <w:ind w:left="900"/>
        <w:spacing w:after="0" w:line="311" w:lineRule="auto"/>
        <w:rPr>
          <w:sz w:val="20"/>
          <w:szCs w:val="20"/>
          <w:color w:val="auto"/>
        </w:rPr>
      </w:pPr>
      <w:r>
        <w:rPr>
          <w:rFonts w:ascii="Arial" w:cs="Arial" w:eastAsia="Arial" w:hAnsi="Arial"/>
          <w:sz w:val="20"/>
          <w:szCs w:val="20"/>
          <w:color w:val="auto"/>
        </w:rPr>
        <w:t>information required to be disclosed by the Company in reports that it files or submits under the Exchange recorded, processed, summarized and reported within the time periods specified in the rules and forms o SEC.</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It should be noted that while the CEO and CFO believe that the Company’s disclosure controls and proced provide a reasonable level of assurance that they are effective, they do not expect disclosure controls procedures or internal control over financial reporting to be capable of preventing all errors and fraud. A co system, no matter how well conceived or operated, can provide only reasonable, not absolute, assurance th objectives of the control system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1087755</wp:posOffset>
            </wp:positionV>
            <wp:extent cx="6764020" cy="190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124 / 139</w:t>
      </w:r>
    </w:p>
    <w:p>
      <w:pPr>
        <w:sectPr>
          <w:pgSz w:w="11900" w:h="16838" w:orient="portrait"/>
          <w:cols w:equalWidth="0" w:num="1">
            <w:col w:w="10460"/>
          </w:cols>
          <w:pgMar w:left="1440" w:top="1172" w:right="6" w:bottom="0" w:gutter="0" w:footer="0" w:header="0"/>
          <w:type w:val="continuous"/>
        </w:sectPr>
      </w:pPr>
    </w:p>
    <w:bookmarkStart w:id="353" w:name="page354"/>
    <w:bookmarkEnd w:id="3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B. Management's Report on Internal Control Over Financial Reporting</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Company’s management, including the CEO and CFO, is responsible for establishing and mainta adequate internal control over financial reporting. Any system of internal control over financial reporting, no m how well-designed, has inherent limitations. Therefore, even those systems determined to be effective provide only reasonable assurance with respect to financial statement preparation and presentation.</w:t>
      </w:r>
    </w:p>
    <w:p>
      <w:pPr>
        <w:spacing w:after="0" w:line="2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Management, including the CEO and CFO, has used the Committee of Sponsoring Organizations of Treadway Commission (COSO) 2013 framework to evaluate the effectiveness of our internal control over fin reporting. Based on this assessment, the Company’s management, including the CEO and CFO, has concl that as at December 31, 2025, the Company’s internal control over financial reporting was effective.</w:t>
      </w:r>
    </w:p>
    <w:p>
      <w:pPr>
        <w:spacing w:after="0" w:line="2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consolidated financial statements of the Company as of December 31, 2025, and 2024, and for each o three years in the period ended December 31, 2025, and the effectiveness of the Company’s internal control financial reporting as of December 31, 2025, has been audited by PricewaterhouseCoopers LLP, an indepe registered public accounting firm, as stated in their report which appears herein.</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C. Attestation Report of Registered Public Accounting Firm</w:t>
      </w:r>
    </w:p>
    <w:p>
      <w:pPr>
        <w:spacing w:after="0" w:line="27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effectiveness of our internal controls over financial reporting has been audited by PricewaterhouseCoo LLP, an independent registered public accounting firm, who have expressed their opinion, which appears he</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D. Changes in Internal Controls Over Financial Reporting</w:t>
      </w:r>
    </w:p>
    <w:p>
      <w:pPr>
        <w:spacing w:after="0" w:line="279" w:lineRule="exact"/>
        <w:rPr>
          <w:sz w:val="20"/>
          <w:szCs w:val="20"/>
          <w:color w:val="auto"/>
        </w:rPr>
      </w:pPr>
    </w:p>
    <w:p>
      <w:pPr>
        <w:jc w:val="both"/>
        <w:ind w:left="900" w:right="20"/>
        <w:spacing w:after="0" w:line="311" w:lineRule="auto"/>
        <w:rPr>
          <w:sz w:val="20"/>
          <w:szCs w:val="20"/>
          <w:color w:val="auto"/>
        </w:rPr>
      </w:pPr>
      <w:r>
        <w:rPr>
          <w:rFonts w:ascii="Arial" w:cs="Arial" w:eastAsia="Arial" w:hAnsi="Arial"/>
          <w:sz w:val="20"/>
          <w:szCs w:val="20"/>
          <w:color w:val="auto"/>
        </w:rPr>
        <w:t>There have been no significant changes in our internal controls over financial reporting during the year e December 31, 2025, that have materially affected, or are reasonably likely to materially affect, our internal c over financial reporting.</w:t>
      </w:r>
    </w:p>
    <w:p>
      <w:pPr>
        <w:spacing w:after="0" w:line="216"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16. [RESERVED]</w:t>
      </w:r>
    </w:p>
    <w:p>
      <w:pPr>
        <w:spacing w:after="0" w:line="298"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16A. AUDIT COMMITTEE FINANCIAL EXPERT</w:t>
      </w:r>
    </w:p>
    <w:p>
      <w:pPr>
        <w:spacing w:after="0" w:line="293"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Board has determined that each of Robert Doyle and Calum Morrison (i) is an “audit committee fina expert” as defined in Item 407(d)(5)(ii) of Regulation S-K; and (ii) is independent (as determined under Exch Act Rule 10A-3 and the applicable NYSE rules).</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SEC has indicated that the designation or identification of a person as an audit committee financial e does not make such person an "expert" for any purpose, impose any duties, obligations or liability on such p that are greater than those imposed on members of the audit committee and the Board who do not carry designation or identification, or affect the duties, obligations or liability of any other member of the audit com or the Board.</w:t>
      </w:r>
    </w:p>
    <w:p>
      <w:pPr>
        <w:spacing w:after="0" w:line="214"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16B. CODE OF ETHICS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125 / 139</w:t>
      </w:r>
    </w:p>
    <w:p>
      <w:pPr>
        <w:sectPr>
          <w:pgSz w:w="11900" w:h="16838" w:orient="portrait"/>
          <w:cols w:equalWidth="0" w:num="1">
            <w:col w:w="10460"/>
          </w:cols>
          <w:pgMar w:left="1440" w:top="1440" w:right="6" w:bottom="0" w:gutter="0" w:footer="0" w:header="0"/>
          <w:type w:val="continuous"/>
        </w:sectPr>
      </w:pPr>
    </w:p>
    <w:bookmarkStart w:id="354" w:name="page355"/>
    <w:bookmarkEnd w:id="354"/>
    <w:p>
      <w:pPr>
        <w:jc w:val="both"/>
        <w:ind w:left="900"/>
        <w:spacing w:after="0" w:line="313" w:lineRule="auto"/>
        <w:rPr>
          <w:sz w:val="20"/>
          <w:szCs w:val="20"/>
          <w:color w:val="auto"/>
        </w:rPr>
      </w:pPr>
      <w:r>
        <w:rPr>
          <w:rFonts w:ascii="Arial" w:cs="Arial" w:eastAsia="Arial" w:hAnsi="Arial"/>
          <w:sz w:val="20"/>
          <w:szCs w:val="20"/>
          <w:color w:val="auto"/>
        </w:rPr>
        <w:t>On January 23, 2025, the Company adopted a new code of ethics as part of the transaction, entitled the Co Business Conduct and Ethics (the “</w:t>
      </w:r>
      <w:r>
        <w:rPr>
          <w:rFonts w:ascii="Arial" w:cs="Arial" w:eastAsia="Arial" w:hAnsi="Arial"/>
          <w:sz w:val="20"/>
          <w:szCs w:val="20"/>
          <w:b w:val="1"/>
          <w:bCs w:val="1"/>
          <w:color w:val="auto"/>
        </w:rPr>
        <w:t>Code</w:t>
      </w:r>
      <w:r>
        <w:rPr>
          <w:rFonts w:ascii="Arial" w:cs="Arial" w:eastAsia="Arial" w:hAnsi="Arial"/>
          <w:sz w:val="20"/>
          <w:szCs w:val="20"/>
          <w:color w:val="auto"/>
        </w:rPr>
        <w:t>”). The Code applies to all directors, officers and employees o Company, including the CEO and CFO. The Code replaces the Company’s prior code of conduct and con amendments to reflect the Company’s name change from “Lithium Americas (Argentina) Corp.” to “Lit Argentina AG”, to include provisions regarding anti-trust and fair competition matters, and other change housekeeping nature.</w:t>
      </w:r>
    </w:p>
    <w:p>
      <w:pPr>
        <w:spacing w:after="0" w:line="2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Since the adoption of the Code, there have not been any waivers, including implied waivers, from any provisi the Code. A copy of the Code can be found on the Company’s internet website at the following address: h www.lithium-argentina.com/. Notwithstanding any reference to the Company’s website or other websites in Annual Report or in the documents incorporated by reference herein or attached as Exhibits hereto information contained on the Company’s website or any other site shall be incorporated by reference in Annual Report or in the documents incorporated by reference herein or attached as Exhibits hereto, u explicitly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1090295</wp:posOffset>
            </wp:positionV>
            <wp:extent cx="6764020" cy="190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126 / 139</w:t>
      </w:r>
    </w:p>
    <w:p>
      <w:pPr>
        <w:sectPr>
          <w:pgSz w:w="11900" w:h="16838" w:orient="portrait"/>
          <w:cols w:equalWidth="0" w:num="1">
            <w:col w:w="10460"/>
          </w:cols>
          <w:pgMar w:left="1440" w:top="1172" w:right="6" w:bottom="0" w:gutter="0" w:footer="0" w:header="0"/>
          <w:type w:val="continuous"/>
        </w:sectPr>
      </w:pPr>
    </w:p>
    <w:bookmarkStart w:id="355" w:name="page356"/>
    <w:bookmarkEnd w:id="3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16C. PRINCIPAL ACCOUNTANT FEES AND SERVICES</w:t>
      </w:r>
    </w:p>
    <w:p>
      <w:pPr>
        <w:spacing w:after="0" w:line="293" w:lineRule="exact"/>
        <w:rPr>
          <w:sz w:val="20"/>
          <w:szCs w:val="20"/>
          <w:color w:val="auto"/>
        </w:rPr>
      </w:pPr>
    </w:p>
    <w:p>
      <w:pPr>
        <w:ind w:left="900" w:right="160"/>
        <w:spacing w:after="0" w:line="307" w:lineRule="auto"/>
        <w:rPr>
          <w:sz w:val="20"/>
          <w:szCs w:val="20"/>
          <w:color w:val="auto"/>
        </w:rPr>
      </w:pPr>
      <w:r>
        <w:rPr>
          <w:rFonts w:ascii="Arial" w:cs="Arial" w:eastAsia="Arial" w:hAnsi="Arial"/>
          <w:sz w:val="20"/>
          <w:szCs w:val="20"/>
          <w:color w:val="auto"/>
        </w:rPr>
        <w:t>The following table sets forth the aggregate fees billed by our Auditors, PricewaterhouseCoopers Vancouver, Canada (PCAOB ID #271), unless stated otherwise, for the years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196215</wp:posOffset>
            </wp:positionV>
            <wp:extent cx="6078220" cy="2857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16">
                      <a:extLst>
                        <a:ext uri="{28A0092B-C50C-407E-A947-70E740481C1C}"/>
                      </a:extLst>
                    </a:blip>
                    <a:srcRect/>
                    <a:stretch>
                      <a:fillRect/>
                    </a:stretch>
                  </pic:blipFill>
                  <pic:spPr bwMode="auto">
                    <a:xfrm>
                      <a:off x="0" y="0"/>
                      <a:ext cx="6078220" cy="28575"/>
                    </a:xfrm>
                    <a:prstGeom prst="rect">
                      <a:avLst/>
                    </a:prstGeom>
                    <a:noFill/>
                  </pic:spPr>
                </pic:pic>
              </a:graphicData>
            </a:graphic>
          </wp:anchor>
        </w:drawing>
      </w:r>
    </w:p>
    <w:p>
      <w:pPr>
        <w:spacing w:after="0" w:line="289" w:lineRule="exact"/>
        <w:rPr>
          <w:sz w:val="20"/>
          <w:szCs w:val="20"/>
          <w:color w:val="auto"/>
        </w:rPr>
      </w:pPr>
    </w:p>
    <w:tbl>
      <w:tblPr>
        <w:tblLayout w:type="fixed"/>
        <w:tblInd w:w="900" w:type="dxa"/>
        <w:tblCellMar>
          <w:top w:w="0" w:type="dxa"/>
          <w:left w:w="0" w:type="dxa"/>
          <w:bottom w:w="0" w:type="dxa"/>
          <w:right w:w="0" w:type="dxa"/>
        </w:tblCellMar>
      </w:tblPr>
      <w:tr>
        <w:trPr>
          <w:trHeight w:val="295"/>
        </w:trPr>
        <w:tc>
          <w:tcPr>
            <w:tcW w:w="3660" w:type="dxa"/>
            <w:vAlign w:val="bottom"/>
          </w:tcPr>
          <w:p>
            <w:pPr>
              <w:spacing w:after="0"/>
              <w:rPr>
                <w:sz w:val="24"/>
                <w:szCs w:val="24"/>
                <w:color w:val="auto"/>
              </w:rPr>
            </w:pPr>
          </w:p>
        </w:tc>
        <w:tc>
          <w:tcPr>
            <w:tcW w:w="422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 2024</w:t>
            </w:r>
          </w:p>
        </w:tc>
        <w:tc>
          <w:tcPr>
            <w:tcW w:w="1680" w:type="dxa"/>
            <w:vAlign w:val="bottom"/>
            <w:shd w:val="clear" w:color="auto" w:fill="D9D9D9"/>
          </w:tcPr>
          <w:p>
            <w:pPr>
              <w:jc w:val="right"/>
              <w:spacing w:after="0"/>
              <w:rPr>
                <w:sz w:val="20"/>
                <w:szCs w:val="20"/>
                <w:color w:val="auto"/>
              </w:rPr>
            </w:pPr>
            <w:r>
              <w:rPr>
                <w:rFonts w:ascii="Arial" w:cs="Arial" w:eastAsia="Arial" w:hAnsi="Arial"/>
                <w:sz w:val="18"/>
                <w:szCs w:val="18"/>
                <w:b w:val="1"/>
                <w:bCs w:val="1"/>
                <w:color w:val="auto"/>
              </w:rPr>
              <w:t>December 31, 20</w:t>
            </w:r>
          </w:p>
        </w:tc>
      </w:tr>
      <w:tr>
        <w:trPr>
          <w:trHeight w:val="296"/>
        </w:trPr>
        <w:tc>
          <w:tcPr>
            <w:tcW w:w="3660" w:type="dxa"/>
            <w:vAlign w:val="bottom"/>
          </w:tcPr>
          <w:p>
            <w:pPr>
              <w:spacing w:after="0"/>
              <w:rPr>
                <w:sz w:val="20"/>
                <w:szCs w:val="20"/>
                <w:color w:val="auto"/>
              </w:rPr>
            </w:pPr>
            <w:r>
              <w:rPr>
                <w:rFonts w:ascii="Arial" w:cs="Arial" w:eastAsia="Arial" w:hAnsi="Arial"/>
                <w:sz w:val="18"/>
                <w:szCs w:val="18"/>
                <w:color w:val="auto"/>
              </w:rPr>
              <w:t>Audit Fees</w:t>
            </w:r>
          </w:p>
        </w:tc>
        <w:tc>
          <w:tcPr>
            <w:tcW w:w="4220" w:type="dxa"/>
            <w:vAlign w:val="bottom"/>
          </w:tcPr>
          <w:p>
            <w:pPr>
              <w:jc w:val="right"/>
              <w:ind w:right="90"/>
              <w:spacing w:after="0"/>
              <w:rPr>
                <w:sz w:val="20"/>
                <w:szCs w:val="20"/>
                <w:color w:val="auto"/>
              </w:rPr>
            </w:pPr>
            <w:r>
              <w:rPr>
                <w:rFonts w:ascii="Arial" w:cs="Arial" w:eastAsia="Arial" w:hAnsi="Arial"/>
                <w:sz w:val="18"/>
                <w:szCs w:val="18"/>
                <w:color w:val="auto"/>
              </w:rPr>
              <w:t>$508,606</w:t>
            </w:r>
          </w:p>
        </w:tc>
        <w:tc>
          <w:tcPr>
            <w:tcW w:w="16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$1,13</w:t>
            </w:r>
          </w:p>
        </w:tc>
      </w:tr>
      <w:tr>
        <w:trPr>
          <w:trHeight w:val="296"/>
        </w:trPr>
        <w:tc>
          <w:tcPr>
            <w:tcW w:w="3660" w:type="dxa"/>
            <w:vAlign w:val="bottom"/>
          </w:tcPr>
          <w:p>
            <w:pPr>
              <w:spacing w:after="0"/>
              <w:rPr>
                <w:sz w:val="20"/>
                <w:szCs w:val="20"/>
                <w:color w:val="auto"/>
              </w:rPr>
            </w:pPr>
            <w:r>
              <w:rPr>
                <w:rFonts w:ascii="Arial" w:cs="Arial" w:eastAsia="Arial" w:hAnsi="Arial"/>
                <w:sz w:val="18"/>
                <w:szCs w:val="18"/>
                <w:color w:val="auto"/>
              </w:rPr>
              <w:t>Audit-Related Fees</w:t>
            </w:r>
          </w:p>
        </w:tc>
        <w:tc>
          <w:tcPr>
            <w:tcW w:w="4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r>
      <w:tr>
        <w:trPr>
          <w:trHeight w:val="296"/>
        </w:trPr>
        <w:tc>
          <w:tcPr>
            <w:tcW w:w="3660" w:type="dxa"/>
            <w:vAlign w:val="bottom"/>
          </w:tcPr>
          <w:p>
            <w:pPr>
              <w:spacing w:after="0"/>
              <w:rPr>
                <w:sz w:val="20"/>
                <w:szCs w:val="20"/>
                <w:color w:val="auto"/>
              </w:rPr>
            </w:pPr>
            <w:r>
              <w:rPr>
                <w:rFonts w:ascii="Arial" w:cs="Arial" w:eastAsia="Arial" w:hAnsi="Arial"/>
                <w:sz w:val="18"/>
                <w:szCs w:val="18"/>
                <w:color w:val="auto"/>
              </w:rPr>
              <w:t>Tax Fees</w:t>
            </w:r>
          </w:p>
        </w:tc>
        <w:tc>
          <w:tcPr>
            <w:tcW w:w="4220" w:type="dxa"/>
            <w:vAlign w:val="bottom"/>
          </w:tcPr>
          <w:p>
            <w:pPr>
              <w:jc w:val="right"/>
              <w:ind w:right="90"/>
              <w:spacing w:after="0"/>
              <w:rPr>
                <w:sz w:val="20"/>
                <w:szCs w:val="20"/>
                <w:color w:val="auto"/>
              </w:rPr>
            </w:pPr>
            <w:r>
              <w:rPr>
                <w:rFonts w:ascii="Arial" w:cs="Arial" w:eastAsia="Arial" w:hAnsi="Arial"/>
                <w:sz w:val="18"/>
                <w:szCs w:val="18"/>
                <w:color w:val="auto"/>
              </w:rPr>
              <w:t>$650,522</w:t>
            </w:r>
          </w:p>
        </w:tc>
        <w:tc>
          <w:tcPr>
            <w:tcW w:w="16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$98</w:t>
            </w:r>
          </w:p>
        </w:tc>
      </w:tr>
      <w:tr>
        <w:trPr>
          <w:trHeight w:val="296"/>
        </w:trPr>
        <w:tc>
          <w:tcPr>
            <w:tcW w:w="3660" w:type="dxa"/>
            <w:vAlign w:val="bottom"/>
          </w:tcPr>
          <w:p>
            <w:pPr>
              <w:spacing w:after="0"/>
              <w:rPr>
                <w:sz w:val="20"/>
                <w:szCs w:val="20"/>
                <w:color w:val="auto"/>
              </w:rPr>
            </w:pPr>
            <w:r>
              <w:rPr>
                <w:rFonts w:ascii="Arial" w:cs="Arial" w:eastAsia="Arial" w:hAnsi="Arial"/>
                <w:sz w:val="18"/>
                <w:szCs w:val="18"/>
                <w:color w:val="auto"/>
              </w:rPr>
              <w:t>All Other Fees</w:t>
            </w:r>
          </w:p>
        </w:tc>
        <w:tc>
          <w:tcPr>
            <w:tcW w:w="4220" w:type="dxa"/>
            <w:vAlign w:val="bottom"/>
          </w:tcPr>
          <w:p>
            <w:pPr>
              <w:jc w:val="right"/>
              <w:ind w:right="90"/>
              <w:spacing w:after="0"/>
              <w:rPr>
                <w:sz w:val="20"/>
                <w:szCs w:val="20"/>
                <w:color w:val="auto"/>
              </w:rPr>
            </w:pPr>
            <w:r>
              <w:rPr>
                <w:rFonts w:ascii="Arial" w:cs="Arial" w:eastAsia="Arial" w:hAnsi="Arial"/>
                <w:sz w:val="18"/>
                <w:szCs w:val="18"/>
                <w:color w:val="auto"/>
              </w:rPr>
              <w:t>$2,343</w:t>
            </w:r>
          </w:p>
        </w:tc>
        <w:tc>
          <w:tcPr>
            <w:tcW w:w="16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r>
      <w:tr>
        <w:trPr>
          <w:trHeight w:val="296"/>
        </w:trPr>
        <w:tc>
          <w:tcPr>
            <w:tcW w:w="3660" w:type="dxa"/>
            <w:vAlign w:val="bottom"/>
          </w:tcPr>
          <w:p>
            <w:pPr>
              <w:spacing w:after="0"/>
              <w:rPr>
                <w:sz w:val="20"/>
                <w:szCs w:val="20"/>
                <w:color w:val="auto"/>
              </w:rPr>
            </w:pPr>
            <w:r>
              <w:rPr>
                <w:rFonts w:ascii="Arial" w:cs="Arial" w:eastAsia="Arial" w:hAnsi="Arial"/>
                <w:sz w:val="18"/>
                <w:szCs w:val="18"/>
                <w:color w:val="auto"/>
              </w:rPr>
              <w:t>Total Fees</w:t>
            </w:r>
          </w:p>
        </w:tc>
        <w:tc>
          <w:tcPr>
            <w:tcW w:w="4220" w:type="dxa"/>
            <w:vAlign w:val="bottom"/>
          </w:tcPr>
          <w:p>
            <w:pPr>
              <w:jc w:val="right"/>
              <w:ind w:right="90"/>
              <w:spacing w:after="0"/>
              <w:rPr>
                <w:sz w:val="20"/>
                <w:szCs w:val="20"/>
                <w:color w:val="auto"/>
              </w:rPr>
            </w:pPr>
            <w:r>
              <w:rPr>
                <w:rFonts w:ascii="Arial" w:cs="Arial" w:eastAsia="Arial" w:hAnsi="Arial"/>
                <w:sz w:val="18"/>
                <w:szCs w:val="18"/>
                <w:color w:val="auto"/>
              </w:rPr>
              <w:t>$1,161,471</w:t>
            </w:r>
          </w:p>
        </w:tc>
        <w:tc>
          <w:tcPr>
            <w:tcW w:w="16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$2,13</w:t>
            </w:r>
          </w:p>
        </w:tc>
      </w:tr>
      <w:tr>
        <w:trPr>
          <w:trHeight w:val="81"/>
        </w:trPr>
        <w:tc>
          <w:tcPr>
            <w:tcW w:w="3660" w:type="dxa"/>
            <w:vAlign w:val="bottom"/>
          </w:tcPr>
          <w:p>
            <w:pPr>
              <w:spacing w:after="0"/>
              <w:rPr>
                <w:sz w:val="7"/>
                <w:szCs w:val="7"/>
                <w:color w:val="auto"/>
              </w:rPr>
            </w:pPr>
          </w:p>
        </w:tc>
        <w:tc>
          <w:tcPr>
            <w:tcW w:w="4220" w:type="dxa"/>
            <w:vAlign w:val="bottom"/>
          </w:tcPr>
          <w:p>
            <w:pPr>
              <w:spacing w:after="0"/>
              <w:rPr>
                <w:sz w:val="7"/>
                <w:szCs w:val="7"/>
                <w:color w:val="auto"/>
              </w:rPr>
            </w:pPr>
          </w:p>
        </w:tc>
        <w:tc>
          <w:tcPr>
            <w:tcW w:w="1680" w:type="dxa"/>
            <w:vAlign w:val="bottom"/>
            <w:shd w:val="clear" w:color="auto" w:fill="D9D9D9"/>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-967740</wp:posOffset>
            </wp:positionV>
            <wp:extent cx="6078220" cy="63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17">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-779780</wp:posOffset>
            </wp:positionV>
            <wp:extent cx="6078220" cy="63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18">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-591820</wp:posOffset>
            </wp:positionV>
            <wp:extent cx="6078220" cy="63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19">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-403860</wp:posOffset>
            </wp:positionV>
            <wp:extent cx="6078220" cy="63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0">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-215900</wp:posOffset>
            </wp:positionV>
            <wp:extent cx="6078220" cy="63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1">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-27940</wp:posOffset>
            </wp:positionV>
            <wp:extent cx="6078220" cy="285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2">
                      <a:extLst>
                        <a:ext uri="{28A0092B-C50C-407E-A947-70E740481C1C}"/>
                      </a:extLst>
                    </a:blip>
                    <a:srcRect/>
                    <a:stretch>
                      <a:fillRect/>
                    </a:stretch>
                  </pic:blipFill>
                  <pic:spPr bwMode="auto">
                    <a:xfrm>
                      <a:off x="0" y="0"/>
                      <a:ext cx="6078220" cy="28575"/>
                    </a:xfrm>
                    <a:prstGeom prst="rect">
                      <a:avLst/>
                    </a:prstGeom>
                    <a:noFill/>
                  </pic:spPr>
                </pic:pic>
              </a:graphicData>
            </a:graphic>
          </wp:anchor>
        </w:drawing>
      </w:r>
    </w:p>
    <w:p>
      <w:pPr>
        <w:spacing w:after="0" w:line="313"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Notes:</w:t>
      </w:r>
    </w:p>
    <w:p>
      <w:pPr>
        <w:spacing w:after="0" w:line="116" w:lineRule="exact"/>
        <w:rPr>
          <w:sz w:val="20"/>
          <w:szCs w:val="20"/>
          <w:color w:val="auto"/>
        </w:rPr>
      </w:pPr>
    </w:p>
    <w:p>
      <w:pPr>
        <w:ind w:left="1260" w:hanging="366"/>
        <w:spacing w:after="0"/>
        <w:tabs>
          <w:tab w:leader="none" w:pos="126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Audit Fees. The aggregate audit fees billed by the Company’s Auditor.</w:t>
      </w:r>
    </w:p>
    <w:p>
      <w:pPr>
        <w:spacing w:after="0" w:line="137" w:lineRule="exact"/>
        <w:rPr>
          <w:rFonts w:ascii="Arial" w:cs="Arial" w:eastAsia="Arial" w:hAnsi="Arial"/>
          <w:sz w:val="20"/>
          <w:szCs w:val="20"/>
          <w:color w:val="auto"/>
        </w:rPr>
      </w:pPr>
    </w:p>
    <w:p>
      <w:pPr>
        <w:jc w:val="both"/>
        <w:ind w:left="1260" w:hanging="366"/>
        <w:spacing w:after="0" w:line="372" w:lineRule="auto"/>
        <w:tabs>
          <w:tab w:leader="none" w:pos="126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Audit-Related Fees. This category refers to the aggregate fees incurred for assurance and related ser that are reasonably related to the performance of the audit or review of the Company’s financial statem and are not reported under audit fees.</w:t>
      </w:r>
    </w:p>
    <w:p>
      <w:pPr>
        <w:spacing w:after="0" w:line="10" w:lineRule="exact"/>
        <w:rPr>
          <w:rFonts w:ascii="Arial" w:cs="Arial" w:eastAsia="Arial" w:hAnsi="Arial"/>
          <w:sz w:val="20"/>
          <w:szCs w:val="20"/>
          <w:color w:val="auto"/>
        </w:rPr>
      </w:pPr>
    </w:p>
    <w:p>
      <w:pPr>
        <w:ind w:left="1260" w:hanging="366"/>
        <w:spacing w:after="0" w:line="368" w:lineRule="auto"/>
        <w:tabs>
          <w:tab w:leader="none" w:pos="126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Tax Fees. This category includes the aggregate fees billed for professional services provided by the Au rendered for tax compliance, tax advice and tax planning.</w:t>
      </w:r>
    </w:p>
    <w:p>
      <w:pPr>
        <w:spacing w:after="0" w:line="7" w:lineRule="exact"/>
        <w:rPr>
          <w:rFonts w:ascii="Arial" w:cs="Arial" w:eastAsia="Arial" w:hAnsi="Arial"/>
          <w:sz w:val="20"/>
          <w:szCs w:val="20"/>
          <w:color w:val="auto"/>
        </w:rPr>
      </w:pPr>
    </w:p>
    <w:p>
      <w:pPr>
        <w:ind w:left="1260" w:hanging="366"/>
        <w:spacing w:after="0"/>
        <w:tabs>
          <w:tab w:leader="none" w:pos="126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All Other Fees. This category includes fees billed for a subscription to accounting publications.</w:t>
      </w:r>
    </w:p>
    <w:p>
      <w:pPr>
        <w:spacing w:after="0" w:line="286"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Pre-Approval Policies and Procedures</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 xml:space="preserve">The Audit and Risk Committee Chair is authorized to pre-approve all non-audit services to be provided t Company or its subsidiary entities by the Company’s </w:t>
      </w:r>
      <w:r>
        <w:rPr>
          <w:rFonts w:ascii="Arial" w:cs="Arial" w:eastAsia="Arial" w:hAnsi="Arial"/>
          <w:sz w:val="20"/>
          <w:szCs w:val="20"/>
          <w:u w:val="single" w:color="auto"/>
          <w:color w:val="auto"/>
        </w:rPr>
        <w:t>Auditor</w:t>
      </w:r>
      <w:r>
        <w:rPr>
          <w:rFonts w:ascii="Arial" w:cs="Arial" w:eastAsia="Arial" w:hAnsi="Arial"/>
          <w:sz w:val="20"/>
          <w:szCs w:val="20"/>
          <w:color w:val="auto"/>
        </w:rPr>
        <w:t>, subject to the Chair reporting the pre-approval the Audit and Risk Committee at the Committee’s meeting subsequent to said approval(s).</w:t>
      </w:r>
    </w:p>
    <w:p>
      <w:pPr>
        <w:spacing w:after="0" w:line="227" w:lineRule="exact"/>
        <w:rPr>
          <w:sz w:val="20"/>
          <w:szCs w:val="20"/>
          <w:color w:val="auto"/>
        </w:rPr>
      </w:pPr>
    </w:p>
    <w:p>
      <w:pPr>
        <w:ind w:left="900" w:right="80"/>
        <w:spacing w:after="0" w:line="305" w:lineRule="auto"/>
        <w:rPr>
          <w:sz w:val="20"/>
          <w:szCs w:val="20"/>
          <w:color w:val="auto"/>
        </w:rPr>
      </w:pPr>
      <w:r>
        <w:rPr>
          <w:rFonts w:ascii="Arial" w:cs="Arial" w:eastAsia="Arial" w:hAnsi="Arial"/>
          <w:sz w:val="28"/>
          <w:szCs w:val="28"/>
          <w:b w:val="1"/>
          <w:bCs w:val="1"/>
          <w:color w:val="auto"/>
        </w:rPr>
        <w:t>ITEM 16D. EXEMPTIONS FROM THE LISTING STANDARDS FOR AU COMMITTEES</w:t>
      </w:r>
    </w:p>
    <w:p>
      <w:pPr>
        <w:spacing w:after="0" w:line="199"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 applicable.</w:t>
      </w:r>
    </w:p>
    <w:p>
      <w:pPr>
        <w:spacing w:after="0" w:line="294" w:lineRule="exact"/>
        <w:rPr>
          <w:sz w:val="20"/>
          <w:szCs w:val="20"/>
          <w:color w:val="auto"/>
        </w:rPr>
      </w:pPr>
    </w:p>
    <w:p>
      <w:pPr>
        <w:ind w:left="900" w:right="20"/>
        <w:spacing w:after="0" w:line="305" w:lineRule="auto"/>
        <w:rPr>
          <w:sz w:val="20"/>
          <w:szCs w:val="20"/>
          <w:color w:val="auto"/>
        </w:rPr>
      </w:pPr>
      <w:r>
        <w:rPr>
          <w:rFonts w:ascii="Arial" w:cs="Arial" w:eastAsia="Arial" w:hAnsi="Arial"/>
          <w:sz w:val="28"/>
          <w:szCs w:val="28"/>
          <w:b w:val="1"/>
          <w:bCs w:val="1"/>
          <w:color w:val="auto"/>
        </w:rPr>
        <w:t>ITEM 16E. PURCHASES OF EQUITY SECURITIES BY THE ISSUER A AFFILIATED PURCHASERS</w:t>
      </w:r>
    </w:p>
    <w:p>
      <w:pPr>
        <w:spacing w:after="0" w:line="199"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 applicable.</w:t>
      </w:r>
    </w:p>
    <w:p>
      <w:pPr>
        <w:spacing w:after="0" w:line="284"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16F. CHANGE IN REGISTRANT'S CERTIFYING ACCOUNTANT</w:t>
      </w:r>
    </w:p>
    <w:p>
      <w:pPr>
        <w:spacing w:after="0" w:line="286"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 applicable.</w:t>
      </w:r>
    </w:p>
    <w:p>
      <w:pPr>
        <w:spacing w:after="0" w:line="284"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16G. CORPORATE GOVERNANCE</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27"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127 / 139</w:t>
      </w:r>
    </w:p>
    <w:p>
      <w:pPr>
        <w:sectPr>
          <w:pgSz w:w="11900" w:h="16838" w:orient="portrait"/>
          <w:cols w:equalWidth="0" w:num="1">
            <w:col w:w="10460"/>
          </w:cols>
          <w:pgMar w:left="1440" w:top="1440" w:right="6" w:bottom="0" w:gutter="0" w:footer="0" w:header="0"/>
          <w:type w:val="continuous"/>
        </w:sectPr>
      </w:pPr>
    </w:p>
    <w:bookmarkStart w:id="356" w:name="page357"/>
    <w:bookmarkEnd w:id="356"/>
    <w:p>
      <w:pPr>
        <w:jc w:val="both"/>
        <w:ind w:left="900"/>
        <w:spacing w:after="0" w:line="313" w:lineRule="auto"/>
        <w:rPr>
          <w:sz w:val="20"/>
          <w:szCs w:val="20"/>
          <w:color w:val="auto"/>
        </w:rPr>
      </w:pPr>
      <w:r>
        <w:rPr>
          <w:rFonts w:ascii="Arial" w:cs="Arial" w:eastAsia="Arial" w:hAnsi="Arial"/>
          <w:sz w:val="20"/>
          <w:szCs w:val="20"/>
          <w:color w:val="auto"/>
        </w:rPr>
        <w:t xml:space="preserve">The Company’s Shares are listed in the United States on the NYSE and in Canada on the TSX. The Compa incorporated under the laws of Switzerland listed on the TSX and is a “foreign private issuer” as defined in 3b-4 under the Exchange Act. The Company has in place a system of corporate governance practices which line with applicable Canadian requirements, including National Instrument 58-101 </w:t>
      </w:r>
      <w:r>
        <w:rPr>
          <w:rFonts w:ascii="Arial" w:cs="Arial" w:eastAsia="Arial" w:hAnsi="Arial"/>
          <w:sz w:val="20"/>
          <w:szCs w:val="20"/>
          <w:i w:val="1"/>
          <w:iCs w:val="1"/>
          <w:color w:val="auto"/>
        </w:rPr>
        <w:t>Disclosure of Corpo</w:t>
      </w:r>
      <w:r>
        <w:rPr>
          <w:rFonts w:ascii="Arial" w:cs="Arial" w:eastAsia="Arial" w:hAnsi="Arial"/>
          <w:sz w:val="20"/>
          <w:szCs w:val="20"/>
          <w:color w:val="auto"/>
        </w:rPr>
        <w:t xml:space="preserve"> </w:t>
      </w:r>
      <w:r>
        <w:rPr>
          <w:rFonts w:ascii="Arial" w:cs="Arial" w:eastAsia="Arial" w:hAnsi="Arial"/>
          <w:sz w:val="20"/>
          <w:szCs w:val="20"/>
          <w:i w:val="1"/>
          <w:iCs w:val="1"/>
          <w:color w:val="auto"/>
        </w:rPr>
        <w:t>Governance Practices</w:t>
      </w:r>
      <w:r>
        <w:rPr>
          <w:rFonts w:ascii="Arial" w:cs="Arial" w:eastAsia="Arial" w:hAnsi="Arial"/>
          <w:sz w:val="20"/>
          <w:szCs w:val="20"/>
          <w:color w:val="auto"/>
        </w:rPr>
        <w:t>, National Policy 58-201</w:t>
      </w:r>
      <w:r>
        <w:rPr>
          <w:rFonts w:ascii="Arial" w:cs="Arial" w:eastAsia="Arial" w:hAnsi="Arial"/>
          <w:sz w:val="20"/>
          <w:szCs w:val="20"/>
          <w:i w:val="1"/>
          <w:iCs w:val="1"/>
          <w:color w:val="auto"/>
        </w:rPr>
        <w:t xml:space="preserve"> Corporate Governance Guidelines</w:t>
      </w:r>
      <w:r>
        <w:rPr>
          <w:rFonts w:ascii="Arial" w:cs="Arial" w:eastAsia="Arial" w:hAnsi="Arial"/>
          <w:sz w:val="20"/>
          <w:szCs w:val="20"/>
          <w:color w:val="auto"/>
        </w:rPr>
        <w:t>, National Instrument 52</w:t>
      </w:r>
      <w:r>
        <w:rPr>
          <w:rFonts w:ascii="Arial" w:cs="Arial" w:eastAsia="Arial" w:hAnsi="Arial"/>
          <w:sz w:val="20"/>
          <w:szCs w:val="20"/>
          <w:i w:val="1"/>
          <w:iCs w:val="1"/>
          <w:color w:val="auto"/>
        </w:rPr>
        <w:t xml:space="preserve"> Audit Committees </w:t>
      </w:r>
      <w:r>
        <w:rPr>
          <w:rFonts w:ascii="Arial" w:cs="Arial" w:eastAsia="Arial" w:hAnsi="Arial"/>
          <w:sz w:val="20"/>
          <w:szCs w:val="20"/>
          <w:color w:val="auto"/>
        </w:rPr>
        <w:t>and rules of the TSX. Section 303A of the NYSE Listed Company Manual permits the NY</w:t>
      </w:r>
      <w:r>
        <w:rPr>
          <w:rFonts w:ascii="Arial" w:cs="Arial" w:eastAsia="Arial" w:hAnsi="Arial"/>
          <w:sz w:val="20"/>
          <w:szCs w:val="20"/>
          <w:i w:val="1"/>
          <w:iCs w:val="1"/>
          <w:color w:val="auto"/>
        </w:rPr>
        <w:t xml:space="preserve"> </w:t>
      </w:r>
      <w:r>
        <w:rPr>
          <w:rFonts w:ascii="Arial" w:cs="Arial" w:eastAsia="Arial" w:hAnsi="Arial"/>
          <w:sz w:val="20"/>
          <w:szCs w:val="20"/>
          <w:color w:val="auto"/>
        </w:rPr>
        <w:t>consider the laws, customs and practices of foreign private issuers in relaxing certain NYSE listing criteria, a grant exemptions from NYSE listing criteria based on these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1091565</wp:posOffset>
            </wp:positionV>
            <wp:extent cx="6764020" cy="190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128 / 139</w:t>
      </w:r>
    </w:p>
    <w:p>
      <w:pPr>
        <w:sectPr>
          <w:pgSz w:w="11900" w:h="16838" w:orient="portrait"/>
          <w:cols w:equalWidth="0" w:num="1">
            <w:col w:w="10460"/>
          </w:cols>
          <w:pgMar w:left="1440" w:top="1172" w:right="6" w:bottom="0" w:gutter="0" w:footer="0" w:header="0"/>
          <w:type w:val="continuous"/>
        </w:sectPr>
      </w:pPr>
    </w:p>
    <w:bookmarkStart w:id="357" w:name="page358"/>
    <w:bookmarkEnd w:id="3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Shareholder Meeting Quorum Requirement</w:t>
      </w:r>
    </w:p>
    <w:p>
      <w:pPr>
        <w:spacing w:after="0" w:line="279"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The NYSE typically expects listed companies to have a quorum requirement of a majority of the comp outstanding shares. There is no precisely corresponding requirement under Swiss law, however the Comp Articles of Association provide for quorum requirements. For resolutions or elections to be passed shareholders' meeting, at least two shareholders entitled to vote, either in person or by proxy, must be prese the commencement of the meeting and collectively represent at least 5% of the issued shares entitled to vo the meeting.</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Shareholder Approval Requirement for Issuing Securities</w:t>
      </w:r>
    </w:p>
    <w:p>
      <w:pPr>
        <w:spacing w:after="0" w:line="279" w:lineRule="exact"/>
        <w:rPr>
          <w:sz w:val="20"/>
          <w:szCs w:val="20"/>
          <w:color w:val="auto"/>
        </w:rPr>
      </w:pPr>
    </w:p>
    <w:p>
      <w:pPr>
        <w:jc w:val="both"/>
        <w:ind w:left="900"/>
        <w:spacing w:after="0" w:line="315" w:lineRule="auto"/>
        <w:rPr>
          <w:sz w:val="20"/>
          <w:szCs w:val="20"/>
          <w:color w:val="auto"/>
        </w:rPr>
      </w:pPr>
      <w:r>
        <w:rPr>
          <w:rFonts w:ascii="Arial" w:cs="Arial" w:eastAsia="Arial" w:hAnsi="Arial"/>
          <w:sz w:val="20"/>
          <w:szCs w:val="20"/>
          <w:color w:val="auto"/>
        </w:rPr>
        <w:t>The NYSE requires a listed company to obtain the approval of its shareholders for certain types of secu issuances, including any transaction or series of transactions that would result in the issuance of Share securities convertible into Shares) equal to 20% or more of presently outstanding shares (other than a p offering for cash or in certain other cases of financings for cash). The Company is also subject to requirements, unless certain exemptions</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are available.</w:t>
      </w:r>
    </w:p>
    <w:p>
      <w:pPr>
        <w:spacing w:after="0" w:line="109" w:lineRule="exact"/>
        <w:rPr>
          <w:sz w:val="20"/>
          <w:szCs w:val="20"/>
          <w:color w:val="auto"/>
        </w:rPr>
      </w:pPr>
    </w:p>
    <w:p>
      <w:pPr>
        <w:ind w:left="900"/>
        <w:spacing w:after="0" w:line="331" w:lineRule="auto"/>
        <w:rPr>
          <w:sz w:val="20"/>
          <w:szCs w:val="20"/>
          <w:color w:val="auto"/>
        </w:rPr>
      </w:pPr>
      <w:r>
        <w:rPr>
          <w:rFonts w:ascii="Arial" w:cs="Arial" w:eastAsia="Arial" w:hAnsi="Arial"/>
          <w:sz w:val="19"/>
          <w:szCs w:val="19"/>
          <w:color w:val="auto"/>
        </w:rPr>
        <w:t>According to Swiss law, a company's share capital may be increased by issuing new shares through an ord share capital increase, which requires approval by the shareholders and must be carried out by the Board six months of the respective general meeting in order to become effective. Further, the shareholders authorize the Board, by a resolution passed by two-thirds of the voting rights represented at a general meeti shareholders and the absolute majority of the nominal/par value of the shares represented at such meetin increase the share capital by a specific aggregate nominal amount, up to a maximum of 50% of the share ca</w:t>
      </w:r>
    </w:p>
    <w:p>
      <w:pPr>
        <w:spacing w:after="0" w:line="3" w:lineRule="exact"/>
        <w:rPr>
          <w:sz w:val="20"/>
          <w:szCs w:val="20"/>
          <w:color w:val="auto"/>
        </w:rPr>
      </w:pPr>
    </w:p>
    <w:p>
      <w:pPr>
        <w:jc w:val="both"/>
        <w:ind w:left="900" w:hanging="6"/>
        <w:spacing w:after="0" w:line="314" w:lineRule="auto"/>
        <w:tabs>
          <w:tab w:leader="none" w:pos="1197" w:val="left"/>
        </w:tabs>
        <w:numPr>
          <w:ilvl w:val="0"/>
          <w:numId w:val="123"/>
        </w:numPr>
        <w:rPr>
          <w:rFonts w:ascii="Arial" w:cs="Arial" w:eastAsia="Arial" w:hAnsi="Arial"/>
          <w:sz w:val="20"/>
          <w:szCs w:val="20"/>
          <w:color w:val="auto"/>
        </w:rPr>
      </w:pPr>
      <w:r>
        <w:rPr>
          <w:rFonts w:ascii="Arial" w:cs="Arial" w:eastAsia="Arial" w:hAnsi="Arial"/>
          <w:sz w:val="20"/>
          <w:szCs w:val="20"/>
          <w:color w:val="auto"/>
        </w:rPr>
        <w:t>within the capital band (</w:t>
      </w:r>
      <w:r>
        <w:rPr>
          <w:rFonts w:ascii="Arial" w:cs="Arial" w:eastAsia="Arial" w:hAnsi="Arial"/>
          <w:sz w:val="20"/>
          <w:szCs w:val="20"/>
          <w:i w:val="1"/>
          <w:iCs w:val="1"/>
          <w:color w:val="auto"/>
        </w:rPr>
        <w:t>Kapitalband</w:t>
      </w:r>
      <w:r>
        <w:rPr>
          <w:rFonts w:ascii="Arial" w:cs="Arial" w:eastAsia="Arial" w:hAnsi="Arial"/>
          <w:sz w:val="20"/>
          <w:szCs w:val="20"/>
          <w:color w:val="auto"/>
        </w:rPr>
        <w:t>), to be utilized by the Board within a period determined by shareholders but not exceeding five years from the date of the shareholder approval; or (ii) from the condit capital (</w:t>
      </w:r>
      <w:r>
        <w:rPr>
          <w:rFonts w:ascii="Arial" w:cs="Arial" w:eastAsia="Arial" w:hAnsi="Arial"/>
          <w:sz w:val="20"/>
          <w:szCs w:val="20"/>
          <w:i w:val="1"/>
          <w:iCs w:val="1"/>
          <w:color w:val="auto"/>
        </w:rPr>
        <w:t>bedingtes Kapital</w:t>
      </w:r>
      <w:r>
        <w:rPr>
          <w:rFonts w:ascii="Arial" w:cs="Arial" w:eastAsia="Arial" w:hAnsi="Arial"/>
          <w:sz w:val="20"/>
          <w:szCs w:val="20"/>
          <w:color w:val="auto"/>
        </w:rPr>
        <w:t>) for the purpose of issuing shares in connection with, among other things, (i) optio conversion rights granted in connection with warrants and convertible rights or one of its subsidiaries or (ii) g of rights to employees, members of the Board, consultants or other persons providing services to the compa a subsidiary to subscribe for new shares (conversion or option rights), without further shareholders' appr provided the company's Articles of Association delegate such authority to the Board. The Company's Articl Association provide for such capital band, conditional capital for financing purposes and conditional capit equity incentive plans.</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Shareholder Approval Requirements for Equity Compensation Plans</w:t>
      </w:r>
    </w:p>
    <w:p>
      <w:pPr>
        <w:spacing w:after="0" w:line="279" w:lineRule="exact"/>
        <w:rPr>
          <w:sz w:val="20"/>
          <w:szCs w:val="20"/>
          <w:color w:val="auto"/>
        </w:rPr>
      </w:pPr>
    </w:p>
    <w:p>
      <w:pPr>
        <w:jc w:val="both"/>
        <w:ind w:left="900"/>
        <w:spacing w:after="0" w:line="315" w:lineRule="auto"/>
        <w:rPr>
          <w:sz w:val="20"/>
          <w:szCs w:val="20"/>
          <w:color w:val="auto"/>
        </w:rPr>
      </w:pPr>
      <w:r>
        <w:rPr>
          <w:rFonts w:ascii="Arial" w:cs="Arial" w:eastAsia="Arial" w:hAnsi="Arial"/>
          <w:sz w:val="20"/>
          <w:szCs w:val="20"/>
          <w:color w:val="auto"/>
        </w:rPr>
        <w:t>The NYSE requires shareholder approval of all equity compensation plans and material revisions to such p with limited exemptions set out in the NYSE Listed Company Manual. No such rule applies to a S corporation, however shareholder approval is required as set forth above for the introduction of a so-c conditional capital in the Articles of Associations of the Company to issue shares under such equity compens plan, unless those shares are sourced from treasury shares of the Company. The Company is also subje TSX requirements, unless certain exemptions</w:t>
      </w:r>
      <w:r>
        <w:rPr>
          <w:rFonts w:ascii="Arial" w:cs="Arial" w:eastAsia="Arial" w:hAnsi="Arial"/>
          <w:sz w:val="26"/>
          <w:szCs w:val="26"/>
          <w:color w:val="auto"/>
          <w:vertAlign w:val="superscript"/>
        </w:rPr>
        <w:t>2</w:t>
      </w:r>
      <w:r>
        <w:rPr>
          <w:rFonts w:ascii="Arial" w:cs="Arial" w:eastAsia="Arial" w:hAnsi="Arial"/>
          <w:sz w:val="20"/>
          <w:szCs w:val="20"/>
          <w:color w:val="auto"/>
        </w:rPr>
        <w:t xml:space="preserve"> are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-5080</wp:posOffset>
            </wp:positionV>
            <wp:extent cx="1828800" cy="2857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4">
                      <a:extLst>
                        <a:ext uri="{28A0092B-C50C-407E-A947-70E740481C1C}"/>
                      </a:extLst>
                    </a:blip>
                    <a:srcRect/>
                    <a:stretch>
                      <a:fillRect/>
                    </a:stretch>
                  </pic:blipFill>
                  <pic:spPr bwMode="auto">
                    <a:xfrm>
                      <a:off x="0" y="0"/>
                      <a:ext cx="1828800" cy="28575"/>
                    </a:xfrm>
                    <a:prstGeom prst="rect">
                      <a:avLst/>
                    </a:prstGeom>
                    <a:noFill/>
                  </pic:spPr>
                </pic:pic>
              </a:graphicData>
            </a:graphic>
          </wp:anchor>
        </w:drawing>
      </w:r>
    </w:p>
    <w:p>
      <w:pPr>
        <w:spacing w:after="0" w:line="175" w:lineRule="exact"/>
        <w:rPr>
          <w:sz w:val="20"/>
          <w:szCs w:val="20"/>
          <w:color w:val="auto"/>
        </w:rPr>
      </w:pPr>
    </w:p>
    <w:p>
      <w:pPr>
        <w:jc w:val="both"/>
        <w:ind w:left="900" w:right="20" w:hanging="6"/>
        <w:spacing w:after="0" w:line="282" w:lineRule="auto"/>
        <w:tabs>
          <w:tab w:leader="none" w:pos="1030" w:val="left"/>
        </w:tabs>
        <w:numPr>
          <w:ilvl w:val="0"/>
          <w:numId w:val="124"/>
        </w:numPr>
        <w:rPr>
          <w:rFonts w:ascii="Arial" w:cs="Arial" w:eastAsia="Arial" w:hAnsi="Arial"/>
          <w:sz w:val="26"/>
          <w:szCs w:val="26"/>
          <w:color w:val="auto"/>
          <w:vertAlign w:val="superscript"/>
        </w:rPr>
      </w:pPr>
      <w:r>
        <w:rPr>
          <w:rFonts w:ascii="Arial" w:cs="Arial" w:eastAsia="Arial" w:hAnsi="Arial"/>
          <w:sz w:val="19"/>
          <w:szCs w:val="19"/>
          <w:color w:val="auto"/>
        </w:rPr>
        <w:t>Subject to meeting certain exemptions for “Eligible Interlisted Issuers”, the TSX requires shareholder appro for certain issuances of shares that: (i) materially affect control of the Company; or (ii) provide consideration insiders in aggregate of 10% or greater of the market capitalization of the listed issuer and have not been</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87"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129 / 139</w:t>
      </w:r>
    </w:p>
    <w:p>
      <w:pPr>
        <w:sectPr>
          <w:pgSz w:w="11900" w:h="16838" w:orient="portrait"/>
          <w:cols w:equalWidth="0" w:num="1">
            <w:col w:w="10460"/>
          </w:cols>
          <w:pgMar w:left="1440" w:top="1440" w:right="6" w:bottom="0" w:gutter="0" w:footer="0" w:header="0"/>
          <w:type w:val="continuous"/>
        </w:sectPr>
      </w:pPr>
    </w:p>
    <w:bookmarkStart w:id="358" w:name="page359"/>
    <w:bookmarkEnd w:id="358"/>
    <w:p>
      <w:pPr>
        <w:jc w:val="both"/>
        <w:ind w:left="900"/>
        <w:spacing w:after="0" w:line="313" w:lineRule="auto"/>
        <w:rPr>
          <w:sz w:val="20"/>
          <w:szCs w:val="20"/>
          <w:color w:val="auto"/>
        </w:rPr>
      </w:pPr>
      <w:r>
        <w:rPr>
          <w:rFonts w:ascii="Arial" w:cs="Arial" w:eastAsia="Arial" w:hAnsi="Arial"/>
          <w:sz w:val="20"/>
          <w:szCs w:val="20"/>
          <w:color w:val="auto"/>
        </w:rPr>
        <w:t>negotiated at arm’s length. Shareholder approval is also required, pursuant to TSX rules, in the case of priva placements: (i) for an aggregate number of listed securities issuable greater than 25% of the number of secu of the listed issuer which are outstanding, on a non-diluted basis, prior to the date of closing of the transactio the price per security is less than the market price; or (ii) that during any six month period are to insiders for l securities or options, rights or other entitlements to listed securities greater than 10% of the number of securi of the listed issuer which are outstanding, on a non-diluted basis, prior to the date of the closing of the first pr placement to an insider during the six month period.</w:t>
      </w:r>
    </w:p>
    <w:p>
      <w:pPr>
        <w:spacing w:after="0" w:line="314" w:lineRule="exact"/>
        <w:rPr>
          <w:sz w:val="20"/>
          <w:szCs w:val="20"/>
          <w:color w:val="auto"/>
        </w:rPr>
      </w:pPr>
    </w:p>
    <w:p>
      <w:pPr>
        <w:jc w:val="both"/>
        <w:ind w:left="900" w:hanging="6"/>
        <w:spacing w:after="0" w:line="264" w:lineRule="auto"/>
        <w:tabs>
          <w:tab w:leader="none" w:pos="1030" w:val="left"/>
        </w:tabs>
        <w:numPr>
          <w:ilvl w:val="0"/>
          <w:numId w:val="125"/>
        </w:numPr>
        <w:rPr>
          <w:rFonts w:ascii="Arial" w:cs="Arial" w:eastAsia="Arial" w:hAnsi="Arial"/>
          <w:sz w:val="27"/>
          <w:szCs w:val="27"/>
          <w:color w:val="auto"/>
          <w:vertAlign w:val="superscript"/>
        </w:rPr>
      </w:pPr>
      <w:r>
        <w:rPr>
          <w:rFonts w:ascii="Arial" w:cs="Arial" w:eastAsia="Arial" w:hAnsi="Arial"/>
          <w:sz w:val="20"/>
          <w:szCs w:val="20"/>
          <w:color w:val="auto"/>
        </w:rPr>
        <w:t>Subject to meeting certain exemptions for “Eligible Interlisted Issuers” TSX rules require shareholder appro “security-based compensation arrangements,” which are plans that involve newly issued shares, or specified amendments to such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1118870</wp:posOffset>
            </wp:positionV>
            <wp:extent cx="6764020" cy="1905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130 / 139</w:t>
      </w:r>
    </w:p>
    <w:p>
      <w:pPr>
        <w:sectPr>
          <w:pgSz w:w="11900" w:h="16838" w:orient="portrait"/>
          <w:cols w:equalWidth="0" w:num="1">
            <w:col w:w="10460"/>
          </w:cols>
          <w:pgMar w:left="1440" w:top="1172" w:right="6" w:bottom="0" w:gutter="0" w:footer="0" w:header="0"/>
          <w:type w:val="continuous"/>
        </w:sectPr>
      </w:pPr>
    </w:p>
    <w:bookmarkStart w:id="359" w:name="page360"/>
    <w:bookmarkEnd w:id="3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Proxy Delivery Requirements</w:t>
      </w:r>
    </w:p>
    <w:p>
      <w:pPr>
        <w:spacing w:after="0" w:line="279" w:lineRule="exact"/>
        <w:rPr>
          <w:sz w:val="20"/>
          <w:szCs w:val="20"/>
          <w:color w:val="auto"/>
        </w:rPr>
      </w:pPr>
    </w:p>
    <w:p>
      <w:pPr>
        <w:jc w:val="both"/>
        <w:ind w:left="900"/>
        <w:spacing w:after="0" w:line="299" w:lineRule="auto"/>
        <w:rPr>
          <w:sz w:val="20"/>
          <w:szCs w:val="20"/>
          <w:color w:val="auto"/>
        </w:rPr>
      </w:pPr>
      <w:r>
        <w:rPr>
          <w:rFonts w:ascii="Arial" w:cs="Arial" w:eastAsia="Arial" w:hAnsi="Arial"/>
          <w:sz w:val="20"/>
          <w:szCs w:val="20"/>
          <w:color w:val="auto"/>
        </w:rPr>
        <w:t>The NYSE requires the solicitation of proxies and delivery of proxy statements for all shareholder meetings requires that these proxies be solicited pursuant to a proxy statement that conforms to the proxy rules of the As a foreign private issuer, the Company is exempt from the proxy rules set forth under the Exchange Act. Company solicits proxies in accordance with applicable rules and regulations in Switzerland. As a reporting i in Canada, the Company must comply with Canadian requirements subject to certain exceptions</w:t>
      </w:r>
      <w:r>
        <w:rPr>
          <w:rFonts w:ascii="Arial" w:cs="Arial" w:eastAsia="Arial" w:hAnsi="Arial"/>
          <w:sz w:val="26"/>
          <w:szCs w:val="26"/>
          <w:color w:val="auto"/>
          <w:vertAlign w:val="superscript"/>
        </w:rPr>
        <w:t>3</w:t>
      </w:r>
      <w:r>
        <w:rPr>
          <w:rFonts w:ascii="Arial" w:cs="Arial" w:eastAsia="Arial" w:hAnsi="Arial"/>
          <w:sz w:val="20"/>
          <w:szCs w:val="20"/>
          <w:color w:val="auto"/>
        </w:rPr>
        <w:t>. The fore is consistent with the laws, customs, and practices in Switzerland and Canadian reporting requirements.</w:t>
      </w:r>
    </w:p>
    <w:p>
      <w:pPr>
        <w:spacing w:after="0" w:line="199"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foregoing is consistent with the laws, customs, and practices in Switzerland.</w:t>
      </w:r>
    </w:p>
    <w:p>
      <w:pPr>
        <w:spacing w:after="0" w:line="284"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16H. MINE SAFETY DISCLOSURE</w:t>
      </w:r>
    </w:p>
    <w:p>
      <w:pPr>
        <w:spacing w:after="0" w:line="293"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Pursuant to Section 1503(a) of the Dodd-Frank Act, issuers that are operators, or that have a subsidiary that operator, of a coal or other mine in the United States are required to disclose specified information about health and safety in their periodic reports. These reporting requirements are based on the safety and h requirements applicable to mines under the Federal Mine Safety and Health Act of 1977, which is administer the U.S. Department of Labor’s Mine Safety and Health Administration (“</w:t>
      </w:r>
      <w:r>
        <w:rPr>
          <w:rFonts w:ascii="Arial" w:cs="Arial" w:eastAsia="Arial" w:hAnsi="Arial"/>
          <w:sz w:val="20"/>
          <w:szCs w:val="20"/>
          <w:b w:val="1"/>
          <w:bCs w:val="1"/>
          <w:color w:val="auto"/>
        </w:rPr>
        <w:t>MSHA</w:t>
      </w:r>
      <w:r>
        <w:rPr>
          <w:rFonts w:ascii="Arial" w:cs="Arial" w:eastAsia="Arial" w:hAnsi="Arial"/>
          <w:sz w:val="20"/>
          <w:szCs w:val="20"/>
          <w:color w:val="auto"/>
        </w:rPr>
        <w:t>”) under the Federal Mine S and Health Act of 1977 (the “</w:t>
      </w:r>
      <w:r>
        <w:rPr>
          <w:rFonts w:ascii="Arial" w:cs="Arial" w:eastAsia="Arial" w:hAnsi="Arial"/>
          <w:sz w:val="20"/>
          <w:szCs w:val="20"/>
          <w:b w:val="1"/>
          <w:bCs w:val="1"/>
          <w:color w:val="auto"/>
        </w:rPr>
        <w:t>Mine Act</w:t>
      </w:r>
      <w:r>
        <w:rPr>
          <w:rFonts w:ascii="Arial" w:cs="Arial" w:eastAsia="Arial" w:hAnsi="Arial"/>
          <w:sz w:val="20"/>
          <w:szCs w:val="20"/>
          <w:color w:val="auto"/>
        </w:rPr>
        <w:t>”). During the year ended December 31, 2025, the Company had no m in the United States that were subject to regulation by the MSHA under the Mine Act and thus no disclosu required under Section 1503(a) of the Dodd-Frank Act.</w:t>
      </w:r>
    </w:p>
    <w:p>
      <w:pPr>
        <w:spacing w:after="0" w:line="231" w:lineRule="exact"/>
        <w:rPr>
          <w:sz w:val="20"/>
          <w:szCs w:val="20"/>
          <w:color w:val="auto"/>
        </w:rPr>
      </w:pPr>
    </w:p>
    <w:p>
      <w:pPr>
        <w:ind w:left="900" w:right="40"/>
        <w:spacing w:after="0" w:line="305" w:lineRule="auto"/>
        <w:rPr>
          <w:sz w:val="20"/>
          <w:szCs w:val="20"/>
          <w:color w:val="auto"/>
        </w:rPr>
      </w:pPr>
      <w:r>
        <w:rPr>
          <w:rFonts w:ascii="Arial" w:cs="Arial" w:eastAsia="Arial" w:hAnsi="Arial"/>
          <w:sz w:val="28"/>
          <w:szCs w:val="28"/>
          <w:b w:val="1"/>
          <w:bCs w:val="1"/>
          <w:color w:val="auto"/>
        </w:rPr>
        <w:t>ITEM 16I. DISCLOSURE REGARDING FOREIGN JURISDICTIONS TH PREVENT INSPECTIONS</w:t>
      </w:r>
    </w:p>
    <w:p>
      <w:pPr>
        <w:spacing w:after="0" w:line="199"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Not applicable.</w:t>
      </w:r>
    </w:p>
    <w:p>
      <w:pPr>
        <w:spacing w:after="0" w:line="284"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16J. INSIDER TRADING POLICIES</w:t>
      </w:r>
    </w:p>
    <w:p>
      <w:pPr>
        <w:spacing w:after="0" w:line="293"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The Company has adopted insider trading policies and procedures (the “</w:t>
      </w:r>
      <w:r>
        <w:rPr>
          <w:rFonts w:ascii="Arial" w:cs="Arial" w:eastAsia="Arial" w:hAnsi="Arial"/>
          <w:sz w:val="20"/>
          <w:szCs w:val="20"/>
          <w:b w:val="1"/>
          <w:bCs w:val="1"/>
          <w:color w:val="auto"/>
        </w:rPr>
        <w:t>Securities Trading Policy</w:t>
      </w:r>
      <w:r>
        <w:rPr>
          <w:rFonts w:ascii="Arial" w:cs="Arial" w:eastAsia="Arial" w:hAnsi="Arial"/>
          <w:sz w:val="20"/>
          <w:szCs w:val="20"/>
          <w:color w:val="auto"/>
        </w:rPr>
        <w:t>”) that g the purchase, sale, and other dispositions of the Company’s securities by directors, senior management, employees that are designed to promote compliance with applicable insider trading laws, rules and regulat and any listing standards applicable to the Company. The Securities Trading Policy, as amended in August is filed hereto as Exhibit 11.1.</w:t>
      </w:r>
    </w:p>
    <w:p>
      <w:pPr>
        <w:spacing w:after="0" w:line="214"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16K. CYBERSECURITY</w:t>
      </w:r>
    </w:p>
    <w:p>
      <w:pPr>
        <w:spacing w:after="0" w:line="286"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Cybersecurity Risk Management and Strategy</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Company recognizes the critical importance of cybersecurity in safeguarding its information as operational systems, and stakeholder interests. We have developed and implemented a cybersecurity management program designed to protect the confidentiality, integrity, and availability of our critical systems information.</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131 / 139</w:t>
      </w:r>
    </w:p>
    <w:p>
      <w:pPr>
        <w:sectPr>
          <w:pgSz w:w="11900" w:h="16838" w:orient="portrait"/>
          <w:cols w:equalWidth="0" w:num="1">
            <w:col w:w="10460"/>
          </w:cols>
          <w:pgMar w:left="1440" w:top="1440" w:right="6" w:bottom="0" w:gutter="0" w:footer="0" w:header="0"/>
          <w:type w:val="continuous"/>
        </w:sectPr>
      </w:pPr>
    </w:p>
    <w:bookmarkStart w:id="360" w:name="page361"/>
    <w:bookmarkEnd w:id="360"/>
    <w:p>
      <w:pPr>
        <w:jc w:val="both"/>
        <w:ind w:left="900"/>
        <w:spacing w:after="0" w:line="311" w:lineRule="auto"/>
        <w:rPr>
          <w:sz w:val="20"/>
          <w:szCs w:val="20"/>
          <w:color w:val="auto"/>
        </w:rPr>
      </w:pPr>
      <w:r>
        <w:rPr>
          <w:rFonts w:ascii="Arial" w:cs="Arial" w:eastAsia="Arial" w:hAnsi="Arial"/>
          <w:sz w:val="20"/>
          <w:szCs w:val="20"/>
          <w:color w:val="auto"/>
        </w:rPr>
        <w:t>To protect our systems and information from cybersecurity threats, we use a variety of security tools techniques. Given the Company's small corporate staff, cybersecurity risk management is primarily outsourc third-party service providers with expertise in cybersecurity threat detection, prevention, and incident respon</w:t>
      </w:r>
    </w:p>
    <w:p>
      <w:pPr>
        <w:spacing w:after="0" w:line="212"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Our cybersecurity risk management program is integrated into our overall enterprise risk management pro and shares common methodologies and reporting channels that apply across the enterprise risk manage program to other risk areas. Our Internal Audit &amp; Risk team is principally responsible for facilitating our enter risk management program, in consultation with multiple functions at the Company and reporting to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57785</wp:posOffset>
            </wp:positionV>
            <wp:extent cx="1828800" cy="2857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26">
                      <a:extLst>
                        <a:ext uri="{28A0092B-C50C-407E-A947-70E740481C1C}"/>
                      </a:extLst>
                    </a:blip>
                    <a:srcRect/>
                    <a:stretch>
                      <a:fillRect/>
                    </a:stretch>
                  </pic:blipFill>
                  <pic:spPr bwMode="auto">
                    <a:xfrm>
                      <a:off x="0" y="0"/>
                      <a:ext cx="1828800" cy="28575"/>
                    </a:xfrm>
                    <a:prstGeom prst="rect">
                      <a:avLst/>
                    </a:prstGeom>
                    <a:noFill/>
                  </pic:spPr>
                </pic:pic>
              </a:graphicData>
            </a:graphic>
          </wp:anchor>
        </w:drawing>
      </w:r>
    </w:p>
    <w:p>
      <w:pPr>
        <w:spacing w:after="0" w:line="187" w:lineRule="exact"/>
        <w:rPr>
          <w:sz w:val="20"/>
          <w:szCs w:val="20"/>
          <w:color w:val="auto"/>
        </w:rPr>
      </w:pPr>
    </w:p>
    <w:p>
      <w:pPr>
        <w:ind w:left="1020" w:hanging="126"/>
        <w:spacing w:after="0"/>
        <w:tabs>
          <w:tab w:leader="none" w:pos="1020" w:val="left"/>
        </w:tabs>
        <w:numPr>
          <w:ilvl w:val="0"/>
          <w:numId w:val="126"/>
        </w:numPr>
        <w:rPr>
          <w:rFonts w:ascii="Arial" w:cs="Arial" w:eastAsia="Arial" w:hAnsi="Arial"/>
          <w:sz w:val="27"/>
          <w:szCs w:val="27"/>
          <w:color w:val="auto"/>
          <w:vertAlign w:val="superscript"/>
        </w:rPr>
      </w:pPr>
      <w:r>
        <w:rPr>
          <w:rFonts w:ascii="Arial" w:cs="Arial" w:eastAsia="Arial" w:hAnsi="Arial"/>
          <w:sz w:val="20"/>
          <w:szCs w:val="20"/>
          <w:color w:val="auto"/>
        </w:rPr>
        <w:t>An issuer can follow certain U.S. requirements if it qualifies as an “SEC issuer” or “SEC foreign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1131570</wp:posOffset>
            </wp:positionV>
            <wp:extent cx="6764020" cy="190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2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132 / 139</w:t>
      </w:r>
    </w:p>
    <w:p>
      <w:pPr>
        <w:sectPr>
          <w:pgSz w:w="11900" w:h="16838" w:orient="portrait"/>
          <w:cols w:equalWidth="0" w:num="1">
            <w:col w:w="10460"/>
          </w:cols>
          <w:pgMar w:left="1440" w:top="1172" w:right="6" w:bottom="0" w:gutter="0" w:footer="0" w:header="0"/>
          <w:type w:val="continuous"/>
        </w:sectPr>
      </w:pPr>
    </w:p>
    <w:bookmarkStart w:id="361" w:name="page362"/>
    <w:bookmarkEnd w:id="3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900"/>
        <w:spacing w:after="0" w:line="332" w:lineRule="auto"/>
        <w:rPr>
          <w:sz w:val="20"/>
          <w:szCs w:val="20"/>
          <w:color w:val="auto"/>
        </w:rPr>
      </w:pPr>
      <w:r>
        <w:rPr>
          <w:rFonts w:ascii="Arial" w:cs="Arial" w:eastAsia="Arial" w:hAnsi="Arial"/>
          <w:sz w:val="19"/>
          <w:szCs w:val="19"/>
          <w:color w:val="auto"/>
        </w:rPr>
        <w:t>The Company has established a cybersecurity risk management program designed to identify, assess, mitigate cybersecurity risks. This program includes the engagement of external cybersecurity firms that pr ongoing monitoring, vulnerability assessments, and compliance with relevant security standards and regul requirements. The outsourced cybersecurity service providers implement industry best practices, inclu firewalls, encryption, multi-factor authentication, and intrusion detection systems, to mitigate potential threats</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Company remains committed to safeguarding its information systems and data from cybersecurity thr</w:t>
      </w:r>
    </w:p>
    <w:p>
      <w:pPr>
        <w:spacing w:after="0" w:line="72" w:lineRule="exact"/>
        <w:rPr>
          <w:sz w:val="20"/>
          <w:szCs w:val="20"/>
          <w:color w:val="auto"/>
        </w:rPr>
      </w:pPr>
    </w:p>
    <w:p>
      <w:pPr>
        <w:ind w:left="900"/>
        <w:spacing w:after="0"/>
        <w:tabs>
          <w:tab w:leader="none" w:pos="4260" w:val="left"/>
          <w:tab w:leader="none" w:pos="7360" w:val="left"/>
        </w:tabs>
        <w:rPr>
          <w:sz w:val="20"/>
          <w:szCs w:val="20"/>
          <w:color w:val="auto"/>
        </w:rPr>
      </w:pPr>
      <w:r>
        <w:rPr>
          <w:rFonts w:ascii="Arial" w:cs="Arial" w:eastAsia="Arial" w:hAnsi="Arial"/>
          <w:sz w:val="20"/>
          <w:szCs w:val="20"/>
          <w:color w:val="auto"/>
        </w:rPr>
        <w:t>While</w:t>
      </w:r>
      <w:r>
        <w:rPr>
          <w:sz w:val="20"/>
          <w:szCs w:val="20"/>
          <w:color w:val="auto"/>
        </w:rPr>
        <w:tab/>
      </w:r>
      <w:r>
        <w:rPr>
          <w:rFonts w:ascii="Arial" w:cs="Arial" w:eastAsia="Arial" w:hAnsi="Arial"/>
          <w:sz w:val="20"/>
          <w:szCs w:val="20"/>
          <w:color w:val="auto"/>
        </w:rPr>
        <w:t>no</w:t>
      </w:r>
      <w:r>
        <w:rPr>
          <w:sz w:val="20"/>
          <w:szCs w:val="20"/>
          <w:color w:val="auto"/>
        </w:rPr>
        <w:tab/>
      </w:r>
      <w:r>
        <w:rPr>
          <w:rFonts w:ascii="Arial" w:cs="Arial" w:eastAsia="Arial" w:hAnsi="Arial"/>
          <w:sz w:val="20"/>
          <w:szCs w:val="20"/>
          <w:color w:val="auto"/>
        </w:rPr>
        <w:t>material</w:t>
      </w:r>
    </w:p>
    <w:p>
      <w:pPr>
        <w:spacing w:after="0" w:line="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cybersecurity incidents have occurred, the Company continues to enhance its cybersecurity risk manage practices in response to the dynamic threat landscape. Through external expertise, robust governance, periodic oversight by the Audit Committee, the Company seeks to effectively manage cybersecurity risks ensure business continuity.</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Cybersecurity Incidents and Governance</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 xml:space="preserve">As of </w:t>
      </w:r>
      <w:r>
        <w:rPr>
          <w:rFonts w:ascii="Arial" w:cs="Arial" w:eastAsia="Arial" w:hAnsi="Arial"/>
          <w:sz w:val="20"/>
          <w:szCs w:val="20"/>
          <w:i w:val="1"/>
          <w:iCs w:val="1"/>
          <w:color w:val="auto"/>
        </w:rPr>
        <w:t>the</w:t>
      </w:r>
      <w:r>
        <w:rPr>
          <w:rFonts w:ascii="Arial" w:cs="Arial" w:eastAsia="Arial" w:hAnsi="Arial"/>
          <w:sz w:val="20"/>
          <w:szCs w:val="20"/>
          <w:color w:val="auto"/>
        </w:rPr>
        <w:t xml:space="preserve"> date of this filing, the Company has not experienced any material cybersecurity incidents. Howev recognition of the evolving nature of cyber threats, the Company continuously evaluates and enhance cybersecurity measures. In the event of a cybersecurity incident, the Company has a response plan in p coordinated by its third-party cybersecurity partners, to contain, investigate, and remediate any breaches ensuring compliance with applicable regulatory reporting obligations.</w:t>
      </w:r>
    </w:p>
    <w:p>
      <w:pPr>
        <w:spacing w:after="0" w:line="210" w:lineRule="exact"/>
        <w:rPr>
          <w:sz w:val="20"/>
          <w:szCs w:val="20"/>
          <w:color w:val="auto"/>
        </w:rPr>
      </w:pPr>
    </w:p>
    <w:p>
      <w:pPr>
        <w:jc w:val="both"/>
        <w:ind w:left="900"/>
        <w:spacing w:after="0" w:line="333" w:lineRule="auto"/>
        <w:rPr>
          <w:sz w:val="20"/>
          <w:szCs w:val="20"/>
          <w:color w:val="auto"/>
        </w:rPr>
      </w:pPr>
      <w:r>
        <w:rPr>
          <w:rFonts w:ascii="Arial" w:cs="Arial" w:eastAsia="Arial" w:hAnsi="Arial"/>
          <w:sz w:val="19"/>
          <w:szCs w:val="19"/>
          <w:color w:val="auto"/>
        </w:rPr>
        <w:t>The Audit Committee has oversight responsibility for cybersecurity risk management. It receives quarterly event specific from the Finance Operations Director and external cybersecurity advisors on emerging thr mitigation strategies, and regulatory developments. The Audit Committee ensures that the Compa cybersecurity strategy aligns with its overall risk management framework and corporate governance principle</w:t>
      </w:r>
    </w:p>
    <w:p>
      <w:pPr>
        <w:spacing w:after="0" w:line="195"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Each employee is responsible for complying with the Company’s Information Technology and Cybersec Policy. The Company’s Information Technology Department assists employees and monitors compliance wit Information Technology and Cybersecurity Policy. The Information Technology Department ultimately repo the Chief Financial Officer.</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Third-Party Cybersecurity Risk Management</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Given the Company's reliance on external vendors for key cybersecurity functions, it maintains a vendor management program. This includes contractual agreements with service providers that specify sec requirements, data protection measures, and incident response obligations. Regular assessments of third-vendors are conducted by the Company’s Information Technology Department to ensure compliance cybersecurity standards and to mitigate risks associated with outsourced IT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1087755</wp:posOffset>
            </wp:positionV>
            <wp:extent cx="6764020" cy="190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2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133 / 139</w:t>
      </w:r>
    </w:p>
    <w:p>
      <w:pPr>
        <w:sectPr>
          <w:pgSz w:w="11900" w:h="16838" w:orient="portrait"/>
          <w:cols w:equalWidth="0" w:num="1">
            <w:col w:w="10460"/>
          </w:cols>
          <w:pgMar w:left="1440" w:top="1440" w:right="6" w:bottom="0" w:gutter="0" w:footer="0" w:header="0"/>
          <w:type w:val="continuous"/>
        </w:sectPr>
      </w:pPr>
    </w:p>
    <w:bookmarkStart w:id="362" w:name="page363"/>
    <w:bookmarkEnd w:id="3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00"/>
        <w:spacing w:after="0"/>
        <w:rPr>
          <w:sz w:val="20"/>
          <w:szCs w:val="20"/>
          <w:color w:val="auto"/>
        </w:rPr>
      </w:pPr>
      <w:r>
        <w:rPr>
          <w:rFonts w:ascii="Arial" w:cs="Arial" w:eastAsia="Arial" w:hAnsi="Arial"/>
          <w:sz w:val="28"/>
          <w:szCs w:val="28"/>
          <w:b w:val="1"/>
          <w:bCs w:val="1"/>
          <w:color w:val="auto"/>
        </w:rPr>
        <w:t>PART III</w:t>
      </w:r>
    </w:p>
    <w:p>
      <w:pPr>
        <w:spacing w:after="0" w:line="298"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17. FINANCIAL STATEMENTS</w:t>
      </w:r>
    </w:p>
    <w:p>
      <w:pPr>
        <w:spacing w:after="0" w:line="286" w:lineRule="exact"/>
        <w:rPr>
          <w:sz w:val="20"/>
          <w:szCs w:val="20"/>
          <w:color w:val="auto"/>
        </w:rPr>
      </w:pPr>
    </w:p>
    <w:p>
      <w:pPr>
        <w:ind w:left="900"/>
        <w:spacing w:after="0"/>
        <w:rPr>
          <w:sz w:val="20"/>
          <w:szCs w:val="20"/>
          <w:color w:val="auto"/>
        </w:rPr>
      </w:pPr>
      <w:r>
        <w:rPr>
          <w:rFonts w:ascii="Arial" w:cs="Arial" w:eastAsia="Arial" w:hAnsi="Arial"/>
          <w:sz w:val="20"/>
          <w:szCs w:val="20"/>
          <w:color w:val="auto"/>
        </w:rPr>
        <w:t>See Item 18.</w:t>
      </w:r>
    </w:p>
    <w:p>
      <w:pPr>
        <w:spacing w:after="0" w:line="284"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18. FINANCIAL STATEMENTS</w:t>
      </w:r>
    </w:p>
    <w:p>
      <w:pPr>
        <w:spacing w:after="0" w:line="293"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financial information required by this item, including the audited consolidated financial statements fo years ended December 31, 2025, 2024 and 2023, together with the report of PricewaterhouseCoopers Chartered Professional Accountants, is filed as part of this annual report.</w:t>
      </w:r>
    </w:p>
    <w:p>
      <w:pPr>
        <w:spacing w:after="0" w:line="200" w:lineRule="exact"/>
        <w:rPr>
          <w:sz w:val="20"/>
          <w:szCs w:val="20"/>
          <w:color w:val="auto"/>
        </w:rPr>
      </w:pPr>
    </w:p>
    <w:p>
      <w:pPr>
        <w:spacing w:after="0" w:line="313"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audited financial statements of Minera Exar prepared pursuant to Rule 3-09 of Regulation S-X for the ye ended December 31, 2025, are included as Exhibit 99.1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1091565</wp:posOffset>
            </wp:positionV>
            <wp:extent cx="6764020" cy="190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2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134 / 139</w:t>
      </w:r>
    </w:p>
    <w:p>
      <w:pPr>
        <w:sectPr>
          <w:pgSz w:w="11900" w:h="16838" w:orient="portrait"/>
          <w:cols w:equalWidth="0" w:num="1">
            <w:col w:w="10460"/>
          </w:cols>
          <w:pgMar w:left="1440" w:top="1440" w:right="6" w:bottom="0" w:gutter="0" w:footer="0" w:header="0"/>
          <w:type w:val="continuous"/>
        </w:sectPr>
      </w:pPr>
    </w:p>
    <w:bookmarkStart w:id="363" w:name="page364"/>
    <w:bookmarkEnd w:id="3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00"/>
        <w:spacing w:after="0"/>
        <w:rPr>
          <w:sz w:val="20"/>
          <w:szCs w:val="20"/>
          <w:color w:val="auto"/>
        </w:rPr>
      </w:pPr>
      <w:r>
        <w:rPr>
          <w:rFonts w:ascii="Arial" w:cs="Arial" w:eastAsia="Arial" w:hAnsi="Arial"/>
          <w:sz w:val="28"/>
          <w:szCs w:val="28"/>
          <w:b w:val="1"/>
          <w:bCs w:val="1"/>
          <w:color w:val="auto"/>
        </w:rPr>
        <w:t>ITEM 19. EXHIBITS</w:t>
      </w:r>
    </w:p>
    <w:p>
      <w:pPr>
        <w:spacing w:after="0" w:line="373" w:lineRule="exact"/>
        <w:rPr>
          <w:sz w:val="20"/>
          <w:szCs w:val="20"/>
          <w:color w:val="auto"/>
        </w:rPr>
      </w:pPr>
    </w:p>
    <w:p>
      <w:pPr>
        <w:ind w:left="900" w:hanging="6"/>
        <w:spacing w:after="0" w:line="307" w:lineRule="auto"/>
        <w:tabs>
          <w:tab w:leader="none" w:pos="1071" w:val="left"/>
        </w:tabs>
        <w:numPr>
          <w:ilvl w:val="0"/>
          <w:numId w:val="127"/>
        </w:numPr>
        <w:rPr>
          <w:rFonts w:ascii="Arial" w:cs="Arial" w:eastAsia="Arial" w:hAnsi="Arial"/>
          <w:sz w:val="20"/>
          <w:szCs w:val="20"/>
          <w:color w:val="auto"/>
        </w:rPr>
      </w:pPr>
      <w:r>
        <w:rPr>
          <w:rFonts w:ascii="Arial" w:cs="Arial" w:eastAsia="Arial" w:hAnsi="Arial"/>
          <w:sz w:val="20"/>
          <w:szCs w:val="20"/>
          <w:color w:val="auto"/>
        </w:rPr>
        <w:t>Portions of this exhibit have been redacted in compliance with Regulation S-K Items 601(a)(5) and 601(b) Company agrees to furnish a copy of any omitted schedule or exhibit to the SEC upon its request.</w:t>
      </w:r>
    </w:p>
    <w:p>
      <w:pPr>
        <w:spacing w:after="0" w:line="355" w:lineRule="exact"/>
        <w:rPr>
          <w:sz w:val="20"/>
          <w:szCs w:val="20"/>
          <w:color w:val="auto"/>
        </w:rPr>
      </w:pPr>
    </w:p>
    <w:tbl>
      <w:tblPr>
        <w:tblLayout w:type="fixed"/>
        <w:tblInd w:w="900" w:type="dxa"/>
        <w:tblCellMar>
          <w:top w:w="0" w:type="dxa"/>
          <w:left w:w="0" w:type="dxa"/>
          <w:bottom w:w="0" w:type="dxa"/>
          <w:right w:w="0" w:type="dxa"/>
        </w:tblCellMar>
      </w:tblPr>
      <w:tr>
        <w:trPr>
          <w:trHeight w:val="230"/>
        </w:trPr>
        <w:tc>
          <w:tcPr>
            <w:tcW w:w="1000" w:type="dxa"/>
            <w:vAlign w:val="bottom"/>
            <w:gridSpan w:val="3"/>
          </w:tcPr>
          <w:p>
            <w:pPr>
              <w:spacing w:after="0"/>
              <w:rPr>
                <w:sz w:val="20"/>
                <w:szCs w:val="20"/>
                <w:color w:val="auto"/>
              </w:rPr>
            </w:pPr>
            <w:r>
              <w:rPr>
                <w:rFonts w:ascii="Arial" w:cs="Arial" w:eastAsia="Arial" w:hAnsi="Arial"/>
                <w:sz w:val="20"/>
                <w:szCs w:val="20"/>
                <w:b w:val="1"/>
                <w:bCs w:val="1"/>
                <w:color w:val="auto"/>
              </w:rPr>
              <w:t>Exhibit</w:t>
            </w:r>
          </w:p>
        </w:tc>
        <w:tc>
          <w:tcPr>
            <w:tcW w:w="20" w:type="dxa"/>
            <w:vAlign w:val="bottom"/>
          </w:tcPr>
          <w:p>
            <w:pPr>
              <w:spacing w:after="0"/>
              <w:rPr>
                <w:sz w:val="19"/>
                <w:szCs w:val="19"/>
                <w:color w:val="auto"/>
              </w:rPr>
            </w:pPr>
          </w:p>
        </w:tc>
        <w:tc>
          <w:tcPr>
            <w:tcW w:w="8540" w:type="dxa"/>
            <w:vAlign w:val="bottom"/>
            <w:gridSpan w:val="17"/>
            <w:vMerge w:val="restart"/>
          </w:tcPr>
          <w:p>
            <w:pPr>
              <w:spacing w:after="0"/>
              <w:rPr>
                <w:sz w:val="20"/>
                <w:szCs w:val="20"/>
                <w:color w:val="auto"/>
              </w:rPr>
            </w:pPr>
            <w:r>
              <w:rPr>
                <w:rFonts w:ascii="Arial" w:cs="Arial" w:eastAsia="Arial" w:hAnsi="Arial"/>
                <w:sz w:val="20"/>
                <w:szCs w:val="20"/>
                <w:b w:val="1"/>
                <w:bCs w:val="1"/>
                <w:color w:val="auto"/>
              </w:rPr>
              <w:t>Description</w:t>
            </w:r>
          </w:p>
        </w:tc>
        <w:tc>
          <w:tcPr>
            <w:tcW w:w="0" w:type="dxa"/>
            <w:vAlign w:val="bottom"/>
          </w:tcPr>
          <w:p>
            <w:pPr>
              <w:spacing w:after="0"/>
              <w:rPr>
                <w:sz w:val="1"/>
                <w:szCs w:val="1"/>
                <w:color w:val="auto"/>
              </w:rPr>
            </w:pPr>
          </w:p>
        </w:tc>
      </w:tr>
      <w:tr>
        <w:trPr>
          <w:trHeight w:val="151"/>
        </w:trPr>
        <w:tc>
          <w:tcPr>
            <w:tcW w:w="100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No.</w:t>
            </w:r>
          </w:p>
        </w:tc>
        <w:tc>
          <w:tcPr>
            <w:tcW w:w="20" w:type="dxa"/>
            <w:vAlign w:val="bottom"/>
          </w:tcPr>
          <w:p>
            <w:pPr>
              <w:spacing w:after="0"/>
              <w:rPr>
                <w:sz w:val="13"/>
                <w:szCs w:val="13"/>
                <w:color w:val="auto"/>
              </w:rPr>
            </w:pPr>
          </w:p>
        </w:tc>
        <w:tc>
          <w:tcPr>
            <w:tcW w:w="8540" w:type="dxa"/>
            <w:vAlign w:val="bottom"/>
            <w:gridSpan w:val="1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280" w:type="dxa"/>
            <w:vAlign w:val="bottom"/>
            <w:tcBorders>
              <w:bottom w:val="single" w:sz="8" w:color="0000FF"/>
            </w:tcBorders>
          </w:tcPr>
          <w:p>
            <w:pPr>
              <w:spacing w:after="0"/>
              <w:rPr>
                <w:rFonts w:ascii="Arial" w:cs="Arial" w:eastAsia="Arial" w:hAnsi="Arial"/>
                <w:sz w:val="20"/>
                <w:szCs w:val="20"/>
                <w:color w:val="0000FF"/>
                <w:w w:val="93"/>
              </w:rPr>
            </w:pPr>
            <w:hyperlink r:id="rId530">
              <w:r>
                <w:rPr>
                  <w:rFonts w:ascii="Arial" w:cs="Arial" w:eastAsia="Arial" w:hAnsi="Arial"/>
                  <w:sz w:val="20"/>
                  <w:szCs w:val="20"/>
                  <w:color w:val="0000FF"/>
                  <w:w w:val="93"/>
                </w:rPr>
                <w:t>1.</w:t>
              </w:r>
              <w:r>
                <w:rPr>
                  <w:rFonts w:ascii="Arial" w:cs="Arial" w:eastAsia="Arial" w:hAnsi="Arial"/>
                  <w:sz w:val="20"/>
                  <w:szCs w:val="20"/>
                  <w:u w:val="single" w:color="auto"/>
                  <w:color w:val="0000FF"/>
                  <w:w w:val="93"/>
                </w:rPr>
                <w:t>1</w:t>
              </w:r>
            </w:hyperlink>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tcBorders>
              <w:bottom w:val="single" w:sz="8" w:color="0000FF"/>
            </w:tcBorders>
            <w:gridSpan w:val="17"/>
          </w:tcPr>
          <w:p>
            <w:pPr>
              <w:spacing w:after="0"/>
              <w:rPr>
                <w:rFonts w:ascii="Arial" w:cs="Arial" w:eastAsia="Arial" w:hAnsi="Arial"/>
                <w:sz w:val="20"/>
                <w:szCs w:val="20"/>
                <w:color w:val="0000FF"/>
              </w:rPr>
            </w:pPr>
            <w:hyperlink r:id="rId530">
              <w:r>
                <w:rPr>
                  <w:rFonts w:ascii="Arial" w:cs="Arial" w:eastAsia="Arial" w:hAnsi="Arial"/>
                  <w:sz w:val="20"/>
                  <w:szCs w:val="20"/>
                  <w:color w:val="0000FF"/>
                </w:rPr>
                <w:t>Lithium Argentina AG Articles of Association, as revised on June 19, 2025 (incorporated by refer</w:t>
              </w:r>
            </w:hyperlink>
          </w:p>
        </w:tc>
        <w:tc>
          <w:tcPr>
            <w:tcW w:w="0" w:type="dxa"/>
            <w:vAlign w:val="bottom"/>
          </w:tcPr>
          <w:p>
            <w:pPr>
              <w:spacing w:after="0"/>
              <w:rPr>
                <w:sz w:val="1"/>
                <w:szCs w:val="1"/>
                <w:color w:val="auto"/>
              </w:rPr>
            </w:pPr>
          </w:p>
        </w:tc>
      </w:tr>
      <w:tr>
        <w:trPr>
          <w:trHeight w:val="282"/>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tcBorders>
              <w:bottom w:val="single" w:sz="8" w:color="0000FF"/>
            </w:tcBorders>
            <w:gridSpan w:val="17"/>
          </w:tcPr>
          <w:p>
            <w:pPr>
              <w:spacing w:after="0"/>
              <w:rPr>
                <w:rFonts w:ascii="Arial" w:cs="Arial" w:eastAsia="Arial" w:hAnsi="Arial"/>
                <w:sz w:val="20"/>
                <w:szCs w:val="20"/>
                <w:color w:val="0000FF"/>
              </w:rPr>
            </w:pPr>
            <w:hyperlink r:id="rId530">
              <w:r>
                <w:rPr>
                  <w:rFonts w:ascii="Arial" w:cs="Arial" w:eastAsia="Arial" w:hAnsi="Arial"/>
                  <w:sz w:val="20"/>
                  <w:szCs w:val="20"/>
                  <w:color w:val="0000FF"/>
                </w:rPr>
                <w:t>to Exhibit 99.3 to the Current Report on Form 6-K filed by Lithium Argentina AG on June 30, 202</w:t>
              </w:r>
            </w:hyperlink>
          </w:p>
        </w:tc>
        <w:tc>
          <w:tcPr>
            <w:tcW w:w="0" w:type="dxa"/>
            <w:vAlign w:val="bottom"/>
          </w:tcPr>
          <w:p>
            <w:pPr>
              <w:spacing w:after="0"/>
              <w:rPr>
                <w:sz w:val="1"/>
                <w:szCs w:val="1"/>
                <w:color w:val="auto"/>
              </w:rPr>
            </w:pPr>
          </w:p>
        </w:tc>
      </w:tr>
      <w:tr>
        <w:trPr>
          <w:trHeight w:val="311"/>
        </w:trPr>
        <w:tc>
          <w:tcPr>
            <w:tcW w:w="280" w:type="dxa"/>
            <w:vAlign w:val="bottom"/>
            <w:tcBorders>
              <w:bottom w:val="single" w:sz="8" w:color="0000FF"/>
            </w:tcBorders>
          </w:tcPr>
          <w:p>
            <w:pPr>
              <w:spacing w:after="0"/>
              <w:rPr>
                <w:rFonts w:ascii="Arial" w:cs="Arial" w:eastAsia="Arial" w:hAnsi="Arial"/>
                <w:sz w:val="20"/>
                <w:szCs w:val="20"/>
                <w:color w:val="0000FF"/>
                <w:w w:val="93"/>
              </w:rPr>
            </w:pPr>
            <w:hyperlink r:id="rId531">
              <w:r>
                <w:rPr>
                  <w:rFonts w:ascii="Arial" w:cs="Arial" w:eastAsia="Arial" w:hAnsi="Arial"/>
                  <w:sz w:val="20"/>
                  <w:szCs w:val="20"/>
                  <w:color w:val="0000FF"/>
                  <w:w w:val="93"/>
                </w:rPr>
                <w:t>1.</w:t>
              </w:r>
              <w:r>
                <w:rPr>
                  <w:rFonts w:ascii="Arial" w:cs="Arial" w:eastAsia="Arial" w:hAnsi="Arial"/>
                  <w:sz w:val="20"/>
                  <w:szCs w:val="20"/>
                  <w:u w:val="single" w:color="auto"/>
                  <w:color w:val="0000FF"/>
                  <w:w w:val="93"/>
                </w:rPr>
                <w:t>2</w:t>
              </w:r>
            </w:hyperlink>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tcBorders>
              <w:bottom w:val="single" w:sz="8" w:color="0000FF"/>
            </w:tcBorders>
            <w:gridSpan w:val="17"/>
          </w:tcPr>
          <w:p>
            <w:pPr>
              <w:spacing w:after="0"/>
              <w:rPr>
                <w:rFonts w:ascii="Arial" w:cs="Arial" w:eastAsia="Arial" w:hAnsi="Arial"/>
                <w:sz w:val="20"/>
                <w:szCs w:val="20"/>
                <w:color w:val="0000FF"/>
              </w:rPr>
            </w:pPr>
            <w:hyperlink r:id="rId531">
              <w:r>
                <w:rPr>
                  <w:rFonts w:ascii="Arial" w:cs="Arial" w:eastAsia="Arial" w:hAnsi="Arial"/>
                  <w:sz w:val="20"/>
                  <w:szCs w:val="20"/>
                  <w:color w:val="0000FF"/>
                </w:rPr>
                <w:t>Lithium Argentina AG By-laws (incorporated by reference to Exhibit 3.2 to the Current Report on</w:t>
              </w:r>
            </w:hyperlink>
          </w:p>
        </w:tc>
        <w:tc>
          <w:tcPr>
            <w:tcW w:w="0" w:type="dxa"/>
            <w:vAlign w:val="bottom"/>
          </w:tcPr>
          <w:p>
            <w:pPr>
              <w:spacing w:after="0"/>
              <w:rPr>
                <w:sz w:val="1"/>
                <w:szCs w:val="1"/>
                <w:color w:val="auto"/>
              </w:rPr>
            </w:pPr>
          </w:p>
        </w:tc>
      </w:tr>
      <w:tr>
        <w:trPr>
          <w:trHeight w:val="282"/>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tcBorders>
              <w:bottom w:val="single" w:sz="8" w:color="0000FF"/>
            </w:tcBorders>
            <w:gridSpan w:val="6"/>
          </w:tcPr>
          <w:p>
            <w:pPr>
              <w:spacing w:after="0"/>
              <w:rPr>
                <w:rFonts w:ascii="Arial" w:cs="Arial" w:eastAsia="Arial" w:hAnsi="Arial"/>
                <w:sz w:val="20"/>
                <w:szCs w:val="20"/>
                <w:color w:val="0000FF"/>
                <w:w w:val="99"/>
              </w:rPr>
            </w:pPr>
            <w:hyperlink r:id="rId531">
              <w:r>
                <w:rPr>
                  <w:rFonts w:ascii="Arial" w:cs="Arial" w:eastAsia="Arial" w:hAnsi="Arial"/>
                  <w:sz w:val="20"/>
                  <w:szCs w:val="20"/>
                  <w:color w:val="0000FF"/>
                  <w:w w:val="99"/>
                </w:rPr>
                <w:t>8-K12b filed by Lithium Argentina AG on January 24, 2025)</w:t>
              </w:r>
            </w:hyperlink>
          </w:p>
        </w:tc>
        <w:tc>
          <w:tcPr>
            <w:tcW w:w="33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00FF"/>
            </w:tcBorders>
          </w:tcPr>
          <w:p>
            <w:pPr>
              <w:spacing w:after="0"/>
              <w:rPr>
                <w:rFonts w:ascii="Arial" w:cs="Arial" w:eastAsia="Arial" w:hAnsi="Arial"/>
                <w:sz w:val="20"/>
                <w:szCs w:val="20"/>
                <w:color w:val="0000FF"/>
                <w:w w:val="93"/>
              </w:rPr>
            </w:pPr>
            <w:hyperlink r:id="rId532">
              <w:r>
                <w:rPr>
                  <w:rFonts w:ascii="Arial" w:cs="Arial" w:eastAsia="Arial" w:hAnsi="Arial"/>
                  <w:sz w:val="20"/>
                  <w:szCs w:val="20"/>
                  <w:color w:val="0000FF"/>
                  <w:w w:val="93"/>
                </w:rPr>
                <w:t>2.</w:t>
              </w:r>
              <w:r>
                <w:rPr>
                  <w:rFonts w:ascii="Arial" w:cs="Arial" w:eastAsia="Arial" w:hAnsi="Arial"/>
                  <w:sz w:val="20"/>
                  <w:szCs w:val="20"/>
                  <w:u w:val="single" w:color="auto"/>
                  <w:color w:val="0000FF"/>
                  <w:w w:val="93"/>
                </w:rPr>
                <w:t>1</w:t>
              </w:r>
            </w:hyperlink>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tcBorders>
              <w:bottom w:val="single" w:sz="8" w:color="0000FF"/>
            </w:tcBorders>
            <w:gridSpan w:val="17"/>
          </w:tcPr>
          <w:p>
            <w:pPr>
              <w:spacing w:after="0"/>
              <w:rPr>
                <w:rFonts w:ascii="Arial" w:cs="Arial" w:eastAsia="Arial" w:hAnsi="Arial"/>
                <w:sz w:val="20"/>
                <w:szCs w:val="20"/>
                <w:color w:val="0000FF"/>
                <w:w w:val="99"/>
              </w:rPr>
            </w:pPr>
            <w:hyperlink r:id="rId532">
              <w:r>
                <w:rPr>
                  <w:rFonts w:ascii="Arial" w:cs="Arial" w:eastAsia="Arial" w:hAnsi="Arial"/>
                  <w:sz w:val="20"/>
                  <w:szCs w:val="20"/>
                  <w:color w:val="0000FF"/>
                  <w:w w:val="99"/>
                </w:rPr>
                <w:t>Description of securities registered under Section 12 of the Exchange Act (incorporated by refere</w:t>
              </w:r>
            </w:hyperlink>
          </w:p>
        </w:tc>
        <w:tc>
          <w:tcPr>
            <w:tcW w:w="0" w:type="dxa"/>
            <w:vAlign w:val="bottom"/>
          </w:tcPr>
          <w:p>
            <w:pPr>
              <w:spacing w:after="0"/>
              <w:rPr>
                <w:sz w:val="1"/>
                <w:szCs w:val="1"/>
                <w:color w:val="auto"/>
              </w:rPr>
            </w:pPr>
          </w:p>
        </w:tc>
      </w:tr>
      <w:tr>
        <w:trPr>
          <w:trHeight w:val="282"/>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17"/>
          </w:tcPr>
          <w:p>
            <w:pPr>
              <w:spacing w:after="0"/>
              <w:rPr>
                <w:rFonts w:ascii="Arial" w:cs="Arial" w:eastAsia="Arial" w:hAnsi="Arial"/>
                <w:sz w:val="20"/>
                <w:szCs w:val="20"/>
                <w:color w:val="0000FF"/>
              </w:rPr>
            </w:pPr>
            <w:hyperlink r:id="rId532">
              <w:r>
                <w:rPr>
                  <w:rFonts w:ascii="Arial" w:cs="Arial" w:eastAsia="Arial" w:hAnsi="Arial"/>
                  <w:sz w:val="20"/>
                  <w:szCs w:val="20"/>
                  <w:color w:val="0000FF"/>
                </w:rPr>
                <w:t>to the Current Report on Form 8-K12B filed by Lithium Argentina AG on January 24, 2025)</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280" w:type="dxa"/>
            <w:vAlign w:val="bottom"/>
            <w:tcBorders>
              <w:bottom w:val="single" w:sz="8" w:color="0000FF"/>
            </w:tcBorders>
          </w:tcPr>
          <w:p>
            <w:pPr>
              <w:spacing w:after="0"/>
              <w:rPr>
                <w:rFonts w:ascii="Arial" w:cs="Arial" w:eastAsia="Arial" w:hAnsi="Arial"/>
                <w:sz w:val="20"/>
                <w:szCs w:val="20"/>
                <w:color w:val="0000FF"/>
                <w:w w:val="93"/>
              </w:rPr>
            </w:pPr>
            <w:hyperlink r:id="rId533">
              <w:r>
                <w:rPr>
                  <w:rFonts w:ascii="Arial" w:cs="Arial" w:eastAsia="Arial" w:hAnsi="Arial"/>
                  <w:sz w:val="20"/>
                  <w:szCs w:val="20"/>
                  <w:color w:val="0000FF"/>
                  <w:w w:val="93"/>
                </w:rPr>
                <w:t>3.</w:t>
              </w:r>
              <w:r>
                <w:rPr>
                  <w:rFonts w:ascii="Arial" w:cs="Arial" w:eastAsia="Arial" w:hAnsi="Arial"/>
                  <w:sz w:val="20"/>
                  <w:szCs w:val="20"/>
                  <w:u w:val="single" w:color="auto"/>
                  <w:color w:val="0000FF"/>
                  <w:w w:val="93"/>
                </w:rPr>
                <w:t>1</w:t>
              </w:r>
            </w:hyperlink>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60" w:type="dxa"/>
            <w:vAlign w:val="bottom"/>
            <w:tcBorders>
              <w:bottom w:val="single" w:sz="8" w:color="0000FF"/>
            </w:tcBorders>
            <w:gridSpan w:val="18"/>
          </w:tcPr>
          <w:p>
            <w:pPr>
              <w:spacing w:after="0"/>
              <w:rPr>
                <w:rFonts w:ascii="Arial" w:cs="Arial" w:eastAsia="Arial" w:hAnsi="Arial"/>
                <w:sz w:val="20"/>
                <w:szCs w:val="20"/>
                <w:color w:val="0000FF"/>
                <w:w w:val="99"/>
              </w:rPr>
            </w:pPr>
            <w:hyperlink r:id="rId533">
              <w:r>
                <w:rPr>
                  <w:rFonts w:ascii="Arial" w:cs="Arial" w:eastAsia="Arial" w:hAnsi="Arial"/>
                  <w:sz w:val="20"/>
                  <w:szCs w:val="20"/>
                  <w:color w:val="0000FF"/>
                  <w:w w:val="99"/>
                </w:rPr>
                <w:t>First Supplemental Indenture dated October 3, 2023, between Lithium Americas (Argentina) Corp</w:t>
              </w:r>
            </w:hyperlink>
          </w:p>
        </w:tc>
        <w:tc>
          <w:tcPr>
            <w:tcW w:w="0" w:type="dxa"/>
            <w:vAlign w:val="bottom"/>
          </w:tcPr>
          <w:p>
            <w:pPr>
              <w:spacing w:after="0"/>
              <w:rPr>
                <w:sz w:val="1"/>
                <w:szCs w:val="1"/>
                <w:color w:val="auto"/>
              </w:rPr>
            </w:pPr>
          </w:p>
        </w:tc>
      </w:tr>
      <w:tr>
        <w:trPr>
          <w:trHeight w:val="282"/>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60" w:type="dxa"/>
            <w:vAlign w:val="bottom"/>
            <w:tcBorders>
              <w:bottom w:val="single" w:sz="8" w:color="0000FF"/>
            </w:tcBorders>
            <w:gridSpan w:val="18"/>
          </w:tcPr>
          <w:p>
            <w:pPr>
              <w:spacing w:after="0"/>
              <w:rPr>
                <w:rFonts w:ascii="Arial" w:cs="Arial" w:eastAsia="Arial" w:hAnsi="Arial"/>
                <w:sz w:val="20"/>
                <w:szCs w:val="20"/>
                <w:color w:val="0000FF"/>
                <w:w w:val="99"/>
              </w:rPr>
            </w:pPr>
            <w:hyperlink r:id="rId533">
              <w:r>
                <w:rPr>
                  <w:rFonts w:ascii="Arial" w:cs="Arial" w:eastAsia="Arial" w:hAnsi="Arial"/>
                  <w:sz w:val="20"/>
                  <w:szCs w:val="20"/>
                  <w:color w:val="0000FF"/>
                  <w:w w:val="99"/>
                </w:rPr>
                <w:t>Computershare Trust Company, N.A. (incorporated by reference to Exhibit 99.6 to the Current Re</w:t>
              </w:r>
            </w:hyperlink>
          </w:p>
        </w:tc>
        <w:tc>
          <w:tcPr>
            <w:tcW w:w="0" w:type="dxa"/>
            <w:vAlign w:val="bottom"/>
          </w:tcPr>
          <w:p>
            <w:pPr>
              <w:spacing w:after="0"/>
              <w:rPr>
                <w:sz w:val="1"/>
                <w:szCs w:val="1"/>
                <w:color w:val="auto"/>
              </w:rPr>
            </w:pPr>
          </w:p>
        </w:tc>
      </w:tr>
      <w:tr>
        <w:trPr>
          <w:trHeight w:val="282"/>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20" w:type="dxa"/>
            <w:vAlign w:val="bottom"/>
            <w:tcBorders>
              <w:bottom w:val="single" w:sz="8" w:color="0000FF"/>
            </w:tcBorders>
            <w:gridSpan w:val="14"/>
          </w:tcPr>
          <w:p>
            <w:pPr>
              <w:spacing w:after="0"/>
              <w:rPr>
                <w:rFonts w:ascii="Arial" w:cs="Arial" w:eastAsia="Arial" w:hAnsi="Arial"/>
                <w:sz w:val="20"/>
                <w:szCs w:val="20"/>
                <w:color w:val="0000FF"/>
                <w:w w:val="99"/>
              </w:rPr>
            </w:pPr>
            <w:hyperlink r:id="rId533">
              <w:r>
                <w:rPr>
                  <w:rFonts w:ascii="Arial" w:cs="Arial" w:eastAsia="Arial" w:hAnsi="Arial"/>
                  <w:sz w:val="20"/>
                  <w:szCs w:val="20"/>
                  <w:color w:val="0000FF"/>
                  <w:w w:val="99"/>
                </w:rPr>
                <w:t>on Form 6-K filed by Lithium Americas (Argentina) Corp. on October 4, 2023)</w:t>
              </w:r>
            </w:hyperlink>
          </w:p>
        </w:tc>
        <w:tc>
          <w:tcPr>
            <w:tcW w:w="17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80" w:type="dxa"/>
            <w:vAlign w:val="bottom"/>
            <w:tcBorders>
              <w:bottom w:val="single" w:sz="8" w:color="0000FF"/>
            </w:tcBorders>
          </w:tcPr>
          <w:p>
            <w:pPr>
              <w:spacing w:after="0"/>
              <w:rPr>
                <w:rFonts w:ascii="Arial" w:cs="Arial" w:eastAsia="Arial" w:hAnsi="Arial"/>
                <w:sz w:val="20"/>
                <w:szCs w:val="20"/>
                <w:color w:val="0000FF"/>
                <w:w w:val="93"/>
              </w:rPr>
            </w:pPr>
            <w:hyperlink r:id="rId534">
              <w:r>
                <w:rPr>
                  <w:rFonts w:ascii="Arial" w:cs="Arial" w:eastAsia="Arial" w:hAnsi="Arial"/>
                  <w:sz w:val="20"/>
                  <w:szCs w:val="20"/>
                  <w:color w:val="0000FF"/>
                  <w:w w:val="93"/>
                </w:rPr>
                <w:t>3.</w:t>
              </w:r>
              <w:r>
                <w:rPr>
                  <w:rFonts w:ascii="Arial" w:cs="Arial" w:eastAsia="Arial" w:hAnsi="Arial"/>
                  <w:sz w:val="20"/>
                  <w:szCs w:val="20"/>
                  <w:u w:val="single" w:color="auto"/>
                  <w:color w:val="0000FF"/>
                  <w:w w:val="93"/>
                </w:rPr>
                <w:t>2</w:t>
              </w:r>
            </w:hyperlink>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60" w:type="dxa"/>
            <w:vAlign w:val="bottom"/>
            <w:tcBorders>
              <w:bottom w:val="single" w:sz="8" w:color="0000FF"/>
            </w:tcBorders>
            <w:gridSpan w:val="18"/>
          </w:tcPr>
          <w:p>
            <w:pPr>
              <w:spacing w:after="0"/>
              <w:rPr>
                <w:rFonts w:ascii="Arial" w:cs="Arial" w:eastAsia="Arial" w:hAnsi="Arial"/>
                <w:sz w:val="20"/>
                <w:szCs w:val="20"/>
                <w:color w:val="0000FF"/>
              </w:rPr>
            </w:pPr>
            <w:hyperlink r:id="rId534">
              <w:r>
                <w:rPr>
                  <w:rFonts w:ascii="Arial" w:cs="Arial" w:eastAsia="Arial" w:hAnsi="Arial"/>
                  <w:sz w:val="20"/>
                  <w:szCs w:val="20"/>
                  <w:color w:val="0000FF"/>
                </w:rPr>
                <w:t>Second Supplemental Indenture dated January 23, 2025, between Lithium Americas (Argentina)</w:t>
              </w:r>
            </w:hyperlink>
          </w:p>
        </w:tc>
        <w:tc>
          <w:tcPr>
            <w:tcW w:w="0" w:type="dxa"/>
            <w:vAlign w:val="bottom"/>
          </w:tcPr>
          <w:p>
            <w:pPr>
              <w:spacing w:after="0"/>
              <w:rPr>
                <w:sz w:val="1"/>
                <w:szCs w:val="1"/>
                <w:color w:val="auto"/>
              </w:rPr>
            </w:pPr>
          </w:p>
        </w:tc>
      </w:tr>
      <w:tr>
        <w:trPr>
          <w:trHeight w:val="282"/>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60" w:type="dxa"/>
            <w:vAlign w:val="bottom"/>
            <w:tcBorders>
              <w:bottom w:val="single" w:sz="8" w:color="0000FF"/>
            </w:tcBorders>
            <w:gridSpan w:val="18"/>
          </w:tcPr>
          <w:p>
            <w:pPr>
              <w:spacing w:after="0"/>
              <w:rPr>
                <w:rFonts w:ascii="Arial" w:cs="Arial" w:eastAsia="Arial" w:hAnsi="Arial"/>
                <w:sz w:val="20"/>
                <w:szCs w:val="20"/>
                <w:color w:val="0000FF"/>
              </w:rPr>
            </w:pPr>
            <w:hyperlink r:id="rId534">
              <w:r>
                <w:rPr>
                  <w:rFonts w:ascii="Arial" w:cs="Arial" w:eastAsia="Arial" w:hAnsi="Arial"/>
                  <w:sz w:val="20"/>
                  <w:szCs w:val="20"/>
                  <w:color w:val="0000FF"/>
                </w:rPr>
                <w:t>and Computershare Trust Company, N.A. (incorporated by reference to Exhibit 99.1 to the Curre</w:t>
              </w:r>
            </w:hyperlink>
          </w:p>
        </w:tc>
        <w:tc>
          <w:tcPr>
            <w:tcW w:w="0" w:type="dxa"/>
            <w:vAlign w:val="bottom"/>
          </w:tcPr>
          <w:p>
            <w:pPr>
              <w:spacing w:after="0"/>
              <w:rPr>
                <w:sz w:val="1"/>
                <w:szCs w:val="1"/>
                <w:color w:val="auto"/>
              </w:rPr>
            </w:pPr>
          </w:p>
        </w:tc>
      </w:tr>
      <w:tr>
        <w:trPr>
          <w:trHeight w:val="282"/>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60" w:type="dxa"/>
            <w:vAlign w:val="bottom"/>
            <w:gridSpan w:val="18"/>
          </w:tcPr>
          <w:p>
            <w:pPr>
              <w:spacing w:after="0"/>
              <w:rPr>
                <w:rFonts w:ascii="Arial" w:cs="Arial" w:eastAsia="Arial" w:hAnsi="Arial"/>
                <w:sz w:val="20"/>
                <w:szCs w:val="20"/>
                <w:color w:val="0000FF"/>
              </w:rPr>
            </w:pPr>
            <w:hyperlink r:id="rId534">
              <w:r>
                <w:rPr>
                  <w:rFonts w:ascii="Arial" w:cs="Arial" w:eastAsia="Arial" w:hAnsi="Arial"/>
                  <w:sz w:val="20"/>
                  <w:szCs w:val="20"/>
                  <w:color w:val="0000FF"/>
                </w:rPr>
                <w:t>Report on Form 6-K filed by Lithium Argentina AG on January 24, 2025)</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80" w:type="dxa"/>
            <w:vAlign w:val="bottom"/>
            <w:tcBorders>
              <w:bottom w:val="single" w:sz="8" w:color="0000FF"/>
            </w:tcBorders>
          </w:tcPr>
          <w:p>
            <w:pPr>
              <w:spacing w:after="0"/>
              <w:rPr>
                <w:rFonts w:ascii="Arial" w:cs="Arial" w:eastAsia="Arial" w:hAnsi="Arial"/>
                <w:sz w:val="20"/>
                <w:szCs w:val="20"/>
                <w:color w:val="0000FF"/>
                <w:w w:val="93"/>
              </w:rPr>
            </w:pPr>
            <w:hyperlink r:id="rId535">
              <w:r>
                <w:rPr>
                  <w:rFonts w:ascii="Arial" w:cs="Arial" w:eastAsia="Arial" w:hAnsi="Arial"/>
                  <w:sz w:val="20"/>
                  <w:szCs w:val="20"/>
                  <w:color w:val="0000FF"/>
                  <w:w w:val="93"/>
                </w:rPr>
                <w:t>3.</w:t>
              </w:r>
              <w:r>
                <w:rPr>
                  <w:rFonts w:ascii="Arial" w:cs="Arial" w:eastAsia="Arial" w:hAnsi="Arial"/>
                  <w:sz w:val="20"/>
                  <w:szCs w:val="20"/>
                  <w:u w:val="single" w:color="auto"/>
                  <w:color w:val="0000FF"/>
                  <w:w w:val="93"/>
                </w:rPr>
                <w:t>3</w:t>
              </w:r>
            </w:hyperlink>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60" w:type="dxa"/>
            <w:vAlign w:val="bottom"/>
            <w:tcBorders>
              <w:bottom w:val="single" w:sz="8" w:color="0000FF"/>
            </w:tcBorders>
            <w:gridSpan w:val="18"/>
          </w:tcPr>
          <w:p>
            <w:pPr>
              <w:spacing w:after="0"/>
              <w:rPr>
                <w:rFonts w:ascii="Arial" w:cs="Arial" w:eastAsia="Arial" w:hAnsi="Arial"/>
                <w:sz w:val="20"/>
                <w:szCs w:val="20"/>
                <w:color w:val="0000FF"/>
                <w:w w:val="99"/>
              </w:rPr>
            </w:pPr>
            <w:hyperlink r:id="rId535">
              <w:r>
                <w:rPr>
                  <w:rFonts w:ascii="Arial" w:cs="Arial" w:eastAsia="Arial" w:hAnsi="Arial"/>
                  <w:sz w:val="20"/>
                  <w:szCs w:val="20"/>
                  <w:color w:val="0000FF"/>
                  <w:w w:val="99"/>
                </w:rPr>
                <w:t>Supplemental Transaction Agreement dated August 18, 2018, between Lithium Americas Corp. a</w:t>
              </w:r>
            </w:hyperlink>
          </w:p>
        </w:tc>
        <w:tc>
          <w:tcPr>
            <w:tcW w:w="0" w:type="dxa"/>
            <w:vAlign w:val="bottom"/>
          </w:tcPr>
          <w:p>
            <w:pPr>
              <w:spacing w:after="0"/>
              <w:rPr>
                <w:sz w:val="1"/>
                <w:szCs w:val="1"/>
                <w:color w:val="auto"/>
              </w:rPr>
            </w:pPr>
          </w:p>
        </w:tc>
      </w:tr>
      <w:tr>
        <w:trPr>
          <w:trHeight w:val="282"/>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60" w:type="dxa"/>
            <w:vAlign w:val="bottom"/>
            <w:tcBorders>
              <w:bottom w:val="single" w:sz="8" w:color="0000FF"/>
            </w:tcBorders>
            <w:gridSpan w:val="18"/>
          </w:tcPr>
          <w:p>
            <w:pPr>
              <w:spacing w:after="0"/>
              <w:rPr>
                <w:rFonts w:ascii="Arial" w:cs="Arial" w:eastAsia="Arial" w:hAnsi="Arial"/>
                <w:sz w:val="20"/>
                <w:szCs w:val="20"/>
                <w:color w:val="0000FF"/>
                <w:w w:val="99"/>
              </w:rPr>
            </w:pPr>
            <w:hyperlink r:id="rId535">
              <w:r>
                <w:rPr>
                  <w:rFonts w:ascii="Arial" w:cs="Arial" w:eastAsia="Arial" w:hAnsi="Arial"/>
                  <w:sz w:val="20"/>
                  <w:szCs w:val="20"/>
                  <w:color w:val="0000FF"/>
                  <w:w w:val="99"/>
                </w:rPr>
                <w:t>GFL International Co., Ltd. (incorporated by reference to Exhibit 99.3 of the Current Report on Fo</w:t>
              </w:r>
            </w:hyperlink>
          </w:p>
        </w:tc>
        <w:tc>
          <w:tcPr>
            <w:tcW w:w="0" w:type="dxa"/>
            <w:vAlign w:val="bottom"/>
          </w:tcPr>
          <w:p>
            <w:pPr>
              <w:spacing w:after="0"/>
              <w:rPr>
                <w:sz w:val="1"/>
                <w:szCs w:val="1"/>
                <w:color w:val="auto"/>
              </w:rPr>
            </w:pPr>
          </w:p>
        </w:tc>
      </w:tr>
      <w:tr>
        <w:trPr>
          <w:trHeight w:val="282"/>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40" w:type="dxa"/>
            <w:vAlign w:val="bottom"/>
            <w:tcBorders>
              <w:bottom w:val="single" w:sz="8" w:color="0000FF"/>
            </w:tcBorders>
            <w:gridSpan w:val="6"/>
          </w:tcPr>
          <w:p>
            <w:pPr>
              <w:spacing w:after="0"/>
              <w:rPr>
                <w:rFonts w:ascii="Arial" w:cs="Arial" w:eastAsia="Arial" w:hAnsi="Arial"/>
                <w:sz w:val="20"/>
                <w:szCs w:val="20"/>
                <w:color w:val="0000FF"/>
                <w:w w:val="99"/>
              </w:rPr>
            </w:pPr>
            <w:hyperlink r:id="rId535">
              <w:r>
                <w:rPr>
                  <w:rFonts w:ascii="Arial" w:cs="Arial" w:eastAsia="Arial" w:hAnsi="Arial"/>
                  <w:sz w:val="20"/>
                  <w:szCs w:val="20"/>
                  <w:color w:val="0000FF"/>
                  <w:w w:val="99"/>
                </w:rPr>
                <w:t>K filed by Lithium Argentina AG on August 27, 2018)</w:t>
              </w:r>
            </w:hyperlink>
          </w:p>
        </w:tc>
        <w:tc>
          <w:tcPr>
            <w:tcW w:w="39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80" w:type="dxa"/>
            <w:vAlign w:val="bottom"/>
            <w:tcBorders>
              <w:bottom w:val="single" w:sz="8" w:color="0000FF"/>
            </w:tcBorders>
          </w:tcPr>
          <w:p>
            <w:pPr>
              <w:spacing w:after="0"/>
              <w:rPr>
                <w:rFonts w:ascii="Arial" w:cs="Arial" w:eastAsia="Arial" w:hAnsi="Arial"/>
                <w:sz w:val="20"/>
                <w:szCs w:val="20"/>
                <w:color w:val="0000FF"/>
                <w:w w:val="93"/>
              </w:rPr>
            </w:pPr>
            <w:hyperlink r:id="rId536">
              <w:r>
                <w:rPr>
                  <w:rFonts w:ascii="Arial" w:cs="Arial" w:eastAsia="Arial" w:hAnsi="Arial"/>
                  <w:sz w:val="20"/>
                  <w:szCs w:val="20"/>
                  <w:color w:val="0000FF"/>
                  <w:w w:val="93"/>
                </w:rPr>
                <w:t>4.</w:t>
              </w:r>
              <w:r>
                <w:rPr>
                  <w:rFonts w:ascii="Arial" w:cs="Arial" w:eastAsia="Arial" w:hAnsi="Arial"/>
                  <w:sz w:val="20"/>
                  <w:szCs w:val="20"/>
                  <w:u w:val="single" w:color="auto"/>
                  <w:color w:val="0000FF"/>
                  <w:w w:val="93"/>
                </w:rPr>
                <w:t>2</w:t>
              </w:r>
            </w:hyperlink>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tcBorders>
              <w:bottom w:val="single" w:sz="8" w:color="0000FF"/>
            </w:tcBorders>
            <w:gridSpan w:val="17"/>
          </w:tcPr>
          <w:p>
            <w:pPr>
              <w:spacing w:after="0"/>
              <w:rPr>
                <w:rFonts w:ascii="Arial" w:cs="Arial" w:eastAsia="Arial" w:hAnsi="Arial"/>
                <w:sz w:val="20"/>
                <w:szCs w:val="20"/>
                <w:color w:val="0000FF"/>
                <w:w w:val="99"/>
              </w:rPr>
            </w:pPr>
            <w:hyperlink r:id="rId536">
              <w:r>
                <w:rPr>
                  <w:rFonts w:ascii="Arial" w:cs="Arial" w:eastAsia="Arial" w:hAnsi="Arial"/>
                  <w:sz w:val="20"/>
                  <w:szCs w:val="20"/>
                  <w:color w:val="0000FF"/>
                  <w:w w:val="99"/>
                </w:rPr>
                <w:t>Lithium Argentina AG Equity Incentive Plan, Effective January 23, 2025 (incorporated by referenc</w:t>
              </w:r>
            </w:hyperlink>
          </w:p>
        </w:tc>
        <w:tc>
          <w:tcPr>
            <w:tcW w:w="0" w:type="dxa"/>
            <w:vAlign w:val="bottom"/>
          </w:tcPr>
          <w:p>
            <w:pPr>
              <w:spacing w:after="0"/>
              <w:rPr>
                <w:sz w:val="1"/>
                <w:szCs w:val="1"/>
                <w:color w:val="auto"/>
              </w:rPr>
            </w:pPr>
          </w:p>
        </w:tc>
      </w:tr>
      <w:tr>
        <w:trPr>
          <w:trHeight w:val="282"/>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tcBorders>
              <w:bottom w:val="single" w:sz="8" w:color="0000FF"/>
            </w:tcBorders>
            <w:gridSpan w:val="17"/>
          </w:tcPr>
          <w:p>
            <w:pPr>
              <w:spacing w:after="0"/>
              <w:rPr>
                <w:rFonts w:ascii="Arial" w:cs="Arial" w:eastAsia="Arial" w:hAnsi="Arial"/>
                <w:sz w:val="20"/>
                <w:szCs w:val="20"/>
                <w:color w:val="0000FF"/>
                <w:w w:val="99"/>
              </w:rPr>
            </w:pPr>
            <w:hyperlink r:id="rId536">
              <w:r>
                <w:rPr>
                  <w:rFonts w:ascii="Arial" w:cs="Arial" w:eastAsia="Arial" w:hAnsi="Arial"/>
                  <w:sz w:val="20"/>
                  <w:szCs w:val="20"/>
                  <w:color w:val="0000FF"/>
                  <w:w w:val="99"/>
                </w:rPr>
                <w:t>Exhibit 4.2 to the Registration Statement on Form S-8 filed by Lithium Argentina AG on January 2</w:t>
              </w:r>
            </w:hyperlink>
          </w:p>
        </w:tc>
        <w:tc>
          <w:tcPr>
            <w:tcW w:w="0" w:type="dxa"/>
            <w:vAlign w:val="bottom"/>
          </w:tcPr>
          <w:p>
            <w:pPr>
              <w:spacing w:after="0"/>
              <w:rPr>
                <w:sz w:val="1"/>
                <w:szCs w:val="1"/>
                <w:color w:val="auto"/>
              </w:rPr>
            </w:pPr>
          </w:p>
        </w:tc>
      </w:tr>
      <w:tr>
        <w:trPr>
          <w:trHeight w:val="282"/>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gridSpan w:val="2"/>
          </w:tcPr>
          <w:p>
            <w:pPr>
              <w:ind w:left="20"/>
              <w:spacing w:after="0"/>
              <w:rPr>
                <w:rFonts w:ascii="Arial" w:cs="Arial" w:eastAsia="Arial" w:hAnsi="Arial"/>
                <w:sz w:val="20"/>
                <w:szCs w:val="20"/>
                <w:color w:val="0000FF"/>
                <w:w w:val="93"/>
              </w:rPr>
            </w:pPr>
            <w:hyperlink r:id="rId536">
              <w:r>
                <w:rPr>
                  <w:rFonts w:ascii="Arial" w:cs="Arial" w:eastAsia="Arial" w:hAnsi="Arial"/>
                  <w:sz w:val="20"/>
                  <w:szCs w:val="20"/>
                  <w:color w:val="0000FF"/>
                  <w:w w:val="93"/>
                </w:rPr>
                <w:t>2025)</w:t>
              </w:r>
            </w:hyperlink>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80" w:type="dxa"/>
            <w:vAlign w:val="bottom"/>
            <w:tcBorders>
              <w:bottom w:val="single" w:sz="8" w:color="0000FF"/>
            </w:tcBorders>
          </w:tcPr>
          <w:p>
            <w:pPr>
              <w:spacing w:after="0"/>
              <w:rPr>
                <w:rFonts w:ascii="Arial" w:cs="Arial" w:eastAsia="Arial" w:hAnsi="Arial"/>
                <w:sz w:val="20"/>
                <w:szCs w:val="20"/>
                <w:color w:val="0000FF"/>
                <w:w w:val="93"/>
              </w:rPr>
            </w:pPr>
            <w:hyperlink r:id="rId537">
              <w:r>
                <w:rPr>
                  <w:rFonts w:ascii="Arial" w:cs="Arial" w:eastAsia="Arial" w:hAnsi="Arial"/>
                  <w:sz w:val="20"/>
                  <w:szCs w:val="20"/>
                  <w:color w:val="0000FF"/>
                  <w:w w:val="93"/>
                </w:rPr>
                <w:t>4.</w:t>
              </w:r>
              <w:r>
                <w:rPr>
                  <w:rFonts w:ascii="Arial" w:cs="Arial" w:eastAsia="Arial" w:hAnsi="Arial"/>
                  <w:sz w:val="20"/>
                  <w:szCs w:val="20"/>
                  <w:u w:val="single" w:color="auto"/>
                  <w:color w:val="0000FF"/>
                  <w:w w:val="93"/>
                </w:rPr>
                <w:t>3</w:t>
              </w:r>
            </w:hyperlink>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tcBorders>
              <w:bottom w:val="single" w:sz="8" w:color="0000FF"/>
            </w:tcBorders>
            <w:gridSpan w:val="15"/>
          </w:tcPr>
          <w:p>
            <w:pPr>
              <w:spacing w:after="0"/>
              <w:rPr>
                <w:rFonts w:ascii="Arial" w:cs="Arial" w:eastAsia="Arial" w:hAnsi="Arial"/>
                <w:sz w:val="20"/>
                <w:szCs w:val="20"/>
                <w:color w:val="0000FF"/>
              </w:rPr>
            </w:pPr>
            <w:hyperlink r:id="rId538">
              <w:r>
                <w:rPr>
                  <w:rFonts w:ascii="Arial" w:cs="Arial" w:eastAsia="Arial" w:hAnsi="Arial"/>
                  <w:sz w:val="20"/>
                  <w:szCs w:val="20"/>
                  <w:color w:val="0000FF"/>
                </w:rPr>
                <w:t>Summary in English of the Purchase Option Agreement dated March 28, 2016, by and between</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tcBorders>
              <w:bottom w:val="single" w:sz="8" w:color="0000FF"/>
            </w:tcBorders>
            <w:gridSpan w:val="17"/>
          </w:tcPr>
          <w:p>
            <w:pPr>
              <w:spacing w:after="0"/>
              <w:rPr>
                <w:rFonts w:ascii="Arial" w:cs="Arial" w:eastAsia="Arial" w:hAnsi="Arial"/>
                <w:sz w:val="20"/>
                <w:szCs w:val="20"/>
                <w:color w:val="0000FF"/>
                <w:w w:val="99"/>
              </w:rPr>
            </w:pPr>
            <w:hyperlink r:id="rId538">
              <w:r>
                <w:rPr>
                  <w:rFonts w:ascii="Arial" w:cs="Arial" w:eastAsia="Arial" w:hAnsi="Arial"/>
                  <w:sz w:val="20"/>
                  <w:szCs w:val="20"/>
                  <w:color w:val="0000FF"/>
                  <w:w w:val="99"/>
                </w:rPr>
                <w:t>Minera Exar S.A. and Grupo Minero Los Boros (incorporated by reference to Exhibit 4.4 to the An</w:t>
              </w:r>
            </w:hyperlink>
          </w:p>
        </w:tc>
        <w:tc>
          <w:tcPr>
            <w:tcW w:w="0" w:type="dxa"/>
            <w:vAlign w:val="bottom"/>
          </w:tcPr>
          <w:p>
            <w:pPr>
              <w:spacing w:after="0"/>
              <w:rPr>
                <w:sz w:val="1"/>
                <w:szCs w:val="1"/>
                <w:color w:val="auto"/>
              </w:rPr>
            </w:pPr>
          </w:p>
        </w:tc>
      </w:tr>
      <w:tr>
        <w:trPr>
          <w:trHeight w:val="282"/>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60" w:type="dxa"/>
            <w:vAlign w:val="bottom"/>
            <w:tcBorders>
              <w:bottom w:val="single" w:sz="8" w:color="0000FF"/>
            </w:tcBorders>
            <w:gridSpan w:val="7"/>
          </w:tcPr>
          <w:p>
            <w:pPr>
              <w:spacing w:after="0"/>
              <w:rPr>
                <w:rFonts w:ascii="Arial" w:cs="Arial" w:eastAsia="Arial" w:hAnsi="Arial"/>
                <w:sz w:val="20"/>
                <w:szCs w:val="20"/>
                <w:color w:val="0000FF"/>
                <w:w w:val="99"/>
              </w:rPr>
            </w:pPr>
            <w:hyperlink r:id="rId538">
              <w:r>
                <w:rPr>
                  <w:rFonts w:ascii="Arial" w:cs="Arial" w:eastAsia="Arial" w:hAnsi="Arial"/>
                  <w:sz w:val="20"/>
                  <w:szCs w:val="20"/>
                  <w:color w:val="0000FF"/>
                  <w:w w:val="99"/>
                </w:rPr>
                <w:t>Report on Form 20-F filed by Lithium Argentina on March 28, 2025)</w:t>
              </w:r>
            </w:hyperlink>
          </w:p>
        </w:tc>
        <w:tc>
          <w:tcPr>
            <w:tcW w:w="25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0" w:type="dxa"/>
            <w:vAlign w:val="bottom"/>
            <w:tcBorders>
              <w:bottom w:val="single" w:sz="8" w:color="0000FF"/>
            </w:tcBorders>
          </w:tcPr>
          <w:p>
            <w:pPr>
              <w:spacing w:after="0"/>
              <w:rPr>
                <w:rFonts w:ascii="Arial" w:cs="Arial" w:eastAsia="Arial" w:hAnsi="Arial"/>
                <w:sz w:val="20"/>
                <w:szCs w:val="20"/>
                <w:color w:val="0000FF"/>
                <w:w w:val="93"/>
              </w:rPr>
            </w:pPr>
            <w:hyperlink r:id="rId539">
              <w:r>
                <w:rPr>
                  <w:rFonts w:ascii="Arial" w:cs="Arial" w:eastAsia="Arial" w:hAnsi="Arial"/>
                  <w:sz w:val="20"/>
                  <w:szCs w:val="20"/>
                  <w:color w:val="0000FF"/>
                  <w:w w:val="93"/>
                </w:rPr>
                <w:t>4.</w:t>
              </w:r>
              <w:r>
                <w:rPr>
                  <w:rFonts w:ascii="Arial" w:cs="Arial" w:eastAsia="Arial" w:hAnsi="Arial"/>
                  <w:sz w:val="20"/>
                  <w:szCs w:val="20"/>
                  <w:u w:val="single" w:color="auto"/>
                  <w:color w:val="0000FF"/>
                  <w:w w:val="93"/>
                </w:rPr>
                <w:t>4</w:t>
              </w:r>
            </w:hyperlink>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20" w:type="dxa"/>
            <w:vAlign w:val="bottom"/>
            <w:tcBorders>
              <w:bottom w:val="single" w:sz="8" w:color="0000FF"/>
            </w:tcBorders>
            <w:gridSpan w:val="16"/>
          </w:tcPr>
          <w:p>
            <w:pPr>
              <w:spacing w:after="0"/>
              <w:rPr>
                <w:rFonts w:ascii="Arial" w:cs="Arial" w:eastAsia="Arial" w:hAnsi="Arial"/>
                <w:sz w:val="20"/>
                <w:szCs w:val="20"/>
                <w:color w:val="0000FF"/>
              </w:rPr>
            </w:pPr>
            <w:hyperlink r:id="rId539">
              <w:r>
                <w:rPr>
                  <w:rFonts w:ascii="Arial" w:cs="Arial" w:eastAsia="Arial" w:hAnsi="Arial"/>
                  <w:sz w:val="20"/>
                  <w:szCs w:val="20"/>
                  <w:color w:val="0000FF"/>
                </w:rPr>
                <w:t>Framework Agreement between GFL International Co., Limited and Lithium Argentina AG dated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tcBorders>
              <w:bottom w:val="single" w:sz="8" w:color="0000FF"/>
            </w:tcBorders>
            <w:gridSpan w:val="17"/>
          </w:tcPr>
          <w:p>
            <w:pPr>
              <w:spacing w:after="0"/>
              <w:rPr>
                <w:rFonts w:ascii="Arial" w:cs="Arial" w:eastAsia="Arial" w:hAnsi="Arial"/>
                <w:sz w:val="20"/>
                <w:szCs w:val="20"/>
                <w:color w:val="0000FF"/>
              </w:rPr>
            </w:pPr>
            <w:hyperlink r:id="rId539">
              <w:r>
                <w:rPr>
                  <w:rFonts w:ascii="Arial" w:cs="Arial" w:eastAsia="Arial" w:hAnsi="Arial"/>
                  <w:sz w:val="20"/>
                  <w:szCs w:val="20"/>
                  <w:color w:val="0000FF"/>
                </w:rPr>
                <w:t>August 12, 2025 (incorporated by reference to Exhibit 99.3 to the Current Report on Form 6-K fil</w:t>
              </w:r>
            </w:hyperlink>
          </w:p>
        </w:tc>
        <w:tc>
          <w:tcPr>
            <w:tcW w:w="0" w:type="dxa"/>
            <w:vAlign w:val="bottom"/>
          </w:tcPr>
          <w:p>
            <w:pPr>
              <w:spacing w:after="0"/>
              <w:rPr>
                <w:sz w:val="1"/>
                <w:szCs w:val="1"/>
                <w:color w:val="auto"/>
              </w:rPr>
            </w:pPr>
          </w:p>
        </w:tc>
      </w:tr>
      <w:tr>
        <w:trPr>
          <w:trHeight w:val="282"/>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17"/>
          </w:tcPr>
          <w:p>
            <w:pPr>
              <w:spacing w:after="0"/>
              <w:rPr>
                <w:rFonts w:ascii="Arial" w:cs="Arial" w:eastAsia="Arial" w:hAnsi="Arial"/>
                <w:sz w:val="20"/>
                <w:szCs w:val="20"/>
                <w:color w:val="0000FF"/>
              </w:rPr>
            </w:pPr>
            <w:hyperlink r:id="rId539">
              <w:r>
                <w:rPr>
                  <w:rFonts w:ascii="Arial" w:cs="Arial" w:eastAsia="Arial" w:hAnsi="Arial"/>
                  <w:sz w:val="20"/>
                  <w:szCs w:val="20"/>
                  <w:color w:val="0000FF"/>
                </w:rPr>
                <w:t>Lithium Argentina AG on September 10, 2025)</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280" w:type="dxa"/>
            <w:vAlign w:val="bottom"/>
            <w:tcBorders>
              <w:bottom w:val="single" w:sz="8" w:color="0000FF"/>
            </w:tcBorders>
          </w:tcPr>
          <w:p>
            <w:pPr>
              <w:spacing w:after="0"/>
              <w:rPr>
                <w:rFonts w:ascii="Arial" w:cs="Arial" w:eastAsia="Arial" w:hAnsi="Arial"/>
                <w:sz w:val="20"/>
                <w:szCs w:val="20"/>
                <w:color w:val="0000FF"/>
                <w:w w:val="93"/>
              </w:rPr>
            </w:pPr>
            <w:hyperlink r:id="rId540">
              <w:r>
                <w:rPr>
                  <w:rFonts w:ascii="Arial" w:cs="Arial" w:eastAsia="Arial" w:hAnsi="Arial"/>
                  <w:sz w:val="20"/>
                  <w:szCs w:val="20"/>
                  <w:color w:val="0000FF"/>
                  <w:w w:val="93"/>
                </w:rPr>
                <w:t>8.</w:t>
              </w:r>
              <w:r>
                <w:rPr>
                  <w:rFonts w:ascii="Arial" w:cs="Arial" w:eastAsia="Arial" w:hAnsi="Arial"/>
                  <w:sz w:val="20"/>
                  <w:szCs w:val="20"/>
                  <w:u w:val="single" w:color="auto"/>
                  <w:color w:val="0000FF"/>
                  <w:w w:val="93"/>
                </w:rPr>
                <w:t>1</w:t>
              </w:r>
            </w:hyperlink>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60" w:type="dxa"/>
            <w:vAlign w:val="bottom"/>
            <w:tcBorders>
              <w:bottom w:val="single" w:sz="8" w:color="0000FF"/>
            </w:tcBorders>
            <w:gridSpan w:val="18"/>
          </w:tcPr>
          <w:p>
            <w:pPr>
              <w:spacing w:after="0"/>
              <w:rPr>
                <w:rFonts w:ascii="Arial" w:cs="Arial" w:eastAsia="Arial" w:hAnsi="Arial"/>
                <w:sz w:val="20"/>
                <w:szCs w:val="20"/>
                <w:color w:val="0000FF"/>
                <w:w w:val="99"/>
              </w:rPr>
            </w:pPr>
            <w:hyperlink r:id="rId540">
              <w:r>
                <w:rPr>
                  <w:rFonts w:ascii="Arial" w:cs="Arial" w:eastAsia="Arial" w:hAnsi="Arial"/>
                  <w:sz w:val="20"/>
                  <w:szCs w:val="20"/>
                  <w:color w:val="0000FF"/>
                  <w:w w:val="99"/>
                </w:rPr>
                <w:t>List of Subsidiaries (incorporated by reference to Exhibit 8.1 to the Annual Report on Form 20-F f</w:t>
              </w:r>
            </w:hyperlink>
          </w:p>
        </w:tc>
        <w:tc>
          <w:tcPr>
            <w:tcW w:w="0" w:type="dxa"/>
            <w:vAlign w:val="bottom"/>
          </w:tcPr>
          <w:p>
            <w:pPr>
              <w:spacing w:after="0"/>
              <w:rPr>
                <w:sz w:val="1"/>
                <w:szCs w:val="1"/>
                <w:color w:val="auto"/>
              </w:rPr>
            </w:pPr>
          </w:p>
        </w:tc>
      </w:tr>
      <w:tr>
        <w:trPr>
          <w:trHeight w:val="282"/>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20" w:type="dxa"/>
            <w:vAlign w:val="bottom"/>
            <w:tcBorders>
              <w:bottom w:val="single" w:sz="8" w:color="0000FF"/>
            </w:tcBorders>
            <w:gridSpan w:val="4"/>
          </w:tcPr>
          <w:p>
            <w:pPr>
              <w:spacing w:after="0"/>
              <w:rPr>
                <w:rFonts w:ascii="Arial" w:cs="Arial" w:eastAsia="Arial" w:hAnsi="Arial"/>
                <w:sz w:val="20"/>
                <w:szCs w:val="20"/>
                <w:color w:val="0000FF"/>
                <w:w w:val="99"/>
              </w:rPr>
            </w:pPr>
            <w:hyperlink r:id="rId540">
              <w:r>
                <w:rPr>
                  <w:rFonts w:ascii="Arial" w:cs="Arial" w:eastAsia="Arial" w:hAnsi="Arial"/>
                  <w:sz w:val="20"/>
                  <w:szCs w:val="20"/>
                  <w:color w:val="0000FF"/>
                  <w:w w:val="99"/>
                </w:rPr>
                <w:t>by Lithium Argentina on March 28, 2025)</w:t>
              </w:r>
            </w:hyperlink>
          </w:p>
        </w:tc>
        <w:tc>
          <w:tcPr>
            <w:tcW w:w="49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97"/>
              </w:rPr>
              <w:t>11.</w:t>
            </w:r>
            <w:r>
              <w:rPr>
                <w:rFonts w:ascii="Arial" w:cs="Arial" w:eastAsia="Arial" w:hAnsi="Arial"/>
                <w:sz w:val="20"/>
                <w:szCs w:val="20"/>
                <w:u w:val="single" w:color="auto"/>
                <w:color w:val="0000FF"/>
                <w:w w:val="97"/>
              </w:rPr>
              <w:t>1</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99"/>
              </w:rPr>
              <w:t>Securities Trading Policy</w:t>
            </w:r>
          </w:p>
        </w:tc>
        <w:tc>
          <w:tcPr>
            <w:tcW w:w="63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0" w:type="dxa"/>
            <w:vAlign w:val="bottom"/>
            <w:gridSpan w:val="2"/>
          </w:tcPr>
          <w:p>
            <w:pPr>
              <w:spacing w:after="0"/>
              <w:rPr>
                <w:sz w:val="20"/>
                <w:szCs w:val="20"/>
                <w:color w:val="auto"/>
              </w:rPr>
            </w:pPr>
            <w:r>
              <w:rPr>
                <w:rFonts w:ascii="Arial" w:cs="Arial" w:eastAsia="Arial" w:hAnsi="Arial"/>
                <w:sz w:val="20"/>
                <w:szCs w:val="20"/>
                <w:color w:val="0000FF"/>
                <w:w w:val="97"/>
              </w:rPr>
              <w:t>12.</w:t>
            </w:r>
            <w:r>
              <w:rPr>
                <w:rFonts w:ascii="Arial" w:cs="Arial" w:eastAsia="Arial" w:hAnsi="Arial"/>
                <w:sz w:val="20"/>
                <w:szCs w:val="20"/>
                <w:u w:val="single" w:color="auto"/>
                <w:color w:val="0000FF"/>
                <w:w w:val="97"/>
              </w:rPr>
              <w:t>1</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17"/>
          </w:tcPr>
          <w:p>
            <w:pPr>
              <w:spacing w:after="0"/>
              <w:rPr>
                <w:sz w:val="20"/>
                <w:szCs w:val="20"/>
                <w:color w:val="auto"/>
              </w:rPr>
            </w:pPr>
            <w:r>
              <w:rPr>
                <w:rFonts w:ascii="Arial" w:cs="Arial" w:eastAsia="Arial" w:hAnsi="Arial"/>
                <w:sz w:val="20"/>
                <w:szCs w:val="20"/>
                <w:color w:val="0000FF"/>
              </w:rPr>
              <w:t>Certification of the Principal Executive Officer pursuant to Rule 13a-14(a)</w:t>
            </w:r>
          </w:p>
        </w:tc>
        <w:tc>
          <w:tcPr>
            <w:tcW w:w="0" w:type="dxa"/>
            <w:vAlign w:val="bottom"/>
          </w:tcPr>
          <w:p>
            <w:pPr>
              <w:spacing w:after="0"/>
              <w:rPr>
                <w:sz w:val="1"/>
                <w:szCs w:val="1"/>
                <w:color w:val="auto"/>
              </w:rPr>
            </w:pPr>
          </w:p>
        </w:tc>
      </w:tr>
      <w:tr>
        <w:trPr>
          <w:trHeight w:val="311"/>
        </w:trPr>
        <w:tc>
          <w:tcPr>
            <w:tcW w:w="4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0"/>
                <w:szCs w:val="20"/>
                <w:color w:val="0000FF"/>
                <w:w w:val="97"/>
              </w:rPr>
              <w:t>12.</w:t>
            </w:r>
            <w:r>
              <w:rPr>
                <w:rFonts w:ascii="Arial" w:cs="Arial" w:eastAsia="Arial" w:hAnsi="Arial"/>
                <w:sz w:val="20"/>
                <w:szCs w:val="20"/>
                <w:u w:val="single" w:color="auto"/>
                <w:color w:val="0000FF"/>
                <w:w w:val="97"/>
              </w:rPr>
              <w:t>2</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8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20"/>
                <w:szCs w:val="20"/>
                <w:color w:val="0000FF"/>
                <w:w w:val="99"/>
              </w:rPr>
              <w:t>Certification of the Principal Financial Officer pursuant to Rule 13a-14(a)</w:t>
            </w:r>
          </w:p>
        </w:tc>
        <w:tc>
          <w:tcPr>
            <w:tcW w:w="60" w:type="dxa"/>
            <w:vAlign w:val="bottom"/>
            <w:tcBorders>
              <w:top w:val="single" w:sz="8" w:color="0000FF"/>
            </w:tcBorders>
          </w:tcPr>
          <w:p>
            <w:pPr>
              <w:spacing w:after="0"/>
              <w:rPr>
                <w:sz w:val="24"/>
                <w:szCs w:val="24"/>
                <w:color w:val="auto"/>
              </w:rPr>
            </w:pPr>
          </w:p>
        </w:tc>
        <w:tc>
          <w:tcPr>
            <w:tcW w:w="21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97"/>
              </w:rPr>
              <w:t>13.</w:t>
            </w:r>
            <w:r>
              <w:rPr>
                <w:rFonts w:ascii="Arial" w:cs="Arial" w:eastAsia="Arial" w:hAnsi="Arial"/>
                <w:sz w:val="20"/>
                <w:szCs w:val="20"/>
                <w:u w:val="single" w:color="auto"/>
                <w:color w:val="0000FF"/>
                <w:w w:val="97"/>
              </w:rPr>
              <w:t>1</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tcBorders>
              <w:bottom w:val="single" w:sz="8" w:color="0000FF"/>
            </w:tcBorders>
            <w:gridSpan w:val="12"/>
          </w:tcPr>
          <w:p>
            <w:pPr>
              <w:spacing w:after="0"/>
              <w:rPr>
                <w:sz w:val="20"/>
                <w:szCs w:val="20"/>
                <w:color w:val="auto"/>
              </w:rPr>
            </w:pPr>
            <w:r>
              <w:rPr>
                <w:rFonts w:ascii="Arial" w:cs="Arial" w:eastAsia="Arial" w:hAnsi="Arial"/>
                <w:sz w:val="20"/>
                <w:szCs w:val="20"/>
                <w:color w:val="0000FF"/>
                <w:w w:val="99"/>
              </w:rPr>
              <w:t>Certificate of Principal Executive Officer pursuant to 18 U.S.C. Section 1350</w:t>
            </w:r>
          </w:p>
        </w:tc>
        <w:tc>
          <w:tcPr>
            <w:tcW w:w="18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0" w:type="dxa"/>
            <w:vAlign w:val="bottom"/>
            <w:gridSpan w:val="2"/>
          </w:tcPr>
          <w:p>
            <w:pPr>
              <w:spacing w:after="0"/>
              <w:rPr>
                <w:sz w:val="20"/>
                <w:szCs w:val="20"/>
                <w:color w:val="auto"/>
              </w:rPr>
            </w:pPr>
            <w:r>
              <w:rPr>
                <w:rFonts w:ascii="Arial" w:cs="Arial" w:eastAsia="Arial" w:hAnsi="Arial"/>
                <w:sz w:val="20"/>
                <w:szCs w:val="20"/>
                <w:color w:val="0000FF"/>
                <w:w w:val="97"/>
              </w:rPr>
              <w:t>13.</w:t>
            </w:r>
            <w:r>
              <w:rPr>
                <w:rFonts w:ascii="Arial" w:cs="Arial" w:eastAsia="Arial" w:hAnsi="Arial"/>
                <w:sz w:val="20"/>
                <w:szCs w:val="20"/>
                <w:u w:val="single" w:color="auto"/>
                <w:color w:val="0000FF"/>
                <w:w w:val="97"/>
              </w:rPr>
              <w:t>2</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17"/>
          </w:tcPr>
          <w:p>
            <w:pPr>
              <w:spacing w:after="0"/>
              <w:rPr>
                <w:sz w:val="20"/>
                <w:szCs w:val="20"/>
                <w:color w:val="auto"/>
              </w:rPr>
            </w:pPr>
            <w:r>
              <w:rPr>
                <w:rFonts w:ascii="Arial" w:cs="Arial" w:eastAsia="Arial" w:hAnsi="Arial"/>
                <w:sz w:val="20"/>
                <w:szCs w:val="20"/>
                <w:color w:val="0000FF"/>
              </w:rPr>
              <w:t>Certificate of Principal Financial Officer pursuant to 18 U.S.C. Section 1350</w:t>
            </w:r>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40" w:type="dxa"/>
            <w:vAlign w:val="bottom"/>
            <w:gridSpan w:val="11"/>
            <w:shd w:val="clear" w:color="auto" w:fill="0000FF"/>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97"/>
              </w:rPr>
              <w:t>15.</w:t>
            </w:r>
            <w:r>
              <w:rPr>
                <w:rFonts w:ascii="Arial" w:cs="Arial" w:eastAsia="Arial" w:hAnsi="Arial"/>
                <w:sz w:val="20"/>
                <w:szCs w:val="20"/>
                <w:u w:val="single" w:color="auto"/>
                <w:color w:val="0000FF"/>
                <w:w w:val="97"/>
              </w:rPr>
              <w:t>1</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tcBorders>
              <w:bottom w:val="single" w:sz="8" w:color="0000FF"/>
            </w:tcBorders>
            <w:gridSpan w:val="17"/>
          </w:tcPr>
          <w:p>
            <w:pPr>
              <w:spacing w:after="0"/>
              <w:rPr>
                <w:sz w:val="20"/>
                <w:szCs w:val="20"/>
                <w:color w:val="auto"/>
              </w:rPr>
            </w:pPr>
            <w:r>
              <w:rPr>
                <w:rFonts w:ascii="Arial" w:cs="Arial" w:eastAsia="Arial" w:hAnsi="Arial"/>
                <w:sz w:val="20"/>
                <w:szCs w:val="20"/>
                <w:color w:val="0000FF"/>
                <w:w w:val="99"/>
              </w:rPr>
              <w:t>Management’s discussion and analysis of Lithium Argentina for the year ended December 31, 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-6323330</wp:posOffset>
            </wp:positionV>
            <wp:extent cx="6078220" cy="952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1">
                      <a:extLst>
                        <a:ext uri="{28A0092B-C50C-407E-A947-70E740481C1C}"/>
                      </a:extLst>
                    </a:blip>
                    <a:srcRect/>
                    <a:stretch>
                      <a:fillRect/>
                    </a:stretch>
                  </pic:blipFill>
                  <pic:spPr bwMode="auto">
                    <a:xfrm>
                      <a:off x="0" y="0"/>
                      <a:ext cx="6078220" cy="95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2613660</wp:posOffset>
                </wp:positionH>
                <wp:positionV relativeFrom="paragraph">
                  <wp:posOffset>-1052195</wp:posOffset>
                </wp:positionV>
                <wp:extent cx="35560" cy="0"/>
                <wp:wrapNone/>
                <wp:docPr id="528" name="Shape 5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560" cy="4763"/>
                        </a:xfrm>
                        <a:prstGeom prst="line">
                          <a:avLst/>
                        </a:prstGeom>
                        <a:solidFill>
                          <a:srgbClr val="FFFFFF"/>
                        </a:solidFill>
                        <a:ln w="13329">
                          <a:solidFill>
                            <a:srgbClr val="0000FF"/>
                          </a:solidFill>
                          <a:miter lim="800000"/>
                          <a:headEnd/>
                          <a:tailEnd/>
                        </a:ln>
                      </wps:spPr>
                      <wps:bodyPr/>
                    </wps:wsp>
                  </a:graphicData>
                </a:graphic>
              </wp:anchor>
            </w:drawing>
          </mc:Choice>
          <mc:Fallback>
            <w:pict>
              <v:line id="Shape 528" o:spid="_x0000_s15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8pt,-82.8499pt" to="208.6pt,-82.8499pt" o:allowincell="f" strokecolor="#0000FF" strokeweight="1.0495pt"/>
            </w:pict>
          </mc:Fallback>
        </mc:AlternateConten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135 / 139</w:t>
      </w:r>
    </w:p>
    <w:p>
      <w:pPr>
        <w:sectPr>
          <w:pgSz w:w="11900" w:h="16838" w:orient="portrait"/>
          <w:cols w:equalWidth="0" w:num="1">
            <w:col w:w="10460"/>
          </w:cols>
          <w:pgMar w:left="1440" w:top="1440" w:right="6" w:bottom="0" w:gutter="0" w:footer="0" w:header="0"/>
          <w:type w:val="continuous"/>
        </w:sectPr>
      </w:pPr>
    </w:p>
    <w:bookmarkStart w:id="364" w:name="page365"/>
    <w:bookmarkEnd w:id="364"/>
    <w:p>
      <w:pPr>
        <w:ind w:left="1920" w:hanging="1007"/>
        <w:spacing w:after="0" w:line="311" w:lineRule="auto"/>
        <w:tabs>
          <w:tab w:leader="none" w:pos="1900" w:val="left"/>
        </w:tabs>
        <w:rPr>
          <w:rFonts w:ascii="Arial" w:cs="Arial" w:eastAsia="Arial" w:hAnsi="Arial"/>
          <w:sz w:val="20"/>
          <w:szCs w:val="20"/>
          <w:u w:val="single" w:color="auto"/>
          <w:color w:val="0000FF"/>
        </w:rPr>
      </w:pPr>
      <w:hyperlink r:id="rId542">
        <w:r>
          <w:rPr>
            <w:rFonts w:ascii="Arial" w:cs="Arial" w:eastAsia="Arial" w:hAnsi="Arial"/>
            <w:sz w:val="20"/>
            <w:szCs w:val="20"/>
            <w:u w:val="single" w:color="auto"/>
            <w:color w:val="0000FF"/>
          </w:rPr>
          <w:t>15.2</w:t>
        </w:r>
      </w:hyperlink>
      <w:r>
        <w:rPr>
          <w:rFonts w:ascii="Arial" w:cs="Arial" w:eastAsia="Arial" w:hAnsi="Arial"/>
          <w:sz w:val="20"/>
          <w:szCs w:val="20"/>
          <w:u w:val="single" w:color="auto"/>
          <w:color w:val="0000FF"/>
        </w:rPr>
        <w:tab/>
      </w:r>
      <w:hyperlink r:id="rId542">
        <w:r>
          <w:rPr>
            <w:rFonts w:ascii="Arial" w:cs="Arial" w:eastAsia="Arial" w:hAnsi="Arial"/>
            <w:sz w:val="20"/>
            <w:szCs w:val="20"/>
            <w:u w:val="single" w:color="auto"/>
            <w:color w:val="0000FF"/>
          </w:rPr>
          <w:t>2026 Cauchari-Olaroz S-K 1300 Technical Report, Salars, Jujuy Province, Argentina, effective</w:t>
        </w:r>
      </w:hyperlink>
      <w:r>
        <w:rPr>
          <w:rFonts w:ascii="Arial" w:cs="Arial" w:eastAsia="Arial" w:hAnsi="Arial"/>
          <w:sz w:val="20"/>
          <w:szCs w:val="20"/>
          <w:u w:val="single" w:color="auto"/>
          <w:color w:val="0000FF"/>
        </w:rPr>
        <w:t xml:space="preserve"> </w:t>
      </w:r>
      <w:hyperlink r:id="rId542">
        <w:r>
          <w:rPr>
            <w:rFonts w:ascii="Arial" w:cs="Arial" w:eastAsia="Arial" w:hAnsi="Arial"/>
            <w:sz w:val="20"/>
            <w:szCs w:val="20"/>
            <w:u w:val="single" w:color="auto"/>
            <w:color w:val="0000FF"/>
          </w:rPr>
          <w:t>December 31, 2025 (incorporated by reference to Exhibit 99.1 to the Current Report on Form 6-K</w:t>
        </w:r>
      </w:hyperlink>
      <w:r>
        <w:rPr>
          <w:rFonts w:ascii="Arial" w:cs="Arial" w:eastAsia="Arial" w:hAnsi="Arial"/>
          <w:sz w:val="20"/>
          <w:szCs w:val="20"/>
          <w:u w:val="single" w:color="auto"/>
          <w:color w:val="0000FF"/>
        </w:rPr>
        <w:t xml:space="preserve"> </w:t>
      </w:r>
      <w:hyperlink r:id="rId542">
        <w:r>
          <w:rPr>
            <w:rFonts w:ascii="Arial" w:cs="Arial" w:eastAsia="Arial" w:hAnsi="Arial"/>
            <w:sz w:val="20"/>
            <w:szCs w:val="20"/>
            <w:u w:val="single" w:color="auto"/>
            <w:color w:val="0000FF"/>
          </w:rPr>
          <w:t>by Lithium AG on March 20, 2026)</w:t>
        </w:r>
      </w:hyperlink>
    </w:p>
    <w:p>
      <w:pPr>
        <w:spacing w:after="0" w:line="40" w:lineRule="exact"/>
        <w:rPr>
          <w:rFonts w:ascii="Arial" w:cs="Arial" w:eastAsia="Arial" w:hAnsi="Arial"/>
          <w:sz w:val="20"/>
          <w:szCs w:val="20"/>
          <w:u w:val="single" w:color="auto"/>
          <w:color w:val="0000FF"/>
        </w:rPr>
      </w:pPr>
    </w:p>
    <w:p>
      <w:pPr>
        <w:ind w:left="1920" w:right="60" w:hanging="1007"/>
        <w:spacing w:after="0" w:line="311" w:lineRule="auto"/>
        <w:tabs>
          <w:tab w:leader="none" w:pos="1900" w:val="left"/>
        </w:tabs>
        <w:rPr>
          <w:rFonts w:ascii="Arial" w:cs="Arial" w:eastAsia="Arial" w:hAnsi="Arial"/>
          <w:sz w:val="20"/>
          <w:szCs w:val="20"/>
          <w:u w:val="single" w:color="auto"/>
          <w:color w:val="0000FF"/>
        </w:rPr>
      </w:pPr>
      <w:hyperlink r:id="rId543">
        <w:r>
          <w:rPr>
            <w:rFonts w:ascii="Arial" w:cs="Arial" w:eastAsia="Arial" w:hAnsi="Arial"/>
            <w:sz w:val="20"/>
            <w:szCs w:val="20"/>
            <w:u w:val="single" w:color="auto"/>
            <w:color w:val="0000FF"/>
          </w:rPr>
          <w:t>15.3</w:t>
        </w:r>
      </w:hyperlink>
      <w:r>
        <w:rPr>
          <w:rFonts w:ascii="Arial" w:cs="Arial" w:eastAsia="Arial" w:hAnsi="Arial"/>
          <w:sz w:val="20"/>
          <w:szCs w:val="20"/>
          <w:u w:val="single" w:color="auto"/>
          <w:color w:val="0000FF"/>
        </w:rPr>
        <w:tab/>
      </w:r>
      <w:hyperlink r:id="rId543">
        <w:r>
          <w:rPr>
            <w:rFonts w:ascii="Arial" w:cs="Arial" w:eastAsia="Arial" w:hAnsi="Arial"/>
            <w:sz w:val="20"/>
            <w:szCs w:val="20"/>
            <w:u w:val="single" w:color="auto"/>
            <w:color w:val="0000FF"/>
          </w:rPr>
          <w:t>SK-1300 Technical Report – Scoping Study Report at PPG Salars, Salta Province, Argentina,</w:t>
        </w:r>
      </w:hyperlink>
      <w:r>
        <w:rPr>
          <w:rFonts w:ascii="Arial" w:cs="Arial" w:eastAsia="Arial" w:hAnsi="Arial"/>
          <w:sz w:val="20"/>
          <w:szCs w:val="20"/>
          <w:u w:val="single" w:color="auto"/>
          <w:color w:val="0000FF"/>
        </w:rPr>
        <w:t xml:space="preserve"> </w:t>
      </w:r>
      <w:hyperlink r:id="rId543">
        <w:r>
          <w:rPr>
            <w:rFonts w:ascii="Arial" w:cs="Arial" w:eastAsia="Arial" w:hAnsi="Arial"/>
            <w:sz w:val="20"/>
            <w:szCs w:val="20"/>
            <w:u w:val="single" w:color="auto"/>
            <w:color w:val="0000FF"/>
          </w:rPr>
          <w:t>effective December 31, 2025 (incorporated by reference to Exhibit 99.1 to the Current Report on</w:t>
        </w:r>
      </w:hyperlink>
      <w:r>
        <w:rPr>
          <w:rFonts w:ascii="Arial" w:cs="Arial" w:eastAsia="Arial" w:hAnsi="Arial"/>
          <w:sz w:val="20"/>
          <w:szCs w:val="20"/>
          <w:u w:val="single" w:color="auto"/>
          <w:color w:val="0000FF"/>
        </w:rPr>
        <w:t xml:space="preserve"> </w:t>
      </w:r>
      <w:hyperlink r:id="rId543">
        <w:r>
          <w:rPr>
            <w:rFonts w:ascii="Arial" w:cs="Arial" w:eastAsia="Arial" w:hAnsi="Arial"/>
            <w:sz w:val="20"/>
            <w:szCs w:val="20"/>
            <w:u w:val="single" w:color="auto"/>
            <w:color w:val="0000FF"/>
          </w:rPr>
          <w:t>6-K filed by Lithium AG on March 20, 2026)</w:t>
        </w:r>
      </w:hyperlink>
    </w:p>
    <w:p>
      <w:pPr>
        <w:spacing w:after="0" w:line="33" w:lineRule="exact"/>
        <w:rPr>
          <w:rFonts w:ascii="Arial" w:cs="Arial" w:eastAsia="Arial" w:hAnsi="Arial"/>
          <w:sz w:val="20"/>
          <w:szCs w:val="20"/>
          <w:u w:val="single" w:color="auto"/>
          <w:color w:val="0000FF"/>
        </w:rPr>
      </w:pPr>
    </w:p>
    <w:p>
      <w:pPr>
        <w:ind w:left="900"/>
        <w:spacing w:after="0"/>
        <w:tabs>
          <w:tab w:leader="none" w:pos="1900" w:val="left"/>
        </w:tabs>
        <w:rPr>
          <w:sz w:val="20"/>
          <w:szCs w:val="20"/>
          <w:color w:val="auto"/>
        </w:rPr>
      </w:pPr>
      <w:r>
        <w:rPr>
          <w:rFonts w:ascii="Arial" w:cs="Arial" w:eastAsia="Arial" w:hAnsi="Arial"/>
          <w:sz w:val="20"/>
          <w:szCs w:val="20"/>
          <w:u w:val="single" w:color="auto"/>
          <w:color w:val="0000FF"/>
        </w:rPr>
        <w:t>15.4</w:t>
      </w:r>
      <w:r>
        <w:rPr>
          <w:sz w:val="20"/>
          <w:szCs w:val="20"/>
          <w:color w:val="auto"/>
        </w:rPr>
        <w:tab/>
      </w:r>
      <w:r>
        <w:rPr>
          <w:rFonts w:ascii="Arial" w:cs="Arial" w:eastAsia="Arial" w:hAnsi="Arial"/>
          <w:sz w:val="19"/>
          <w:szCs w:val="19"/>
          <w:u w:val="single" w:color="auto"/>
          <w:color w:val="0000FF"/>
        </w:rPr>
        <w:t>Consent of Qualified Person (David Burga)</w:t>
      </w:r>
    </w:p>
    <w:p>
      <w:pPr>
        <w:spacing w:after="0" w:line="101" w:lineRule="exact"/>
        <w:rPr>
          <w:rFonts w:ascii="Arial" w:cs="Arial" w:eastAsia="Arial" w:hAnsi="Arial"/>
          <w:sz w:val="20"/>
          <w:szCs w:val="20"/>
          <w:u w:val="single" w:color="auto"/>
          <w:color w:val="0000FF"/>
        </w:rPr>
      </w:pPr>
    </w:p>
    <w:p>
      <w:pPr>
        <w:ind w:left="900"/>
        <w:spacing w:after="0"/>
        <w:tabs>
          <w:tab w:leader="none" w:pos="1900" w:val="left"/>
        </w:tabs>
        <w:rPr>
          <w:sz w:val="20"/>
          <w:szCs w:val="20"/>
          <w:color w:val="auto"/>
        </w:rPr>
      </w:pPr>
      <w:r>
        <w:rPr>
          <w:rFonts w:ascii="Arial" w:cs="Arial" w:eastAsia="Arial" w:hAnsi="Arial"/>
          <w:sz w:val="20"/>
          <w:szCs w:val="20"/>
          <w:u w:val="single" w:color="auto"/>
          <w:color w:val="0000FF"/>
        </w:rPr>
        <w:t>15.5</w:t>
      </w:r>
      <w:r>
        <w:rPr>
          <w:sz w:val="20"/>
          <w:szCs w:val="20"/>
          <w:color w:val="auto"/>
        </w:rPr>
        <w:tab/>
      </w:r>
      <w:r>
        <w:rPr>
          <w:rFonts w:ascii="Arial" w:cs="Arial" w:eastAsia="Arial" w:hAnsi="Arial"/>
          <w:sz w:val="19"/>
          <w:szCs w:val="19"/>
          <w:u w:val="single" w:color="auto"/>
          <w:color w:val="0000FF"/>
        </w:rPr>
        <w:t>Consent of Qualified Person (Anthony Sanford)</w:t>
      </w:r>
    </w:p>
    <w:p>
      <w:pPr>
        <w:spacing w:after="0" w:line="101" w:lineRule="exact"/>
        <w:rPr>
          <w:rFonts w:ascii="Arial" w:cs="Arial" w:eastAsia="Arial" w:hAnsi="Arial"/>
          <w:sz w:val="20"/>
          <w:szCs w:val="20"/>
          <w:u w:val="single" w:color="auto"/>
          <w:color w:val="0000FF"/>
        </w:rPr>
      </w:pPr>
    </w:p>
    <w:p>
      <w:pPr>
        <w:ind w:left="900"/>
        <w:spacing w:after="0"/>
        <w:tabs>
          <w:tab w:leader="none" w:pos="1900" w:val="left"/>
        </w:tabs>
        <w:rPr>
          <w:sz w:val="20"/>
          <w:szCs w:val="20"/>
          <w:color w:val="auto"/>
        </w:rPr>
      </w:pPr>
      <w:r>
        <w:rPr>
          <w:rFonts w:ascii="Arial" w:cs="Arial" w:eastAsia="Arial" w:hAnsi="Arial"/>
          <w:sz w:val="20"/>
          <w:szCs w:val="20"/>
          <w:u w:val="single" w:color="auto"/>
          <w:color w:val="0000FF"/>
        </w:rPr>
        <w:t>15.6</w:t>
      </w:r>
      <w:r>
        <w:rPr>
          <w:sz w:val="20"/>
          <w:szCs w:val="20"/>
          <w:color w:val="auto"/>
        </w:rPr>
        <w:tab/>
      </w:r>
      <w:r>
        <w:rPr>
          <w:rFonts w:ascii="Arial" w:cs="Arial" w:eastAsia="Arial" w:hAnsi="Arial"/>
          <w:sz w:val="19"/>
          <w:szCs w:val="19"/>
          <w:u w:val="single" w:color="auto"/>
          <w:color w:val="0000FF"/>
        </w:rPr>
        <w:t>Consent of Qualified Person (Marek Dworzanowski)</w:t>
      </w:r>
    </w:p>
    <w:p>
      <w:pPr>
        <w:spacing w:after="0" w:line="101" w:lineRule="exact"/>
        <w:rPr>
          <w:rFonts w:ascii="Arial" w:cs="Arial" w:eastAsia="Arial" w:hAnsi="Arial"/>
          <w:sz w:val="20"/>
          <w:szCs w:val="20"/>
          <w:u w:val="single" w:color="auto"/>
          <w:color w:val="0000FF"/>
        </w:rPr>
      </w:pPr>
    </w:p>
    <w:p>
      <w:pPr>
        <w:ind w:left="900"/>
        <w:spacing w:after="0"/>
        <w:tabs>
          <w:tab w:leader="none" w:pos="1900" w:val="left"/>
        </w:tabs>
        <w:rPr>
          <w:sz w:val="20"/>
          <w:szCs w:val="20"/>
          <w:color w:val="auto"/>
        </w:rPr>
      </w:pPr>
      <w:r>
        <w:rPr>
          <w:rFonts w:ascii="Arial" w:cs="Arial" w:eastAsia="Arial" w:hAnsi="Arial"/>
          <w:sz w:val="20"/>
          <w:szCs w:val="20"/>
          <w:u w:val="single" w:color="auto"/>
          <w:color w:val="0000FF"/>
        </w:rPr>
        <w:t>15.7</w:t>
      </w:r>
      <w:r>
        <w:rPr>
          <w:sz w:val="20"/>
          <w:szCs w:val="20"/>
          <w:color w:val="auto"/>
        </w:rPr>
        <w:tab/>
      </w:r>
      <w:r>
        <w:rPr>
          <w:rFonts w:ascii="Arial" w:cs="Arial" w:eastAsia="Arial" w:hAnsi="Arial"/>
          <w:sz w:val="19"/>
          <w:szCs w:val="19"/>
          <w:u w:val="single" w:color="auto"/>
          <w:color w:val="0000FF"/>
        </w:rPr>
        <w:t>Consent of Qualified Person (Mark King)</w:t>
      </w:r>
    </w:p>
    <w:p>
      <w:pPr>
        <w:spacing w:after="0" w:line="101" w:lineRule="exact"/>
        <w:rPr>
          <w:rFonts w:ascii="Arial" w:cs="Arial" w:eastAsia="Arial" w:hAnsi="Arial"/>
          <w:sz w:val="20"/>
          <w:szCs w:val="20"/>
          <w:u w:val="single" w:color="auto"/>
          <w:color w:val="0000FF"/>
        </w:rPr>
      </w:pPr>
    </w:p>
    <w:p>
      <w:pPr>
        <w:ind w:left="900"/>
        <w:spacing w:after="0"/>
        <w:tabs>
          <w:tab w:leader="none" w:pos="1900" w:val="left"/>
        </w:tabs>
        <w:rPr>
          <w:sz w:val="20"/>
          <w:szCs w:val="20"/>
          <w:color w:val="auto"/>
        </w:rPr>
      </w:pPr>
      <w:r>
        <w:rPr>
          <w:rFonts w:ascii="Arial" w:cs="Arial" w:eastAsia="Arial" w:hAnsi="Arial"/>
          <w:sz w:val="20"/>
          <w:szCs w:val="20"/>
          <w:u w:val="single" w:color="auto"/>
          <w:color w:val="0000FF"/>
        </w:rPr>
        <w:t>15.8</w:t>
      </w:r>
      <w:r>
        <w:rPr>
          <w:sz w:val="20"/>
          <w:szCs w:val="20"/>
          <w:color w:val="auto"/>
        </w:rPr>
        <w:tab/>
      </w:r>
      <w:r>
        <w:rPr>
          <w:rFonts w:ascii="Arial" w:cs="Arial" w:eastAsia="Arial" w:hAnsi="Arial"/>
          <w:sz w:val="19"/>
          <w:szCs w:val="19"/>
          <w:u w:val="single" w:color="auto"/>
          <w:color w:val="0000FF"/>
        </w:rPr>
        <w:t>Consent of Qualified Person (Jonathan Gibson)</w:t>
      </w:r>
    </w:p>
    <w:p>
      <w:pPr>
        <w:spacing w:after="0" w:line="101" w:lineRule="exact"/>
        <w:rPr>
          <w:rFonts w:ascii="Arial" w:cs="Arial" w:eastAsia="Arial" w:hAnsi="Arial"/>
          <w:sz w:val="20"/>
          <w:szCs w:val="20"/>
          <w:u w:val="single" w:color="auto"/>
          <w:color w:val="0000FF"/>
        </w:rPr>
      </w:pPr>
    </w:p>
    <w:p>
      <w:pPr>
        <w:ind w:left="900"/>
        <w:spacing w:after="0"/>
        <w:tabs>
          <w:tab w:leader="none" w:pos="1900" w:val="left"/>
        </w:tabs>
        <w:rPr>
          <w:sz w:val="20"/>
          <w:szCs w:val="20"/>
          <w:color w:val="auto"/>
        </w:rPr>
      </w:pPr>
      <w:r>
        <w:rPr>
          <w:rFonts w:ascii="Arial" w:cs="Arial" w:eastAsia="Arial" w:hAnsi="Arial"/>
          <w:sz w:val="20"/>
          <w:szCs w:val="20"/>
          <w:u w:val="single" w:color="auto"/>
          <w:color w:val="0000FF"/>
        </w:rPr>
        <w:t>15.9</w:t>
      </w:r>
      <w:r>
        <w:rPr>
          <w:sz w:val="20"/>
          <w:szCs w:val="20"/>
          <w:color w:val="auto"/>
        </w:rPr>
        <w:tab/>
      </w:r>
      <w:r>
        <w:rPr>
          <w:rFonts w:ascii="Arial" w:cs="Arial" w:eastAsia="Arial" w:hAnsi="Arial"/>
          <w:sz w:val="19"/>
          <w:szCs w:val="19"/>
          <w:u w:val="single" w:color="auto"/>
          <w:color w:val="0000FF"/>
        </w:rPr>
        <w:t>Consent of Qualified Person (Alexander Cushing)</w:t>
      </w:r>
    </w:p>
    <w:p>
      <w:pPr>
        <w:spacing w:after="0" w:line="101" w:lineRule="exact"/>
        <w:rPr>
          <w:rFonts w:ascii="Arial" w:cs="Arial" w:eastAsia="Arial" w:hAnsi="Arial"/>
          <w:sz w:val="20"/>
          <w:szCs w:val="20"/>
          <w:u w:val="single" w:color="auto"/>
          <w:color w:val="0000FF"/>
        </w:rPr>
      </w:pPr>
    </w:p>
    <w:p>
      <w:pPr>
        <w:ind w:left="900"/>
        <w:spacing w:after="0"/>
        <w:tabs>
          <w:tab w:leader="none" w:pos="1900" w:val="left"/>
        </w:tabs>
        <w:rPr>
          <w:sz w:val="20"/>
          <w:szCs w:val="20"/>
          <w:color w:val="auto"/>
        </w:rPr>
      </w:pPr>
      <w:r>
        <w:rPr>
          <w:rFonts w:ascii="Arial" w:cs="Arial" w:eastAsia="Arial" w:hAnsi="Arial"/>
          <w:sz w:val="20"/>
          <w:szCs w:val="20"/>
          <w:u w:val="single" w:color="auto"/>
          <w:color w:val="0000FF"/>
        </w:rPr>
        <w:t>15.10</w:t>
      </w:r>
      <w:r>
        <w:rPr>
          <w:sz w:val="20"/>
          <w:szCs w:val="20"/>
          <w:color w:val="auto"/>
        </w:rPr>
        <w:tab/>
      </w:r>
      <w:r>
        <w:rPr>
          <w:rFonts w:ascii="Arial" w:cs="Arial" w:eastAsia="Arial" w:hAnsi="Arial"/>
          <w:sz w:val="19"/>
          <w:szCs w:val="19"/>
          <w:u w:val="single" w:color="auto"/>
          <w:color w:val="0000FF"/>
        </w:rPr>
        <w:t>Consent of Qualified Person (Deptford Geoscience</w:t>
      </w:r>
      <w:r>
        <w:rPr>
          <w:rFonts w:ascii="Arial" w:cs="Arial" w:eastAsia="Arial" w:hAnsi="Arial"/>
          <w:sz w:val="19"/>
          <w:szCs w:val="19"/>
          <w:color w:val="000000"/>
        </w:rPr>
        <w:t>)</w:t>
      </w:r>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-117475</wp:posOffset>
            </wp:positionH>
            <wp:positionV relativeFrom="paragraph">
              <wp:posOffset>1141095</wp:posOffset>
            </wp:positionV>
            <wp:extent cx="6764020" cy="190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86" w:right="6" w:bottom="0" w:gutter="0" w:footer="0" w:header="0"/>
        </w:sect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92" w:lineRule="exact"/>
        <w:rPr>
          <w:rFonts w:ascii="Arial" w:cs="Arial" w:eastAsia="Arial" w:hAnsi="Arial"/>
          <w:sz w:val="20"/>
          <w:szCs w:val="20"/>
          <w:u w:val="single" w:color="auto"/>
          <w:color w:val="0000FF"/>
        </w:rPr>
      </w:pPr>
    </w:p>
    <w:p>
      <w:pPr>
        <w:ind w:left="4040"/>
        <w:spacing w:after="0"/>
        <w:rPr>
          <w:sz w:val="20"/>
          <w:szCs w:val="20"/>
          <w:color w:val="auto"/>
        </w:rPr>
      </w:pPr>
      <w:r>
        <w:rPr>
          <w:rFonts w:ascii="Arial" w:cs="Arial" w:eastAsia="Arial" w:hAnsi="Arial"/>
          <w:sz w:val="20"/>
          <w:szCs w:val="20"/>
          <w:color w:val="auto"/>
        </w:rPr>
        <w:t>136 / 139</w:t>
      </w:r>
    </w:p>
    <w:p>
      <w:pPr>
        <w:sectPr>
          <w:pgSz w:w="11900" w:h="16838" w:orient="portrait"/>
          <w:cols w:equalWidth="0" w:num="1">
            <w:col w:w="10460"/>
          </w:cols>
          <w:pgMar w:left="1440" w:top="1186" w:right="6" w:bottom="0" w:gutter="0" w:footer="0" w:header="0"/>
          <w:type w:val="continuous"/>
        </w:sectPr>
      </w:pPr>
    </w:p>
    <w:bookmarkStart w:id="365" w:name="page366"/>
    <w:bookmarkEnd w:id="3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19"/>
                <w:szCs w:val="19"/>
                <w:color w:val="auto"/>
              </w:rPr>
            </w:pPr>
          </w:p>
        </w:tc>
        <w:tc>
          <w:tcPr>
            <w:tcW w:w="5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95"/>
              </w:rPr>
              <w:t>15.</w:t>
            </w:r>
            <w:r>
              <w:rPr>
                <w:rFonts w:ascii="Arial" w:cs="Arial" w:eastAsia="Arial" w:hAnsi="Arial"/>
                <w:sz w:val="20"/>
                <w:szCs w:val="20"/>
                <w:u w:val="single" w:color="auto"/>
                <w:color w:val="0000FF"/>
                <w:w w:val="95"/>
              </w:rPr>
              <w:t>11</w:t>
            </w:r>
          </w:p>
        </w:tc>
        <w:tc>
          <w:tcPr>
            <w:tcW w:w="520" w:type="dxa"/>
            <w:vAlign w:val="bottom"/>
          </w:tcPr>
          <w:p>
            <w:pPr>
              <w:spacing w:after="0"/>
              <w:rPr>
                <w:sz w:val="19"/>
                <w:szCs w:val="19"/>
                <w:color w:val="auto"/>
              </w:rPr>
            </w:pPr>
          </w:p>
        </w:tc>
        <w:tc>
          <w:tcPr>
            <w:tcW w:w="40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99"/>
              </w:rPr>
              <w:t>Consent of Qualified Person (Ioniq Solutions)</w:t>
            </w:r>
          </w:p>
        </w:tc>
        <w:tc>
          <w:tcPr>
            <w:tcW w:w="4540" w:type="dxa"/>
            <w:vAlign w:val="bottom"/>
            <w:gridSpan w:val="8"/>
          </w:tcPr>
          <w:p>
            <w:pPr>
              <w:spacing w:after="0"/>
              <w:rPr>
                <w:sz w:val="19"/>
                <w:szCs w:val="19"/>
                <w:color w:val="auto"/>
              </w:rPr>
            </w:pPr>
          </w:p>
        </w:tc>
      </w:tr>
      <w:tr>
        <w:trPr>
          <w:trHeight w:val="311"/>
        </w:trPr>
        <w:tc>
          <w:tcPr>
            <w:tcW w:w="1080" w:type="dxa"/>
            <w:vAlign w:val="bottom"/>
          </w:tcPr>
          <w:p>
            <w:pPr>
              <w:spacing w:after="0"/>
              <w:rPr>
                <w:sz w:val="24"/>
                <w:szCs w:val="24"/>
                <w:color w:val="auto"/>
              </w:rPr>
            </w:pPr>
          </w:p>
        </w:tc>
        <w:tc>
          <w:tcPr>
            <w:tcW w:w="5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95"/>
              </w:rPr>
              <w:t>15.</w:t>
            </w:r>
            <w:r>
              <w:rPr>
                <w:rFonts w:ascii="Arial" w:cs="Arial" w:eastAsia="Arial" w:hAnsi="Arial"/>
                <w:sz w:val="20"/>
                <w:szCs w:val="20"/>
                <w:u w:val="single" w:color="auto"/>
                <w:color w:val="0000FF"/>
                <w:w w:val="95"/>
              </w:rPr>
              <w:t>12</w:t>
            </w:r>
          </w:p>
        </w:tc>
        <w:tc>
          <w:tcPr>
            <w:tcW w:w="520" w:type="dxa"/>
            <w:vAlign w:val="bottom"/>
          </w:tcPr>
          <w:p>
            <w:pPr>
              <w:spacing w:after="0"/>
              <w:rPr>
                <w:sz w:val="24"/>
                <w:szCs w:val="24"/>
                <w:color w:val="auto"/>
              </w:rPr>
            </w:pPr>
          </w:p>
        </w:tc>
        <w:tc>
          <w:tcPr>
            <w:tcW w:w="4140" w:type="dxa"/>
            <w:vAlign w:val="bottom"/>
            <w:tcBorders>
              <w:bottom w:val="single" w:sz="8" w:color="0000FF"/>
            </w:tcBorders>
            <w:gridSpan w:val="6"/>
          </w:tcPr>
          <w:p>
            <w:pPr>
              <w:spacing w:after="0"/>
              <w:rPr>
                <w:sz w:val="20"/>
                <w:szCs w:val="20"/>
                <w:color w:val="auto"/>
              </w:rPr>
            </w:pPr>
            <w:r>
              <w:rPr>
                <w:rFonts w:ascii="Arial" w:cs="Arial" w:eastAsia="Arial" w:hAnsi="Arial"/>
                <w:sz w:val="20"/>
                <w:szCs w:val="20"/>
                <w:color w:val="0000FF"/>
                <w:w w:val="99"/>
              </w:rPr>
              <w:t>Consent of Qualified Person (EnviroProTech-t)</w:t>
            </w:r>
          </w:p>
        </w:tc>
        <w:tc>
          <w:tcPr>
            <w:tcW w:w="4400" w:type="dxa"/>
            <w:vAlign w:val="bottom"/>
            <w:gridSpan w:val="6"/>
          </w:tcPr>
          <w:p>
            <w:pPr>
              <w:spacing w:after="0"/>
              <w:rPr>
                <w:sz w:val="24"/>
                <w:szCs w:val="24"/>
                <w:color w:val="auto"/>
              </w:rPr>
            </w:pPr>
          </w:p>
        </w:tc>
      </w:tr>
      <w:tr>
        <w:trPr>
          <w:trHeight w:val="311"/>
        </w:trPr>
        <w:tc>
          <w:tcPr>
            <w:tcW w:w="10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Arial" w:cs="Arial" w:eastAsia="Arial" w:hAnsi="Arial"/>
                <w:sz w:val="20"/>
                <w:szCs w:val="20"/>
                <w:color w:val="0000FF"/>
                <w:w w:val="95"/>
              </w:rPr>
              <w:t>15.</w:t>
            </w:r>
            <w:r>
              <w:rPr>
                <w:rFonts w:ascii="Arial" w:cs="Arial" w:eastAsia="Arial" w:hAnsi="Arial"/>
                <w:sz w:val="20"/>
                <w:szCs w:val="20"/>
                <w:u w:val="single" w:color="auto"/>
                <w:color w:val="0000FF"/>
                <w:w w:val="95"/>
              </w:rPr>
              <w:t>13</w:t>
            </w:r>
          </w:p>
        </w:tc>
        <w:tc>
          <w:tcPr>
            <w:tcW w:w="520" w:type="dxa"/>
            <w:vAlign w:val="bottom"/>
          </w:tcPr>
          <w:p>
            <w:pPr>
              <w:spacing w:after="0"/>
              <w:rPr>
                <w:sz w:val="24"/>
                <w:szCs w:val="24"/>
                <w:color w:val="auto"/>
              </w:rPr>
            </w:pPr>
          </w:p>
        </w:tc>
        <w:tc>
          <w:tcPr>
            <w:tcW w:w="8540" w:type="dxa"/>
            <w:vAlign w:val="bottom"/>
            <w:gridSpan w:val="12"/>
          </w:tcPr>
          <w:p>
            <w:pPr>
              <w:spacing w:after="0"/>
              <w:rPr>
                <w:sz w:val="20"/>
                <w:szCs w:val="20"/>
                <w:color w:val="auto"/>
              </w:rPr>
            </w:pPr>
            <w:r>
              <w:rPr>
                <w:rFonts w:ascii="Arial" w:cs="Arial" w:eastAsia="Arial" w:hAnsi="Arial"/>
                <w:sz w:val="20"/>
                <w:szCs w:val="20"/>
                <w:color w:val="0000FF"/>
              </w:rPr>
              <w:t>Consent of Qualified Person (Groundwater Insight)</w:t>
            </w:r>
          </w:p>
        </w:tc>
      </w:tr>
      <w:tr>
        <w:trPr>
          <w:trHeight w:val="311"/>
        </w:trPr>
        <w:tc>
          <w:tcPr>
            <w:tcW w:w="1080" w:type="dxa"/>
            <w:vAlign w:val="bottom"/>
          </w:tcPr>
          <w:p>
            <w:pPr>
              <w:spacing w:after="0"/>
              <w:rPr>
                <w:sz w:val="24"/>
                <w:szCs w:val="24"/>
                <w:color w:val="auto"/>
              </w:rPr>
            </w:pPr>
          </w:p>
        </w:tc>
        <w:tc>
          <w:tcPr>
            <w:tcW w:w="500" w:type="dxa"/>
            <w:vAlign w:val="bottom"/>
            <w:tcBorders>
              <w:top w:val="single" w:sz="8" w:color="0000FF"/>
            </w:tcBorders>
            <w:gridSpan w:val="2"/>
          </w:tcPr>
          <w:p>
            <w:pPr>
              <w:spacing w:after="0"/>
              <w:rPr>
                <w:sz w:val="20"/>
                <w:szCs w:val="20"/>
                <w:color w:val="auto"/>
              </w:rPr>
            </w:pPr>
            <w:r>
              <w:rPr>
                <w:rFonts w:ascii="Arial" w:cs="Arial" w:eastAsia="Arial" w:hAnsi="Arial"/>
                <w:sz w:val="20"/>
                <w:szCs w:val="20"/>
                <w:color w:val="0000FF"/>
                <w:w w:val="95"/>
              </w:rPr>
              <w:t>15.</w:t>
            </w:r>
            <w:r>
              <w:rPr>
                <w:rFonts w:ascii="Arial" w:cs="Arial" w:eastAsia="Arial" w:hAnsi="Arial"/>
                <w:sz w:val="20"/>
                <w:szCs w:val="20"/>
                <w:u w:val="single" w:color="auto"/>
                <w:color w:val="0000FF"/>
                <w:w w:val="95"/>
              </w:rPr>
              <w:t>14</w:t>
            </w:r>
          </w:p>
        </w:tc>
        <w:tc>
          <w:tcPr>
            <w:tcW w:w="520" w:type="dxa"/>
            <w:vAlign w:val="bottom"/>
          </w:tcPr>
          <w:p>
            <w:pPr>
              <w:spacing w:after="0"/>
              <w:rPr>
                <w:sz w:val="24"/>
                <w:szCs w:val="24"/>
                <w:color w:val="auto"/>
              </w:rPr>
            </w:pPr>
          </w:p>
        </w:tc>
        <w:tc>
          <w:tcPr>
            <w:tcW w:w="4480" w:type="dxa"/>
            <w:vAlign w:val="bottom"/>
            <w:tcBorders>
              <w:top w:val="single" w:sz="8" w:color="0000FF"/>
            </w:tcBorders>
            <w:gridSpan w:val="8"/>
          </w:tcPr>
          <w:p>
            <w:pPr>
              <w:spacing w:after="0"/>
              <w:rPr>
                <w:sz w:val="20"/>
                <w:szCs w:val="20"/>
                <w:color w:val="auto"/>
              </w:rPr>
            </w:pPr>
            <w:r>
              <w:rPr>
                <w:rFonts w:ascii="Arial" w:cs="Arial" w:eastAsia="Arial" w:hAnsi="Arial"/>
                <w:sz w:val="20"/>
                <w:szCs w:val="20"/>
                <w:color w:val="0000FF"/>
              </w:rPr>
              <w:t>Consent of Qualified Person (Frederik Reidel)</w:t>
            </w:r>
          </w:p>
        </w:tc>
        <w:tc>
          <w:tcPr>
            <w:tcW w:w="4060" w:type="dxa"/>
            <w:vAlign w:val="bottom"/>
            <w:gridSpan w:val="4"/>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11"/>
        </w:trPr>
        <w:tc>
          <w:tcPr>
            <w:tcW w:w="10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Arial" w:cs="Arial" w:eastAsia="Arial" w:hAnsi="Arial"/>
                <w:sz w:val="20"/>
                <w:szCs w:val="20"/>
                <w:color w:val="0000FF"/>
                <w:w w:val="95"/>
              </w:rPr>
              <w:t>15.</w:t>
            </w:r>
            <w:r>
              <w:rPr>
                <w:rFonts w:ascii="Arial" w:cs="Arial" w:eastAsia="Arial" w:hAnsi="Arial"/>
                <w:sz w:val="20"/>
                <w:szCs w:val="20"/>
                <w:u w:val="single" w:color="auto"/>
                <w:color w:val="0000FF"/>
                <w:w w:val="95"/>
              </w:rPr>
              <w:t>15</w:t>
            </w:r>
          </w:p>
        </w:tc>
        <w:tc>
          <w:tcPr>
            <w:tcW w:w="520" w:type="dxa"/>
            <w:vAlign w:val="bottom"/>
          </w:tcPr>
          <w:p>
            <w:pPr>
              <w:spacing w:after="0"/>
              <w:rPr>
                <w:sz w:val="24"/>
                <w:szCs w:val="24"/>
                <w:color w:val="auto"/>
              </w:rPr>
            </w:pPr>
          </w:p>
        </w:tc>
        <w:tc>
          <w:tcPr>
            <w:tcW w:w="8540" w:type="dxa"/>
            <w:vAlign w:val="bottom"/>
            <w:gridSpan w:val="12"/>
          </w:tcPr>
          <w:p>
            <w:pPr>
              <w:spacing w:after="0"/>
              <w:rPr>
                <w:sz w:val="20"/>
                <w:szCs w:val="20"/>
                <w:color w:val="auto"/>
              </w:rPr>
            </w:pPr>
            <w:r>
              <w:rPr>
                <w:rFonts w:ascii="Arial" w:cs="Arial" w:eastAsia="Arial" w:hAnsi="Arial"/>
                <w:sz w:val="20"/>
                <w:szCs w:val="20"/>
                <w:color w:val="0000FF"/>
              </w:rPr>
              <w:t>Consent of Qualified Person (Atacama Water Consultants</w:t>
            </w:r>
            <w:r>
              <w:rPr>
                <w:rFonts w:ascii="Arial" w:cs="Arial" w:eastAsia="Arial" w:hAnsi="Arial"/>
                <w:sz w:val="20"/>
                <w:szCs w:val="20"/>
                <w:color w:val="000000"/>
              </w:rPr>
              <w:t>)</w:t>
            </w:r>
          </w:p>
        </w:tc>
      </w:tr>
      <w:tr>
        <w:trPr>
          <w:trHeight w:val="311"/>
        </w:trPr>
        <w:tc>
          <w:tcPr>
            <w:tcW w:w="1080" w:type="dxa"/>
            <w:vAlign w:val="bottom"/>
          </w:tcPr>
          <w:p>
            <w:pPr>
              <w:spacing w:after="0"/>
              <w:rPr>
                <w:sz w:val="24"/>
                <w:szCs w:val="24"/>
                <w:color w:val="auto"/>
              </w:rPr>
            </w:pPr>
          </w:p>
        </w:tc>
        <w:tc>
          <w:tcPr>
            <w:tcW w:w="5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0"/>
                <w:szCs w:val="20"/>
                <w:color w:val="0000FF"/>
                <w:w w:val="95"/>
              </w:rPr>
              <w:t>15.</w:t>
            </w:r>
            <w:r>
              <w:rPr>
                <w:rFonts w:ascii="Arial" w:cs="Arial" w:eastAsia="Arial" w:hAnsi="Arial"/>
                <w:sz w:val="20"/>
                <w:szCs w:val="20"/>
                <w:u w:val="single" w:color="auto"/>
                <w:color w:val="0000FF"/>
                <w:w w:val="95"/>
              </w:rPr>
              <w:t>16</w:t>
            </w:r>
          </w:p>
        </w:tc>
        <w:tc>
          <w:tcPr>
            <w:tcW w:w="520" w:type="dxa"/>
            <w:vAlign w:val="bottom"/>
          </w:tcPr>
          <w:p>
            <w:pPr>
              <w:spacing w:after="0"/>
              <w:rPr>
                <w:sz w:val="24"/>
                <w:szCs w:val="24"/>
                <w:color w:val="auto"/>
              </w:rPr>
            </w:pPr>
          </w:p>
        </w:tc>
        <w:tc>
          <w:tcPr>
            <w:tcW w:w="38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20"/>
                <w:szCs w:val="20"/>
                <w:color w:val="0000FF"/>
                <w:w w:val="99"/>
              </w:rPr>
              <w:t>Consent of Qualified Person (James Wang)</w:t>
            </w:r>
          </w:p>
        </w:tc>
        <w:tc>
          <w:tcPr>
            <w:tcW w:w="1240" w:type="dxa"/>
            <w:vAlign w:val="bottom"/>
            <w:tcBorders>
              <w:top w:val="single" w:sz="8" w:color="0000FF"/>
            </w:tcBorders>
            <w:gridSpan w:val="6"/>
          </w:tcPr>
          <w:p>
            <w:pPr>
              <w:spacing w:after="0"/>
              <w:rPr>
                <w:sz w:val="24"/>
                <w:szCs w:val="24"/>
                <w:color w:val="auto"/>
              </w:rPr>
            </w:pPr>
          </w:p>
        </w:tc>
        <w:tc>
          <w:tcPr>
            <w:tcW w:w="3440" w:type="dxa"/>
            <w:vAlign w:val="bottom"/>
            <w:gridSpan w:val="3"/>
          </w:tcPr>
          <w:p>
            <w:pPr>
              <w:spacing w:after="0"/>
              <w:rPr>
                <w:sz w:val="24"/>
                <w:szCs w:val="24"/>
                <w:color w:val="auto"/>
              </w:rPr>
            </w:pPr>
          </w:p>
        </w:tc>
      </w:tr>
      <w:tr>
        <w:trPr>
          <w:trHeight w:val="311"/>
        </w:trPr>
        <w:tc>
          <w:tcPr>
            <w:tcW w:w="10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Arial" w:cs="Arial" w:eastAsia="Arial" w:hAnsi="Arial"/>
                <w:sz w:val="20"/>
                <w:szCs w:val="20"/>
                <w:color w:val="0000FF"/>
                <w:w w:val="95"/>
              </w:rPr>
              <w:t>15.</w:t>
            </w:r>
            <w:r>
              <w:rPr>
                <w:rFonts w:ascii="Arial" w:cs="Arial" w:eastAsia="Arial" w:hAnsi="Arial"/>
                <w:sz w:val="20"/>
                <w:szCs w:val="20"/>
                <w:u w:val="single" w:color="auto"/>
                <w:color w:val="0000FF"/>
                <w:w w:val="95"/>
              </w:rPr>
              <w:t>17</w:t>
            </w:r>
          </w:p>
        </w:tc>
        <w:tc>
          <w:tcPr>
            <w:tcW w:w="520" w:type="dxa"/>
            <w:vAlign w:val="bottom"/>
          </w:tcPr>
          <w:p>
            <w:pPr>
              <w:spacing w:after="0"/>
              <w:rPr>
                <w:sz w:val="24"/>
                <w:szCs w:val="24"/>
                <w:color w:val="auto"/>
              </w:rPr>
            </w:pPr>
          </w:p>
        </w:tc>
        <w:tc>
          <w:tcPr>
            <w:tcW w:w="8540" w:type="dxa"/>
            <w:vAlign w:val="bottom"/>
            <w:gridSpan w:val="12"/>
          </w:tcPr>
          <w:p>
            <w:pPr>
              <w:spacing w:after="0"/>
              <w:rPr>
                <w:sz w:val="20"/>
                <w:szCs w:val="20"/>
                <w:color w:val="auto"/>
              </w:rPr>
            </w:pPr>
            <w:r>
              <w:rPr>
                <w:rFonts w:ascii="Arial" w:cs="Arial" w:eastAsia="Arial" w:hAnsi="Arial"/>
                <w:sz w:val="20"/>
                <w:szCs w:val="20"/>
                <w:color w:val="0000FF"/>
              </w:rPr>
              <w:t>Consent of Qualified Person (Golder Associates)</w:t>
            </w:r>
          </w:p>
        </w:tc>
      </w:tr>
      <w:tr>
        <w:trPr>
          <w:trHeight w:val="311"/>
        </w:trPr>
        <w:tc>
          <w:tcPr>
            <w:tcW w:w="1080" w:type="dxa"/>
            <w:vAlign w:val="bottom"/>
          </w:tcPr>
          <w:p>
            <w:pPr>
              <w:spacing w:after="0"/>
              <w:rPr>
                <w:sz w:val="24"/>
                <w:szCs w:val="24"/>
                <w:color w:val="auto"/>
              </w:rPr>
            </w:pPr>
          </w:p>
        </w:tc>
        <w:tc>
          <w:tcPr>
            <w:tcW w:w="5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0"/>
                <w:szCs w:val="20"/>
                <w:color w:val="0000FF"/>
                <w:w w:val="95"/>
              </w:rPr>
              <w:t>15.</w:t>
            </w:r>
            <w:r>
              <w:rPr>
                <w:rFonts w:ascii="Arial" w:cs="Arial" w:eastAsia="Arial" w:hAnsi="Arial"/>
                <w:sz w:val="20"/>
                <w:szCs w:val="20"/>
                <w:u w:val="single" w:color="auto"/>
                <w:color w:val="0000FF"/>
                <w:w w:val="95"/>
              </w:rPr>
              <w:t>18</w:t>
            </w:r>
          </w:p>
        </w:tc>
        <w:tc>
          <w:tcPr>
            <w:tcW w:w="520" w:type="dxa"/>
            <w:vAlign w:val="bottom"/>
          </w:tcPr>
          <w:p>
            <w:pPr>
              <w:spacing w:after="0"/>
              <w:rPr>
                <w:sz w:val="24"/>
                <w:szCs w:val="24"/>
                <w:color w:val="auto"/>
              </w:rPr>
            </w:pPr>
          </w:p>
        </w:tc>
        <w:tc>
          <w:tcPr>
            <w:tcW w:w="37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0"/>
                <w:szCs w:val="20"/>
                <w:color w:val="0000FF"/>
              </w:rPr>
              <w:t>Consent of PricewaterhouseCoopers LLP</w:t>
            </w:r>
          </w:p>
        </w:tc>
        <w:tc>
          <w:tcPr>
            <w:tcW w:w="600" w:type="dxa"/>
            <w:vAlign w:val="bottom"/>
            <w:tcBorders>
              <w:top w:val="single" w:sz="8" w:color="0000FF"/>
            </w:tcBorders>
            <w:gridSpan w:val="5"/>
          </w:tcPr>
          <w:p>
            <w:pPr>
              <w:spacing w:after="0"/>
              <w:rPr>
                <w:sz w:val="24"/>
                <w:szCs w:val="24"/>
                <w:color w:val="auto"/>
              </w:rPr>
            </w:pPr>
          </w:p>
        </w:tc>
        <w:tc>
          <w:tcPr>
            <w:tcW w:w="4240" w:type="dxa"/>
            <w:vAlign w:val="bottom"/>
            <w:gridSpan w:val="5"/>
          </w:tcPr>
          <w:p>
            <w:pPr>
              <w:spacing w:after="0"/>
              <w:rPr>
                <w:sz w:val="24"/>
                <w:szCs w:val="24"/>
                <w:color w:val="auto"/>
              </w:rPr>
            </w:pPr>
          </w:p>
        </w:tc>
      </w:tr>
      <w:tr>
        <w:trPr>
          <w:trHeight w:val="311"/>
        </w:trPr>
        <w:tc>
          <w:tcPr>
            <w:tcW w:w="1080" w:type="dxa"/>
            <w:vAlign w:val="bottom"/>
          </w:tcPr>
          <w:p>
            <w:pPr>
              <w:spacing w:after="0"/>
              <w:rPr>
                <w:sz w:val="24"/>
                <w:szCs w:val="24"/>
                <w:color w:val="auto"/>
              </w:rPr>
            </w:pPr>
          </w:p>
        </w:tc>
        <w:tc>
          <w:tcPr>
            <w:tcW w:w="5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95"/>
              </w:rPr>
              <w:t>15.</w:t>
            </w:r>
            <w:r>
              <w:rPr>
                <w:rFonts w:ascii="Arial" w:cs="Arial" w:eastAsia="Arial" w:hAnsi="Arial"/>
                <w:sz w:val="20"/>
                <w:szCs w:val="20"/>
                <w:u w:val="single" w:color="auto"/>
                <w:color w:val="0000FF"/>
                <w:w w:val="95"/>
              </w:rPr>
              <w:t>19</w:t>
            </w:r>
          </w:p>
        </w:tc>
        <w:tc>
          <w:tcPr>
            <w:tcW w:w="520" w:type="dxa"/>
            <w:vAlign w:val="bottom"/>
          </w:tcPr>
          <w:p>
            <w:pPr>
              <w:spacing w:after="0"/>
              <w:rPr>
                <w:sz w:val="24"/>
                <w:szCs w:val="24"/>
                <w:color w:val="auto"/>
              </w:rPr>
            </w:pPr>
          </w:p>
        </w:tc>
        <w:tc>
          <w:tcPr>
            <w:tcW w:w="368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w w:val="99"/>
              </w:rPr>
              <w:t>Consent of Pricewaterhouse &amp; Co. S.R.L.</w:t>
            </w:r>
          </w:p>
        </w:tc>
        <w:tc>
          <w:tcPr>
            <w:tcW w:w="4860" w:type="dxa"/>
            <w:vAlign w:val="bottom"/>
            <w:gridSpan w:val="11"/>
          </w:tcPr>
          <w:p>
            <w:pPr>
              <w:spacing w:after="0"/>
              <w:rPr>
                <w:sz w:val="24"/>
                <w:szCs w:val="24"/>
                <w:color w:val="auto"/>
              </w:rPr>
            </w:pPr>
          </w:p>
        </w:tc>
      </w:tr>
      <w:tr>
        <w:trPr>
          <w:trHeight w:val="311"/>
        </w:trPr>
        <w:tc>
          <w:tcPr>
            <w:tcW w:w="1480" w:type="dxa"/>
            <w:vAlign w:val="bottom"/>
            <w:gridSpan w:val="2"/>
          </w:tcPr>
          <w:p>
            <w:pPr>
              <w:ind w:left="1080"/>
              <w:spacing w:after="0"/>
              <w:rPr>
                <w:rFonts w:ascii="Arial" w:cs="Arial" w:eastAsia="Arial" w:hAnsi="Arial"/>
                <w:sz w:val="20"/>
                <w:szCs w:val="20"/>
                <w:color w:val="0000FF"/>
                <w:w w:val="97"/>
              </w:rPr>
            </w:pPr>
            <w:hyperlink r:id="rId545">
              <w:r>
                <w:rPr>
                  <w:rFonts w:ascii="Arial" w:cs="Arial" w:eastAsia="Arial" w:hAnsi="Arial"/>
                  <w:sz w:val="20"/>
                  <w:szCs w:val="20"/>
                  <w:color w:val="0000FF"/>
                  <w:w w:val="97"/>
                </w:rPr>
                <w:t>97.</w:t>
              </w:r>
              <w:r>
                <w:rPr>
                  <w:rFonts w:ascii="Arial" w:cs="Arial" w:eastAsia="Arial" w:hAnsi="Arial"/>
                  <w:sz w:val="20"/>
                  <w:szCs w:val="20"/>
                  <w:u w:val="single" w:color="auto"/>
                  <w:color w:val="0000FF"/>
                  <w:w w:val="97"/>
                </w:rPr>
                <w:t>1</w:t>
              </w:r>
            </w:hyperlink>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540" w:type="dxa"/>
            <w:vAlign w:val="bottom"/>
            <w:gridSpan w:val="12"/>
          </w:tcPr>
          <w:p>
            <w:pPr>
              <w:spacing w:after="0"/>
              <w:rPr>
                <w:rFonts w:ascii="Arial" w:cs="Arial" w:eastAsia="Arial" w:hAnsi="Arial"/>
                <w:sz w:val="20"/>
                <w:szCs w:val="20"/>
                <w:color w:val="0000FF"/>
                <w:w w:val="99"/>
              </w:rPr>
            </w:pPr>
            <w:hyperlink r:id="rId545">
              <w:r>
                <w:rPr>
                  <w:rFonts w:ascii="Arial" w:cs="Arial" w:eastAsia="Arial" w:hAnsi="Arial"/>
                  <w:sz w:val="20"/>
                  <w:szCs w:val="20"/>
                  <w:color w:val="0000FF"/>
                  <w:w w:val="99"/>
                </w:rPr>
                <w:t>Incentive Compensation Recovery Policy (incorporated by reference to Exhibit 97.1 to the Annua</w:t>
              </w:r>
            </w:hyperlink>
          </w:p>
        </w:tc>
      </w:tr>
      <w:tr>
        <w:trPr>
          <w:trHeight w:val="282"/>
        </w:trPr>
        <w:tc>
          <w:tcPr>
            <w:tcW w:w="108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960" w:type="dxa"/>
            <w:vAlign w:val="bottom"/>
            <w:tcBorders>
              <w:top w:val="single" w:sz="8" w:color="0000FF"/>
              <w:bottom w:val="single" w:sz="8" w:color="0000FF"/>
            </w:tcBorders>
            <w:gridSpan w:val="10"/>
          </w:tcPr>
          <w:p>
            <w:pPr>
              <w:spacing w:after="0"/>
              <w:rPr>
                <w:rFonts w:ascii="Arial" w:cs="Arial" w:eastAsia="Arial" w:hAnsi="Arial"/>
                <w:sz w:val="20"/>
                <w:szCs w:val="20"/>
                <w:color w:val="0000FF"/>
                <w:w w:val="99"/>
              </w:rPr>
            </w:pPr>
            <w:hyperlink r:id="rId545">
              <w:r>
                <w:rPr>
                  <w:rFonts w:ascii="Arial" w:cs="Arial" w:eastAsia="Arial" w:hAnsi="Arial"/>
                  <w:sz w:val="20"/>
                  <w:szCs w:val="20"/>
                  <w:color w:val="0000FF"/>
                  <w:w w:val="99"/>
                </w:rPr>
                <w:t>Report on Form 20-F filed by Lithium Argentina on March 28, 2025)</w:t>
              </w:r>
            </w:hyperlink>
          </w:p>
        </w:tc>
        <w:tc>
          <w:tcPr>
            <w:tcW w:w="2580" w:type="dxa"/>
            <w:vAlign w:val="bottom"/>
            <w:tcBorders>
              <w:top w:val="single" w:sz="8" w:color="0000FF"/>
            </w:tcBorders>
            <w:gridSpan w:val="2"/>
          </w:tcPr>
          <w:p>
            <w:pPr>
              <w:spacing w:after="0"/>
              <w:rPr>
                <w:sz w:val="24"/>
                <w:szCs w:val="24"/>
                <w:color w:val="auto"/>
              </w:rPr>
            </w:pPr>
          </w:p>
        </w:tc>
      </w:tr>
      <w:tr>
        <w:trPr>
          <w:trHeight w:val="311"/>
        </w:trPr>
        <w:tc>
          <w:tcPr>
            <w:tcW w:w="1080" w:type="dxa"/>
            <w:vAlign w:val="bottom"/>
          </w:tcPr>
          <w:p>
            <w:pPr>
              <w:spacing w:after="0"/>
              <w:rPr>
                <w:sz w:val="24"/>
                <w:szCs w:val="24"/>
                <w:color w:val="auto"/>
              </w:rPr>
            </w:pPr>
          </w:p>
        </w:tc>
        <w:tc>
          <w:tcPr>
            <w:tcW w:w="40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w w:val="97"/>
              </w:rPr>
              <w:t>99.</w:t>
            </w:r>
            <w:r>
              <w:rPr>
                <w:rFonts w:ascii="Arial" w:cs="Arial" w:eastAsia="Arial" w:hAnsi="Arial"/>
                <w:sz w:val="20"/>
                <w:szCs w:val="20"/>
                <w:u w:val="single" w:color="auto"/>
                <w:color w:val="0000FF"/>
                <w:w w:val="97"/>
              </w:rPr>
              <w:t>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80" w:type="dxa"/>
            <w:vAlign w:val="bottom"/>
            <w:tcBorders>
              <w:bottom w:val="single" w:sz="8" w:color="0000FF"/>
            </w:tcBorders>
            <w:gridSpan w:val="11"/>
          </w:tcPr>
          <w:p>
            <w:pPr>
              <w:spacing w:after="0"/>
              <w:rPr>
                <w:sz w:val="20"/>
                <w:szCs w:val="20"/>
                <w:color w:val="auto"/>
              </w:rPr>
            </w:pPr>
            <w:r>
              <w:rPr>
                <w:rFonts w:ascii="Arial" w:cs="Arial" w:eastAsia="Arial" w:hAnsi="Arial"/>
                <w:sz w:val="20"/>
                <w:szCs w:val="20"/>
                <w:color w:val="0000FF"/>
                <w:w w:val="99"/>
              </w:rPr>
              <w:t>Audited financial statements of Minera Exar S.A. for the year ended December 31, 2025</w:t>
            </w:r>
          </w:p>
        </w:tc>
        <w:tc>
          <w:tcPr>
            <w:tcW w:w="760" w:type="dxa"/>
            <w:vAlign w:val="bottom"/>
          </w:tcPr>
          <w:p>
            <w:pPr>
              <w:spacing w:after="0"/>
              <w:rPr>
                <w:sz w:val="24"/>
                <w:szCs w:val="24"/>
                <w:color w:val="auto"/>
              </w:rPr>
            </w:pPr>
          </w:p>
        </w:tc>
      </w:tr>
      <w:tr>
        <w:trPr>
          <w:trHeight w:val="331"/>
        </w:trPr>
        <w:tc>
          <w:tcPr>
            <w:tcW w:w="108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Arial" w:cs="Arial" w:eastAsia="Arial" w:hAnsi="Arial"/>
                <w:sz w:val="20"/>
                <w:szCs w:val="20"/>
                <w:color w:val="auto"/>
              </w:rPr>
              <w:t>101.INS</w:t>
            </w:r>
          </w:p>
        </w:tc>
        <w:tc>
          <w:tcPr>
            <w:tcW w:w="8540" w:type="dxa"/>
            <w:vAlign w:val="bottom"/>
            <w:gridSpan w:val="12"/>
          </w:tcPr>
          <w:p>
            <w:pPr>
              <w:spacing w:after="0"/>
              <w:rPr>
                <w:sz w:val="20"/>
                <w:szCs w:val="20"/>
                <w:color w:val="auto"/>
              </w:rPr>
            </w:pPr>
            <w:r>
              <w:rPr>
                <w:rFonts w:ascii="Arial" w:cs="Arial" w:eastAsia="Arial" w:hAnsi="Arial"/>
                <w:sz w:val="20"/>
                <w:szCs w:val="20"/>
                <w:color w:val="auto"/>
              </w:rPr>
              <w:t>XBRL Instance Document</w:t>
            </w:r>
          </w:p>
        </w:tc>
      </w:tr>
      <w:tr>
        <w:trPr>
          <w:trHeight w:val="331"/>
        </w:trPr>
        <w:tc>
          <w:tcPr>
            <w:tcW w:w="108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Arial" w:cs="Arial" w:eastAsia="Arial" w:hAnsi="Arial"/>
                <w:sz w:val="20"/>
                <w:szCs w:val="20"/>
                <w:color w:val="auto"/>
              </w:rPr>
              <w:t>101.SCH</w:t>
            </w:r>
          </w:p>
        </w:tc>
        <w:tc>
          <w:tcPr>
            <w:tcW w:w="8540" w:type="dxa"/>
            <w:vAlign w:val="bottom"/>
            <w:gridSpan w:val="12"/>
          </w:tcPr>
          <w:p>
            <w:pPr>
              <w:spacing w:after="0"/>
              <w:rPr>
                <w:sz w:val="20"/>
                <w:szCs w:val="20"/>
                <w:color w:val="auto"/>
              </w:rPr>
            </w:pPr>
            <w:r>
              <w:rPr>
                <w:rFonts w:ascii="Arial" w:cs="Arial" w:eastAsia="Arial" w:hAnsi="Arial"/>
                <w:sz w:val="20"/>
                <w:szCs w:val="20"/>
                <w:color w:val="auto"/>
              </w:rPr>
              <w:t>Inline XBRL Taxonomy Extension Schema With Embedded Linkbase Documents</w:t>
            </w:r>
          </w:p>
        </w:tc>
      </w:tr>
      <w:tr>
        <w:trPr>
          <w:trHeight w:val="331"/>
        </w:trPr>
        <w:tc>
          <w:tcPr>
            <w:tcW w:w="1480" w:type="dxa"/>
            <w:vAlign w:val="bottom"/>
            <w:gridSpan w:val="2"/>
          </w:tcPr>
          <w:p>
            <w:pPr>
              <w:ind w:left="1080"/>
              <w:spacing w:after="0"/>
              <w:rPr>
                <w:sz w:val="20"/>
                <w:szCs w:val="20"/>
                <w:color w:val="auto"/>
              </w:rPr>
            </w:pPr>
            <w:r>
              <w:rPr>
                <w:rFonts w:ascii="Arial" w:cs="Arial" w:eastAsia="Arial" w:hAnsi="Arial"/>
                <w:sz w:val="20"/>
                <w:szCs w:val="20"/>
                <w:color w:val="auto"/>
              </w:rPr>
              <w:t>104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540" w:type="dxa"/>
            <w:vAlign w:val="bottom"/>
            <w:gridSpan w:val="12"/>
          </w:tcPr>
          <w:p>
            <w:pPr>
              <w:spacing w:after="0"/>
              <w:rPr>
                <w:sz w:val="20"/>
                <w:szCs w:val="20"/>
                <w:color w:val="auto"/>
              </w:rPr>
            </w:pPr>
            <w:r>
              <w:rPr>
                <w:rFonts w:ascii="Arial" w:cs="Arial" w:eastAsia="Arial" w:hAnsi="Arial"/>
                <w:sz w:val="20"/>
                <w:szCs w:val="20"/>
                <w:color w:val="auto"/>
              </w:rPr>
              <w:t>Cover Page Interactive Data File (formatting as Inline XBRL and contained in Exhibit 101)</w:t>
            </w:r>
          </w:p>
        </w:tc>
      </w:tr>
      <w:tr>
        <w:trPr>
          <w:trHeight w:val="1807"/>
        </w:trPr>
        <w:tc>
          <w:tcPr>
            <w:tcW w:w="108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36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182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6">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10640"/>
          </w:cols>
          <w:pgMar w:left="126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137 / 139</w:t>
      </w:r>
    </w:p>
    <w:p>
      <w:pPr>
        <w:sectPr>
          <w:pgSz w:w="11900" w:h="16838" w:orient="portrait"/>
          <w:cols w:equalWidth="0" w:num="1">
            <w:col w:w="10640"/>
          </w:cols>
          <w:pgMar w:left="1260" w:top="1440" w:right="6" w:bottom="0" w:gutter="0" w:footer="0" w:header="0"/>
          <w:type w:val="continuous"/>
        </w:sectPr>
      </w:pPr>
    </w:p>
    <w:bookmarkStart w:id="366" w:name="page367"/>
    <w:bookmarkEnd w:id="3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20"/>
        <w:spacing w:after="0"/>
        <w:rPr>
          <w:sz w:val="20"/>
          <w:szCs w:val="20"/>
          <w:color w:val="auto"/>
        </w:rPr>
      </w:pPr>
      <w:r>
        <w:rPr>
          <w:rFonts w:ascii="Arial" w:cs="Arial" w:eastAsia="Arial" w:hAnsi="Arial"/>
          <w:sz w:val="28"/>
          <w:szCs w:val="28"/>
          <w:b w:val="1"/>
          <w:bCs w:val="1"/>
          <w:color w:val="auto"/>
        </w:rPr>
        <w:t>SIGNATURES</w:t>
      </w:r>
    </w:p>
    <w:p>
      <w:pPr>
        <w:spacing w:after="0" w:line="293"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The registrant hereby certifies that it meets all of the requirements for filing on Form 20-F and that it has caused and authorized the undersigned to sign this registration statement on its behalf.</w:t>
      </w:r>
    </w:p>
    <w:p>
      <w:pPr>
        <w:spacing w:after="0" w:line="340" w:lineRule="exact"/>
        <w:rPr>
          <w:sz w:val="20"/>
          <w:szCs w:val="20"/>
          <w:color w:val="auto"/>
        </w:rPr>
      </w:pPr>
    </w:p>
    <w:p>
      <w:pPr>
        <w:ind w:left="6340"/>
        <w:spacing w:after="0"/>
        <w:rPr>
          <w:sz w:val="20"/>
          <w:szCs w:val="20"/>
          <w:color w:val="auto"/>
        </w:rPr>
      </w:pPr>
      <w:r>
        <w:rPr>
          <w:rFonts w:ascii="Arial" w:cs="Arial" w:eastAsia="Arial" w:hAnsi="Arial"/>
          <w:sz w:val="20"/>
          <w:szCs w:val="20"/>
          <w:b w:val="1"/>
          <w:bCs w:val="1"/>
          <w:color w:val="auto"/>
        </w:rPr>
        <w:t>LITHIUM ARGENTINA AG</w:t>
      </w:r>
    </w:p>
    <w:p>
      <w:pPr>
        <w:spacing w:after="0" w:line="200" w:lineRule="exact"/>
        <w:rPr>
          <w:sz w:val="20"/>
          <w:szCs w:val="20"/>
          <w:color w:val="auto"/>
        </w:rPr>
      </w:pPr>
    </w:p>
    <w:p>
      <w:pPr>
        <w:spacing w:after="0" w:line="290" w:lineRule="exact"/>
        <w:rPr>
          <w:sz w:val="20"/>
          <w:szCs w:val="20"/>
          <w:color w:val="auto"/>
        </w:rPr>
      </w:pPr>
    </w:p>
    <w:p>
      <w:pPr>
        <w:ind w:left="6340"/>
        <w:spacing w:after="0"/>
        <w:tabs>
          <w:tab w:leader="none" w:pos="6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i w:val="1"/>
          <w:iCs w:val="1"/>
          <w:color w:val="auto"/>
        </w:rPr>
        <w:t>/s/ Sam Pigott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62865</wp:posOffset>
            </wp:positionV>
            <wp:extent cx="2216785" cy="952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7">
                      <a:extLst>
                        <a:ext uri="{28A0092B-C50C-407E-A947-70E740481C1C}"/>
                      </a:extLst>
                    </a:blip>
                    <a:srcRect/>
                    <a:stretch>
                      <a:fillRect/>
                    </a:stretch>
                  </pic:blipFill>
                  <pic:spPr bwMode="auto">
                    <a:xfrm>
                      <a:off x="0" y="0"/>
                      <a:ext cx="2216785" cy="9525"/>
                    </a:xfrm>
                    <a:prstGeom prst="rect">
                      <a:avLst/>
                    </a:prstGeom>
                    <a:noFill/>
                  </pic:spPr>
                </pic:pic>
              </a:graphicData>
            </a:graphic>
          </wp:anchor>
        </w:drawing>
      </w:r>
    </w:p>
    <w:p>
      <w:pPr>
        <w:spacing w:after="0" w:line="125"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Name: Sam Pigott</w:t>
      </w:r>
    </w:p>
    <w:p>
      <w:pPr>
        <w:spacing w:after="0" w:line="72"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Title: Executive Director and Chief</w:t>
      </w:r>
    </w:p>
    <w:p>
      <w:pPr>
        <w:spacing w:after="0" w:line="72"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Executive Officer</w:t>
      </w:r>
    </w:p>
    <w:p>
      <w:pPr>
        <w:spacing w:after="0" w:line="31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Date: 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1131570</wp:posOffset>
            </wp:positionV>
            <wp:extent cx="6764020" cy="190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138 / 139</w:t>
      </w:r>
    </w:p>
    <w:p>
      <w:pPr>
        <w:sectPr>
          <w:pgSz w:w="11900" w:h="16838" w:orient="portrait"/>
          <w:cols w:equalWidth="0" w:num="1">
            <w:col w:w="10460"/>
          </w:cols>
          <w:pgMar w:left="1440" w:top="1440" w:right="6" w:bottom="0" w:gutter="0" w:footer="0" w:header="0"/>
          <w:type w:val="continuous"/>
        </w:sectPr>
      </w:pPr>
    </w:p>
    <w:bookmarkStart w:id="367" w:name="page368"/>
    <w:bookmarkEnd w:id="3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1482090</wp:posOffset>
            </wp:positionH>
            <wp:positionV relativeFrom="page">
              <wp:posOffset>5813425</wp:posOffset>
            </wp:positionV>
            <wp:extent cx="6078220" cy="24574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9">
                      <a:clrChange>
                        <a:clrFrom>
                          <a:srgbClr val="FFFFFF"/>
                        </a:clrFrom>
                        <a:clrTo>
                          <a:srgbClr val="FFFFFF">
                            <a:alpha val="0"/>
                          </a:srgbClr>
                        </a:clrTo>
                      </a:clrChange>
                      <a:extLst>
                        <a:ext uri="{28A0092B-C50C-407E-A947-70E740481C1C}"/>
                      </a:extLst>
                    </a:blip>
                    <a:srcRect/>
                    <a:stretch>
                      <a:fillRect/>
                    </a:stretch>
                  </pic:blipFill>
                  <pic:spPr bwMode="auto">
                    <a:xfrm>
                      <a:off x="0" y="0"/>
                      <a:ext cx="6078220" cy="2457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139 / 139</w:t>
      </w:r>
    </w:p>
    <w:p>
      <w:pPr>
        <w:sectPr>
          <w:pgSz w:w="11900" w:h="16838" w:orient="portrait"/>
          <w:cols w:equalWidth="0" w:num="1">
            <w:col w:w="9026"/>
          </w:cols>
          <w:pgMar w:left="1440" w:top="1440" w:right="1440" w:bottom="0" w:gutter="0" w:footer="0" w:header="0"/>
        </w:sectPr>
      </w:pPr>
    </w:p>
    <w:bookmarkStart w:id="368" w:name="page369"/>
    <w:bookmarkEnd w:id="3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1748790</wp:posOffset>
            </wp:positionV>
            <wp:extent cx="6764020" cy="190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16</w:t>
      </w:r>
    </w:p>
    <w:p>
      <w:pPr>
        <w:sectPr>
          <w:pgSz w:w="11900" w:h="16838" w:orient="portrait"/>
          <w:cols w:equalWidth="0" w:num="1">
            <w:col w:w="9026"/>
          </w:cols>
          <w:pgMar w:left="1440" w:top="1440" w:right="1440" w:bottom="0" w:gutter="0" w:footer="0" w:header="0"/>
        </w:sectPr>
      </w:pPr>
    </w:p>
    <w:bookmarkStart w:id="369" w:name="page370"/>
    <w:bookmarkEnd w:id="3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1482090</wp:posOffset>
            </wp:positionH>
            <wp:positionV relativeFrom="page">
              <wp:posOffset>1405890</wp:posOffset>
            </wp:positionV>
            <wp:extent cx="971550" cy="75247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1">
                      <a:clrChange>
                        <a:clrFrom>
                          <a:srgbClr val="FFFFFF"/>
                        </a:clrFrom>
                        <a:clrTo>
                          <a:srgbClr val="FFFFFF">
                            <a:alpha val="0"/>
                          </a:srgbClr>
                        </a:clrTo>
                      </a:clrChange>
                      <a:extLst>
                        <a:ext uri="{28A0092B-C50C-407E-A947-70E740481C1C}"/>
                      </a:extLst>
                    </a:blip>
                    <a:srcRect/>
                    <a:stretch>
                      <a:fillRect/>
                    </a:stretch>
                  </pic:blipFill>
                  <pic:spPr bwMode="auto">
                    <a:xfrm>
                      <a:off x="0" y="0"/>
                      <a:ext cx="971550" cy="752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18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1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To the Board of Directors and Shareholders of Lithium Argentina AG (formerly Lithium Americas (Argentina)</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Corp.)</w:t>
      </w:r>
    </w:p>
    <w:p>
      <w:pPr>
        <w:spacing w:after="0" w:line="26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275"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 xml:space="preserve">We have audited the accompanying consolidated statements of financial position of Lithium Argentina AG (formerly Lithium Americas (Argentina) Corp.) and its subsidiaries (together, the Company) as of December 2025 and 2024, and the related consolidated statements of comprehensive (loss) income, of changes in equ and of cash flows for each of the three years in the period ended December 31, 2025, including the related n (collectively referred to as the consolidated financial statements). We also have audited the Company’s inter control over financial reporting as of December 31, 2025, based on criteria established in </w:t>
      </w:r>
      <w:r>
        <w:rPr>
          <w:rFonts w:ascii="Arial" w:cs="Arial" w:eastAsia="Arial" w:hAnsi="Arial"/>
          <w:sz w:val="20"/>
          <w:szCs w:val="20"/>
          <w:i w:val="1"/>
          <w:iCs w:val="1"/>
          <w:color w:val="auto"/>
        </w:rPr>
        <w:t>Internal Control</w:t>
      </w:r>
      <w:r>
        <w:rPr>
          <w:rFonts w:ascii="Arial" w:cs="Arial" w:eastAsia="Arial" w:hAnsi="Arial"/>
          <w:sz w:val="20"/>
          <w:szCs w:val="20"/>
          <w:color w:val="auto"/>
        </w:rPr>
        <w:t xml:space="preserve"> </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Integrated Framework </w:t>
      </w:r>
      <w:r>
        <w:rPr>
          <w:rFonts w:ascii="Arial" w:cs="Arial" w:eastAsia="Arial" w:hAnsi="Arial"/>
          <w:sz w:val="20"/>
          <w:szCs w:val="20"/>
          <w:color w:val="auto"/>
        </w:rPr>
        <w:t>(2013) issued by the Committee of Sponsoring Organizations of the Treadway</w:t>
      </w:r>
      <w:r>
        <w:rPr>
          <w:rFonts w:ascii="Arial" w:cs="Arial" w:eastAsia="Arial" w:hAnsi="Arial"/>
          <w:sz w:val="20"/>
          <w:szCs w:val="20"/>
          <w:i w:val="1"/>
          <w:iCs w:val="1"/>
          <w:color w:val="auto"/>
        </w:rPr>
        <w:t xml:space="preserve"> </w:t>
      </w:r>
      <w:r>
        <w:rPr>
          <w:rFonts w:ascii="Arial" w:cs="Arial" w:eastAsia="Arial" w:hAnsi="Arial"/>
          <w:sz w:val="20"/>
          <w:szCs w:val="20"/>
          <w:color w:val="auto"/>
        </w:rPr>
        <w:t>Commission (COSO).</w:t>
      </w:r>
    </w:p>
    <w:p>
      <w:pPr>
        <w:spacing w:after="0" w:line="211"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 xml:space="preserve">In our opinion, the consolidated financial statements referred to above present fairly, in all material respects, the financial position of the Company as of December 31, 2025 and 2024, and its financial performance and cash flows for each of the three years in the period ended December 31, 2025 in conformity with IFRS Accounting Standards as issued by the International Accounting Standards Board. Also in our opinion, the Company maintained, in all material respects, effective internal control over financial reporting as of Decemb 31, 2025, based on criteria established in </w:t>
      </w:r>
      <w:r>
        <w:rPr>
          <w:rFonts w:ascii="Arial" w:cs="Arial" w:eastAsia="Arial" w:hAnsi="Arial"/>
          <w:sz w:val="20"/>
          <w:szCs w:val="20"/>
          <w:i w:val="1"/>
          <w:iCs w:val="1"/>
          <w:color w:val="auto"/>
        </w:rPr>
        <w:t>Internal Control</w:t>
      </w:r>
      <w:r>
        <w:rPr>
          <w:rFonts w:ascii="Arial" w:cs="Arial" w:eastAsia="Arial" w:hAnsi="Arial"/>
          <w:sz w:val="20"/>
          <w:szCs w:val="20"/>
          <w:color w:val="auto"/>
        </w:rPr>
        <w:t xml:space="preserve"> </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Integrated Framework</w:t>
      </w:r>
      <w:r>
        <w:rPr>
          <w:rFonts w:ascii="Arial" w:cs="Arial" w:eastAsia="Arial" w:hAnsi="Arial"/>
          <w:sz w:val="20"/>
          <w:szCs w:val="20"/>
          <w:color w:val="auto"/>
        </w:rPr>
        <w:t xml:space="preserve"> (2013) issued by the COSO.</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Substantial Doubt About the Company’s Ability to Continue as a Going Concern</w:t>
      </w:r>
    </w:p>
    <w:p>
      <w:pPr>
        <w:spacing w:after="0" w:line="281" w:lineRule="exact"/>
        <w:rPr>
          <w:sz w:val="20"/>
          <w:szCs w:val="20"/>
          <w:color w:val="auto"/>
        </w:rPr>
      </w:pPr>
    </w:p>
    <w:p>
      <w:pPr>
        <w:ind w:left="900"/>
        <w:spacing w:after="0" w:line="332" w:lineRule="auto"/>
        <w:rPr>
          <w:sz w:val="20"/>
          <w:szCs w:val="20"/>
          <w:color w:val="auto"/>
        </w:rPr>
      </w:pPr>
      <w:r>
        <w:rPr>
          <w:rFonts w:ascii="Arial" w:cs="Arial" w:eastAsia="Arial" w:hAnsi="Arial"/>
          <w:sz w:val="19"/>
          <w:szCs w:val="19"/>
          <w:color w:val="auto"/>
        </w:rPr>
        <w:t>The accompanying consolidated financial statements have been prepared assuming that the Company will continue as a going concern. As discussed in Note 1 to the consolidated financial statements, the Company’ ability to maintain normal operations and meet its current debt obligations depends on generating and repatri sufficient cash flows from lithium carbonate production at Cauchari-Olaroz, or alternatively, securing addition financing, and the Company has stated that these conditions, among others, give rise to material uncertainty which may cast significant doubt (or substantial doubt as contemplated by Public Company Accounting Over Board (United States) (PCAOB) standards) on the Company’s ability to continue as a going concern. Management’s plans in regard to these matters are also described in Note 1. The consolidated financial statements do not include any adjustments that might result from the outcome of this uncertainty.</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 / 16</w:t>
      </w:r>
    </w:p>
    <w:p>
      <w:pPr>
        <w:sectPr>
          <w:pgSz w:w="11900" w:h="16838" w:orient="portrait"/>
          <w:cols w:equalWidth="0" w:num="1">
            <w:col w:w="10460"/>
          </w:cols>
          <w:pgMar w:left="1440" w:top="1440" w:right="6" w:bottom="0" w:gutter="0" w:footer="0" w:header="0"/>
          <w:type w:val="continuous"/>
        </w:sectPr>
      </w:pPr>
    </w:p>
    <w:bookmarkStart w:id="370" w:name="page371"/>
    <w:bookmarkEnd w:id="370"/>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00"/>
        <w:spacing w:after="0"/>
        <w:rPr>
          <w:sz w:val="20"/>
          <w:szCs w:val="20"/>
          <w:color w:val="auto"/>
        </w:rPr>
      </w:pPr>
      <w:r>
        <w:rPr>
          <w:rFonts w:ascii="Georgia" w:cs="Georgia" w:eastAsia="Georgia" w:hAnsi="Georgia"/>
          <w:sz w:val="18"/>
          <w:szCs w:val="18"/>
          <w:color w:val="auto"/>
        </w:rPr>
        <w:t>PricewaterhouseCoopers LLP</w:t>
      </w:r>
    </w:p>
    <w:p>
      <w:pPr>
        <w:spacing w:after="0" w:line="95" w:lineRule="exact"/>
        <w:rPr>
          <w:sz w:val="20"/>
          <w:szCs w:val="20"/>
          <w:color w:val="auto"/>
        </w:rPr>
      </w:pPr>
    </w:p>
    <w:p>
      <w:pPr>
        <w:ind w:left="900"/>
        <w:spacing w:after="0"/>
        <w:rPr>
          <w:sz w:val="20"/>
          <w:szCs w:val="20"/>
          <w:color w:val="auto"/>
        </w:rPr>
      </w:pPr>
      <w:r>
        <w:rPr>
          <w:rFonts w:ascii="Georgia" w:cs="Georgia" w:eastAsia="Georgia" w:hAnsi="Georgia"/>
          <w:sz w:val="18"/>
          <w:szCs w:val="18"/>
          <w:color w:val="auto"/>
        </w:rPr>
        <w:t>PwC Place, 250 Howe Street, Suite 1400, Vancouver, British Columbia, Canada V6C 3S7</w:t>
      </w:r>
    </w:p>
    <w:p>
      <w:pPr>
        <w:spacing w:after="0" w:line="104" w:lineRule="exact"/>
        <w:rPr>
          <w:sz w:val="20"/>
          <w:szCs w:val="20"/>
          <w:color w:val="auto"/>
        </w:rPr>
      </w:pPr>
    </w:p>
    <w:p>
      <w:pPr>
        <w:ind w:left="900"/>
        <w:spacing w:after="0"/>
        <w:rPr>
          <w:sz w:val="20"/>
          <w:szCs w:val="20"/>
          <w:color w:val="auto"/>
        </w:rPr>
      </w:pPr>
      <w:r>
        <w:rPr>
          <w:rFonts w:ascii="Georgia" w:cs="Georgia" w:eastAsia="Georgia" w:hAnsi="Georgia"/>
          <w:sz w:val="17"/>
          <w:szCs w:val="17"/>
          <w:color w:val="auto"/>
        </w:rPr>
        <w:t xml:space="preserve">T.: +1 604 806 7000, F.: +1 604 806 7806, Fax to </w:t>
      </w:r>
      <w:r>
        <w:rPr>
          <w:rFonts w:ascii="Georgia" w:cs="Georgia" w:eastAsia="Georgia" w:hAnsi="Georgia"/>
          <w:sz w:val="17"/>
          <w:szCs w:val="17"/>
          <w:color w:val="0000FF"/>
        </w:rPr>
        <w:t>mail: ca_vancouver_main_fax@pwc.com</w:t>
      </w:r>
    </w:p>
    <w:p>
      <w:pPr>
        <w:spacing w:after="0" w:line="367" w:lineRule="exact"/>
        <w:rPr>
          <w:sz w:val="20"/>
          <w:szCs w:val="20"/>
          <w:color w:val="auto"/>
        </w:rPr>
      </w:pPr>
    </w:p>
    <w:p>
      <w:pPr>
        <w:ind w:left="900"/>
        <w:spacing w:after="0"/>
        <w:rPr>
          <w:sz w:val="20"/>
          <w:szCs w:val="20"/>
          <w:color w:val="auto"/>
        </w:rPr>
      </w:pPr>
      <w:r>
        <w:rPr>
          <w:rFonts w:ascii="Arial" w:cs="Arial" w:eastAsia="Arial" w:hAnsi="Arial"/>
          <w:sz w:val="12"/>
          <w:szCs w:val="12"/>
          <w:color w:val="auto"/>
        </w:rPr>
        <w:t>“PwC” refers to PricewaterhouseCoopers LLP, an Ontario limited liability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989965</wp:posOffset>
            </wp:positionV>
            <wp:extent cx="6764020" cy="1905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 / 16</w:t>
      </w:r>
    </w:p>
    <w:p>
      <w:pPr>
        <w:sectPr>
          <w:pgSz w:w="11900" w:h="16838" w:orient="portrait"/>
          <w:cols w:equalWidth="0" w:num="1">
            <w:col w:w="9026"/>
          </w:cols>
          <w:pgMar w:left="1440" w:top="1440" w:right="1440" w:bottom="0" w:gutter="0" w:footer="0" w:header="0"/>
          <w:type w:val="continuous"/>
        </w:sectPr>
      </w:pPr>
    </w:p>
    <w:bookmarkStart w:id="371" w:name="page372"/>
    <w:bookmarkEnd w:id="3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286" w:lineRule="exact"/>
        <w:rPr>
          <w:sz w:val="20"/>
          <w:szCs w:val="20"/>
          <w:color w:val="auto"/>
        </w:rPr>
      </w:pPr>
    </w:p>
    <w:p>
      <w:pPr>
        <w:ind w:left="900" w:right="20"/>
        <w:spacing w:after="0" w:line="313" w:lineRule="auto"/>
        <w:rPr>
          <w:sz w:val="20"/>
          <w:szCs w:val="20"/>
          <w:color w:val="auto"/>
        </w:rPr>
      </w:pPr>
      <w:r>
        <w:rPr>
          <w:rFonts w:ascii="Arial" w:cs="Arial" w:eastAsia="Arial" w:hAnsi="Arial"/>
          <w:sz w:val="20"/>
          <w:szCs w:val="20"/>
          <w:color w:val="auto"/>
        </w:rPr>
        <w:t>The Company’s management is responsible for these consolidated financial statements, for maintaining effe internal control over financial reporting, and for its assessment of the effectiveness of internal control over financial reporting, included in Management’s Report on Internal Control over Financial Reporting appearing under Item 15. Our responsibility is to express opinions on the Company’s consolidated financial statements on the Company’s internal control over financial reporting based on our audits. We are a public accounting fi registered with the PCAOB and are required to be independent with respect to the Company in accordance the U.S. federal securities laws and the applicable rules and regulations of the Securities and Exchange Commission and the PCAOB.</w:t>
      </w:r>
    </w:p>
    <w:p>
      <w:pPr>
        <w:spacing w:after="0" w:line="219" w:lineRule="exact"/>
        <w:rPr>
          <w:sz w:val="20"/>
          <w:szCs w:val="20"/>
          <w:color w:val="auto"/>
        </w:rPr>
      </w:pPr>
    </w:p>
    <w:p>
      <w:pPr>
        <w:ind w:left="900" w:right="80"/>
        <w:spacing w:after="0" w:line="312"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20" w:lineRule="exact"/>
        <w:rPr>
          <w:sz w:val="20"/>
          <w:szCs w:val="20"/>
          <w:color w:val="auto"/>
        </w:rPr>
      </w:pPr>
    </w:p>
    <w:p>
      <w:pPr>
        <w:ind w:left="900"/>
        <w:spacing w:after="0" w:line="332" w:lineRule="auto"/>
        <w:rPr>
          <w:sz w:val="20"/>
          <w:szCs w:val="20"/>
          <w:color w:val="auto"/>
        </w:rPr>
      </w:pPr>
      <w:r>
        <w:rPr>
          <w:rFonts w:ascii="Arial" w:cs="Arial" w:eastAsia="Arial" w:hAnsi="Arial"/>
          <w:sz w:val="19"/>
          <w:szCs w:val="19"/>
          <w:color w:val="auto"/>
        </w:rPr>
        <w:t>Our audits of the consolidated financial statements included performing procedures to assess the risks of ma misstatement of the consolidated financial statements, whether due to error or fraud, and performing proced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 obtaining an understanding of internal control over financial reporting, assessing the risk that a material wea exists, and testing and evaluating the design and operating effectiveness of internal control based on the assessed risk. Our audits also included performing such other procedures as we considered necessary in th circumstances. We believe that our audits provide a reasonable basis for our opinions.</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285" w:lineRule="exact"/>
        <w:rPr>
          <w:sz w:val="20"/>
          <w:szCs w:val="20"/>
          <w:color w:val="auto"/>
        </w:rPr>
      </w:pPr>
    </w:p>
    <w:p>
      <w:pPr>
        <w:ind w:left="900"/>
        <w:spacing w:after="0" w:line="332"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 accordance with generally accepted accounting principles. A company’s internal control over financial reporti includes those policies and procedures that (i) pertain to the maintenance of records that, in reasonable deta accurately and fairly reflect the transactions and dispositions of the assets of the company; (ii) provide reaso assurance that transactions are recorded as necessary to permit preparation of financial statements in accordance with generally accepted accounting principles, and that receipts and expenditures of the compan being made only in accordance with authorizations of management and directors of the company; and (iii) pr reasonable assurance regarding prevention or timely detection of unauthorized acquisition, use, or dispositio the company’s assets that could have a material effect on the financial statements.</w:t>
      </w:r>
    </w:p>
    <w:p>
      <w:pPr>
        <w:spacing w:after="0" w:line="202" w:lineRule="exact"/>
        <w:rPr>
          <w:sz w:val="20"/>
          <w:szCs w:val="20"/>
          <w:color w:val="auto"/>
        </w:rPr>
      </w:pPr>
    </w:p>
    <w:p>
      <w:pPr>
        <w:ind w:left="900" w:right="220"/>
        <w:spacing w:after="0" w:line="312"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9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 / 16</w:t>
      </w:r>
    </w:p>
    <w:p>
      <w:pPr>
        <w:sectPr>
          <w:pgSz w:w="11900" w:h="16838" w:orient="portrait"/>
          <w:cols w:equalWidth="0" w:num="1">
            <w:col w:w="10460"/>
          </w:cols>
          <w:pgMar w:left="1440" w:top="1440" w:right="6" w:bottom="0" w:gutter="0" w:footer="0" w:header="0"/>
          <w:type w:val="continuous"/>
        </w:sectPr>
      </w:pPr>
    </w:p>
    <w:bookmarkStart w:id="372" w:name="page373"/>
    <w:bookmarkEnd w:id="372"/>
    <w:p>
      <w:pPr>
        <w:spacing w:after="0" w:line="52"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280"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critical audit matter communicated below is a matter arising from the current period audit of the consolid financial statements that was communicated or required to be communicated to the audit committee and tha relates to accounts or disclosures that are material to the consolidated financial statements and (ii) involved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1392555</wp:posOffset>
            </wp:positionV>
            <wp:extent cx="6764020" cy="190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 / 16</w:t>
      </w:r>
    </w:p>
    <w:p>
      <w:pPr>
        <w:sectPr>
          <w:pgSz w:w="11900" w:h="16838" w:orient="portrait"/>
          <w:cols w:equalWidth="0" w:num="1">
            <w:col w:w="10460"/>
          </w:cols>
          <w:pgMar w:left="1440" w:top="1440" w:right="6" w:bottom="0" w:gutter="0" w:footer="0" w:header="0"/>
          <w:type w:val="continuous"/>
        </w:sectPr>
      </w:pPr>
    </w:p>
    <w:bookmarkStart w:id="373" w:name="page374"/>
    <w:bookmarkEnd w:id="3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00"/>
        <w:spacing w:after="0" w:line="312" w:lineRule="auto"/>
        <w:rPr>
          <w:sz w:val="20"/>
          <w:szCs w:val="20"/>
          <w:color w:val="auto"/>
        </w:rPr>
      </w:pPr>
      <w:r>
        <w:rPr>
          <w:rFonts w:ascii="Arial" w:cs="Arial" w:eastAsia="Arial" w:hAnsi="Arial"/>
          <w:sz w:val="20"/>
          <w:szCs w:val="20"/>
          <w:color w:val="auto"/>
        </w:rPr>
        <w:t>especially challenging, subjective, or complex judgments. The communication of critical audit matters does n alter in any way our opinion on the consolidated financial statements, taken as a whole, and we are not, by communicating the critical audit matter below, providing a separate opinion on the critical audit matter or on t accounts or disclosures to which it relates.</w:t>
      </w:r>
    </w:p>
    <w:p>
      <w:pPr>
        <w:spacing w:after="0" w:line="224"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Assessment of impairment of investments in associates and joint ventures</w:t>
      </w:r>
    </w:p>
    <w:p>
      <w:pPr>
        <w:spacing w:after="0" w:line="277" w:lineRule="exact"/>
        <w:rPr>
          <w:sz w:val="20"/>
          <w:szCs w:val="20"/>
          <w:color w:val="auto"/>
        </w:rPr>
      </w:pPr>
    </w:p>
    <w:p>
      <w:pPr>
        <w:ind w:left="900"/>
        <w:spacing w:after="0" w:line="333" w:lineRule="auto"/>
        <w:rPr>
          <w:sz w:val="20"/>
          <w:szCs w:val="20"/>
          <w:color w:val="auto"/>
        </w:rPr>
      </w:pPr>
      <w:r>
        <w:rPr>
          <w:rFonts w:ascii="Arial" w:cs="Arial" w:eastAsia="Arial" w:hAnsi="Arial"/>
          <w:sz w:val="19"/>
          <w:szCs w:val="19"/>
          <w:color w:val="auto"/>
        </w:rPr>
        <w:t>As described in Notes 3, 6 and 7 to the consolidated financial statements, at each reporting date, management considers whether there is objective evidence of impairment in its investments in associates an joint ventures. If such evidence exists, management determines the amount of any impairment by reference recoverable amount of the investments. The carrying amount of the Company’s investments in associates an joint ventures was $93 million for the investment in the Cauchari-Olaroz project and $183 million for the investment in the Sal de la Puna project as of December 31, 2025. Management applies significant judgmen assess whether objective evidence of impairment exists and considers whether any events have impacted estimated future cash flows (loss events) or if there is any information regarding significant changes with an adverse effect on the investments in associates and joint ventures. These considerations include (i) significa financial difficulties of the associates and joint ventures; (ii) a breach of contract, such as default or delinquen payments by the associates and joint ventures; (iii) changes in the development plan or strategy for the unde Cauchari-Olaroz or Sal de la Puna projects; and (iv) changes in the significant assumptions that impact the valuation of the underlying Cauchari-Olaroz or Sal de la Puna projects.</w:t>
      </w:r>
    </w:p>
    <w:p>
      <w:pPr>
        <w:spacing w:after="0" w:line="207" w:lineRule="exact"/>
        <w:rPr>
          <w:sz w:val="20"/>
          <w:szCs w:val="20"/>
          <w:color w:val="auto"/>
        </w:rPr>
      </w:pPr>
    </w:p>
    <w:p>
      <w:pPr>
        <w:ind w:left="900"/>
        <w:spacing w:after="0" w:line="314" w:lineRule="auto"/>
        <w:rPr>
          <w:sz w:val="20"/>
          <w:szCs w:val="20"/>
          <w:color w:val="auto"/>
        </w:rPr>
      </w:pPr>
      <w:r>
        <w:rPr>
          <w:rFonts w:ascii="Arial" w:cs="Arial" w:eastAsia="Arial" w:hAnsi="Arial"/>
          <w:sz w:val="20"/>
          <w:szCs w:val="20"/>
          <w:color w:val="auto"/>
        </w:rPr>
        <w:t>The principal considerations for our determination that performing procedures relating to the assessment of impairment of investments in associates and joint ventures is a critical audit matter are the significant judgme management when assessing whether there was objective evidence of impairment in its investments in associates and joint ventures, specifically related to assessing whether there were (i) significant financial difficulties of the associates and joint ventures; (ii) a breach of contract, such as default or delinquency in payments by the associates and joint ventures; (iii) changes in the development plan or strategy for the unde Cauchari-Olaroz or Sal de la Puna projects; and (iv) changes in the significant assumptions that impact the valuation of the underlying Cauchari-Olaroz or Sal de la Puna projects. This in turn led to a high degree of au judgment, subjectivity and effort in performing procedures and evaluating audit evidence related to the judgm made by management in their assessment of whether there was objective evidence of impairment in its investments in associates and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1391920</wp:posOffset>
            </wp:positionV>
            <wp:extent cx="6764020" cy="190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 / 16</w:t>
      </w:r>
    </w:p>
    <w:p>
      <w:pPr>
        <w:sectPr>
          <w:pgSz w:w="11900" w:h="16838" w:orient="portrait"/>
          <w:cols w:equalWidth="0" w:num="1">
            <w:col w:w="10460"/>
          </w:cols>
          <w:pgMar w:left="1440" w:top="1440" w:right="6" w:bottom="0" w:gutter="0" w:footer="0" w:header="0"/>
          <w:type w:val="continuous"/>
        </w:sectPr>
      </w:pPr>
    </w:p>
    <w:bookmarkStart w:id="374" w:name="page375"/>
    <w:bookmarkEnd w:id="3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00"/>
        <w:spacing w:after="0" w:line="314" w:lineRule="auto"/>
        <w:rPr>
          <w:sz w:val="20"/>
          <w:szCs w:val="20"/>
          <w:color w:val="auto"/>
        </w:rPr>
      </w:pPr>
      <w:r>
        <w:rPr>
          <w:rFonts w:ascii="Arial" w:cs="Arial" w:eastAsia="Arial" w:hAnsi="Arial"/>
          <w:sz w:val="20"/>
          <w:szCs w:val="20"/>
          <w:color w:val="auto"/>
        </w:rPr>
        <w:t>Addressing the matter involved performing procedures and evaluating audit evidence in connection with form our overall opinion on the consolidated financial statements. These procedures included testing the effective of controls relating to management’s assessment of whether there was objective evidence of impairment in it investments in associates and joint ventures. These procedures also included, among others, (i) evaluating whether there were significant financial difficulties of the associates and joint ventures by considering operati results and expenditures of the associates and joint ventures; (ii) assessing whether there was any breach o contract, such as default or delinquency in payments by the associates and joint ventures by considering applicable debt covenants and actual payments made against the terms and payment schedules outlined in contracts; (iii) assessing whether there were any changes in the development plan or strategy for the underly Cauchari-Olaroz or Sal de la Puna projects by considering management’s public disclosures, Board of Direct meeting minutes and evidence obtained in other areas of the audit; and (iv) evaluating whether there were a changes to significant assumptions that impact the valuation of the underlying Cauchari-Olaroz or Sal de la P projects by considering external market and industry data and evidence obtained in other areas of the audit,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/s/PricewaterhouseCoopers LLP</w:t>
      </w:r>
    </w:p>
    <w:p>
      <w:pPr>
        <w:spacing w:after="0" w:line="39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Chartered Professional Accountants</w:t>
      </w:r>
    </w:p>
    <w:p>
      <w:pPr>
        <w:spacing w:after="0" w:line="7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Vancouver, Canada</w:t>
      </w:r>
    </w:p>
    <w:p>
      <w:pPr>
        <w:spacing w:after="0" w:line="7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March 23, 2026</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We have served as the Company’s auditor since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1435735</wp:posOffset>
            </wp:positionV>
            <wp:extent cx="6764020" cy="190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 / 16</w:t>
      </w:r>
    </w:p>
    <w:p>
      <w:pPr>
        <w:sectPr>
          <w:pgSz w:w="11900" w:h="16838" w:orient="portrait"/>
          <w:cols w:equalWidth="0" w:num="1">
            <w:col w:w="10460"/>
          </w:cols>
          <w:pgMar w:left="1440" w:top="1440" w:right="6" w:bottom="0" w:gutter="0" w:footer="0" w:header="0"/>
          <w:type w:val="continuous"/>
        </w:sectPr>
      </w:pPr>
    </w:p>
    <w:bookmarkStart w:id="375" w:name="page376"/>
    <w:bookmarkEnd w:id="3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spacing w:after="0"/>
        <w:rPr>
          <w:sz w:val="20"/>
          <w:szCs w:val="20"/>
          <w:color w:val="auto"/>
        </w:rPr>
      </w:pPr>
      <w:r>
        <w:rPr>
          <w:rFonts w:ascii="Arial" w:cs="Arial" w:eastAsia="Arial" w:hAnsi="Arial"/>
          <w:sz w:val="19"/>
          <w:szCs w:val="19"/>
          <w:b w:val="1"/>
          <w:bCs w:val="1"/>
          <w:color w:val="153A57"/>
        </w:rPr>
        <w:t>LITHIUM ARGENTINA AG (FORMERLY LITHIUM AMERICAS (ARGENTINA) CORP.</w:t>
      </w:r>
    </w:p>
    <w:p>
      <w:pPr>
        <w:spacing w:after="0" w:line="76"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CONSOLIDATED STATEMENTS OF FINANCIAL POSITION</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236220</wp:posOffset>
            </wp:positionV>
            <wp:extent cx="6078220" cy="2857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6">
                      <a:extLst>
                        <a:ext uri="{28A0092B-C50C-407E-A947-70E740481C1C}"/>
                      </a:extLst>
                    </a:blip>
                    <a:srcRect/>
                    <a:stretch>
                      <a:fillRect/>
                    </a:stretch>
                  </pic:blipFill>
                  <pic:spPr bwMode="auto">
                    <a:xfrm>
                      <a:off x="0" y="0"/>
                      <a:ext cx="6078220" cy="2857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5300" w:type="dxa"/>
            <w:vAlign w:val="bottom"/>
          </w:tcPr>
          <w:p>
            <w:pPr>
              <w:spacing w:after="0"/>
              <w:rPr>
                <w:sz w:val="17"/>
                <w:szCs w:val="17"/>
                <w:color w:val="auto"/>
              </w:rPr>
            </w:pPr>
          </w:p>
        </w:tc>
        <w:tc>
          <w:tcPr>
            <w:tcW w:w="1100" w:type="dxa"/>
            <w:vAlign w:val="bottom"/>
          </w:tcPr>
          <w:p>
            <w:pPr>
              <w:ind w:left="700"/>
              <w:spacing w:after="0"/>
              <w:rPr>
                <w:sz w:val="20"/>
                <w:szCs w:val="20"/>
                <w:color w:val="auto"/>
              </w:rPr>
            </w:pPr>
            <w:r>
              <w:rPr>
                <w:rFonts w:ascii="Arial" w:cs="Arial" w:eastAsia="Arial" w:hAnsi="Arial"/>
                <w:sz w:val="18"/>
                <w:szCs w:val="18"/>
                <w:b w:val="1"/>
                <w:bCs w:val="1"/>
                <w:color w:val="auto"/>
                <w:w w:val="94"/>
              </w:rPr>
              <w:t>Note</w:t>
            </w:r>
          </w:p>
        </w:tc>
      </w:tr>
      <w:tr>
        <w:trPr>
          <w:trHeight w:val="582"/>
        </w:trPr>
        <w:tc>
          <w:tcPr>
            <w:tcW w:w="53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100" w:type="dxa"/>
            <w:vAlign w:val="bottom"/>
          </w:tcPr>
          <w:p>
            <w:pPr>
              <w:spacing w:after="0"/>
              <w:rPr>
                <w:sz w:val="24"/>
                <w:szCs w:val="24"/>
                <w:color w:val="auto"/>
              </w:rPr>
            </w:pPr>
          </w:p>
        </w:tc>
      </w:tr>
      <w:tr>
        <w:trPr>
          <w:trHeight w:val="314"/>
        </w:trPr>
        <w:tc>
          <w:tcPr>
            <w:tcW w:w="53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100" w:type="dxa"/>
            <w:vAlign w:val="bottom"/>
          </w:tcPr>
          <w:p>
            <w:pPr>
              <w:jc w:val="center"/>
              <w:ind w:left="590"/>
              <w:spacing w:after="0"/>
              <w:rPr>
                <w:sz w:val="20"/>
                <w:szCs w:val="20"/>
                <w:color w:val="auto"/>
              </w:rPr>
            </w:pPr>
            <w:r>
              <w:rPr>
                <w:rFonts w:ascii="Arial" w:cs="Arial" w:eastAsia="Arial" w:hAnsi="Arial"/>
                <w:sz w:val="18"/>
                <w:szCs w:val="18"/>
                <w:color w:val="auto"/>
                <w:w w:val="99"/>
              </w:rPr>
              <w:t>5</w:t>
            </w:r>
          </w:p>
        </w:tc>
      </w:tr>
      <w:tr>
        <w:trPr>
          <w:trHeight w:val="314"/>
        </w:trPr>
        <w:tc>
          <w:tcPr>
            <w:tcW w:w="5300" w:type="dxa"/>
            <w:vAlign w:val="bottom"/>
          </w:tcPr>
          <w:p>
            <w:pPr>
              <w:ind w:left="200"/>
              <w:spacing w:after="0"/>
              <w:rPr>
                <w:sz w:val="20"/>
                <w:szCs w:val="20"/>
                <w:color w:val="auto"/>
              </w:rPr>
            </w:pPr>
            <w:r>
              <w:rPr>
                <w:rFonts w:ascii="Arial" w:cs="Arial" w:eastAsia="Arial" w:hAnsi="Arial"/>
                <w:sz w:val="18"/>
                <w:szCs w:val="18"/>
                <w:color w:val="auto"/>
              </w:rPr>
              <w:t>Receivables from purchasers for lithium carbonate</w:t>
            </w:r>
          </w:p>
        </w:tc>
        <w:tc>
          <w:tcPr>
            <w:tcW w:w="1100" w:type="dxa"/>
            <w:vAlign w:val="bottom"/>
          </w:tcPr>
          <w:p>
            <w:pPr>
              <w:jc w:val="center"/>
              <w:ind w:left="590"/>
              <w:spacing w:after="0"/>
              <w:rPr>
                <w:sz w:val="20"/>
                <w:szCs w:val="20"/>
                <w:color w:val="auto"/>
              </w:rPr>
            </w:pPr>
            <w:r>
              <w:rPr>
                <w:rFonts w:ascii="Arial" w:cs="Arial" w:eastAsia="Arial" w:hAnsi="Arial"/>
                <w:sz w:val="18"/>
                <w:szCs w:val="18"/>
                <w:color w:val="auto"/>
                <w:w w:val="99"/>
              </w:rPr>
              <w:t>9</w:t>
            </w:r>
          </w:p>
        </w:tc>
      </w:tr>
      <w:tr>
        <w:trPr>
          <w:trHeight w:val="314"/>
        </w:trPr>
        <w:tc>
          <w:tcPr>
            <w:tcW w:w="5300" w:type="dxa"/>
            <w:vAlign w:val="bottom"/>
          </w:tcPr>
          <w:p>
            <w:pPr>
              <w:ind w:left="200"/>
              <w:spacing w:after="0"/>
              <w:rPr>
                <w:sz w:val="20"/>
                <w:szCs w:val="20"/>
                <w:color w:val="auto"/>
              </w:rPr>
            </w:pPr>
            <w:r>
              <w:rPr>
                <w:rFonts w:ascii="Arial" w:cs="Arial" w:eastAsia="Arial" w:hAnsi="Arial"/>
                <w:sz w:val="18"/>
                <w:szCs w:val="18"/>
                <w:color w:val="auto"/>
              </w:rPr>
              <w:t>Loans to Exar Capital</w:t>
            </w:r>
          </w:p>
        </w:tc>
        <w:tc>
          <w:tcPr>
            <w:tcW w:w="1100" w:type="dxa"/>
            <w:vAlign w:val="bottom"/>
          </w:tcPr>
          <w:p>
            <w:pPr>
              <w:jc w:val="center"/>
              <w:ind w:left="590"/>
              <w:spacing w:after="0"/>
              <w:rPr>
                <w:sz w:val="20"/>
                <w:szCs w:val="20"/>
                <w:color w:val="auto"/>
              </w:rPr>
            </w:pPr>
            <w:r>
              <w:rPr>
                <w:rFonts w:ascii="Arial" w:cs="Arial" w:eastAsia="Arial" w:hAnsi="Arial"/>
                <w:sz w:val="18"/>
                <w:szCs w:val="18"/>
                <w:color w:val="auto"/>
                <w:w w:val="99"/>
              </w:rPr>
              <w:t>8</w:t>
            </w:r>
          </w:p>
        </w:tc>
      </w:tr>
      <w:tr>
        <w:trPr>
          <w:trHeight w:val="324"/>
        </w:trPr>
        <w:tc>
          <w:tcPr>
            <w:tcW w:w="5300" w:type="dxa"/>
            <w:vAlign w:val="bottom"/>
          </w:tcPr>
          <w:p>
            <w:pPr>
              <w:ind w:left="200"/>
              <w:spacing w:after="0"/>
              <w:rPr>
                <w:sz w:val="20"/>
                <w:szCs w:val="20"/>
                <w:color w:val="auto"/>
              </w:rPr>
            </w:pPr>
            <w:r>
              <w:rPr>
                <w:rFonts w:ascii="Arial" w:cs="Arial" w:eastAsia="Arial" w:hAnsi="Arial"/>
                <w:sz w:val="18"/>
                <w:szCs w:val="18"/>
                <w:color w:val="auto"/>
              </w:rPr>
              <w:t>Other receivables, prepaids and deposits</w:t>
            </w:r>
          </w:p>
        </w:tc>
        <w:tc>
          <w:tcPr>
            <w:tcW w:w="1100" w:type="dxa"/>
            <w:vAlign w:val="bottom"/>
          </w:tcPr>
          <w:p>
            <w:pPr>
              <w:spacing w:after="0"/>
              <w:rPr>
                <w:sz w:val="24"/>
                <w:szCs w:val="24"/>
                <w:color w:val="auto"/>
              </w:rPr>
            </w:pPr>
          </w:p>
        </w:tc>
      </w:tr>
      <w:tr>
        <w:trPr>
          <w:trHeight w:val="610"/>
        </w:trPr>
        <w:tc>
          <w:tcPr>
            <w:tcW w:w="53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100" w:type="dxa"/>
            <w:vAlign w:val="bottom"/>
          </w:tcPr>
          <w:p>
            <w:pPr>
              <w:spacing w:after="0"/>
              <w:rPr>
                <w:sz w:val="24"/>
                <w:szCs w:val="24"/>
                <w:color w:val="auto"/>
              </w:rPr>
            </w:pPr>
          </w:p>
        </w:tc>
      </w:tr>
      <w:tr>
        <w:trPr>
          <w:trHeight w:val="314"/>
        </w:trPr>
        <w:tc>
          <w:tcPr>
            <w:tcW w:w="5300" w:type="dxa"/>
            <w:vAlign w:val="bottom"/>
          </w:tcPr>
          <w:p>
            <w:pPr>
              <w:ind w:left="200"/>
              <w:spacing w:after="0"/>
              <w:rPr>
                <w:sz w:val="20"/>
                <w:szCs w:val="20"/>
                <w:color w:val="auto"/>
              </w:rPr>
            </w:pPr>
            <w:r>
              <w:rPr>
                <w:rFonts w:ascii="Arial" w:cs="Arial" w:eastAsia="Arial" w:hAnsi="Arial"/>
                <w:sz w:val="18"/>
                <w:szCs w:val="18"/>
                <w:color w:val="auto"/>
              </w:rPr>
              <w:t>Investment in Sal de la Puna Project</w:t>
            </w:r>
          </w:p>
        </w:tc>
        <w:tc>
          <w:tcPr>
            <w:tcW w:w="1100" w:type="dxa"/>
            <w:vAlign w:val="bottom"/>
          </w:tcPr>
          <w:p>
            <w:pPr>
              <w:jc w:val="center"/>
              <w:ind w:left="590"/>
              <w:spacing w:after="0"/>
              <w:rPr>
                <w:sz w:val="20"/>
                <w:szCs w:val="20"/>
                <w:color w:val="auto"/>
              </w:rPr>
            </w:pPr>
            <w:r>
              <w:rPr>
                <w:rFonts w:ascii="Arial" w:cs="Arial" w:eastAsia="Arial" w:hAnsi="Arial"/>
                <w:sz w:val="18"/>
                <w:szCs w:val="18"/>
                <w:color w:val="auto"/>
                <w:w w:val="99"/>
              </w:rPr>
              <w:t>6</w:t>
            </w:r>
          </w:p>
        </w:tc>
      </w:tr>
      <w:tr>
        <w:trPr>
          <w:trHeight w:val="314"/>
        </w:trPr>
        <w:tc>
          <w:tcPr>
            <w:tcW w:w="5300" w:type="dxa"/>
            <w:vAlign w:val="bottom"/>
          </w:tcPr>
          <w:p>
            <w:pPr>
              <w:ind w:left="200"/>
              <w:spacing w:after="0"/>
              <w:rPr>
                <w:sz w:val="20"/>
                <w:szCs w:val="20"/>
                <w:color w:val="auto"/>
              </w:rPr>
            </w:pPr>
            <w:r>
              <w:rPr>
                <w:rFonts w:ascii="Arial" w:cs="Arial" w:eastAsia="Arial" w:hAnsi="Arial"/>
                <w:sz w:val="18"/>
                <w:szCs w:val="18"/>
                <w:color w:val="auto"/>
              </w:rPr>
              <w:t>Loans to Exar Capital</w:t>
            </w:r>
          </w:p>
        </w:tc>
        <w:tc>
          <w:tcPr>
            <w:tcW w:w="1100" w:type="dxa"/>
            <w:vAlign w:val="bottom"/>
          </w:tcPr>
          <w:p>
            <w:pPr>
              <w:jc w:val="center"/>
              <w:ind w:left="590"/>
              <w:spacing w:after="0"/>
              <w:rPr>
                <w:sz w:val="20"/>
                <w:szCs w:val="20"/>
                <w:color w:val="auto"/>
              </w:rPr>
            </w:pPr>
            <w:r>
              <w:rPr>
                <w:rFonts w:ascii="Arial" w:cs="Arial" w:eastAsia="Arial" w:hAnsi="Arial"/>
                <w:sz w:val="18"/>
                <w:szCs w:val="18"/>
                <w:color w:val="auto"/>
                <w:w w:val="99"/>
              </w:rPr>
              <w:t>8</w:t>
            </w:r>
          </w:p>
        </w:tc>
      </w:tr>
      <w:tr>
        <w:trPr>
          <w:trHeight w:val="314"/>
        </w:trPr>
        <w:tc>
          <w:tcPr>
            <w:tcW w:w="5300" w:type="dxa"/>
            <w:vAlign w:val="bottom"/>
          </w:tcPr>
          <w:p>
            <w:pPr>
              <w:ind w:left="200"/>
              <w:spacing w:after="0"/>
              <w:rPr>
                <w:sz w:val="20"/>
                <w:szCs w:val="20"/>
                <w:color w:val="auto"/>
              </w:rPr>
            </w:pPr>
            <w:r>
              <w:rPr>
                <w:rFonts w:ascii="Arial" w:cs="Arial" w:eastAsia="Arial" w:hAnsi="Arial"/>
                <w:sz w:val="18"/>
                <w:szCs w:val="18"/>
                <w:color w:val="auto"/>
              </w:rPr>
              <w:t>Loans to Minera Exar</w:t>
            </w:r>
          </w:p>
        </w:tc>
        <w:tc>
          <w:tcPr>
            <w:tcW w:w="1100" w:type="dxa"/>
            <w:vAlign w:val="bottom"/>
          </w:tcPr>
          <w:p>
            <w:pPr>
              <w:jc w:val="center"/>
              <w:ind w:left="610"/>
              <w:spacing w:after="0"/>
              <w:rPr>
                <w:sz w:val="20"/>
                <w:szCs w:val="20"/>
                <w:color w:val="auto"/>
              </w:rPr>
            </w:pPr>
            <w:r>
              <w:rPr>
                <w:rFonts w:ascii="Arial" w:cs="Arial" w:eastAsia="Arial" w:hAnsi="Arial"/>
                <w:sz w:val="18"/>
                <w:szCs w:val="18"/>
                <w:color w:val="auto"/>
                <w:w w:val="99"/>
              </w:rPr>
              <w:t>10</w:t>
            </w:r>
          </w:p>
        </w:tc>
      </w:tr>
      <w:tr>
        <w:trPr>
          <w:trHeight w:val="314"/>
        </w:trPr>
        <w:tc>
          <w:tcPr>
            <w:tcW w:w="5300" w:type="dxa"/>
            <w:vAlign w:val="bottom"/>
          </w:tcPr>
          <w:p>
            <w:pPr>
              <w:ind w:left="200"/>
              <w:spacing w:after="0"/>
              <w:rPr>
                <w:sz w:val="20"/>
                <w:szCs w:val="20"/>
                <w:color w:val="auto"/>
              </w:rPr>
            </w:pPr>
            <w:r>
              <w:rPr>
                <w:rFonts w:ascii="Arial" w:cs="Arial" w:eastAsia="Arial" w:hAnsi="Arial"/>
                <w:sz w:val="18"/>
                <w:szCs w:val="18"/>
                <w:color w:val="auto"/>
              </w:rPr>
              <w:t>Investment in Cauchari-Olaroz Project</w:t>
            </w:r>
          </w:p>
        </w:tc>
        <w:tc>
          <w:tcPr>
            <w:tcW w:w="1100" w:type="dxa"/>
            <w:vAlign w:val="bottom"/>
          </w:tcPr>
          <w:p>
            <w:pPr>
              <w:jc w:val="center"/>
              <w:ind w:left="590"/>
              <w:spacing w:after="0"/>
              <w:rPr>
                <w:sz w:val="20"/>
                <w:szCs w:val="20"/>
                <w:color w:val="auto"/>
              </w:rPr>
            </w:pPr>
            <w:r>
              <w:rPr>
                <w:rFonts w:ascii="Arial" w:cs="Arial" w:eastAsia="Arial" w:hAnsi="Arial"/>
                <w:sz w:val="18"/>
                <w:szCs w:val="18"/>
                <w:color w:val="auto"/>
                <w:w w:val="99"/>
              </w:rPr>
              <w:t>7</w:t>
            </w:r>
          </w:p>
        </w:tc>
      </w:tr>
      <w:tr>
        <w:trPr>
          <w:trHeight w:val="314"/>
        </w:trPr>
        <w:tc>
          <w:tcPr>
            <w:tcW w:w="5300" w:type="dxa"/>
            <w:vAlign w:val="bottom"/>
          </w:tcPr>
          <w:p>
            <w:pPr>
              <w:ind w:left="200"/>
              <w:spacing w:after="0"/>
              <w:rPr>
                <w:sz w:val="20"/>
                <w:szCs w:val="20"/>
                <w:color w:val="auto"/>
              </w:rPr>
            </w:pPr>
            <w:r>
              <w:rPr>
                <w:rFonts w:ascii="Arial" w:cs="Arial" w:eastAsia="Arial" w:hAnsi="Arial"/>
                <w:sz w:val="18"/>
                <w:szCs w:val="18"/>
                <w:color w:val="auto"/>
              </w:rPr>
              <w:t>Long-term receivable from JEMSE</w:t>
            </w:r>
          </w:p>
        </w:tc>
        <w:tc>
          <w:tcPr>
            <w:tcW w:w="1100" w:type="dxa"/>
            <w:vAlign w:val="bottom"/>
          </w:tcPr>
          <w:p>
            <w:pPr>
              <w:jc w:val="center"/>
              <w:ind w:left="590"/>
              <w:spacing w:after="0"/>
              <w:rPr>
                <w:sz w:val="20"/>
                <w:szCs w:val="20"/>
                <w:color w:val="auto"/>
              </w:rPr>
            </w:pPr>
            <w:r>
              <w:rPr>
                <w:rFonts w:ascii="Arial" w:cs="Arial" w:eastAsia="Arial" w:hAnsi="Arial"/>
                <w:sz w:val="18"/>
                <w:szCs w:val="18"/>
                <w:color w:val="auto"/>
                <w:w w:val="99"/>
              </w:rPr>
              <w:t>7</w:t>
            </w:r>
          </w:p>
        </w:tc>
      </w:tr>
      <w:tr>
        <w:trPr>
          <w:trHeight w:val="314"/>
        </w:trPr>
        <w:tc>
          <w:tcPr>
            <w:tcW w:w="5300" w:type="dxa"/>
            <w:vAlign w:val="bottom"/>
          </w:tcPr>
          <w:p>
            <w:pPr>
              <w:ind w:left="200"/>
              <w:spacing w:after="0"/>
              <w:rPr>
                <w:sz w:val="20"/>
                <w:szCs w:val="20"/>
                <w:color w:val="auto"/>
              </w:rPr>
            </w:pPr>
            <w:r>
              <w:rPr>
                <w:rFonts w:ascii="Arial" w:cs="Arial" w:eastAsia="Arial" w:hAnsi="Arial"/>
                <w:sz w:val="18"/>
                <w:szCs w:val="18"/>
                <w:color w:val="auto"/>
              </w:rPr>
              <w:t>Property, plant and equipment</w:t>
            </w:r>
          </w:p>
        </w:tc>
        <w:tc>
          <w:tcPr>
            <w:tcW w:w="1100" w:type="dxa"/>
            <w:vAlign w:val="bottom"/>
          </w:tcPr>
          <w:p>
            <w:pPr>
              <w:jc w:val="center"/>
              <w:ind w:left="610"/>
              <w:spacing w:after="0"/>
              <w:rPr>
                <w:sz w:val="20"/>
                <w:szCs w:val="20"/>
                <w:color w:val="auto"/>
              </w:rPr>
            </w:pPr>
            <w:r>
              <w:rPr>
                <w:rFonts w:ascii="Arial" w:cs="Arial" w:eastAsia="Arial" w:hAnsi="Arial"/>
                <w:sz w:val="18"/>
                <w:szCs w:val="18"/>
                <w:color w:val="auto"/>
                <w:w w:val="99"/>
              </w:rPr>
              <w:t>11</w:t>
            </w:r>
          </w:p>
        </w:tc>
      </w:tr>
      <w:tr>
        <w:trPr>
          <w:trHeight w:val="314"/>
        </w:trPr>
        <w:tc>
          <w:tcPr>
            <w:tcW w:w="5300" w:type="dxa"/>
            <w:vAlign w:val="bottom"/>
          </w:tcPr>
          <w:p>
            <w:pPr>
              <w:ind w:left="200"/>
              <w:spacing w:after="0"/>
              <w:rPr>
                <w:sz w:val="20"/>
                <w:szCs w:val="20"/>
                <w:color w:val="auto"/>
              </w:rPr>
            </w:pPr>
            <w:r>
              <w:rPr>
                <w:rFonts w:ascii="Arial" w:cs="Arial" w:eastAsia="Arial" w:hAnsi="Arial"/>
                <w:sz w:val="18"/>
                <w:szCs w:val="18"/>
                <w:color w:val="auto"/>
              </w:rPr>
              <w:t>Exploration and evaluation assets</w:t>
            </w:r>
          </w:p>
        </w:tc>
        <w:tc>
          <w:tcPr>
            <w:tcW w:w="1100" w:type="dxa"/>
            <w:vAlign w:val="bottom"/>
          </w:tcPr>
          <w:p>
            <w:pPr>
              <w:jc w:val="center"/>
              <w:ind w:left="610"/>
              <w:spacing w:after="0"/>
              <w:rPr>
                <w:sz w:val="20"/>
                <w:szCs w:val="20"/>
                <w:color w:val="auto"/>
              </w:rPr>
            </w:pPr>
            <w:r>
              <w:rPr>
                <w:rFonts w:ascii="Arial" w:cs="Arial" w:eastAsia="Arial" w:hAnsi="Arial"/>
                <w:sz w:val="18"/>
                <w:szCs w:val="18"/>
                <w:color w:val="auto"/>
                <w:w w:val="99"/>
              </w:rPr>
              <w:t>12</w:t>
            </w:r>
          </w:p>
        </w:tc>
      </w:tr>
      <w:tr>
        <w:trPr>
          <w:trHeight w:val="324"/>
        </w:trPr>
        <w:tc>
          <w:tcPr>
            <w:tcW w:w="5300" w:type="dxa"/>
            <w:vAlign w:val="bottom"/>
          </w:tcPr>
          <w:p>
            <w:pPr>
              <w:ind w:left="200"/>
              <w:spacing w:after="0"/>
              <w:rPr>
                <w:sz w:val="20"/>
                <w:szCs w:val="20"/>
                <w:color w:val="auto"/>
              </w:rPr>
            </w:pPr>
            <w:r>
              <w:rPr>
                <w:rFonts w:ascii="Arial" w:cs="Arial" w:eastAsia="Arial" w:hAnsi="Arial"/>
                <w:sz w:val="18"/>
                <w:szCs w:val="18"/>
                <w:color w:val="auto"/>
              </w:rPr>
              <w:t>Deferred income tax asset</w:t>
            </w:r>
          </w:p>
        </w:tc>
        <w:tc>
          <w:tcPr>
            <w:tcW w:w="1100" w:type="dxa"/>
            <w:vAlign w:val="bottom"/>
          </w:tcPr>
          <w:p>
            <w:pPr>
              <w:jc w:val="center"/>
              <w:ind w:left="610"/>
              <w:spacing w:after="0"/>
              <w:rPr>
                <w:sz w:val="20"/>
                <w:szCs w:val="20"/>
                <w:color w:val="auto"/>
              </w:rPr>
            </w:pPr>
            <w:r>
              <w:rPr>
                <w:rFonts w:ascii="Arial" w:cs="Arial" w:eastAsia="Arial" w:hAnsi="Arial"/>
                <w:sz w:val="18"/>
                <w:szCs w:val="18"/>
                <w:color w:val="auto"/>
                <w:w w:val="99"/>
              </w:rPr>
              <w:t>23</w:t>
            </w:r>
          </w:p>
        </w:tc>
      </w:tr>
      <w:tr>
        <w:trPr>
          <w:trHeight w:val="649"/>
        </w:trPr>
        <w:tc>
          <w:tcPr>
            <w:tcW w:w="53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tcPr>
          <w:p>
            <w:pPr>
              <w:spacing w:after="0"/>
              <w:rPr>
                <w:sz w:val="24"/>
                <w:szCs w:val="24"/>
                <w:color w:val="auto"/>
              </w:rPr>
            </w:pPr>
          </w:p>
        </w:tc>
      </w:tr>
      <w:tr>
        <w:trPr>
          <w:trHeight w:val="572"/>
        </w:trPr>
        <w:tc>
          <w:tcPr>
            <w:tcW w:w="53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100" w:type="dxa"/>
            <w:vAlign w:val="bottom"/>
          </w:tcPr>
          <w:p>
            <w:pPr>
              <w:spacing w:after="0"/>
              <w:rPr>
                <w:sz w:val="24"/>
                <w:szCs w:val="24"/>
                <w:color w:val="auto"/>
              </w:rPr>
            </w:pPr>
          </w:p>
        </w:tc>
      </w:tr>
      <w:tr>
        <w:trPr>
          <w:trHeight w:val="314"/>
        </w:trPr>
        <w:tc>
          <w:tcPr>
            <w:tcW w:w="5300" w:type="dxa"/>
            <w:vAlign w:val="bottom"/>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1100" w:type="dxa"/>
            <w:vAlign w:val="bottom"/>
          </w:tcPr>
          <w:p>
            <w:pPr>
              <w:spacing w:after="0"/>
              <w:rPr>
                <w:sz w:val="24"/>
                <w:szCs w:val="24"/>
                <w:color w:val="auto"/>
              </w:rPr>
            </w:pPr>
          </w:p>
        </w:tc>
      </w:tr>
      <w:tr>
        <w:trPr>
          <w:trHeight w:val="314"/>
        </w:trPr>
        <w:tc>
          <w:tcPr>
            <w:tcW w:w="5300" w:type="dxa"/>
            <w:vAlign w:val="bottom"/>
          </w:tcPr>
          <w:p>
            <w:pPr>
              <w:ind w:left="200"/>
              <w:spacing w:after="0"/>
              <w:rPr>
                <w:sz w:val="20"/>
                <w:szCs w:val="20"/>
                <w:color w:val="auto"/>
              </w:rPr>
            </w:pPr>
            <w:r>
              <w:rPr>
                <w:rFonts w:ascii="Arial" w:cs="Arial" w:eastAsia="Arial" w:hAnsi="Arial"/>
                <w:sz w:val="18"/>
                <w:szCs w:val="18"/>
                <w:color w:val="auto"/>
              </w:rPr>
              <w:t>Payable to Minera Exar for lithium carbonate purchases</w:t>
            </w:r>
          </w:p>
        </w:tc>
        <w:tc>
          <w:tcPr>
            <w:tcW w:w="1100" w:type="dxa"/>
            <w:vAlign w:val="bottom"/>
          </w:tcPr>
          <w:p>
            <w:pPr>
              <w:jc w:val="center"/>
              <w:ind w:left="590"/>
              <w:spacing w:after="0"/>
              <w:rPr>
                <w:sz w:val="20"/>
                <w:szCs w:val="20"/>
                <w:color w:val="auto"/>
              </w:rPr>
            </w:pPr>
            <w:r>
              <w:rPr>
                <w:rFonts w:ascii="Arial" w:cs="Arial" w:eastAsia="Arial" w:hAnsi="Arial"/>
                <w:sz w:val="18"/>
                <w:szCs w:val="18"/>
                <w:color w:val="auto"/>
                <w:w w:val="99"/>
              </w:rPr>
              <w:t>9</w:t>
            </w:r>
          </w:p>
        </w:tc>
      </w:tr>
      <w:tr>
        <w:trPr>
          <w:trHeight w:val="314"/>
        </w:trPr>
        <w:tc>
          <w:tcPr>
            <w:tcW w:w="5300" w:type="dxa"/>
            <w:vAlign w:val="bottom"/>
          </w:tcPr>
          <w:p>
            <w:pPr>
              <w:ind w:left="200"/>
              <w:spacing w:after="0"/>
              <w:rPr>
                <w:sz w:val="20"/>
                <w:szCs w:val="20"/>
                <w:color w:val="auto"/>
              </w:rPr>
            </w:pPr>
            <w:r>
              <w:rPr>
                <w:rFonts w:ascii="Arial" w:cs="Arial" w:eastAsia="Arial" w:hAnsi="Arial"/>
                <w:sz w:val="18"/>
                <w:szCs w:val="18"/>
                <w:color w:val="auto"/>
              </w:rPr>
              <w:t>PGCo Shareholder liabilities - Ganfeng</w:t>
            </w:r>
          </w:p>
        </w:tc>
        <w:tc>
          <w:tcPr>
            <w:tcW w:w="1100" w:type="dxa"/>
            <w:vAlign w:val="bottom"/>
          </w:tcPr>
          <w:p>
            <w:pPr>
              <w:jc w:val="center"/>
              <w:ind w:left="610"/>
              <w:spacing w:after="0"/>
              <w:rPr>
                <w:sz w:val="20"/>
                <w:szCs w:val="20"/>
                <w:color w:val="auto"/>
              </w:rPr>
            </w:pPr>
            <w:r>
              <w:rPr>
                <w:rFonts w:ascii="Arial" w:cs="Arial" w:eastAsia="Arial" w:hAnsi="Arial"/>
                <w:sz w:val="18"/>
                <w:szCs w:val="18"/>
                <w:color w:val="auto"/>
                <w:w w:val="99"/>
              </w:rPr>
              <w:t>10</w:t>
            </w:r>
          </w:p>
        </w:tc>
      </w:tr>
      <w:tr>
        <w:trPr>
          <w:trHeight w:val="314"/>
        </w:trPr>
        <w:tc>
          <w:tcPr>
            <w:tcW w:w="5300" w:type="dxa"/>
            <w:vAlign w:val="bottom"/>
          </w:tcPr>
          <w:p>
            <w:pPr>
              <w:ind w:left="200"/>
              <w:spacing w:after="0"/>
              <w:rPr>
                <w:sz w:val="20"/>
                <w:szCs w:val="20"/>
                <w:color w:val="auto"/>
              </w:rPr>
            </w:pPr>
            <w:r>
              <w:rPr>
                <w:rFonts w:ascii="Arial" w:cs="Arial" w:eastAsia="Arial" w:hAnsi="Arial"/>
                <w:sz w:val="18"/>
                <w:szCs w:val="18"/>
                <w:color w:val="auto"/>
              </w:rPr>
              <w:t>Convertible notes interest and other liabilities</w:t>
            </w:r>
          </w:p>
        </w:tc>
        <w:tc>
          <w:tcPr>
            <w:tcW w:w="1100" w:type="dxa"/>
            <w:vAlign w:val="bottom"/>
          </w:tcPr>
          <w:p>
            <w:pPr>
              <w:spacing w:after="0"/>
              <w:rPr>
                <w:sz w:val="24"/>
                <w:szCs w:val="24"/>
                <w:color w:val="auto"/>
              </w:rPr>
            </w:pPr>
          </w:p>
        </w:tc>
      </w:tr>
      <w:tr>
        <w:trPr>
          <w:trHeight w:val="324"/>
        </w:trPr>
        <w:tc>
          <w:tcPr>
            <w:tcW w:w="5300" w:type="dxa"/>
            <w:vAlign w:val="bottom"/>
          </w:tcPr>
          <w:p>
            <w:pPr>
              <w:ind w:left="200"/>
              <w:spacing w:after="0"/>
              <w:rPr>
                <w:sz w:val="20"/>
                <w:szCs w:val="20"/>
                <w:color w:val="auto"/>
              </w:rPr>
            </w:pPr>
            <w:r>
              <w:rPr>
                <w:rFonts w:ascii="Arial" w:cs="Arial" w:eastAsia="Arial" w:hAnsi="Arial"/>
                <w:sz w:val="18"/>
                <w:szCs w:val="18"/>
                <w:color w:val="auto"/>
              </w:rPr>
              <w:t>Equity-settleable convertible notes</w:t>
            </w:r>
          </w:p>
        </w:tc>
        <w:tc>
          <w:tcPr>
            <w:tcW w:w="1100" w:type="dxa"/>
            <w:vAlign w:val="bottom"/>
          </w:tcPr>
          <w:p>
            <w:pPr>
              <w:jc w:val="center"/>
              <w:ind w:left="610"/>
              <w:spacing w:after="0"/>
              <w:rPr>
                <w:sz w:val="20"/>
                <w:szCs w:val="20"/>
                <w:color w:val="auto"/>
              </w:rPr>
            </w:pPr>
            <w:r>
              <w:rPr>
                <w:rFonts w:ascii="Arial" w:cs="Arial" w:eastAsia="Arial" w:hAnsi="Arial"/>
                <w:sz w:val="18"/>
                <w:szCs w:val="18"/>
                <w:color w:val="auto"/>
                <w:w w:val="99"/>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-4740275</wp:posOffset>
            </wp:positionV>
            <wp:extent cx="4149725" cy="63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7">
                      <a:extLst>
                        <a:ext uri="{28A0092B-C50C-407E-A947-70E740481C1C}"/>
                      </a:extLst>
                    </a:blip>
                    <a:srcRect/>
                    <a:stretch>
                      <a:fillRect/>
                    </a:stretch>
                  </pic:blipFill>
                  <pic:spPr bwMode="auto">
                    <a:xfrm>
                      <a:off x="0" y="0"/>
                      <a:ext cx="4149725" cy="6350"/>
                    </a:xfrm>
                    <a:prstGeom prst="rect">
                      <a:avLst/>
                    </a:prstGeom>
                    <a:noFill/>
                  </pic:spPr>
                </pic:pic>
              </a:graphicData>
            </a:graphic>
          </wp:anchor>
        </w:drawing>
      </w:r>
    </w:p>
    <w:p>
      <w:pPr>
        <w:spacing w:after="0" w:line="38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NON-CURRENT LIABILITIES</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5"/>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Decembe</w:t>
            </w:r>
          </w:p>
        </w:tc>
      </w:tr>
      <w:tr>
        <w:trPr>
          <w:trHeight w:val="286"/>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1280" w:type="dxa"/>
            <w:vAlign w:val="bottom"/>
          </w:tcPr>
          <w:p>
            <w:pPr>
              <w:spacing w:after="0"/>
              <w:rPr>
                <w:sz w:val="24"/>
                <w:szCs w:val="24"/>
                <w:color w:val="auto"/>
              </w:rPr>
            </w:pPr>
          </w:p>
        </w:tc>
      </w:tr>
      <w:tr>
        <w:trPr>
          <w:trHeight w:val="286"/>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spacing w:after="0"/>
              <w:rPr>
                <w:sz w:val="24"/>
                <w:szCs w:val="24"/>
                <w:color w:val="auto"/>
              </w:rPr>
            </w:pPr>
          </w:p>
        </w:tc>
      </w:tr>
      <w:tr>
        <w:trPr>
          <w:trHeight w:val="602"/>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61,134</w:t>
            </w:r>
          </w:p>
        </w:tc>
        <w:tc>
          <w:tcPr>
            <w:tcW w:w="12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14"/>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23,209</w:t>
            </w: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4"/>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4"/>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369</w:t>
            </w: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84,712</w:t>
            </w:r>
          </w:p>
        </w:tc>
        <w:tc>
          <w:tcPr>
            <w:tcW w:w="12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610"/>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183,370</w:t>
            </w:r>
          </w:p>
        </w:tc>
        <w:tc>
          <w:tcPr>
            <w:tcW w:w="128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314"/>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308,333</w:t>
            </w:r>
          </w:p>
        </w:tc>
        <w:tc>
          <w:tcPr>
            <w:tcW w:w="128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314"/>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71,537</w:t>
            </w:r>
          </w:p>
        </w:tc>
        <w:tc>
          <w:tcPr>
            <w:tcW w:w="1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14"/>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93,352</w:t>
            </w: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5"/>
        </w:trPr>
        <w:tc>
          <w:tcPr>
            <w:tcW w:w="1760" w:type="dxa"/>
            <w:vAlign w:val="bottom"/>
            <w:shd w:val="clear" w:color="auto" w:fill="D9D9D9"/>
          </w:tcPr>
          <w:p>
            <w:pPr>
              <w:spacing w:after="0"/>
              <w:rPr>
                <w:sz w:val="3"/>
                <w:szCs w:val="3"/>
                <w:color w:val="auto"/>
              </w:rPr>
            </w:pPr>
          </w:p>
        </w:tc>
        <w:tc>
          <w:tcPr>
            <w:tcW w:w="1280" w:type="dxa"/>
            <w:vAlign w:val="bottom"/>
          </w:tcPr>
          <w:p>
            <w:pPr>
              <w:spacing w:after="0"/>
              <w:rPr>
                <w:sz w:val="3"/>
                <w:szCs w:val="3"/>
                <w:color w:val="auto"/>
              </w:rPr>
            </w:pPr>
          </w:p>
        </w:tc>
      </w:tr>
      <w:tr>
        <w:trPr>
          <w:trHeight w:val="270"/>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8,077</w:t>
            </w: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4"/>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9,374</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4"/>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341,014</w:t>
            </w:r>
          </w:p>
        </w:tc>
        <w:tc>
          <w:tcPr>
            <w:tcW w:w="128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45"/>
        </w:trPr>
        <w:tc>
          <w:tcPr>
            <w:tcW w:w="1760" w:type="dxa"/>
            <w:vAlign w:val="bottom"/>
            <w:shd w:val="clear" w:color="auto" w:fill="D9D9D9"/>
          </w:tcPr>
          <w:p>
            <w:pPr>
              <w:spacing w:after="0"/>
              <w:rPr>
                <w:sz w:val="3"/>
                <w:szCs w:val="3"/>
                <w:color w:val="auto"/>
              </w:rPr>
            </w:pPr>
          </w:p>
        </w:tc>
        <w:tc>
          <w:tcPr>
            <w:tcW w:w="1280" w:type="dxa"/>
            <w:vAlign w:val="bottom"/>
          </w:tcPr>
          <w:p>
            <w:pPr>
              <w:spacing w:after="0"/>
              <w:rPr>
                <w:sz w:val="3"/>
                <w:szCs w:val="3"/>
                <w:color w:val="auto"/>
              </w:rPr>
            </w:pPr>
          </w:p>
        </w:tc>
      </w:tr>
      <w:tr>
        <w:trPr>
          <w:trHeight w:val="270"/>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11</w:t>
            </w:r>
          </w:p>
        </w:tc>
        <w:tc>
          <w:tcPr>
            <w:tcW w:w="1280" w:type="dxa"/>
            <w:vAlign w:val="bottom"/>
          </w:tcPr>
          <w:p>
            <w:pPr>
              <w:spacing w:after="0"/>
              <w:rPr>
                <w:sz w:val="23"/>
                <w:szCs w:val="23"/>
                <w:color w:val="auto"/>
              </w:rPr>
            </w:pPr>
          </w:p>
        </w:tc>
      </w:tr>
      <w:tr>
        <w:trPr>
          <w:trHeight w:val="324"/>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1,015,068</w:t>
            </w:r>
          </w:p>
        </w:tc>
        <w:tc>
          <w:tcPr>
            <w:tcW w:w="128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324"/>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1,099,780</w:t>
            </w:r>
          </w:p>
        </w:tc>
        <w:tc>
          <w:tcPr>
            <w:tcW w:w="1280" w:type="dxa"/>
            <w:vAlign w:val="bottom"/>
          </w:tcPr>
          <w:p>
            <w:pPr>
              <w:jc w:val="right"/>
              <w:spacing w:after="0"/>
              <w:rPr>
                <w:sz w:val="20"/>
                <w:szCs w:val="20"/>
                <w:color w:val="auto"/>
              </w:rPr>
            </w:pPr>
            <w:r>
              <w:rPr>
                <w:rFonts w:ascii="Arial" w:cs="Arial" w:eastAsia="Arial" w:hAnsi="Arial"/>
                <w:sz w:val="18"/>
                <w:szCs w:val="18"/>
                <w:color w:val="auto"/>
              </w:rPr>
              <w:t>1,131</w:t>
            </w:r>
          </w:p>
        </w:tc>
      </w:tr>
      <w:tr>
        <w:trPr>
          <w:trHeight w:val="55"/>
        </w:trPr>
        <w:tc>
          <w:tcPr>
            <w:tcW w:w="1760" w:type="dxa"/>
            <w:vAlign w:val="bottom"/>
            <w:shd w:val="clear" w:color="auto" w:fill="D9D9D9"/>
          </w:tcPr>
          <w:p>
            <w:pPr>
              <w:spacing w:after="0"/>
              <w:rPr>
                <w:sz w:val="4"/>
                <w:szCs w:val="4"/>
                <w:color w:val="auto"/>
              </w:rPr>
            </w:pPr>
          </w:p>
        </w:tc>
        <w:tc>
          <w:tcPr>
            <w:tcW w:w="1280" w:type="dxa"/>
            <w:vAlign w:val="bottom"/>
          </w:tcPr>
          <w:p>
            <w:pPr>
              <w:spacing w:after="0"/>
              <w:rPr>
                <w:sz w:val="4"/>
                <w:szCs w:val="4"/>
                <w:color w:val="auto"/>
              </w:rPr>
            </w:pPr>
          </w:p>
        </w:tc>
      </w:tr>
      <w:tr>
        <w:trPr>
          <w:trHeight w:val="842"/>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5,942</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5"/>
        </w:trPr>
        <w:tc>
          <w:tcPr>
            <w:tcW w:w="1760" w:type="dxa"/>
            <w:vAlign w:val="bottom"/>
            <w:shd w:val="clear" w:color="auto" w:fill="D9D9D9"/>
          </w:tcPr>
          <w:p>
            <w:pPr>
              <w:spacing w:after="0"/>
              <w:rPr>
                <w:sz w:val="3"/>
                <w:szCs w:val="3"/>
                <w:color w:val="auto"/>
              </w:rPr>
            </w:pPr>
          </w:p>
        </w:tc>
        <w:tc>
          <w:tcPr>
            <w:tcW w:w="1280" w:type="dxa"/>
            <w:vAlign w:val="bottom"/>
          </w:tcPr>
          <w:p>
            <w:pPr>
              <w:spacing w:after="0"/>
              <w:rPr>
                <w:sz w:val="3"/>
                <w:szCs w:val="3"/>
                <w:color w:val="auto"/>
              </w:rPr>
            </w:pPr>
          </w:p>
        </w:tc>
      </w:tr>
      <w:tr>
        <w:trPr>
          <w:trHeight w:val="270"/>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25,507</w:t>
            </w: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4"/>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12,859</w:t>
            </w:r>
          </w:p>
        </w:tc>
        <w:tc>
          <w:tcPr>
            <w:tcW w:w="1280" w:type="dxa"/>
            <w:vAlign w:val="bottom"/>
          </w:tcPr>
          <w:p>
            <w:pPr>
              <w:spacing w:after="0"/>
              <w:rPr>
                <w:sz w:val="24"/>
                <w:szCs w:val="24"/>
                <w:color w:val="auto"/>
              </w:rPr>
            </w:pPr>
          </w:p>
        </w:tc>
      </w:tr>
      <w:tr>
        <w:trPr>
          <w:trHeight w:val="314"/>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2,486</w:t>
            </w: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5"/>
        </w:trPr>
        <w:tc>
          <w:tcPr>
            <w:tcW w:w="1760" w:type="dxa"/>
            <w:vAlign w:val="bottom"/>
            <w:shd w:val="clear" w:color="auto" w:fill="D9D9D9"/>
          </w:tcPr>
          <w:p>
            <w:pPr>
              <w:spacing w:after="0"/>
              <w:rPr>
                <w:sz w:val="3"/>
                <w:szCs w:val="3"/>
                <w:color w:val="auto"/>
              </w:rPr>
            </w:pPr>
          </w:p>
        </w:tc>
        <w:tc>
          <w:tcPr>
            <w:tcW w:w="1280" w:type="dxa"/>
            <w:vAlign w:val="bottom"/>
          </w:tcPr>
          <w:p>
            <w:pPr>
              <w:spacing w:after="0"/>
              <w:rPr>
                <w:sz w:val="3"/>
                <w:szCs w:val="3"/>
                <w:color w:val="auto"/>
              </w:rPr>
            </w:pPr>
          </w:p>
        </w:tc>
      </w:tr>
      <w:tr>
        <w:trPr>
          <w:trHeight w:val="270"/>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234,161</w:t>
            </w:r>
          </w:p>
        </w:tc>
        <w:tc>
          <w:tcPr>
            <w:tcW w:w="12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55"/>
        </w:trPr>
        <w:tc>
          <w:tcPr>
            <w:tcW w:w="1760" w:type="dxa"/>
            <w:vAlign w:val="bottom"/>
            <w:shd w:val="clear" w:color="auto" w:fill="D9D9D9"/>
          </w:tcPr>
          <w:p>
            <w:pPr>
              <w:spacing w:after="0"/>
              <w:rPr>
                <w:sz w:val="4"/>
                <w:szCs w:val="4"/>
                <w:color w:val="auto"/>
              </w:rPr>
            </w:pPr>
          </w:p>
        </w:tc>
        <w:tc>
          <w:tcPr>
            <w:tcW w:w="1280" w:type="dxa"/>
            <w:vAlign w:val="bottom"/>
          </w:tcPr>
          <w:p>
            <w:pPr>
              <w:spacing w:after="0"/>
              <w:rPr>
                <w:sz w:val="4"/>
                <w:szCs w:val="4"/>
                <w:color w:val="auto"/>
              </w:rPr>
            </w:pPr>
          </w:p>
        </w:tc>
      </w:tr>
      <w:tr>
        <w:trPr>
          <w:trHeight w:val="270"/>
        </w:trPr>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280,955</w:t>
            </w:r>
          </w:p>
        </w:tc>
        <w:tc>
          <w:tcPr>
            <w:tcW w:w="128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341"/>
        </w:trPr>
        <w:tc>
          <w:tcPr>
            <w:tcW w:w="1760" w:type="dxa"/>
            <w:vAlign w:val="bottom"/>
            <w:shd w:val="clear" w:color="auto" w:fill="D9D9D9"/>
          </w:tcPr>
          <w:p>
            <w:pPr>
              <w:spacing w:after="0"/>
              <w:rPr>
                <w:sz w:val="24"/>
                <w:szCs w:val="24"/>
                <w:color w:val="auto"/>
              </w:rPr>
            </w:pPr>
          </w:p>
        </w:tc>
        <w:tc>
          <w:tcPr>
            <w:tcW w:w="1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-5151120</wp:posOffset>
            </wp:positionV>
            <wp:extent cx="1928495" cy="63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8">
                      <a:extLst>
                        <a:ext uri="{28A0092B-C50C-407E-A947-70E740481C1C}"/>
                      </a:extLst>
                    </a:blip>
                    <a:srcRect/>
                    <a:stretch>
                      <a:fillRect/>
                    </a:stretch>
                  </pic:blipFill>
                  <pic:spPr bwMode="auto">
                    <a:xfrm>
                      <a:off x="0" y="0"/>
                      <a:ext cx="1928495"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-4164330</wp:posOffset>
            </wp:positionV>
            <wp:extent cx="1928495" cy="63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9">
                      <a:extLst>
                        <a:ext uri="{28A0092B-C50C-407E-A947-70E740481C1C}"/>
                      </a:extLst>
                    </a:blip>
                    <a:srcRect/>
                    <a:stretch>
                      <a:fillRect/>
                    </a:stretch>
                  </pic:blipFill>
                  <pic:spPr bwMode="auto">
                    <a:xfrm>
                      <a:off x="0" y="0"/>
                      <a:ext cx="1928495"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-3958590</wp:posOffset>
            </wp:positionV>
            <wp:extent cx="1928495" cy="635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0">
                      <a:extLst>
                        <a:ext uri="{28A0092B-C50C-407E-A947-70E740481C1C}"/>
                      </a:extLst>
                    </a:blip>
                    <a:srcRect/>
                    <a:stretch>
                      <a:fillRect/>
                    </a:stretch>
                  </pic:blipFill>
                  <pic:spPr bwMode="auto">
                    <a:xfrm>
                      <a:off x="0" y="0"/>
                      <a:ext cx="1928495"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-2172970</wp:posOffset>
            </wp:positionV>
            <wp:extent cx="1928495" cy="63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1">
                      <a:extLst>
                        <a:ext uri="{28A0092B-C50C-407E-A947-70E740481C1C}"/>
                      </a:extLst>
                    </a:blip>
                    <a:srcRect/>
                    <a:stretch>
                      <a:fillRect/>
                    </a:stretch>
                  </pic:blipFill>
                  <pic:spPr bwMode="auto">
                    <a:xfrm>
                      <a:off x="0" y="0"/>
                      <a:ext cx="1928495"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-1967230</wp:posOffset>
            </wp:positionV>
            <wp:extent cx="1928495" cy="63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2">
                      <a:extLst>
                        <a:ext uri="{28A0092B-C50C-407E-A947-70E740481C1C}"/>
                      </a:extLst>
                    </a:blip>
                    <a:srcRect/>
                    <a:stretch>
                      <a:fillRect/>
                    </a:stretch>
                  </pic:blipFill>
                  <pic:spPr bwMode="auto">
                    <a:xfrm>
                      <a:off x="0" y="0"/>
                      <a:ext cx="1928495"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-1761490</wp:posOffset>
            </wp:positionV>
            <wp:extent cx="1928495" cy="63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3">
                      <a:extLst>
                        <a:ext uri="{28A0092B-C50C-407E-A947-70E740481C1C}"/>
                      </a:extLst>
                    </a:blip>
                    <a:srcRect/>
                    <a:stretch>
                      <a:fillRect/>
                    </a:stretch>
                  </pic:blipFill>
                  <pic:spPr bwMode="auto">
                    <a:xfrm>
                      <a:off x="0" y="0"/>
                      <a:ext cx="1928495"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-393065</wp:posOffset>
            </wp:positionV>
            <wp:extent cx="1928495" cy="63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4">
                      <a:extLst>
                        <a:ext uri="{28A0092B-C50C-407E-A947-70E740481C1C}"/>
                      </a:extLst>
                    </a:blip>
                    <a:srcRect/>
                    <a:stretch>
                      <a:fillRect/>
                    </a:stretch>
                  </pic:blipFill>
                  <pic:spPr bwMode="auto">
                    <a:xfrm>
                      <a:off x="0" y="0"/>
                      <a:ext cx="1928495"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1928495" cy="63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5">
                      <a:extLst>
                        <a:ext uri="{28A0092B-C50C-407E-A947-70E740481C1C}"/>
                      </a:extLst>
                    </a:blip>
                    <a:srcRect/>
                    <a:stretch>
                      <a:fillRect/>
                    </a:stretch>
                  </pic:blipFill>
                  <pic:spPr bwMode="auto">
                    <a:xfrm>
                      <a:off x="0" y="0"/>
                      <a:ext cx="1928495" cy="63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300" w:space="120"/>
            <w:col w:w="3040"/>
          </w:cols>
          <w:pgMar w:left="1440" w:top="1440" w:right="6" w:bottom="0" w:gutter="0" w:footer="0" w:header="0"/>
          <w:type w:val="continuous"/>
        </w:sectPr>
      </w:pPr>
    </w:p>
    <w:tbl>
      <w:tblPr>
        <w:tblLayout w:type="fixed"/>
        <w:tblInd w:w="900" w:type="dxa"/>
        <w:tblCellMar>
          <w:top w:w="0" w:type="dxa"/>
          <w:left w:w="0" w:type="dxa"/>
          <w:bottom w:w="0" w:type="dxa"/>
          <w:right w:w="0" w:type="dxa"/>
        </w:tblCellMar>
      </w:tblPr>
      <w:tr>
        <w:trPr>
          <w:trHeight w:val="258"/>
        </w:trPr>
        <w:tc>
          <w:tcPr>
            <w:tcW w:w="4720" w:type="dxa"/>
            <w:vAlign w:val="bottom"/>
          </w:tcPr>
          <w:p>
            <w:pPr>
              <w:ind w:left="200"/>
              <w:spacing w:after="0"/>
              <w:rPr>
                <w:sz w:val="20"/>
                <w:szCs w:val="20"/>
                <w:color w:val="auto"/>
              </w:rPr>
            </w:pPr>
            <w:r>
              <w:rPr>
                <w:rFonts w:ascii="Arial" w:cs="Arial" w:eastAsia="Arial" w:hAnsi="Arial"/>
                <w:sz w:val="18"/>
                <w:szCs w:val="18"/>
                <w:color w:val="auto"/>
              </w:rPr>
              <w:t>Deferred income tax liability</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431</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47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760" w:type="dxa"/>
            <w:vAlign w:val="bottom"/>
            <w:shd w:val="clear" w:color="auto" w:fill="D9D9D9"/>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472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1800" w:type="dxa"/>
            <w:vAlign w:val="bottom"/>
          </w:tcPr>
          <w:p>
            <w:pPr>
              <w:spacing w:after="0"/>
              <w:rPr>
                <w:sz w:val="24"/>
                <w:szCs w:val="24"/>
                <w:color w:val="auto"/>
              </w:rPr>
            </w:pPr>
          </w:p>
        </w:tc>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1,461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47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760" w:type="dxa"/>
            <w:vAlign w:val="bottom"/>
            <w:shd w:val="clear" w:color="auto" w:fill="D9D9D9"/>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1,892</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3"/>
        </w:trPr>
        <w:tc>
          <w:tcPr>
            <w:tcW w:w="47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800" w:type="dxa"/>
            <w:vAlign w:val="bottom"/>
          </w:tcPr>
          <w:p>
            <w:pPr>
              <w:spacing w:after="0"/>
              <w:rPr>
                <w:sz w:val="24"/>
                <w:szCs w:val="24"/>
                <w:color w:val="auto"/>
              </w:rPr>
            </w:pPr>
          </w:p>
        </w:tc>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282,847</w:t>
            </w:r>
          </w:p>
        </w:tc>
        <w:tc>
          <w:tcPr>
            <w:tcW w:w="128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36"/>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EQUITY</w:t>
            </w:r>
          </w:p>
        </w:tc>
        <w:tc>
          <w:tcPr>
            <w:tcW w:w="1800" w:type="dxa"/>
            <w:vAlign w:val="bottom"/>
          </w:tcPr>
          <w:p>
            <w:pPr>
              <w:spacing w:after="0"/>
              <w:rPr>
                <w:sz w:val="3"/>
                <w:szCs w:val="3"/>
                <w:color w:val="auto"/>
              </w:rPr>
            </w:pPr>
          </w:p>
        </w:tc>
        <w:tc>
          <w:tcPr>
            <w:tcW w:w="1760" w:type="dxa"/>
            <w:vAlign w:val="bottom"/>
            <w:shd w:val="clear" w:color="auto" w:fill="D9D9D9"/>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6"/>
        </w:trPr>
        <w:tc>
          <w:tcPr>
            <w:tcW w:w="472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1760" w:type="dxa"/>
            <w:vAlign w:val="bottom"/>
            <w:shd w:val="clear" w:color="auto" w:fill="D9D9D9"/>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20" w:type="dxa"/>
            <w:vAlign w:val="bottom"/>
            <w:vMerge w:val="continue"/>
          </w:tcPr>
          <w:p>
            <w:pPr>
              <w:spacing w:after="0"/>
              <w:rPr>
                <w:sz w:val="21"/>
                <w:szCs w:val="21"/>
                <w:color w:val="auto"/>
              </w:rPr>
            </w:pPr>
          </w:p>
        </w:tc>
        <w:tc>
          <w:tcPr>
            <w:tcW w:w="1800" w:type="dxa"/>
            <w:vAlign w:val="bottom"/>
          </w:tcPr>
          <w:p>
            <w:pPr>
              <w:spacing w:after="0"/>
              <w:rPr>
                <w:sz w:val="21"/>
                <w:szCs w:val="21"/>
                <w:color w:val="auto"/>
              </w:rPr>
            </w:pPr>
          </w:p>
        </w:tc>
        <w:tc>
          <w:tcPr>
            <w:tcW w:w="1760" w:type="dxa"/>
            <w:vAlign w:val="bottom"/>
            <w:shd w:val="clear" w:color="auto" w:fill="D9D9D9"/>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47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760" w:type="dxa"/>
            <w:vAlign w:val="bottom"/>
            <w:shd w:val="clear" w:color="auto" w:fill="D9D9D9"/>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8"/>
        </w:trPr>
        <w:tc>
          <w:tcPr>
            <w:tcW w:w="4720" w:type="dxa"/>
            <w:vAlign w:val="bottom"/>
          </w:tcPr>
          <w:p>
            <w:pPr>
              <w:ind w:left="200"/>
              <w:spacing w:after="0"/>
              <w:rPr>
                <w:sz w:val="20"/>
                <w:szCs w:val="20"/>
                <w:color w:val="auto"/>
              </w:rPr>
            </w:pPr>
            <w:r>
              <w:rPr>
                <w:rFonts w:ascii="Arial" w:cs="Arial" w:eastAsia="Arial" w:hAnsi="Arial"/>
                <w:sz w:val="18"/>
                <w:szCs w:val="18"/>
                <w:color w:val="auto"/>
              </w:rPr>
              <w:t>Share capital</w:t>
            </w:r>
          </w:p>
        </w:tc>
        <w:tc>
          <w:tcPr>
            <w:tcW w:w="1800" w:type="dxa"/>
            <w:vAlign w:val="bottom"/>
          </w:tcPr>
          <w:p>
            <w:pPr>
              <w:spacing w:after="0"/>
              <w:rPr>
                <w:sz w:val="24"/>
                <w:szCs w:val="24"/>
                <w:color w:val="auto"/>
              </w:rPr>
            </w:pPr>
          </w:p>
        </w:tc>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1,624</w:t>
            </w: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4"/>
        </w:trPr>
        <w:tc>
          <w:tcPr>
            <w:tcW w:w="4720" w:type="dxa"/>
            <w:vAlign w:val="bottom"/>
          </w:tcPr>
          <w:p>
            <w:pPr>
              <w:ind w:left="200"/>
              <w:spacing w:after="0"/>
              <w:rPr>
                <w:sz w:val="20"/>
                <w:szCs w:val="20"/>
                <w:color w:val="auto"/>
              </w:rPr>
            </w:pPr>
            <w:r>
              <w:rPr>
                <w:rFonts w:ascii="Arial" w:cs="Arial" w:eastAsia="Arial" w:hAnsi="Arial"/>
                <w:sz w:val="18"/>
                <w:szCs w:val="18"/>
                <w:color w:val="auto"/>
              </w:rPr>
              <w:t>Capital reserve</w:t>
            </w:r>
          </w:p>
        </w:tc>
        <w:tc>
          <w:tcPr>
            <w:tcW w:w="1800" w:type="dxa"/>
            <w:vAlign w:val="bottom"/>
          </w:tcPr>
          <w:p>
            <w:pPr>
              <w:spacing w:after="0"/>
              <w:rPr>
                <w:sz w:val="24"/>
                <w:szCs w:val="24"/>
                <w:color w:val="auto"/>
              </w:rPr>
            </w:pPr>
          </w:p>
        </w:tc>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1,514,732</w:t>
            </w:r>
          </w:p>
        </w:tc>
        <w:tc>
          <w:tcPr>
            <w:tcW w:w="1280" w:type="dxa"/>
            <w:vAlign w:val="bottom"/>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36"/>
        </w:trPr>
        <w:tc>
          <w:tcPr>
            <w:tcW w:w="47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760" w:type="dxa"/>
            <w:vAlign w:val="bottom"/>
            <w:shd w:val="clear" w:color="auto" w:fill="D9D9D9"/>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8"/>
        </w:trPr>
        <w:tc>
          <w:tcPr>
            <w:tcW w:w="472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800" w:type="dxa"/>
            <w:vAlign w:val="bottom"/>
          </w:tcPr>
          <w:p>
            <w:pPr>
              <w:spacing w:after="0"/>
              <w:rPr>
                <w:sz w:val="24"/>
                <w:szCs w:val="24"/>
                <w:color w:val="auto"/>
              </w:rPr>
            </w:pPr>
          </w:p>
        </w:tc>
        <w:tc>
          <w:tcPr>
            <w:tcW w:w="17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(3,487)</w:t>
            </w: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6"/>
        </w:trPr>
        <w:tc>
          <w:tcPr>
            <w:tcW w:w="47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760" w:type="dxa"/>
            <w:vAlign w:val="bottom"/>
            <w:shd w:val="clear" w:color="auto" w:fill="D9D9D9"/>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4716780</wp:posOffset>
            </wp:positionH>
            <wp:positionV relativeFrom="paragraph">
              <wp:posOffset>-1379855</wp:posOffset>
            </wp:positionV>
            <wp:extent cx="1928495" cy="63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6">
                      <a:extLst>
                        <a:ext uri="{28A0092B-C50C-407E-A947-70E740481C1C}"/>
                      </a:extLst>
                    </a:blip>
                    <a:srcRect/>
                    <a:stretch>
                      <a:fillRect/>
                    </a:stretch>
                  </pic:blipFill>
                  <pic:spPr bwMode="auto">
                    <a:xfrm>
                      <a:off x="0" y="0"/>
                      <a:ext cx="1928495" cy="6350"/>
                    </a:xfrm>
                    <a:prstGeom prst="rect">
                      <a:avLst/>
                    </a:prstGeom>
                    <a:noFill/>
                  </pic:spPr>
                </pic:pic>
              </a:graphicData>
            </a:graphic>
          </wp:anchor>
        </w:drawing>
        <w:drawing>
          <wp:anchor simplePos="0" relativeHeight="251657728" behindDoc="1" locked="0" layoutInCell="0" allowOverlap="1">
            <wp:simplePos x="0" y="0"/>
            <wp:positionH relativeFrom="column">
              <wp:posOffset>4716780</wp:posOffset>
            </wp:positionH>
            <wp:positionV relativeFrom="paragraph">
              <wp:posOffset>-1174115</wp:posOffset>
            </wp:positionV>
            <wp:extent cx="1928495" cy="63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7">
                      <a:extLst>
                        <a:ext uri="{28A0092B-C50C-407E-A947-70E740481C1C}"/>
                      </a:extLst>
                    </a:blip>
                    <a:srcRect/>
                    <a:stretch>
                      <a:fillRect/>
                    </a:stretch>
                  </pic:blipFill>
                  <pic:spPr bwMode="auto">
                    <a:xfrm>
                      <a:off x="0" y="0"/>
                      <a:ext cx="1928495" cy="6350"/>
                    </a:xfrm>
                    <a:prstGeom prst="rect">
                      <a:avLst/>
                    </a:prstGeom>
                    <a:noFill/>
                  </pic:spPr>
                </pic:pic>
              </a:graphicData>
            </a:graphic>
          </wp:anchor>
        </w:drawing>
        <w:drawing>
          <wp:anchor simplePos="0" relativeHeight="251657728" behindDoc="1" locked="0" layoutInCell="0" allowOverlap="1">
            <wp:simplePos x="0" y="0"/>
            <wp:positionH relativeFrom="column">
              <wp:posOffset>4716780</wp:posOffset>
            </wp:positionH>
            <wp:positionV relativeFrom="paragraph">
              <wp:posOffset>-967740</wp:posOffset>
            </wp:positionV>
            <wp:extent cx="1928495" cy="63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8">
                      <a:extLst>
                        <a:ext uri="{28A0092B-C50C-407E-A947-70E740481C1C}"/>
                      </a:extLst>
                    </a:blip>
                    <a:srcRect/>
                    <a:stretch>
                      <a:fillRect/>
                    </a:stretch>
                  </pic:blipFill>
                  <pic:spPr bwMode="auto">
                    <a:xfrm>
                      <a:off x="0" y="0"/>
                      <a:ext cx="1928495" cy="63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 / 16</w:t>
      </w:r>
    </w:p>
    <w:p>
      <w:pPr>
        <w:sectPr>
          <w:pgSz w:w="11900" w:h="16838" w:orient="portrait"/>
          <w:cols w:equalWidth="0" w:num="1">
            <w:col w:w="10460"/>
          </w:cols>
          <w:pgMar w:left="1440" w:top="1440" w:right="6" w:bottom="0" w:gutter="0" w:footer="0" w:header="0"/>
          <w:type w:val="continuous"/>
        </w:sectPr>
      </w:pPr>
    </w:p>
    <w:bookmarkStart w:id="376" w:name="page377"/>
    <w:bookmarkEnd w:id="376"/>
    <w:p>
      <w:pPr>
        <w:spacing w:after="0" w:line="8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Deficit</w:t>
      </w:r>
    </w:p>
    <w:p>
      <w:pPr>
        <w:spacing w:after="0" w:line="85" w:lineRule="exact"/>
        <w:rPr>
          <w:sz w:val="20"/>
          <w:szCs w:val="20"/>
          <w:color w:val="auto"/>
        </w:rPr>
      </w:pPr>
    </w:p>
    <w:p>
      <w:pPr>
        <w:ind w:left="900" w:right="260"/>
        <w:spacing w:after="0" w:line="307" w:lineRule="auto"/>
        <w:rPr>
          <w:sz w:val="20"/>
          <w:szCs w:val="20"/>
          <w:color w:val="auto"/>
        </w:rPr>
      </w:pPr>
      <w:r>
        <w:rPr>
          <w:rFonts w:ascii="Arial" w:cs="Arial" w:eastAsia="Arial" w:hAnsi="Arial"/>
          <w:sz w:val="18"/>
          <w:szCs w:val="18"/>
          <w:b w:val="1"/>
          <w:bCs w:val="1"/>
          <w:color w:val="auto"/>
        </w:rPr>
        <w:t>TOTAL EQUITY ATTRIBUTABLE TO LITHIUM ARGENTINA'S SHAREHOLDERS</w:t>
      </w:r>
    </w:p>
    <w:p>
      <w:pPr>
        <w:spacing w:after="0" w:line="6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Non-controlling interest</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TOTAL EQUITY</w:t>
      </w:r>
    </w:p>
    <w:p>
      <w:pPr>
        <w:spacing w:after="0" w:line="10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TOTAL 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22860</wp:posOffset>
            </wp:positionV>
            <wp:extent cx="3730625" cy="63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9">
                      <a:extLst>
                        <a:ext uri="{28A0092B-C50C-407E-A947-70E740481C1C}"/>
                      </a:extLst>
                    </a:blip>
                    <a:srcRect/>
                    <a:stretch>
                      <a:fillRect/>
                    </a:stretch>
                  </pic:blipFill>
                  <pic:spPr bwMode="auto">
                    <a:xfrm>
                      <a:off x="0" y="0"/>
                      <a:ext cx="3730625" cy="6350"/>
                    </a:xfrm>
                    <a:prstGeom prst="rect">
                      <a:avLst/>
                    </a:prstGeom>
                    <a:noFill/>
                  </pic:spPr>
                </pic:pic>
              </a:graphicData>
            </a:graphic>
          </wp:anchor>
        </w:drawing>
      </w:r>
    </w:p>
    <w:p>
      <w:pPr>
        <w:spacing w:after="0" w:line="25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Nature of Operations and Going Concern (Note 1)</w:t>
      </w:r>
    </w:p>
    <w:p>
      <w:pPr>
        <w:spacing w:after="0" w:line="276" w:lineRule="exact"/>
        <w:rPr>
          <w:sz w:val="20"/>
          <w:szCs w:val="20"/>
          <w:color w:val="auto"/>
        </w:rPr>
      </w:pPr>
    </w:p>
    <w:p>
      <w:pPr>
        <w:ind w:left="900"/>
        <w:spacing w:after="0"/>
        <w:rPr>
          <w:sz w:val="20"/>
          <w:szCs w:val="20"/>
          <w:color w:val="auto"/>
        </w:rPr>
      </w:pPr>
      <w:r>
        <w:rPr>
          <w:rFonts w:ascii="Arial" w:cs="Arial" w:eastAsia="Arial" w:hAnsi="Arial"/>
          <w:sz w:val="16"/>
          <w:szCs w:val="16"/>
          <w:u w:val="single" w:color="auto"/>
          <w:color w:val="auto"/>
        </w:rPr>
        <w:t>Approved for issuance on March 23, 2026</w:t>
      </w:r>
    </w:p>
    <w:p>
      <w:pPr>
        <w:spacing w:after="0" w:line="236"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On behalf of the Board of Directors:</w:t>
      </w:r>
    </w:p>
    <w:p>
      <w:pPr>
        <w:spacing w:after="0" w:line="200" w:lineRule="exact"/>
        <w:rPr>
          <w:sz w:val="20"/>
          <w:szCs w:val="20"/>
          <w:color w:val="auto"/>
        </w:rPr>
      </w:pPr>
    </w:p>
    <w:p>
      <w:pPr>
        <w:spacing w:after="0" w:line="204" w:lineRule="exact"/>
        <w:rPr>
          <w:sz w:val="20"/>
          <w:szCs w:val="20"/>
          <w:color w:val="auto"/>
        </w:rPr>
      </w:pPr>
    </w:p>
    <w:p>
      <w:pPr>
        <w:jc w:val="center"/>
        <w:ind w:right="180"/>
        <w:spacing w:after="0"/>
        <w:rPr>
          <w:sz w:val="20"/>
          <w:szCs w:val="20"/>
          <w:color w:val="auto"/>
        </w:rPr>
      </w:pPr>
      <w:r>
        <w:rPr>
          <w:rFonts w:ascii="Arial" w:cs="Arial" w:eastAsia="Arial" w:hAnsi="Arial"/>
          <w:sz w:val="16"/>
          <w:szCs w:val="16"/>
          <w:i w:val="1"/>
          <w:iCs w:val="1"/>
          <w:color w:val="auto"/>
        </w:rPr>
        <w:t>“Robert Doyle”</w:t>
      </w:r>
    </w:p>
    <w:p>
      <w:pPr>
        <w:spacing w:after="0" w:line="57" w:lineRule="exact"/>
        <w:rPr>
          <w:sz w:val="20"/>
          <w:szCs w:val="20"/>
          <w:color w:val="auto"/>
        </w:rPr>
      </w:pPr>
    </w:p>
    <w:p>
      <w:pPr>
        <w:jc w:val="center"/>
        <w:ind w:right="180"/>
        <w:spacing w:after="0"/>
        <w:rPr>
          <w:sz w:val="20"/>
          <w:szCs w:val="20"/>
          <w:color w:val="auto"/>
        </w:rPr>
      </w:pP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459740</wp:posOffset>
            </wp:positionV>
            <wp:extent cx="1676400" cy="1905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0">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1013460</wp:posOffset>
            </wp:positionV>
            <wp:extent cx="6764020" cy="190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8"/>
        </w:trPr>
        <w:tc>
          <w:tcPr>
            <w:tcW w:w="420" w:type="dxa"/>
            <w:vAlign w:val="bottom"/>
          </w:tcPr>
          <w:p>
            <w:pPr>
              <w:spacing w:after="0"/>
              <w:rPr>
                <w:sz w:val="24"/>
                <w:szCs w:val="24"/>
                <w:color w:val="auto"/>
              </w:rPr>
            </w:pPr>
          </w:p>
        </w:tc>
        <w:tc>
          <w:tcPr>
            <w:tcW w:w="17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(744,989)</w:t>
            </w:r>
          </w:p>
        </w:tc>
        <w:tc>
          <w:tcPr>
            <w:tcW w:w="128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549"/>
        </w:trPr>
        <w:tc>
          <w:tcPr>
            <w:tcW w:w="420" w:type="dxa"/>
            <w:vAlign w:val="bottom"/>
          </w:tcPr>
          <w:p>
            <w:pPr>
              <w:spacing w:after="0"/>
              <w:rPr>
                <w:sz w:val="24"/>
                <w:szCs w:val="24"/>
                <w:color w:val="auto"/>
              </w:rPr>
            </w:pPr>
          </w:p>
        </w:tc>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767,880</w:t>
            </w:r>
          </w:p>
        </w:tc>
        <w:tc>
          <w:tcPr>
            <w:tcW w:w="1280" w:type="dxa"/>
            <w:vAlign w:val="bottom"/>
          </w:tcPr>
          <w:p>
            <w:pPr>
              <w:jc w:val="right"/>
              <w:spacing w:after="0"/>
              <w:rPr>
                <w:sz w:val="20"/>
                <w:szCs w:val="20"/>
                <w:color w:val="auto"/>
              </w:rPr>
            </w:pPr>
            <w:r>
              <w:rPr>
                <w:rFonts w:ascii="Arial" w:cs="Arial" w:eastAsia="Arial" w:hAnsi="Arial"/>
                <w:sz w:val="18"/>
                <w:szCs w:val="18"/>
                <w:color w:val="auto"/>
              </w:rPr>
              <w:t>828</w:t>
            </w:r>
          </w:p>
        </w:tc>
      </w:tr>
      <w:tr>
        <w:trPr>
          <w:trHeight w:val="343"/>
        </w:trPr>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10</w:t>
            </w:r>
          </w:p>
        </w:tc>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49,053</w:t>
            </w:r>
          </w:p>
        </w:tc>
        <w:tc>
          <w:tcPr>
            <w:tcW w:w="1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06"/>
        </w:trPr>
        <w:tc>
          <w:tcPr>
            <w:tcW w:w="420" w:type="dxa"/>
            <w:vAlign w:val="bottom"/>
          </w:tcPr>
          <w:p>
            <w:pPr>
              <w:spacing w:after="0"/>
              <w:rPr>
                <w:sz w:val="24"/>
                <w:szCs w:val="24"/>
                <w:color w:val="auto"/>
              </w:rPr>
            </w:pPr>
          </w:p>
        </w:tc>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816,933</w:t>
            </w:r>
          </w:p>
        </w:tc>
        <w:tc>
          <w:tcPr>
            <w:tcW w:w="1280" w:type="dxa"/>
            <w:vAlign w:val="bottom"/>
          </w:tcPr>
          <w:p>
            <w:pPr>
              <w:jc w:val="right"/>
              <w:spacing w:after="0"/>
              <w:rPr>
                <w:sz w:val="20"/>
                <w:szCs w:val="20"/>
                <w:color w:val="auto"/>
              </w:rPr>
            </w:pPr>
            <w:r>
              <w:rPr>
                <w:rFonts w:ascii="Arial" w:cs="Arial" w:eastAsia="Arial" w:hAnsi="Arial"/>
                <w:sz w:val="18"/>
                <w:szCs w:val="18"/>
                <w:color w:val="auto"/>
              </w:rPr>
              <w:t>890</w:t>
            </w:r>
          </w:p>
        </w:tc>
      </w:tr>
      <w:tr>
        <w:trPr>
          <w:trHeight w:val="324"/>
        </w:trPr>
        <w:tc>
          <w:tcPr>
            <w:tcW w:w="420" w:type="dxa"/>
            <w:vAlign w:val="bottom"/>
          </w:tcPr>
          <w:p>
            <w:pPr>
              <w:spacing w:after="0"/>
              <w:rPr>
                <w:sz w:val="24"/>
                <w:szCs w:val="24"/>
                <w:color w:val="auto"/>
              </w:rPr>
            </w:pPr>
          </w:p>
        </w:tc>
        <w:tc>
          <w:tcPr>
            <w:tcW w:w="17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1,099,780</w:t>
            </w:r>
          </w:p>
        </w:tc>
        <w:tc>
          <w:tcPr>
            <w:tcW w:w="1280" w:type="dxa"/>
            <w:vAlign w:val="bottom"/>
          </w:tcPr>
          <w:p>
            <w:pPr>
              <w:jc w:val="right"/>
              <w:spacing w:after="0"/>
              <w:rPr>
                <w:sz w:val="20"/>
                <w:szCs w:val="20"/>
                <w:color w:val="auto"/>
              </w:rPr>
            </w:pPr>
            <w:r>
              <w:rPr>
                <w:rFonts w:ascii="Arial" w:cs="Arial" w:eastAsia="Arial" w:hAnsi="Arial"/>
                <w:sz w:val="18"/>
                <w:szCs w:val="18"/>
                <w:color w:val="auto"/>
              </w:rPr>
              <w:t>1,131</w:t>
            </w:r>
          </w:p>
        </w:tc>
      </w:tr>
      <w:tr>
        <w:trPr>
          <w:trHeight w:val="55"/>
        </w:trPr>
        <w:tc>
          <w:tcPr>
            <w:tcW w:w="420" w:type="dxa"/>
            <w:vAlign w:val="bottom"/>
          </w:tcPr>
          <w:p>
            <w:pPr>
              <w:spacing w:after="0"/>
              <w:rPr>
                <w:sz w:val="4"/>
                <w:szCs w:val="4"/>
                <w:color w:val="auto"/>
              </w:rPr>
            </w:pPr>
          </w:p>
        </w:tc>
        <w:tc>
          <w:tcPr>
            <w:tcW w:w="1760" w:type="dxa"/>
            <w:vAlign w:val="bottom"/>
            <w:shd w:val="clear" w:color="auto" w:fill="D9D9D9"/>
          </w:tcPr>
          <w:p>
            <w:pPr>
              <w:spacing w:after="0"/>
              <w:rPr>
                <w:sz w:val="4"/>
                <w:szCs w:val="4"/>
                <w:color w:val="auto"/>
              </w:rPr>
            </w:pPr>
          </w:p>
        </w:tc>
        <w:tc>
          <w:tcPr>
            <w:tcW w:w="128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-977900</wp:posOffset>
            </wp:positionV>
            <wp:extent cx="1928495" cy="635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2">
                      <a:extLst>
                        <a:ext uri="{28A0092B-C50C-407E-A947-70E740481C1C}"/>
                      </a:extLst>
                    </a:blip>
                    <a:srcRect/>
                    <a:stretch>
                      <a:fillRect/>
                    </a:stretch>
                  </pic:blipFill>
                  <pic:spPr bwMode="auto">
                    <a:xfrm>
                      <a:off x="0" y="0"/>
                      <a:ext cx="1928495" cy="6350"/>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-623570</wp:posOffset>
            </wp:positionV>
            <wp:extent cx="1928495" cy="63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3">
                      <a:extLst>
                        <a:ext uri="{28A0092B-C50C-407E-A947-70E740481C1C}"/>
                      </a:extLst>
                    </a:blip>
                    <a:srcRect/>
                    <a:stretch>
                      <a:fillRect/>
                    </a:stretch>
                  </pic:blipFill>
                  <pic:spPr bwMode="auto">
                    <a:xfrm>
                      <a:off x="0" y="0"/>
                      <a:ext cx="1928495" cy="6350"/>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-417830</wp:posOffset>
            </wp:positionV>
            <wp:extent cx="1928495" cy="635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4">
                      <a:extLst>
                        <a:ext uri="{28A0092B-C50C-407E-A947-70E740481C1C}"/>
                      </a:extLst>
                    </a:blip>
                    <a:srcRect/>
                    <a:stretch>
                      <a:fillRect/>
                    </a:stretch>
                  </pic:blipFill>
                  <pic:spPr bwMode="auto">
                    <a:xfrm>
                      <a:off x="0" y="0"/>
                      <a:ext cx="1928495" cy="6350"/>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-211455</wp:posOffset>
            </wp:positionV>
            <wp:extent cx="1928495" cy="63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5">
                      <a:extLst>
                        <a:ext uri="{28A0092B-C50C-407E-A947-70E740481C1C}"/>
                      </a:extLst>
                    </a:blip>
                    <a:srcRect/>
                    <a:stretch>
                      <a:fillRect/>
                    </a:stretch>
                  </pic:blipFill>
                  <pic:spPr bwMode="auto">
                    <a:xfrm>
                      <a:off x="0" y="0"/>
                      <a:ext cx="1928495" cy="6350"/>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-5715</wp:posOffset>
            </wp:positionV>
            <wp:extent cx="2346960" cy="635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6">
                      <a:extLst>
                        <a:ext uri="{28A0092B-C50C-407E-A947-70E740481C1C}"/>
                      </a:extLst>
                    </a:blip>
                    <a:srcRect/>
                    <a:stretch>
                      <a:fillRect/>
                    </a:stretch>
                  </pic:blipFill>
                  <pic:spPr bwMode="auto">
                    <a:xfrm>
                      <a:off x="0" y="0"/>
                      <a:ext cx="23469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800"/>
        <w:spacing w:after="0"/>
        <w:rPr>
          <w:sz w:val="20"/>
          <w:szCs w:val="20"/>
          <w:color w:val="auto"/>
        </w:rPr>
      </w:pPr>
      <w:r>
        <w:rPr>
          <w:rFonts w:ascii="Arial" w:cs="Arial" w:eastAsia="Arial" w:hAnsi="Arial"/>
          <w:sz w:val="16"/>
          <w:szCs w:val="16"/>
          <w:i w:val="1"/>
          <w:iCs w:val="1"/>
          <w:color w:val="auto"/>
        </w:rPr>
        <w:t>“George Ireland”</w:t>
      </w:r>
    </w:p>
    <w:p>
      <w:pPr>
        <w:spacing w:after="0" w:line="57" w:lineRule="exact"/>
        <w:rPr>
          <w:sz w:val="20"/>
          <w:szCs w:val="20"/>
          <w:color w:val="auto"/>
        </w:rPr>
      </w:pPr>
    </w:p>
    <w:p>
      <w:pPr>
        <w:jc w:val="center"/>
        <w:ind w:right="1800"/>
        <w:spacing w:after="0"/>
        <w:rPr>
          <w:sz w:val="20"/>
          <w:szCs w:val="20"/>
          <w:color w:val="auto"/>
        </w:rPr>
      </w:pPr>
      <w:r>
        <w:rPr>
          <w:rFonts w:ascii="Arial" w:cs="Arial" w:eastAsia="Arial" w:hAnsi="Arial"/>
          <w:sz w:val="16"/>
          <w:szCs w:val="16"/>
          <w:i w:val="1"/>
          <w:iCs w:val="1"/>
          <w:color w:val="auto"/>
        </w:rPr>
        <w:t>Director</w:t>
      </w:r>
    </w:p>
    <w:p>
      <w:pPr>
        <w:spacing w:after="0" w:line="1270" w:lineRule="exact"/>
        <w:rPr>
          <w:sz w:val="20"/>
          <w:szCs w:val="20"/>
          <w:color w:val="auto"/>
        </w:rPr>
      </w:pPr>
    </w:p>
    <w:p>
      <w:pPr>
        <w:sectPr>
          <w:pgSz w:w="11900" w:h="16838" w:orient="portrait"/>
          <w:cols w:equalWidth="0" w:num="2">
            <w:col w:w="6280" w:space="720"/>
            <w:col w:w="3460"/>
          </w:cols>
          <w:pgMar w:left="1440" w:top="1133"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9 / 16</w:t>
      </w:r>
    </w:p>
    <w:p>
      <w:pPr>
        <w:sectPr>
          <w:pgSz w:w="11900" w:h="16838" w:orient="portrait"/>
          <w:cols w:equalWidth="0" w:num="1">
            <w:col w:w="10460"/>
          </w:cols>
          <w:pgMar w:left="1440" w:top="1133" w:right="6" w:bottom="0" w:gutter="0" w:footer="0" w:header="0"/>
          <w:type w:val="continuous"/>
        </w:sectPr>
      </w:pPr>
    </w:p>
    <w:bookmarkStart w:id="377" w:name="page378"/>
    <w:bookmarkEnd w:id="3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CONSOLIDATED STATEMENTS OF COMPREHENSIVE (LOSS)/INCOME</w:t>
      </w:r>
    </w:p>
    <w:p>
      <w:pPr>
        <w:spacing w:after="0" w:line="79" w:lineRule="exact"/>
        <w:rPr>
          <w:sz w:val="20"/>
          <w:szCs w:val="20"/>
          <w:color w:val="auto"/>
        </w:rPr>
      </w:pPr>
    </w:p>
    <w:p>
      <w:pPr>
        <w:ind w:left="900"/>
        <w:spacing w:after="0"/>
        <w:rPr>
          <w:sz w:val="20"/>
          <w:szCs w:val="20"/>
          <w:color w:val="auto"/>
        </w:rPr>
      </w:pPr>
      <w:r>
        <w:rPr>
          <w:rFonts w:ascii="Arial" w:cs="Arial" w:eastAsia="Arial" w:hAnsi="Arial"/>
          <w:sz w:val="19"/>
          <w:szCs w:val="19"/>
          <w:color w:val="auto"/>
        </w:rPr>
        <w:t>(Expressed in thousands of US dollars, except for per share amounts; shares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239395</wp:posOffset>
            </wp:positionV>
            <wp:extent cx="6078220" cy="2857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7">
                      <a:extLst>
                        <a:ext uri="{28A0092B-C50C-407E-A947-70E740481C1C}"/>
                      </a:extLst>
                    </a:blip>
                    <a:srcRect/>
                    <a:stretch>
                      <a:fillRect/>
                    </a:stretch>
                  </pic:blipFill>
                  <pic:spPr bwMode="auto">
                    <a:xfrm>
                      <a:off x="0" y="0"/>
                      <a:ext cx="6078220" cy="2857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600" w:type="dxa"/>
            <w:vAlign w:val="bottom"/>
          </w:tcPr>
          <w:p>
            <w:pPr>
              <w:ind w:left="200"/>
              <w:spacing w:after="0"/>
              <w:rPr>
                <w:sz w:val="20"/>
                <w:szCs w:val="20"/>
                <w:color w:val="auto"/>
              </w:rPr>
            </w:pPr>
            <w:r>
              <w:rPr>
                <w:rFonts w:ascii="Arial" w:cs="Arial" w:eastAsia="Arial" w:hAnsi="Arial"/>
                <w:sz w:val="18"/>
                <w:szCs w:val="18"/>
                <w:b w:val="1"/>
                <w:bCs w:val="1"/>
                <w:color w:val="auto"/>
                <w:w w:val="94"/>
              </w:rPr>
              <w:t>Note</w:t>
            </w:r>
          </w:p>
        </w:tc>
      </w:tr>
      <w:tr>
        <w:trPr>
          <w:trHeight w:val="582"/>
        </w:trPr>
        <w:tc>
          <w:tcPr>
            <w:tcW w:w="60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600" w:type="dxa"/>
            <w:vAlign w:val="bottom"/>
          </w:tcPr>
          <w:p>
            <w:pPr>
              <w:spacing w:after="0"/>
              <w:rPr>
                <w:sz w:val="24"/>
                <w:szCs w:val="24"/>
                <w:color w:val="auto"/>
              </w:rPr>
            </w:pPr>
          </w:p>
        </w:tc>
      </w:tr>
      <w:tr>
        <w:trPr>
          <w:trHeight w:val="314"/>
        </w:trPr>
        <w:tc>
          <w:tcPr>
            <w:tcW w:w="6020" w:type="dxa"/>
            <w:vAlign w:val="bottom"/>
          </w:tcPr>
          <w:p>
            <w:pPr>
              <w:spacing w:after="0"/>
              <w:rPr>
                <w:sz w:val="20"/>
                <w:szCs w:val="20"/>
                <w:color w:val="auto"/>
              </w:rPr>
            </w:pPr>
            <w:r>
              <w:rPr>
                <w:rFonts w:ascii="Arial" w:cs="Arial" w:eastAsia="Arial" w:hAnsi="Arial"/>
                <w:sz w:val="18"/>
                <w:szCs w:val="18"/>
                <w:color w:val="auto"/>
              </w:rPr>
              <w:t>Exploration and evaluation expenditures</w:t>
            </w:r>
          </w:p>
        </w:tc>
        <w:tc>
          <w:tcPr>
            <w:tcW w:w="600" w:type="dxa"/>
            <w:vAlign w:val="bottom"/>
          </w:tcPr>
          <w:p>
            <w:pPr>
              <w:jc w:val="center"/>
              <w:ind w:left="110"/>
              <w:spacing w:after="0"/>
              <w:rPr>
                <w:sz w:val="20"/>
                <w:szCs w:val="20"/>
                <w:color w:val="auto"/>
              </w:rPr>
            </w:pPr>
            <w:r>
              <w:rPr>
                <w:rFonts w:ascii="Arial" w:cs="Arial" w:eastAsia="Arial" w:hAnsi="Arial"/>
                <w:sz w:val="18"/>
                <w:szCs w:val="18"/>
                <w:color w:val="auto"/>
                <w:w w:val="99"/>
              </w:rPr>
              <w:t>17</w:t>
            </w:r>
          </w:p>
        </w:tc>
      </w:tr>
      <w:tr>
        <w:trPr>
          <w:trHeight w:val="314"/>
        </w:trPr>
        <w:tc>
          <w:tcPr>
            <w:tcW w:w="6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00" w:type="dxa"/>
            <w:vAlign w:val="bottom"/>
          </w:tcPr>
          <w:p>
            <w:pPr>
              <w:jc w:val="center"/>
              <w:ind w:left="110"/>
              <w:spacing w:after="0"/>
              <w:rPr>
                <w:sz w:val="20"/>
                <w:szCs w:val="20"/>
                <w:color w:val="auto"/>
              </w:rPr>
            </w:pPr>
            <w:r>
              <w:rPr>
                <w:rFonts w:ascii="Arial" w:cs="Arial" w:eastAsia="Arial" w:hAnsi="Arial"/>
                <w:sz w:val="18"/>
                <w:szCs w:val="18"/>
                <w:color w:val="auto"/>
                <w:w w:val="99"/>
              </w:rPr>
              <w:t>16</w:t>
            </w:r>
          </w:p>
        </w:tc>
      </w:tr>
      <w:tr>
        <w:trPr>
          <w:trHeight w:val="314"/>
        </w:trPr>
        <w:tc>
          <w:tcPr>
            <w:tcW w:w="602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600" w:type="dxa"/>
            <w:vAlign w:val="bottom"/>
          </w:tcPr>
          <w:p>
            <w:pPr>
              <w:jc w:val="center"/>
              <w:ind w:left="110"/>
              <w:spacing w:after="0"/>
              <w:rPr>
                <w:sz w:val="20"/>
                <w:szCs w:val="20"/>
                <w:color w:val="auto"/>
              </w:rPr>
            </w:pPr>
            <w:r>
              <w:rPr>
                <w:rFonts w:ascii="Arial" w:cs="Arial" w:eastAsia="Arial" w:hAnsi="Arial"/>
                <w:sz w:val="18"/>
                <w:szCs w:val="18"/>
                <w:color w:val="auto"/>
                <w:w w:val="99"/>
              </w:rPr>
              <w:t>14</w:t>
            </w:r>
          </w:p>
        </w:tc>
      </w:tr>
      <w:tr>
        <w:trPr>
          <w:trHeight w:val="314"/>
        </w:trPr>
        <w:tc>
          <w:tcPr>
            <w:tcW w:w="6020" w:type="dxa"/>
            <w:vAlign w:val="bottom"/>
          </w:tcPr>
          <w:p>
            <w:pPr>
              <w:spacing w:after="0"/>
              <w:rPr>
                <w:sz w:val="20"/>
                <w:szCs w:val="20"/>
                <w:color w:val="auto"/>
              </w:rPr>
            </w:pPr>
            <w:r>
              <w:rPr>
                <w:rFonts w:ascii="Arial" w:cs="Arial" w:eastAsia="Arial" w:hAnsi="Arial"/>
                <w:sz w:val="18"/>
                <w:szCs w:val="18"/>
                <w:color w:val="auto"/>
              </w:rPr>
              <w:t>Share of (loss)/gain of Cauchari-Olaroz Project</w:t>
            </w:r>
          </w:p>
        </w:tc>
        <w:tc>
          <w:tcPr>
            <w:tcW w:w="600" w:type="dxa"/>
            <w:vAlign w:val="bottom"/>
          </w:tcPr>
          <w:p>
            <w:pPr>
              <w:jc w:val="center"/>
              <w:ind w:left="90"/>
              <w:spacing w:after="0"/>
              <w:rPr>
                <w:sz w:val="20"/>
                <w:szCs w:val="20"/>
                <w:color w:val="auto"/>
              </w:rPr>
            </w:pPr>
            <w:r>
              <w:rPr>
                <w:rFonts w:ascii="Arial" w:cs="Arial" w:eastAsia="Arial" w:hAnsi="Arial"/>
                <w:sz w:val="18"/>
                <w:szCs w:val="18"/>
                <w:color w:val="auto"/>
                <w:w w:val="99"/>
              </w:rPr>
              <w:t>7</w:t>
            </w:r>
          </w:p>
        </w:tc>
      </w:tr>
      <w:tr>
        <w:trPr>
          <w:trHeight w:val="314"/>
        </w:trPr>
        <w:tc>
          <w:tcPr>
            <w:tcW w:w="6020" w:type="dxa"/>
            <w:vAlign w:val="bottom"/>
          </w:tcPr>
          <w:p>
            <w:pPr>
              <w:spacing w:after="0"/>
              <w:rPr>
                <w:sz w:val="20"/>
                <w:szCs w:val="20"/>
                <w:color w:val="auto"/>
              </w:rPr>
            </w:pPr>
            <w:r>
              <w:rPr>
                <w:rFonts w:ascii="Arial" w:cs="Arial" w:eastAsia="Arial" w:hAnsi="Arial"/>
                <w:sz w:val="18"/>
                <w:szCs w:val="18"/>
                <w:color w:val="auto"/>
              </w:rPr>
              <w:t>Share of loss of Arena Minerals</w:t>
            </w:r>
          </w:p>
        </w:tc>
        <w:tc>
          <w:tcPr>
            <w:tcW w:w="600" w:type="dxa"/>
            <w:vAlign w:val="bottom"/>
          </w:tcPr>
          <w:p>
            <w:pPr>
              <w:spacing w:after="0"/>
              <w:rPr>
                <w:sz w:val="24"/>
                <w:szCs w:val="24"/>
                <w:color w:val="auto"/>
              </w:rPr>
            </w:pPr>
          </w:p>
        </w:tc>
      </w:tr>
      <w:tr>
        <w:trPr>
          <w:trHeight w:val="324"/>
        </w:trPr>
        <w:tc>
          <w:tcPr>
            <w:tcW w:w="6020" w:type="dxa"/>
            <w:vAlign w:val="bottom"/>
          </w:tcPr>
          <w:p>
            <w:pPr>
              <w:spacing w:after="0"/>
              <w:rPr>
                <w:sz w:val="20"/>
                <w:szCs w:val="20"/>
                <w:color w:val="auto"/>
              </w:rPr>
            </w:pPr>
            <w:r>
              <w:rPr>
                <w:rFonts w:ascii="Arial" w:cs="Arial" w:eastAsia="Arial" w:hAnsi="Arial"/>
                <w:sz w:val="18"/>
                <w:szCs w:val="18"/>
                <w:color w:val="auto"/>
              </w:rPr>
              <w:t>Share of loss of Sal de la Puna Project</w:t>
            </w:r>
          </w:p>
        </w:tc>
        <w:tc>
          <w:tcPr>
            <w:tcW w:w="600" w:type="dxa"/>
            <w:vAlign w:val="bottom"/>
          </w:tcPr>
          <w:p>
            <w:pPr>
              <w:jc w:val="center"/>
              <w:ind w:left="90"/>
              <w:spacing w:after="0"/>
              <w:rPr>
                <w:sz w:val="20"/>
                <w:szCs w:val="20"/>
                <w:color w:val="auto"/>
              </w:rPr>
            </w:pPr>
            <w:r>
              <w:rPr>
                <w:rFonts w:ascii="Arial" w:cs="Arial" w:eastAsia="Arial" w:hAnsi="Arial"/>
                <w:sz w:val="18"/>
                <w:szCs w:val="18"/>
                <w:color w:val="auto"/>
                <w:w w:val="99"/>
              </w:rPr>
              <w:t>6</w:t>
            </w:r>
          </w:p>
        </w:tc>
      </w:tr>
      <w:tr>
        <w:trPr>
          <w:trHeight w:val="610"/>
        </w:trPr>
        <w:tc>
          <w:tcPr>
            <w:tcW w:w="6020" w:type="dxa"/>
            <w:vAlign w:val="bottom"/>
          </w:tcPr>
          <w:p>
            <w:pPr>
              <w:spacing w:after="0"/>
              <w:rPr>
                <w:sz w:val="20"/>
                <w:szCs w:val="20"/>
                <w:color w:val="auto"/>
              </w:rPr>
            </w:pPr>
            <w:r>
              <w:rPr>
                <w:rFonts w:ascii="Arial" w:cs="Arial" w:eastAsia="Arial" w:hAnsi="Arial"/>
                <w:sz w:val="18"/>
                <w:szCs w:val="18"/>
                <w:b w:val="1"/>
                <w:bCs w:val="1"/>
                <w:color w:val="auto"/>
              </w:rPr>
              <w:t>OTHER ITEMS</w:t>
            </w:r>
          </w:p>
        </w:tc>
        <w:tc>
          <w:tcPr>
            <w:tcW w:w="600" w:type="dxa"/>
            <w:vAlign w:val="bottom"/>
          </w:tcPr>
          <w:p>
            <w:pPr>
              <w:spacing w:after="0"/>
              <w:rPr>
                <w:sz w:val="24"/>
                <w:szCs w:val="24"/>
                <w:color w:val="auto"/>
              </w:rPr>
            </w:pPr>
          </w:p>
        </w:tc>
      </w:tr>
      <w:tr>
        <w:trPr>
          <w:trHeight w:val="314"/>
        </w:trPr>
        <w:tc>
          <w:tcPr>
            <w:tcW w:w="6020" w:type="dxa"/>
            <w:vAlign w:val="bottom"/>
          </w:tcPr>
          <w:p>
            <w:pPr>
              <w:spacing w:after="0"/>
              <w:rPr>
                <w:sz w:val="20"/>
                <w:szCs w:val="20"/>
                <w:color w:val="auto"/>
              </w:rPr>
            </w:pPr>
            <w:r>
              <w:rPr>
                <w:rFonts w:ascii="Arial" w:cs="Arial" w:eastAsia="Arial" w:hAnsi="Arial"/>
                <w:sz w:val="18"/>
                <w:szCs w:val="18"/>
                <w:color w:val="auto"/>
              </w:rPr>
              <w:t>Transaction costs</w:t>
            </w:r>
          </w:p>
        </w:tc>
        <w:tc>
          <w:tcPr>
            <w:tcW w:w="600" w:type="dxa"/>
            <w:vAlign w:val="bottom"/>
          </w:tcPr>
          <w:p>
            <w:pPr>
              <w:jc w:val="center"/>
              <w:ind w:left="110"/>
              <w:spacing w:after="0"/>
              <w:rPr>
                <w:sz w:val="20"/>
                <w:szCs w:val="20"/>
                <w:color w:val="auto"/>
              </w:rPr>
            </w:pPr>
            <w:r>
              <w:rPr>
                <w:rFonts w:ascii="Arial" w:cs="Arial" w:eastAsia="Arial" w:hAnsi="Arial"/>
                <w:sz w:val="18"/>
                <w:szCs w:val="18"/>
                <w:color w:val="auto"/>
                <w:w w:val="99"/>
              </w:rPr>
              <w:t>19</w:t>
            </w:r>
          </w:p>
        </w:tc>
      </w:tr>
      <w:tr>
        <w:trPr>
          <w:trHeight w:val="314"/>
        </w:trPr>
        <w:tc>
          <w:tcPr>
            <w:tcW w:w="6020" w:type="dxa"/>
            <w:vAlign w:val="bottom"/>
          </w:tcPr>
          <w:p>
            <w:pPr>
              <w:spacing w:after="0"/>
              <w:rPr>
                <w:sz w:val="20"/>
                <w:szCs w:val="20"/>
                <w:color w:val="auto"/>
              </w:rPr>
            </w:pPr>
            <w:r>
              <w:rPr>
                <w:rFonts w:ascii="Arial" w:cs="Arial" w:eastAsia="Arial" w:hAnsi="Arial"/>
                <w:sz w:val="18"/>
                <w:szCs w:val="18"/>
                <w:color w:val="auto"/>
              </w:rPr>
              <w:t>(Loss)/gain on financial instruments measured at fair value</w:t>
            </w:r>
          </w:p>
        </w:tc>
        <w:tc>
          <w:tcPr>
            <w:tcW w:w="600" w:type="dxa"/>
            <w:vAlign w:val="bottom"/>
          </w:tcPr>
          <w:p>
            <w:pPr>
              <w:jc w:val="center"/>
              <w:ind w:left="110"/>
              <w:spacing w:after="0"/>
              <w:rPr>
                <w:sz w:val="20"/>
                <w:szCs w:val="20"/>
                <w:color w:val="auto"/>
              </w:rPr>
            </w:pPr>
            <w:r>
              <w:rPr>
                <w:rFonts w:ascii="Arial" w:cs="Arial" w:eastAsia="Arial" w:hAnsi="Arial"/>
                <w:sz w:val="18"/>
                <w:szCs w:val="18"/>
                <w:color w:val="auto"/>
                <w:w w:val="99"/>
              </w:rPr>
              <w:t>13</w:t>
            </w:r>
          </w:p>
        </w:tc>
      </w:tr>
      <w:tr>
        <w:trPr>
          <w:trHeight w:val="314"/>
        </w:trPr>
        <w:tc>
          <w:tcPr>
            <w:tcW w:w="6020" w:type="dxa"/>
            <w:vAlign w:val="bottom"/>
          </w:tcPr>
          <w:p>
            <w:pPr>
              <w:spacing w:after="0"/>
              <w:rPr>
                <w:sz w:val="20"/>
                <w:szCs w:val="20"/>
                <w:color w:val="auto"/>
              </w:rPr>
            </w:pPr>
            <w:r>
              <w:rPr>
                <w:rFonts w:ascii="Arial" w:cs="Arial" w:eastAsia="Arial" w:hAnsi="Arial"/>
                <w:sz w:val="18"/>
                <w:szCs w:val="18"/>
                <w:color w:val="auto"/>
              </w:rPr>
              <w:t>Finance and other costs</w:t>
            </w:r>
          </w:p>
        </w:tc>
        <w:tc>
          <w:tcPr>
            <w:tcW w:w="600" w:type="dxa"/>
            <w:vAlign w:val="bottom"/>
          </w:tcPr>
          <w:p>
            <w:pPr>
              <w:jc w:val="center"/>
              <w:ind w:left="110"/>
              <w:spacing w:after="0"/>
              <w:rPr>
                <w:sz w:val="20"/>
                <w:szCs w:val="20"/>
                <w:color w:val="auto"/>
              </w:rPr>
            </w:pPr>
            <w:r>
              <w:rPr>
                <w:rFonts w:ascii="Arial" w:cs="Arial" w:eastAsia="Arial" w:hAnsi="Arial"/>
                <w:sz w:val="18"/>
                <w:szCs w:val="18"/>
                <w:color w:val="auto"/>
                <w:w w:val="99"/>
              </w:rPr>
              <w:t>18</w:t>
            </w:r>
          </w:p>
        </w:tc>
      </w:tr>
      <w:tr>
        <w:trPr>
          <w:trHeight w:val="314"/>
        </w:trPr>
        <w:tc>
          <w:tcPr>
            <w:tcW w:w="6020" w:type="dxa"/>
            <w:vAlign w:val="bottom"/>
          </w:tcPr>
          <w:p>
            <w:pPr>
              <w:spacing w:after="0"/>
              <w:rPr>
                <w:sz w:val="20"/>
                <w:szCs w:val="20"/>
                <w:color w:val="auto"/>
              </w:rPr>
            </w:pPr>
            <w:r>
              <w:rPr>
                <w:rFonts w:ascii="Arial" w:cs="Arial" w:eastAsia="Arial" w:hAnsi="Arial"/>
                <w:sz w:val="18"/>
                <w:szCs w:val="18"/>
                <w:color w:val="auto"/>
              </w:rPr>
              <w:t>Foreign exchange (loss)/gain</w:t>
            </w:r>
          </w:p>
        </w:tc>
        <w:tc>
          <w:tcPr>
            <w:tcW w:w="600" w:type="dxa"/>
            <w:vAlign w:val="bottom"/>
          </w:tcPr>
          <w:p>
            <w:pPr>
              <w:spacing w:after="0"/>
              <w:rPr>
                <w:sz w:val="24"/>
                <w:szCs w:val="24"/>
                <w:color w:val="auto"/>
              </w:rPr>
            </w:pPr>
          </w:p>
        </w:tc>
      </w:tr>
      <w:tr>
        <w:trPr>
          <w:trHeight w:val="314"/>
        </w:trPr>
        <w:tc>
          <w:tcPr>
            <w:tcW w:w="6020" w:type="dxa"/>
            <w:vAlign w:val="bottom"/>
          </w:tcPr>
          <w:p>
            <w:pPr>
              <w:spacing w:after="0"/>
              <w:rPr>
                <w:sz w:val="20"/>
                <w:szCs w:val="20"/>
                <w:color w:val="auto"/>
              </w:rPr>
            </w:pPr>
            <w:r>
              <w:rPr>
                <w:rFonts w:ascii="Arial" w:cs="Arial" w:eastAsia="Arial" w:hAnsi="Arial"/>
                <w:sz w:val="18"/>
                <w:szCs w:val="18"/>
                <w:color w:val="auto"/>
              </w:rPr>
              <w:t>Loss on JEMSE receivable</w:t>
            </w:r>
          </w:p>
        </w:tc>
        <w:tc>
          <w:tcPr>
            <w:tcW w:w="600" w:type="dxa"/>
            <w:vAlign w:val="bottom"/>
          </w:tcPr>
          <w:p>
            <w:pPr>
              <w:jc w:val="center"/>
              <w:ind w:left="90"/>
              <w:spacing w:after="0"/>
              <w:rPr>
                <w:sz w:val="20"/>
                <w:szCs w:val="20"/>
                <w:color w:val="auto"/>
              </w:rPr>
            </w:pPr>
            <w:r>
              <w:rPr>
                <w:rFonts w:ascii="Arial" w:cs="Arial" w:eastAsia="Arial" w:hAnsi="Arial"/>
                <w:sz w:val="18"/>
                <w:szCs w:val="18"/>
                <w:color w:val="auto"/>
                <w:w w:val="99"/>
              </w:rPr>
              <w:t>7</w:t>
            </w:r>
          </w:p>
        </w:tc>
      </w:tr>
      <w:tr>
        <w:trPr>
          <w:trHeight w:val="324"/>
        </w:trPr>
        <w:tc>
          <w:tcPr>
            <w:tcW w:w="6020" w:type="dxa"/>
            <w:vAlign w:val="bottom"/>
          </w:tcPr>
          <w:p>
            <w:pPr>
              <w:spacing w:after="0"/>
              <w:rPr>
                <w:sz w:val="20"/>
                <w:szCs w:val="20"/>
                <w:color w:val="auto"/>
              </w:rPr>
            </w:pPr>
            <w:r>
              <w:rPr>
                <w:rFonts w:ascii="Arial" w:cs="Arial" w:eastAsia="Arial" w:hAnsi="Arial"/>
                <w:sz w:val="18"/>
                <w:szCs w:val="18"/>
                <w:color w:val="auto"/>
              </w:rPr>
              <w:t>Finance and other income</w:t>
            </w:r>
          </w:p>
        </w:tc>
        <w:tc>
          <w:tcPr>
            <w:tcW w:w="600" w:type="dxa"/>
            <w:vAlign w:val="bottom"/>
          </w:tcPr>
          <w:p>
            <w:pPr>
              <w:jc w:val="center"/>
              <w:ind w:left="110"/>
              <w:spacing w:after="0"/>
              <w:rPr>
                <w:sz w:val="20"/>
                <w:szCs w:val="20"/>
                <w:color w:val="auto"/>
              </w:rPr>
            </w:pPr>
            <w:r>
              <w:rPr>
                <w:rFonts w:ascii="Arial" w:cs="Arial" w:eastAsia="Arial" w:hAnsi="Arial"/>
                <w:sz w:val="18"/>
                <w:szCs w:val="18"/>
                <w:color w:val="auto"/>
                <w:w w:val="99"/>
              </w:rPr>
              <w:t>20</w:t>
            </w:r>
          </w:p>
        </w:tc>
      </w:tr>
      <w:tr>
        <w:trPr>
          <w:trHeight w:val="945"/>
        </w:trPr>
        <w:tc>
          <w:tcPr>
            <w:tcW w:w="6020" w:type="dxa"/>
            <w:vAlign w:val="bottom"/>
          </w:tcPr>
          <w:p>
            <w:pPr>
              <w:spacing w:after="0"/>
              <w:rPr>
                <w:sz w:val="20"/>
                <w:szCs w:val="20"/>
                <w:color w:val="auto"/>
              </w:rPr>
            </w:pPr>
            <w:r>
              <w:rPr>
                <w:rFonts w:ascii="Arial" w:cs="Arial" w:eastAsia="Arial" w:hAnsi="Arial"/>
                <w:sz w:val="18"/>
                <w:szCs w:val="18"/>
                <w:b w:val="1"/>
                <w:bCs w:val="1"/>
                <w:color w:val="auto"/>
              </w:rPr>
              <w:t>(LOSS)/INCOME FROM CONTINUING OPERATIONS BEFORE TAXES</w:t>
            </w:r>
          </w:p>
        </w:tc>
        <w:tc>
          <w:tcPr>
            <w:tcW w:w="600" w:type="dxa"/>
            <w:vAlign w:val="bottom"/>
          </w:tcPr>
          <w:p>
            <w:pPr>
              <w:spacing w:after="0"/>
              <w:rPr>
                <w:sz w:val="24"/>
                <w:szCs w:val="24"/>
                <w:color w:val="auto"/>
              </w:rPr>
            </w:pPr>
          </w:p>
        </w:tc>
      </w:tr>
      <w:tr>
        <w:trPr>
          <w:trHeight w:val="572"/>
        </w:trPr>
        <w:tc>
          <w:tcPr>
            <w:tcW w:w="602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600" w:type="dxa"/>
            <w:vAlign w:val="bottom"/>
          </w:tcPr>
          <w:p>
            <w:pPr>
              <w:spacing w:after="0"/>
              <w:rPr>
                <w:sz w:val="24"/>
                <w:szCs w:val="24"/>
                <w:color w:val="auto"/>
              </w:rPr>
            </w:pPr>
          </w:p>
        </w:tc>
      </w:tr>
      <w:tr>
        <w:trPr>
          <w:trHeight w:val="314"/>
        </w:trPr>
        <w:tc>
          <w:tcPr>
            <w:tcW w:w="6020" w:type="dxa"/>
            <w:vAlign w:val="bottom"/>
          </w:tcPr>
          <w:p>
            <w:pPr>
              <w:spacing w:after="0"/>
              <w:rPr>
                <w:sz w:val="20"/>
                <w:szCs w:val="20"/>
                <w:color w:val="auto"/>
              </w:rPr>
            </w:pPr>
            <w:r>
              <w:rPr>
                <w:rFonts w:ascii="Arial" w:cs="Arial" w:eastAsia="Arial" w:hAnsi="Arial"/>
                <w:sz w:val="18"/>
                <w:szCs w:val="18"/>
                <w:color w:val="auto"/>
              </w:rPr>
              <w:t>Current tax expense</w:t>
            </w:r>
          </w:p>
        </w:tc>
        <w:tc>
          <w:tcPr>
            <w:tcW w:w="600" w:type="dxa"/>
            <w:vAlign w:val="bottom"/>
          </w:tcPr>
          <w:p>
            <w:pPr>
              <w:jc w:val="center"/>
              <w:ind w:left="110"/>
              <w:spacing w:after="0"/>
              <w:rPr>
                <w:sz w:val="20"/>
                <w:szCs w:val="20"/>
                <w:color w:val="auto"/>
              </w:rPr>
            </w:pPr>
            <w:r>
              <w:rPr>
                <w:rFonts w:ascii="Arial" w:cs="Arial" w:eastAsia="Arial" w:hAnsi="Arial"/>
                <w:sz w:val="18"/>
                <w:szCs w:val="18"/>
                <w:color w:val="auto"/>
                <w:w w:val="99"/>
              </w:rPr>
              <w:t>23</w:t>
            </w:r>
          </w:p>
        </w:tc>
      </w:tr>
      <w:tr>
        <w:trPr>
          <w:trHeight w:val="314"/>
        </w:trPr>
        <w:tc>
          <w:tcPr>
            <w:tcW w:w="6020" w:type="dxa"/>
            <w:vAlign w:val="bottom"/>
          </w:tcPr>
          <w:p>
            <w:pPr>
              <w:spacing w:after="0"/>
              <w:rPr>
                <w:sz w:val="20"/>
                <w:szCs w:val="20"/>
                <w:color w:val="auto"/>
              </w:rPr>
            </w:pPr>
            <w:r>
              <w:rPr>
                <w:rFonts w:ascii="Arial" w:cs="Arial" w:eastAsia="Arial" w:hAnsi="Arial"/>
                <w:sz w:val="18"/>
                <w:szCs w:val="18"/>
                <w:color w:val="auto"/>
              </w:rPr>
              <w:t>Deferred tax (expense)/recovery</w:t>
            </w:r>
          </w:p>
        </w:tc>
        <w:tc>
          <w:tcPr>
            <w:tcW w:w="600" w:type="dxa"/>
            <w:vAlign w:val="bottom"/>
          </w:tcPr>
          <w:p>
            <w:pPr>
              <w:jc w:val="center"/>
              <w:ind w:left="110"/>
              <w:spacing w:after="0"/>
              <w:rPr>
                <w:sz w:val="20"/>
                <w:szCs w:val="20"/>
                <w:color w:val="auto"/>
              </w:rPr>
            </w:pPr>
            <w:r>
              <w:rPr>
                <w:rFonts w:ascii="Arial" w:cs="Arial" w:eastAsia="Arial" w:hAnsi="Arial"/>
                <w:sz w:val="18"/>
                <w:szCs w:val="18"/>
                <w:color w:val="auto"/>
                <w:w w:val="99"/>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-4323080</wp:posOffset>
            </wp:positionV>
            <wp:extent cx="4227195" cy="635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8">
                      <a:extLst>
                        <a:ext uri="{28A0092B-C50C-407E-A947-70E740481C1C}"/>
                      </a:extLst>
                    </a:blip>
                    <a:srcRect/>
                    <a:stretch>
                      <a:fillRect/>
                    </a:stretch>
                  </pic:blipFill>
                  <pic:spPr bwMode="auto">
                    <a:xfrm>
                      <a:off x="0" y="0"/>
                      <a:ext cx="4227195" cy="6350"/>
                    </a:xfrm>
                    <a:prstGeom prst="rect">
                      <a:avLst/>
                    </a:prstGeom>
                    <a:noFill/>
                  </pic:spPr>
                </pic:pic>
              </a:graphicData>
            </a:graphic>
          </wp:anchor>
        </w:drawing>
      </w:r>
    </w:p>
    <w:p>
      <w:pPr>
        <w:spacing w:after="0" w:line="39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(LOSS)/INCOME FROM CONTINUING OPERATIONS</w:t>
      </w:r>
    </w:p>
    <w:p>
      <w:pPr>
        <w:spacing w:after="0" w:line="39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INCOME FROM DISCONTINUED OPERATIONS</w:t>
      </w:r>
    </w:p>
    <w:p>
      <w:pPr>
        <w:spacing w:after="0" w:line="200" w:lineRule="exact"/>
        <w:rPr>
          <w:sz w:val="20"/>
          <w:szCs w:val="20"/>
          <w:color w:val="auto"/>
        </w:rPr>
      </w:pPr>
    </w:p>
    <w:p>
      <w:pPr>
        <w:spacing w:after="0" w:line="21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NET (LOSS)/INCOME</w:t>
      </w:r>
    </w:p>
    <w:p>
      <w:pPr>
        <w:spacing w:after="0" w:line="7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ATTRIBUTABLE TO:</w:t>
      </w:r>
    </w:p>
    <w:p>
      <w:pPr>
        <w:spacing w:after="0" w:line="10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Equity holders of Lithium Argentina</w:t>
      </w:r>
    </w:p>
    <w:p>
      <w:pPr>
        <w:spacing w:after="0" w:line="10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Non-controlling interest</w:t>
      </w:r>
    </w:p>
    <w:p>
      <w:pPr>
        <w:spacing w:after="0" w:line="39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TOTAL COMPREHENSIVE (LOSS)/INCOME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22860</wp:posOffset>
            </wp:positionV>
            <wp:extent cx="4227195" cy="63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9">
                      <a:extLst>
                        <a:ext uri="{28A0092B-C50C-407E-A947-70E740481C1C}"/>
                      </a:extLst>
                    </a:blip>
                    <a:srcRect/>
                    <a:stretch>
                      <a:fillRect/>
                    </a:stretch>
                  </pic:blipFill>
                  <pic:spPr bwMode="auto">
                    <a:xfrm>
                      <a:off x="0" y="0"/>
                      <a:ext cx="4227195" cy="6350"/>
                    </a:xfrm>
                    <a:prstGeom prst="rect">
                      <a:avLst/>
                    </a:prstGeom>
                    <a:noFill/>
                  </pic:spPr>
                </pic:pic>
              </a:graphicData>
            </a:graphic>
          </wp:anchor>
        </w:drawing>
      </w:r>
    </w:p>
    <w:p>
      <w:pPr>
        <w:spacing w:after="0" w:line="75" w:lineRule="exact"/>
        <w:rPr>
          <w:sz w:val="20"/>
          <w:szCs w:val="20"/>
          <w:color w:val="auto"/>
        </w:rPr>
      </w:pPr>
    </w:p>
    <w:p>
      <w:pPr>
        <w:ind w:left="900" w:right="500"/>
        <w:spacing w:after="0" w:line="307" w:lineRule="auto"/>
        <w:rPr>
          <w:sz w:val="20"/>
          <w:szCs w:val="20"/>
          <w:color w:val="auto"/>
        </w:rPr>
      </w:pPr>
      <w:r>
        <w:rPr>
          <w:rFonts w:ascii="Arial" w:cs="Arial" w:eastAsia="Arial" w:hAnsi="Arial"/>
          <w:sz w:val="18"/>
          <w:szCs w:val="18"/>
          <w:b w:val="1"/>
          <w:bCs w:val="1"/>
          <w:color w:val="auto"/>
        </w:rPr>
        <w:t>BASIC AND DILUTED (LOSS)/INCOME PER SHARE FROM CONTINUING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851025" cy="18796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0">
                      <a:extLst>
                        <a:ext uri="{28A0092B-C50C-407E-A947-70E740481C1C}"/>
                      </a:extLst>
                    </a:blip>
                    <a:srcRect/>
                    <a:stretch>
                      <a:fillRect/>
                    </a:stretch>
                  </pic:blipFill>
                  <pic:spPr bwMode="auto">
                    <a:xfrm>
                      <a:off x="0" y="0"/>
                      <a:ext cx="1851025" cy="187960"/>
                    </a:xfrm>
                    <a:prstGeom prst="rect">
                      <a:avLst/>
                    </a:prstGeom>
                    <a:noFill/>
                  </pic:spPr>
                </pic:pic>
              </a:graphicData>
            </a:graphic>
          </wp:anchor>
        </w:drawing>
      </w:r>
    </w:p>
    <w:p>
      <w:pPr>
        <w:spacing w:after="0" w:line="69"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p>
    <w:p>
      <w:pPr>
        <w:spacing w:after="0" w:line="79" w:lineRule="exact"/>
        <w:rPr>
          <w:sz w:val="20"/>
          <w:szCs w:val="20"/>
          <w:color w:val="auto"/>
        </w:rPr>
      </w:pPr>
    </w:p>
    <w:p>
      <w:pPr>
        <w:ind w:left="900"/>
        <w:spacing w:after="0"/>
        <w:tabs>
          <w:tab w:leader="none" w:pos="20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210820</wp:posOffset>
            </wp:positionV>
            <wp:extent cx="591185" cy="1993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1">
                      <a:extLst>
                        <a:ext uri="{28A0092B-C50C-407E-A947-70E740481C1C}"/>
                      </a:extLst>
                    </a:blip>
                    <a:srcRect/>
                    <a:stretch>
                      <a:fillRect/>
                    </a:stretch>
                  </pic:blipFill>
                  <pic:spPr bwMode="auto">
                    <a:xfrm>
                      <a:off x="0" y="0"/>
                      <a:ext cx="591185" cy="1993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1851025" cy="63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2">
                      <a:extLst>
                        <a:ext uri="{28A0092B-C50C-407E-A947-70E740481C1C}"/>
                      </a:extLst>
                    </a:blip>
                    <a:srcRect/>
                    <a:stretch>
                      <a:fillRect/>
                    </a:stretch>
                  </pic:blipFill>
                  <pic:spPr bwMode="auto">
                    <a:xfrm>
                      <a:off x="0" y="0"/>
                      <a:ext cx="1851025" cy="6350"/>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0" w:type="dxa"/>
            <w:vAlign w:val="bottom"/>
            <w:shd w:val="clear" w:color="auto" w:fill="D9D9D9"/>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(6,689)</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(10,078)</w:t>
            </w: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6"/>
        </w:trPr>
        <w:tc>
          <w:tcPr>
            <w:tcW w:w="100" w:type="dxa"/>
            <w:vAlign w:val="bottom"/>
            <w:shd w:val="clear" w:color="auto" w:fill="D9D9D9"/>
          </w:tcPr>
          <w:p>
            <w:pPr>
              <w:spacing w:after="0"/>
              <w:rPr>
                <w:sz w:val="3"/>
                <w:szCs w:val="3"/>
                <w:color w:val="auto"/>
              </w:rPr>
            </w:pPr>
          </w:p>
        </w:tc>
        <w:tc>
          <w:tcPr>
            <w:tcW w:w="1020" w:type="dxa"/>
            <w:vAlign w:val="bottom"/>
            <w:gridSpan w:val="2"/>
          </w:tcPr>
          <w:p>
            <w:pPr>
              <w:spacing w:after="0"/>
              <w:rPr>
                <w:sz w:val="3"/>
                <w:szCs w:val="3"/>
                <w:color w:val="auto"/>
              </w:rPr>
            </w:pPr>
          </w:p>
        </w:tc>
        <w:tc>
          <w:tcPr>
            <w:tcW w:w="124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78"/>
        </w:trPr>
        <w:tc>
          <w:tcPr>
            <w:tcW w:w="100" w:type="dxa"/>
            <w:vAlign w:val="bottom"/>
            <w:shd w:val="clear" w:color="auto" w:fill="D9D9D9"/>
          </w:tcPr>
          <w:p>
            <w:pPr>
              <w:spacing w:after="0"/>
              <w:rPr>
                <w:sz w:val="24"/>
                <w:szCs w:val="24"/>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(15,712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(14,654)</w:t>
            </w: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4"/>
        </w:trPr>
        <w:tc>
          <w:tcPr>
            <w:tcW w:w="100" w:type="dxa"/>
            <w:vAlign w:val="bottom"/>
            <w:shd w:val="clear" w:color="auto" w:fill="D9D9D9"/>
          </w:tcPr>
          <w:p>
            <w:pPr>
              <w:spacing w:after="0"/>
              <w:rPr>
                <w:sz w:val="24"/>
                <w:szCs w:val="24"/>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(15,055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(7,229)</w:t>
            </w: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4"/>
        </w:trPr>
        <w:tc>
          <w:tcPr>
            <w:tcW w:w="100" w:type="dxa"/>
            <w:vAlign w:val="bottom"/>
            <w:shd w:val="clear" w:color="auto" w:fill="D9D9D9"/>
          </w:tcPr>
          <w:p>
            <w:pPr>
              <w:spacing w:after="0"/>
              <w:rPr>
                <w:sz w:val="24"/>
                <w:szCs w:val="24"/>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(39,766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(28,232)</w:t>
            </w: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6"/>
        </w:trPr>
        <w:tc>
          <w:tcPr>
            <w:tcW w:w="100" w:type="dxa"/>
            <w:vAlign w:val="bottom"/>
            <w:shd w:val="clear" w:color="auto" w:fill="D9D9D9"/>
          </w:tcPr>
          <w:p>
            <w:pPr>
              <w:spacing w:after="0"/>
              <w:rPr>
                <w:sz w:val="24"/>
                <w:szCs w:val="24"/>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r>
      <w:tr>
        <w:trPr>
          <w:trHeight w:val="323"/>
        </w:trPr>
        <w:tc>
          <w:tcPr>
            <w:tcW w:w="100" w:type="dxa"/>
            <w:vAlign w:val="bottom"/>
            <w:shd w:val="clear" w:color="auto" w:fill="D9D9D9"/>
          </w:tcPr>
          <w:p>
            <w:pPr>
              <w:spacing w:after="0"/>
              <w:rPr>
                <w:sz w:val="24"/>
                <w:szCs w:val="24"/>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(176)</w:t>
            </w:r>
          </w:p>
        </w:tc>
        <w:tc>
          <w:tcPr>
            <w:tcW w:w="540" w:type="dxa"/>
            <w:vAlign w:val="bottom"/>
          </w:tcPr>
          <w:p>
            <w:pPr>
              <w:spacing w:after="0"/>
              <w:rPr>
                <w:sz w:val="24"/>
                <w:szCs w:val="24"/>
                <w:color w:val="auto"/>
              </w:rPr>
            </w:pPr>
          </w:p>
        </w:tc>
      </w:tr>
      <w:tr>
        <w:trPr>
          <w:trHeight w:val="324"/>
        </w:trPr>
        <w:tc>
          <w:tcPr>
            <w:tcW w:w="100" w:type="dxa"/>
            <w:vAlign w:val="bottom"/>
            <w:shd w:val="clear" w:color="auto" w:fill="D9D9D9"/>
          </w:tcPr>
          <w:p>
            <w:pPr>
              <w:spacing w:after="0"/>
              <w:rPr>
                <w:sz w:val="24"/>
                <w:szCs w:val="24"/>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(77,478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(60,369)</w:t>
            </w: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610"/>
        </w:trPr>
        <w:tc>
          <w:tcPr>
            <w:tcW w:w="100" w:type="dxa"/>
            <w:vAlign w:val="bottom"/>
            <w:shd w:val="clear" w:color="auto" w:fill="D9D9D9"/>
          </w:tcPr>
          <w:p>
            <w:pPr>
              <w:spacing w:after="0"/>
              <w:rPr>
                <w:sz w:val="24"/>
                <w:szCs w:val="24"/>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(6,818)</w:t>
            </w: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6"/>
        </w:trPr>
        <w:tc>
          <w:tcPr>
            <w:tcW w:w="100" w:type="dxa"/>
            <w:vAlign w:val="bottom"/>
            <w:shd w:val="clear" w:color="auto" w:fill="D9D9D9"/>
          </w:tcPr>
          <w:p>
            <w:pPr>
              <w:spacing w:after="0"/>
              <w:rPr>
                <w:sz w:val="3"/>
                <w:szCs w:val="3"/>
                <w:color w:val="auto"/>
              </w:rPr>
            </w:pPr>
          </w:p>
        </w:tc>
        <w:tc>
          <w:tcPr>
            <w:tcW w:w="920" w:type="dxa"/>
            <w:vAlign w:val="bottom"/>
            <w:shd w:val="clear" w:color="auto" w:fill="D9D9D9"/>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78"/>
        </w:trPr>
        <w:tc>
          <w:tcPr>
            <w:tcW w:w="100" w:type="dxa"/>
            <w:vAlign w:val="bottom"/>
            <w:shd w:val="clear" w:color="auto" w:fill="D9D9D9"/>
          </w:tcPr>
          <w:p>
            <w:pPr>
              <w:spacing w:after="0"/>
              <w:rPr>
                <w:sz w:val="24"/>
                <w:szCs w:val="24"/>
                <w:color w:val="auto"/>
              </w:rPr>
            </w:pPr>
          </w:p>
        </w:tc>
        <w:tc>
          <w:tcPr>
            <w:tcW w:w="102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(2,416)</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12,530</w:t>
            </w: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4"/>
        </w:trPr>
        <w:tc>
          <w:tcPr>
            <w:tcW w:w="100" w:type="dxa"/>
            <w:vAlign w:val="bottom"/>
            <w:shd w:val="clear" w:color="auto" w:fill="D9D9D9"/>
          </w:tcPr>
          <w:p>
            <w:pPr>
              <w:spacing w:after="0"/>
              <w:rPr>
                <w:sz w:val="24"/>
                <w:szCs w:val="24"/>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(31,940</w:t>
            </w:r>
          </w:p>
        </w:tc>
        <w:tc>
          <w:tcPr>
            <w:tcW w:w="100" w:type="dxa"/>
            <w:vAlign w:val="bottom"/>
            <w:shd w:val="clear" w:color="auto" w:fill="D9D9D9"/>
          </w:tcPr>
          <w:p>
            <w:pPr>
              <w:jc w:val="right"/>
              <w:spacing w:after="0"/>
              <w:rPr>
                <w:sz w:val="20"/>
                <w:szCs w:val="20"/>
                <w:color w:val="auto"/>
              </w:rPr>
            </w:pPr>
            <w:r>
              <w:rPr>
                <w:rFonts w:ascii="Arial" w:cs="Arial" w:eastAsia="Arial" w:hAnsi="Arial"/>
                <w:sz w:val="16"/>
                <w:szCs w:val="16"/>
                <w:color w:val="auto"/>
                <w:w w:val="74"/>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(25,176)</w:t>
            </w: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4"/>
        </w:trPr>
        <w:tc>
          <w:tcPr>
            <w:tcW w:w="100" w:type="dxa"/>
            <w:vAlign w:val="bottom"/>
            <w:shd w:val="clear" w:color="auto" w:fill="D9D9D9"/>
          </w:tcPr>
          <w:p>
            <w:pPr>
              <w:spacing w:after="0"/>
              <w:rPr>
                <w:sz w:val="24"/>
                <w:szCs w:val="24"/>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D9D9D9"/>
          </w:tcPr>
          <w:p>
            <w:pPr>
              <w:jc w:val="right"/>
              <w:spacing w:after="0"/>
              <w:rPr>
                <w:sz w:val="20"/>
                <w:szCs w:val="20"/>
                <w:color w:val="auto"/>
              </w:rPr>
            </w:pPr>
            <w:r>
              <w:rPr>
                <w:rFonts w:ascii="Arial" w:cs="Arial" w:eastAsia="Arial" w:hAnsi="Arial"/>
                <w:sz w:val="16"/>
                <w:szCs w:val="16"/>
                <w:color w:val="auto"/>
                <w:highlight w:val="lightGray"/>
                <w:w w:val="74"/>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2,147</w:t>
            </w: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6"/>
        </w:trPr>
        <w:tc>
          <w:tcPr>
            <w:tcW w:w="100" w:type="dxa"/>
            <w:vAlign w:val="bottom"/>
            <w:shd w:val="clear" w:color="auto" w:fill="D9D9D9"/>
          </w:tcPr>
          <w:p>
            <w:pPr>
              <w:spacing w:after="0"/>
              <w:rPr>
                <w:sz w:val="3"/>
                <w:szCs w:val="3"/>
                <w:color w:val="auto"/>
              </w:rPr>
            </w:pPr>
          </w:p>
        </w:tc>
        <w:tc>
          <w:tcPr>
            <w:tcW w:w="920" w:type="dxa"/>
            <w:vAlign w:val="bottom"/>
            <w:shd w:val="clear" w:color="auto" w:fill="D9D9D9"/>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24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78"/>
        </w:trPr>
        <w:tc>
          <w:tcPr>
            <w:tcW w:w="100" w:type="dxa"/>
            <w:vAlign w:val="bottom"/>
            <w:shd w:val="clear" w:color="auto" w:fill="D9D9D9"/>
          </w:tcPr>
          <w:p>
            <w:pPr>
              <w:spacing w:after="0"/>
              <w:rPr>
                <w:sz w:val="24"/>
                <w:szCs w:val="24"/>
                <w:color w:val="auto"/>
              </w:rPr>
            </w:pPr>
          </w:p>
        </w:tc>
        <w:tc>
          <w:tcPr>
            <w:tcW w:w="102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(9,261)</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r>
      <w:tr>
        <w:trPr>
          <w:trHeight w:val="306"/>
        </w:trPr>
        <w:tc>
          <w:tcPr>
            <w:tcW w:w="100" w:type="dxa"/>
            <w:vAlign w:val="bottom"/>
            <w:shd w:val="clear" w:color="auto" w:fill="D9D9D9"/>
          </w:tcPr>
          <w:p>
            <w:pPr>
              <w:spacing w:after="0"/>
              <w:rPr>
                <w:sz w:val="24"/>
                <w:szCs w:val="24"/>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49,406</w:t>
            </w:r>
          </w:p>
        </w:tc>
        <w:tc>
          <w:tcPr>
            <w:tcW w:w="100" w:type="dxa"/>
            <w:vAlign w:val="bottom"/>
            <w:shd w:val="clear" w:color="auto" w:fill="D9D9D9"/>
          </w:tcPr>
          <w:p>
            <w:pPr>
              <w:spacing w:after="0"/>
              <w:rPr>
                <w:sz w:val="24"/>
                <w:szCs w:val="24"/>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51,787</w:t>
            </w: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55"/>
        </w:trPr>
        <w:tc>
          <w:tcPr>
            <w:tcW w:w="100" w:type="dxa"/>
            <w:vAlign w:val="bottom"/>
            <w:shd w:val="clear" w:color="auto" w:fill="D9D9D9"/>
          </w:tcPr>
          <w:p>
            <w:pPr>
              <w:spacing w:after="0"/>
              <w:rPr>
                <w:sz w:val="4"/>
                <w:szCs w:val="4"/>
                <w:color w:val="auto"/>
              </w:rPr>
            </w:pPr>
          </w:p>
        </w:tc>
        <w:tc>
          <w:tcPr>
            <w:tcW w:w="92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12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70"/>
        </w:trPr>
        <w:tc>
          <w:tcPr>
            <w:tcW w:w="100" w:type="dxa"/>
            <w:vAlign w:val="bottom"/>
            <w:shd w:val="clear" w:color="auto" w:fill="D9D9D9"/>
          </w:tcPr>
          <w:p>
            <w:pPr>
              <w:spacing w:after="0"/>
              <w:rPr>
                <w:sz w:val="23"/>
                <w:szCs w:val="23"/>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D9D9D9"/>
          </w:tcPr>
          <w:p>
            <w:pPr>
              <w:spacing w:after="0"/>
              <w:rPr>
                <w:sz w:val="23"/>
                <w:szCs w:val="23"/>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34,470</w:t>
            </w: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629"/>
        </w:trPr>
        <w:tc>
          <w:tcPr>
            <w:tcW w:w="100" w:type="dxa"/>
            <w:vAlign w:val="bottom"/>
            <w:shd w:val="clear" w:color="auto" w:fill="D9D9D9"/>
          </w:tcPr>
          <w:p>
            <w:pPr>
              <w:spacing w:after="0"/>
              <w:rPr>
                <w:sz w:val="24"/>
                <w:szCs w:val="24"/>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(76,412</w:t>
            </w:r>
          </w:p>
        </w:tc>
        <w:tc>
          <w:tcPr>
            <w:tcW w:w="100" w:type="dxa"/>
            <w:vAlign w:val="bottom"/>
            <w:shd w:val="clear" w:color="auto" w:fill="D9D9D9"/>
          </w:tcPr>
          <w:p>
            <w:pPr>
              <w:jc w:val="right"/>
              <w:spacing w:after="0"/>
              <w:rPr>
                <w:sz w:val="20"/>
                <w:szCs w:val="20"/>
                <w:color w:val="auto"/>
              </w:rPr>
            </w:pPr>
            <w:r>
              <w:rPr>
                <w:rFonts w:ascii="Arial" w:cs="Arial" w:eastAsia="Arial" w:hAnsi="Arial"/>
                <w:sz w:val="16"/>
                <w:szCs w:val="16"/>
                <w:color w:val="auto"/>
                <w:w w:val="74"/>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(25,899)</w:t>
            </w: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6"/>
        </w:trPr>
        <w:tc>
          <w:tcPr>
            <w:tcW w:w="100" w:type="dxa"/>
            <w:vAlign w:val="bottom"/>
            <w:shd w:val="clear" w:color="auto" w:fill="D9D9D9"/>
          </w:tcPr>
          <w:p>
            <w:pPr>
              <w:spacing w:after="0"/>
              <w:rPr>
                <w:sz w:val="4"/>
                <w:szCs w:val="4"/>
                <w:color w:val="auto"/>
              </w:rPr>
            </w:pPr>
          </w:p>
        </w:tc>
        <w:tc>
          <w:tcPr>
            <w:tcW w:w="92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12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850"/>
        </w:trPr>
        <w:tc>
          <w:tcPr>
            <w:tcW w:w="100" w:type="dxa"/>
            <w:vAlign w:val="bottom"/>
            <w:shd w:val="clear" w:color="auto" w:fill="D9D9D9"/>
          </w:tcPr>
          <w:p>
            <w:pPr>
              <w:spacing w:after="0"/>
              <w:rPr>
                <w:sz w:val="24"/>
                <w:szCs w:val="24"/>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D9D9D9"/>
          </w:tcPr>
          <w:p>
            <w:pPr>
              <w:jc w:val="right"/>
              <w:spacing w:after="0"/>
              <w:rPr>
                <w:sz w:val="20"/>
                <w:szCs w:val="20"/>
                <w:color w:val="auto"/>
              </w:rPr>
            </w:pPr>
            <w:r>
              <w:rPr>
                <w:rFonts w:ascii="Arial" w:cs="Arial" w:eastAsia="Arial" w:hAnsi="Arial"/>
                <w:sz w:val="16"/>
                <w:szCs w:val="16"/>
                <w:color w:val="auto"/>
                <w:w w:val="74"/>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r>
      <w:tr>
        <w:trPr>
          <w:trHeight w:val="36"/>
        </w:trPr>
        <w:tc>
          <w:tcPr>
            <w:tcW w:w="100" w:type="dxa"/>
            <w:vAlign w:val="bottom"/>
            <w:shd w:val="clear" w:color="auto" w:fill="D9D9D9"/>
          </w:tcPr>
          <w:p>
            <w:pPr>
              <w:spacing w:after="0"/>
              <w:rPr>
                <w:sz w:val="3"/>
                <w:szCs w:val="3"/>
                <w:color w:val="auto"/>
              </w:rPr>
            </w:pPr>
          </w:p>
        </w:tc>
        <w:tc>
          <w:tcPr>
            <w:tcW w:w="920" w:type="dxa"/>
            <w:vAlign w:val="bottom"/>
            <w:shd w:val="clear" w:color="auto" w:fill="D9D9D9"/>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24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78"/>
        </w:trPr>
        <w:tc>
          <w:tcPr>
            <w:tcW w:w="100" w:type="dxa"/>
            <w:vAlign w:val="bottom"/>
            <w:shd w:val="clear" w:color="auto" w:fill="D9D9D9"/>
          </w:tcPr>
          <w:p>
            <w:pPr>
              <w:spacing w:after="0"/>
              <w:rPr>
                <w:sz w:val="24"/>
                <w:szCs w:val="24"/>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D9D9D9"/>
          </w:tcPr>
          <w:p>
            <w:pPr>
              <w:jc w:val="right"/>
              <w:spacing w:after="0"/>
              <w:rPr>
                <w:sz w:val="20"/>
                <w:szCs w:val="20"/>
                <w:color w:val="auto"/>
              </w:rPr>
            </w:pPr>
            <w:r>
              <w:rPr>
                <w:rFonts w:ascii="Arial" w:cs="Arial" w:eastAsia="Arial" w:hAnsi="Arial"/>
                <w:sz w:val="16"/>
                <w:szCs w:val="16"/>
                <w:color w:val="auto"/>
                <w:w w:val="74"/>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10,659</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32"/>
        </w:trPr>
        <w:tc>
          <w:tcPr>
            <w:tcW w:w="100" w:type="dxa"/>
            <w:vAlign w:val="bottom"/>
            <w:shd w:val="clear" w:color="auto" w:fill="D9D9D9"/>
          </w:tcPr>
          <w:p>
            <w:pPr>
              <w:spacing w:after="0"/>
              <w:rPr>
                <w:sz w:val="24"/>
                <w:szCs w:val="24"/>
                <w:color w:val="auto"/>
              </w:rPr>
            </w:pPr>
          </w:p>
        </w:tc>
        <w:tc>
          <w:tcPr>
            <w:tcW w:w="92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8"/>
        </w:trPr>
        <w:tc>
          <w:tcPr>
            <w:tcW w:w="100" w:type="dxa"/>
            <w:vAlign w:val="bottom"/>
            <w:shd w:val="clear" w:color="auto" w:fill="D9D9D9"/>
          </w:tcPr>
          <w:p>
            <w:pPr>
              <w:spacing w:after="0"/>
              <w:rPr>
                <w:sz w:val="24"/>
                <w:szCs w:val="24"/>
                <w:color w:val="auto"/>
              </w:rPr>
            </w:pPr>
          </w:p>
        </w:tc>
        <w:tc>
          <w:tcPr>
            <w:tcW w:w="102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(76,880)</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(15,240)</w:t>
            </w: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6"/>
        </w:trPr>
        <w:tc>
          <w:tcPr>
            <w:tcW w:w="100" w:type="dxa"/>
            <w:vAlign w:val="bottom"/>
            <w:shd w:val="clear" w:color="auto" w:fill="D9D9D9"/>
          </w:tcPr>
          <w:p>
            <w:pPr>
              <w:spacing w:after="0"/>
              <w:rPr>
                <w:sz w:val="4"/>
                <w:szCs w:val="4"/>
                <w:color w:val="auto"/>
              </w:rPr>
            </w:pPr>
          </w:p>
        </w:tc>
        <w:tc>
          <w:tcPr>
            <w:tcW w:w="92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12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86"/>
        </w:trPr>
        <w:tc>
          <w:tcPr>
            <w:tcW w:w="100" w:type="dxa"/>
            <w:vAlign w:val="bottom"/>
            <w:shd w:val="clear" w:color="auto" w:fill="D9D9D9"/>
          </w:tcPr>
          <w:p>
            <w:pPr>
              <w:spacing w:after="0"/>
              <w:rPr>
                <w:sz w:val="24"/>
                <w:szCs w:val="24"/>
                <w:color w:val="auto"/>
              </w:rPr>
            </w:pPr>
          </w:p>
        </w:tc>
        <w:tc>
          <w:tcPr>
            <w:tcW w:w="92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0"/>
        </w:trPr>
        <w:tc>
          <w:tcPr>
            <w:tcW w:w="100" w:type="dxa"/>
            <w:vAlign w:val="bottom"/>
            <w:shd w:val="clear" w:color="auto" w:fill="D9D9D9"/>
          </w:tcPr>
          <w:p>
            <w:pPr>
              <w:spacing w:after="0"/>
              <w:rPr>
                <w:sz w:val="23"/>
                <w:szCs w:val="23"/>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23"/>
                <w:szCs w:val="23"/>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1,270</w:t>
            </w:r>
          </w:p>
        </w:tc>
      </w:tr>
      <w:tr>
        <w:trPr>
          <w:trHeight w:val="341"/>
        </w:trPr>
        <w:tc>
          <w:tcPr>
            <w:tcW w:w="100" w:type="dxa"/>
            <w:vAlign w:val="bottom"/>
            <w:shd w:val="clear" w:color="auto" w:fill="D9D9D9"/>
          </w:tcPr>
          <w:p>
            <w:pPr>
              <w:spacing w:after="0"/>
              <w:rPr>
                <w:sz w:val="24"/>
                <w:szCs w:val="24"/>
                <w:color w:val="auto"/>
              </w:rPr>
            </w:pPr>
          </w:p>
        </w:tc>
        <w:tc>
          <w:tcPr>
            <w:tcW w:w="92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8"/>
        </w:trPr>
        <w:tc>
          <w:tcPr>
            <w:tcW w:w="100" w:type="dxa"/>
            <w:vAlign w:val="bottom"/>
            <w:shd w:val="clear" w:color="auto" w:fill="D9D9D9"/>
          </w:tcPr>
          <w:p>
            <w:pPr>
              <w:spacing w:after="0"/>
              <w:rPr>
                <w:sz w:val="24"/>
                <w:szCs w:val="24"/>
                <w:color w:val="auto"/>
              </w:rPr>
            </w:pPr>
          </w:p>
        </w:tc>
        <w:tc>
          <w:tcPr>
            <w:tcW w:w="102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(76,880)</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(15,240)</w:t>
            </w:r>
          </w:p>
        </w:tc>
        <w:tc>
          <w:tcPr>
            <w:tcW w:w="540" w:type="dxa"/>
            <w:vAlign w:val="bottom"/>
          </w:tcPr>
          <w:p>
            <w:pPr>
              <w:jc w:val="right"/>
              <w:spacing w:after="0"/>
              <w:rPr>
                <w:sz w:val="20"/>
                <w:szCs w:val="20"/>
                <w:color w:val="auto"/>
              </w:rPr>
            </w:pPr>
            <w:r>
              <w:rPr>
                <w:rFonts w:ascii="Arial" w:cs="Arial" w:eastAsia="Arial" w:hAnsi="Arial"/>
                <w:sz w:val="18"/>
                <w:szCs w:val="18"/>
                <w:color w:val="auto"/>
              </w:rPr>
              <w:t>1,288</w:t>
            </w:r>
          </w:p>
        </w:tc>
      </w:tr>
      <w:tr>
        <w:trPr>
          <w:trHeight w:val="46"/>
        </w:trPr>
        <w:tc>
          <w:tcPr>
            <w:tcW w:w="100" w:type="dxa"/>
            <w:vAlign w:val="bottom"/>
            <w:shd w:val="clear" w:color="auto" w:fill="D9D9D9"/>
          </w:tcPr>
          <w:p>
            <w:pPr>
              <w:spacing w:after="0"/>
              <w:rPr>
                <w:sz w:val="4"/>
                <w:szCs w:val="4"/>
                <w:color w:val="auto"/>
              </w:rPr>
            </w:pPr>
          </w:p>
        </w:tc>
        <w:tc>
          <w:tcPr>
            <w:tcW w:w="1020" w:type="dxa"/>
            <w:vAlign w:val="bottom"/>
            <w:gridSpan w:val="2"/>
            <w:shd w:val="clear" w:color="auto" w:fill="D9D9D9"/>
          </w:tcPr>
          <w:p>
            <w:pPr>
              <w:spacing w:after="0"/>
              <w:rPr>
                <w:sz w:val="4"/>
                <w:szCs w:val="4"/>
                <w:color w:val="auto"/>
              </w:rPr>
            </w:pPr>
          </w:p>
        </w:tc>
        <w:tc>
          <w:tcPr>
            <w:tcW w:w="12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86"/>
        </w:trPr>
        <w:tc>
          <w:tcPr>
            <w:tcW w:w="100" w:type="dxa"/>
            <w:vAlign w:val="bottom"/>
            <w:shd w:val="clear" w:color="auto" w:fill="D9D9D9"/>
          </w:tcPr>
          <w:p>
            <w:pPr>
              <w:spacing w:after="0"/>
              <w:rPr>
                <w:sz w:val="24"/>
                <w:szCs w:val="24"/>
                <w:color w:val="auto"/>
              </w:rPr>
            </w:pPr>
          </w:p>
        </w:tc>
        <w:tc>
          <w:tcPr>
            <w:tcW w:w="1020" w:type="dxa"/>
            <w:vAlign w:val="bottom"/>
            <w:gridSpan w:val="2"/>
            <w:shd w:val="clear" w:color="auto" w:fill="D9D9D9"/>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8"/>
        </w:trPr>
        <w:tc>
          <w:tcPr>
            <w:tcW w:w="100" w:type="dxa"/>
            <w:vAlign w:val="bottom"/>
            <w:shd w:val="clear" w:color="auto" w:fill="D9D9D9"/>
          </w:tcPr>
          <w:p>
            <w:pPr>
              <w:spacing w:after="0"/>
              <w:rPr>
                <w:sz w:val="24"/>
                <w:szCs w:val="24"/>
                <w:color w:val="auto"/>
              </w:rPr>
            </w:pPr>
          </w:p>
        </w:tc>
        <w:tc>
          <w:tcPr>
            <w:tcW w:w="102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(75,449)</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(15,234)</w:t>
            </w:r>
          </w:p>
        </w:tc>
        <w:tc>
          <w:tcPr>
            <w:tcW w:w="540" w:type="dxa"/>
            <w:vAlign w:val="bottom"/>
          </w:tcPr>
          <w:p>
            <w:pPr>
              <w:jc w:val="right"/>
              <w:spacing w:after="0"/>
              <w:rPr>
                <w:sz w:val="20"/>
                <w:szCs w:val="20"/>
                <w:color w:val="auto"/>
              </w:rPr>
            </w:pPr>
            <w:r>
              <w:rPr>
                <w:rFonts w:ascii="Arial" w:cs="Arial" w:eastAsia="Arial" w:hAnsi="Arial"/>
                <w:sz w:val="18"/>
                <w:szCs w:val="18"/>
                <w:color w:val="auto"/>
              </w:rPr>
              <w:t>1,288</w:t>
            </w:r>
          </w:p>
        </w:tc>
      </w:tr>
      <w:tr>
        <w:trPr>
          <w:trHeight w:val="314"/>
        </w:trPr>
        <w:tc>
          <w:tcPr>
            <w:tcW w:w="100" w:type="dxa"/>
            <w:vAlign w:val="bottom"/>
            <w:shd w:val="clear" w:color="auto" w:fill="D9D9D9"/>
          </w:tcPr>
          <w:p>
            <w:pPr>
              <w:spacing w:after="0"/>
              <w:rPr>
                <w:sz w:val="24"/>
                <w:szCs w:val="24"/>
                <w:color w:val="auto"/>
              </w:rPr>
            </w:pPr>
          </w:p>
        </w:tc>
        <w:tc>
          <w:tcPr>
            <w:tcW w:w="102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(1,431)</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24"/>
                <w:szCs w:val="24"/>
                <w:color w:val="auto"/>
              </w:rPr>
            </w:pPr>
          </w:p>
        </w:tc>
      </w:tr>
      <w:tr>
        <w:trPr>
          <w:trHeight w:val="36"/>
        </w:trPr>
        <w:tc>
          <w:tcPr>
            <w:tcW w:w="100" w:type="dxa"/>
            <w:vAlign w:val="bottom"/>
            <w:shd w:val="clear" w:color="auto" w:fill="D9D9D9"/>
          </w:tcPr>
          <w:p>
            <w:pPr>
              <w:spacing w:after="0"/>
              <w:rPr>
                <w:sz w:val="3"/>
                <w:szCs w:val="3"/>
                <w:color w:val="auto"/>
              </w:rPr>
            </w:pPr>
          </w:p>
        </w:tc>
        <w:tc>
          <w:tcPr>
            <w:tcW w:w="1020" w:type="dxa"/>
            <w:vAlign w:val="bottom"/>
            <w:gridSpan w:val="2"/>
            <w:shd w:val="clear" w:color="auto" w:fill="D9D9D9"/>
          </w:tcPr>
          <w:p>
            <w:pPr>
              <w:spacing w:after="0"/>
              <w:rPr>
                <w:sz w:val="3"/>
                <w:szCs w:val="3"/>
                <w:color w:val="auto"/>
              </w:rPr>
            </w:pPr>
          </w:p>
        </w:tc>
        <w:tc>
          <w:tcPr>
            <w:tcW w:w="124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564"/>
        </w:trPr>
        <w:tc>
          <w:tcPr>
            <w:tcW w:w="100" w:type="dxa"/>
            <w:vAlign w:val="bottom"/>
            <w:shd w:val="clear" w:color="auto" w:fill="D9D9D9"/>
          </w:tcPr>
          <w:p>
            <w:pPr>
              <w:spacing w:after="0"/>
              <w:rPr>
                <w:sz w:val="24"/>
                <w:szCs w:val="24"/>
                <w:color w:val="auto"/>
              </w:rPr>
            </w:pPr>
          </w:p>
        </w:tc>
        <w:tc>
          <w:tcPr>
            <w:tcW w:w="102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(76,880)</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(15,240)</w:t>
            </w:r>
          </w:p>
        </w:tc>
        <w:tc>
          <w:tcPr>
            <w:tcW w:w="540" w:type="dxa"/>
            <w:vAlign w:val="bottom"/>
          </w:tcPr>
          <w:p>
            <w:pPr>
              <w:jc w:val="right"/>
              <w:spacing w:after="0"/>
              <w:rPr>
                <w:sz w:val="20"/>
                <w:szCs w:val="20"/>
                <w:color w:val="auto"/>
              </w:rPr>
            </w:pPr>
            <w:r>
              <w:rPr>
                <w:rFonts w:ascii="Arial" w:cs="Arial" w:eastAsia="Arial" w:hAnsi="Arial"/>
                <w:sz w:val="18"/>
                <w:szCs w:val="18"/>
                <w:color w:val="auto"/>
              </w:rPr>
              <w:t>1,288</w:t>
            </w:r>
          </w:p>
        </w:tc>
      </w:tr>
      <w:tr>
        <w:trPr>
          <w:trHeight w:val="46"/>
        </w:trPr>
        <w:tc>
          <w:tcPr>
            <w:tcW w:w="100" w:type="dxa"/>
            <w:vAlign w:val="bottom"/>
            <w:shd w:val="clear" w:color="auto" w:fill="D9D9D9"/>
          </w:tcPr>
          <w:p>
            <w:pPr>
              <w:spacing w:after="0"/>
              <w:rPr>
                <w:sz w:val="4"/>
                <w:szCs w:val="4"/>
                <w:color w:val="auto"/>
              </w:rPr>
            </w:pPr>
          </w:p>
        </w:tc>
        <w:tc>
          <w:tcPr>
            <w:tcW w:w="92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12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558"/>
        </w:trPr>
        <w:tc>
          <w:tcPr>
            <w:tcW w:w="100" w:type="dxa"/>
            <w:vAlign w:val="bottom"/>
            <w:shd w:val="clear" w:color="auto" w:fill="D9D9D9"/>
          </w:tcPr>
          <w:p>
            <w:pPr>
              <w:spacing w:after="0"/>
              <w:rPr>
                <w:sz w:val="24"/>
                <w:szCs w:val="24"/>
                <w:color w:val="auto"/>
              </w:rPr>
            </w:pPr>
          </w:p>
        </w:tc>
        <w:tc>
          <w:tcPr>
            <w:tcW w:w="92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-5058410</wp:posOffset>
            </wp:positionV>
            <wp:extent cx="64135" cy="1993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3">
                      <a:extLst>
                        <a:ext uri="{28A0092B-C50C-407E-A947-70E740481C1C}"/>
                      </a:extLst>
                    </a:blip>
                    <a:srcRect/>
                    <a:stretch>
                      <a:fillRect/>
                    </a:stretch>
                  </pic:blipFill>
                  <pic:spPr bwMode="auto">
                    <a:xfrm>
                      <a:off x="0" y="0"/>
                      <a:ext cx="64135" cy="1993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-5452110</wp:posOffset>
            </wp:positionV>
            <wp:extent cx="1851025" cy="63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4">
                      <a:extLst>
                        <a:ext uri="{28A0092B-C50C-407E-A947-70E740481C1C}"/>
                      </a:extLst>
                    </a:blip>
                    <a:srcRect/>
                    <a:stretch>
                      <a:fillRect/>
                    </a:stretch>
                  </pic:blipFill>
                  <pic:spPr bwMode="auto">
                    <a:xfrm>
                      <a:off x="0" y="0"/>
                      <a:ext cx="1851025"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-5246370</wp:posOffset>
            </wp:positionV>
            <wp:extent cx="1851025" cy="63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5">
                      <a:extLst>
                        <a:ext uri="{28A0092B-C50C-407E-A947-70E740481C1C}"/>
                      </a:extLst>
                    </a:blip>
                    <a:srcRect/>
                    <a:stretch>
                      <a:fillRect/>
                    </a:stretch>
                  </pic:blipFill>
                  <pic:spPr bwMode="auto">
                    <a:xfrm>
                      <a:off x="0" y="0"/>
                      <a:ext cx="1851025"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-3860165</wp:posOffset>
            </wp:positionV>
            <wp:extent cx="1851025" cy="63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6">
                      <a:extLst>
                        <a:ext uri="{28A0092B-C50C-407E-A947-70E740481C1C}"/>
                      </a:extLst>
                    </a:blip>
                    <a:srcRect/>
                    <a:stretch>
                      <a:fillRect/>
                    </a:stretch>
                  </pic:blipFill>
                  <pic:spPr bwMode="auto">
                    <a:xfrm>
                      <a:off x="0" y="0"/>
                      <a:ext cx="1851025"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-3654425</wp:posOffset>
            </wp:positionV>
            <wp:extent cx="1851025" cy="63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7">
                      <a:extLst>
                        <a:ext uri="{28A0092B-C50C-407E-A947-70E740481C1C}"/>
                      </a:extLst>
                    </a:blip>
                    <a:srcRect/>
                    <a:stretch>
                      <a:fillRect/>
                    </a:stretch>
                  </pic:blipFill>
                  <pic:spPr bwMode="auto">
                    <a:xfrm>
                      <a:off x="0" y="0"/>
                      <a:ext cx="1851025"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-3466465</wp:posOffset>
            </wp:positionV>
            <wp:extent cx="1851025" cy="63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8">
                      <a:extLst>
                        <a:ext uri="{28A0092B-C50C-407E-A947-70E740481C1C}"/>
                      </a:extLst>
                    </a:blip>
                    <a:srcRect/>
                    <a:stretch>
                      <a:fillRect/>
                    </a:stretch>
                  </pic:blipFill>
                  <pic:spPr bwMode="auto">
                    <a:xfrm>
                      <a:off x="0" y="0"/>
                      <a:ext cx="1851025"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-3260090</wp:posOffset>
            </wp:positionV>
            <wp:extent cx="1851025" cy="63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9">
                      <a:extLst>
                        <a:ext uri="{28A0092B-C50C-407E-A947-70E740481C1C}"/>
                      </a:extLst>
                    </a:blip>
                    <a:srcRect/>
                    <a:stretch>
                      <a:fillRect/>
                    </a:stretch>
                  </pic:blipFill>
                  <pic:spPr bwMode="auto">
                    <a:xfrm>
                      <a:off x="0" y="0"/>
                      <a:ext cx="1851025"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-2309495</wp:posOffset>
            </wp:positionV>
            <wp:extent cx="1851025" cy="63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0">
                      <a:extLst>
                        <a:ext uri="{28A0092B-C50C-407E-A947-70E740481C1C}"/>
                      </a:extLst>
                    </a:blip>
                    <a:srcRect/>
                    <a:stretch>
                      <a:fillRect/>
                    </a:stretch>
                  </pic:blipFill>
                  <pic:spPr bwMode="auto">
                    <a:xfrm>
                      <a:off x="0" y="0"/>
                      <a:ext cx="1851025"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-2103755</wp:posOffset>
            </wp:positionV>
            <wp:extent cx="1851025" cy="635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1">
                      <a:extLst>
                        <a:ext uri="{28A0092B-C50C-407E-A947-70E740481C1C}"/>
                      </a:extLst>
                    </a:blip>
                    <a:srcRect/>
                    <a:stretch>
                      <a:fillRect/>
                    </a:stretch>
                  </pic:blipFill>
                  <pic:spPr bwMode="auto">
                    <a:xfrm>
                      <a:off x="0" y="0"/>
                      <a:ext cx="1851025"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-1534160</wp:posOffset>
            </wp:positionV>
            <wp:extent cx="1851025" cy="63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2">
                      <a:extLst>
                        <a:ext uri="{28A0092B-C50C-407E-A947-70E740481C1C}"/>
                      </a:extLst>
                    </a:blip>
                    <a:srcRect/>
                    <a:stretch>
                      <a:fillRect/>
                    </a:stretch>
                  </pic:blipFill>
                  <pic:spPr bwMode="auto">
                    <a:xfrm>
                      <a:off x="0" y="0"/>
                      <a:ext cx="1851025"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-1328420</wp:posOffset>
            </wp:positionV>
            <wp:extent cx="1851025" cy="63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3">
                      <a:extLst>
                        <a:ext uri="{28A0092B-C50C-407E-A947-70E740481C1C}"/>
                      </a:extLst>
                    </a:blip>
                    <a:srcRect/>
                    <a:stretch>
                      <a:fillRect/>
                    </a:stretch>
                  </pic:blipFill>
                  <pic:spPr bwMode="auto">
                    <a:xfrm>
                      <a:off x="0" y="0"/>
                      <a:ext cx="1851025"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1851025" cy="635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4">
                      <a:extLst>
                        <a:ext uri="{28A0092B-C50C-407E-A947-70E740481C1C}"/>
                      </a:extLst>
                    </a:blip>
                    <a:srcRect/>
                    <a:stretch>
                      <a:fillRect/>
                    </a:stretch>
                  </pic:blipFill>
                  <pic:spPr bwMode="auto">
                    <a:xfrm>
                      <a:off x="0" y="0"/>
                      <a:ext cx="1851025" cy="63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7520" w:space="40"/>
            <w:col w:w="2900"/>
          </w:cols>
          <w:pgMar w:left="1440" w:top="1440" w:right="6" w:bottom="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10 / 16</w:t>
      </w:r>
    </w:p>
    <w:p>
      <w:pPr>
        <w:sectPr>
          <w:pgSz w:w="11900" w:h="16838" w:orient="portrait"/>
          <w:cols w:equalWidth="0" w:num="1">
            <w:col w:w="10460"/>
          </w:cols>
          <w:pgMar w:left="1440" w:top="1440" w:right="6" w:bottom="0" w:gutter="0" w:footer="0" w:header="0"/>
          <w:type w:val="continuous"/>
        </w:sectPr>
      </w:pPr>
    </w:p>
    <w:bookmarkStart w:id="378" w:name="page379"/>
    <w:bookmarkEnd w:id="378"/>
    <w:tbl>
      <w:tblPr>
        <w:tblLayout w:type="fixed"/>
        <w:tblInd w:w="900" w:type="dxa"/>
        <w:tblCellMar>
          <w:top w:w="0" w:type="dxa"/>
          <w:left w:w="0" w:type="dxa"/>
          <w:bottom w:w="0" w:type="dxa"/>
          <w:right w:w="0" w:type="dxa"/>
        </w:tblCellMar>
      </w:tblPr>
      <w:tr>
        <w:trPr>
          <w:trHeight w:val="278"/>
        </w:trPr>
        <w:tc>
          <w:tcPr>
            <w:tcW w:w="6660" w:type="dxa"/>
            <w:vAlign w:val="bottom"/>
          </w:tcPr>
          <w:p>
            <w:pPr>
              <w:spacing w:after="0"/>
              <w:rPr>
                <w:sz w:val="20"/>
                <w:szCs w:val="20"/>
                <w:color w:val="auto"/>
              </w:rPr>
            </w:pPr>
            <w:r>
              <w:rPr>
                <w:rFonts w:ascii="Arial" w:cs="Arial" w:eastAsia="Arial" w:hAnsi="Arial"/>
                <w:sz w:val="18"/>
                <w:szCs w:val="18"/>
                <w:color w:val="auto"/>
              </w:rPr>
              <w:t>(Loss)/income per share - basic</w:t>
            </w:r>
          </w:p>
        </w:tc>
        <w:tc>
          <w:tcPr>
            <w:tcW w:w="11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(0.47)</w:t>
            </w:r>
          </w:p>
        </w:tc>
        <w:tc>
          <w:tcPr>
            <w:tcW w:w="110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314"/>
        </w:trPr>
        <w:tc>
          <w:tcPr>
            <w:tcW w:w="6660" w:type="dxa"/>
            <w:vAlign w:val="bottom"/>
          </w:tcPr>
          <w:p>
            <w:pPr>
              <w:spacing w:after="0"/>
              <w:rPr>
                <w:sz w:val="20"/>
                <w:szCs w:val="20"/>
                <w:color w:val="auto"/>
              </w:rPr>
            </w:pPr>
            <w:r>
              <w:rPr>
                <w:rFonts w:ascii="Arial" w:cs="Arial" w:eastAsia="Arial" w:hAnsi="Arial"/>
                <w:sz w:val="18"/>
                <w:szCs w:val="18"/>
                <w:color w:val="auto"/>
              </w:rPr>
              <w:t>(Loss)/income per share - diluted</w:t>
            </w:r>
          </w:p>
        </w:tc>
        <w:tc>
          <w:tcPr>
            <w:tcW w:w="11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(0.47)</w:t>
            </w:r>
          </w:p>
        </w:tc>
        <w:tc>
          <w:tcPr>
            <w:tcW w:w="110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96"/>
        </w:trPr>
        <w:tc>
          <w:tcPr>
            <w:tcW w:w="6660" w:type="dxa"/>
            <w:vAlign w:val="bottom"/>
          </w:tcPr>
          <w:p>
            <w:pPr>
              <w:spacing w:after="0"/>
              <w:rPr>
                <w:sz w:val="20"/>
                <w:szCs w:val="20"/>
                <w:color w:val="auto"/>
              </w:rPr>
            </w:pPr>
            <w:r>
              <w:rPr>
                <w:rFonts w:ascii="Arial" w:cs="Arial" w:eastAsia="Arial" w:hAnsi="Arial"/>
                <w:sz w:val="18"/>
                <w:szCs w:val="18"/>
                <w:b w:val="1"/>
                <w:bCs w:val="1"/>
                <w:color w:val="auto"/>
              </w:rPr>
              <w:t>BASIC AND DILUTED INCOME PER SHARE FROM DISCONTINUED</w:t>
            </w:r>
          </w:p>
        </w:tc>
        <w:tc>
          <w:tcPr>
            <w:tcW w:w="1120" w:type="dxa"/>
            <w:vAlign w:val="bottom"/>
            <w:shd w:val="clear" w:color="auto" w:fill="D9D9D9"/>
          </w:tcPr>
          <w:p>
            <w:pPr>
              <w:spacing w:after="0"/>
              <w:rPr>
                <w:sz w:val="24"/>
                <w:szCs w:val="24"/>
                <w:color w:val="auto"/>
              </w:rPr>
            </w:pPr>
          </w:p>
        </w:tc>
        <w:tc>
          <w:tcPr>
            <w:tcW w:w="1100" w:type="dxa"/>
            <w:vAlign w:val="bottom"/>
          </w:tcPr>
          <w:p>
            <w:pPr>
              <w:spacing w:after="0"/>
              <w:rPr>
                <w:sz w:val="24"/>
                <w:szCs w:val="24"/>
                <w:color w:val="auto"/>
              </w:rPr>
            </w:pPr>
          </w:p>
        </w:tc>
      </w:tr>
      <w:tr>
        <w:trPr>
          <w:trHeight w:val="272"/>
        </w:trPr>
        <w:tc>
          <w:tcPr>
            <w:tcW w:w="6660" w:type="dxa"/>
            <w:vAlign w:val="bottom"/>
          </w:tcPr>
          <w:p>
            <w:pPr>
              <w:spacing w:after="0"/>
              <w:rPr>
                <w:sz w:val="20"/>
                <w:szCs w:val="20"/>
                <w:color w:val="auto"/>
              </w:rPr>
            </w:pPr>
            <w:r>
              <w:rPr>
                <w:rFonts w:ascii="Arial" w:cs="Arial" w:eastAsia="Arial" w:hAnsi="Arial"/>
                <w:sz w:val="18"/>
                <w:szCs w:val="18"/>
                <w:b w:val="1"/>
                <w:bCs w:val="1"/>
                <w:color w:val="auto"/>
              </w:rPr>
              <w:t>OPERATIONS</w:t>
            </w:r>
          </w:p>
        </w:tc>
        <w:tc>
          <w:tcPr>
            <w:tcW w:w="1120" w:type="dxa"/>
            <w:vAlign w:val="bottom"/>
            <w:shd w:val="clear" w:color="auto" w:fill="D9D9D9"/>
          </w:tcPr>
          <w:p>
            <w:pPr>
              <w:spacing w:after="0"/>
              <w:rPr>
                <w:sz w:val="23"/>
                <w:szCs w:val="23"/>
                <w:color w:val="auto"/>
              </w:rPr>
            </w:pPr>
          </w:p>
        </w:tc>
        <w:tc>
          <w:tcPr>
            <w:tcW w:w="1100" w:type="dxa"/>
            <w:vAlign w:val="bottom"/>
          </w:tcPr>
          <w:p>
            <w:pPr>
              <w:spacing w:after="0"/>
              <w:rPr>
                <w:sz w:val="23"/>
                <w:szCs w:val="23"/>
                <w:color w:val="auto"/>
              </w:rPr>
            </w:pPr>
          </w:p>
        </w:tc>
      </w:tr>
      <w:tr>
        <w:trPr>
          <w:trHeight w:val="314"/>
        </w:trPr>
        <w:tc>
          <w:tcPr>
            <w:tcW w:w="6660" w:type="dxa"/>
            <w:vAlign w:val="bottom"/>
          </w:tcPr>
          <w:p>
            <w:pPr>
              <w:spacing w:after="0"/>
              <w:rPr>
                <w:sz w:val="20"/>
                <w:szCs w:val="20"/>
                <w:color w:val="auto"/>
              </w:rPr>
            </w:pPr>
            <w:r>
              <w:rPr>
                <w:rFonts w:ascii="Arial" w:cs="Arial" w:eastAsia="Arial" w:hAnsi="Arial"/>
                <w:sz w:val="18"/>
                <w:szCs w:val="18"/>
                <w:color w:val="auto"/>
              </w:rPr>
              <w:t>Income per share - basic</w:t>
            </w:r>
          </w:p>
        </w:tc>
        <w:tc>
          <w:tcPr>
            <w:tcW w:w="112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4"/>
        </w:trPr>
        <w:tc>
          <w:tcPr>
            <w:tcW w:w="6660" w:type="dxa"/>
            <w:vAlign w:val="bottom"/>
          </w:tcPr>
          <w:p>
            <w:pPr>
              <w:spacing w:after="0"/>
              <w:rPr>
                <w:sz w:val="20"/>
                <w:szCs w:val="20"/>
                <w:color w:val="auto"/>
              </w:rPr>
            </w:pPr>
            <w:r>
              <w:rPr>
                <w:rFonts w:ascii="Arial" w:cs="Arial" w:eastAsia="Arial" w:hAnsi="Arial"/>
                <w:sz w:val="18"/>
                <w:szCs w:val="18"/>
                <w:color w:val="auto"/>
              </w:rPr>
              <w:t>Income per share - diluted</w:t>
            </w:r>
          </w:p>
        </w:tc>
        <w:tc>
          <w:tcPr>
            <w:tcW w:w="112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6"/>
        </w:trPr>
        <w:tc>
          <w:tcPr>
            <w:tcW w:w="6660" w:type="dxa"/>
            <w:vAlign w:val="bottom"/>
          </w:tcPr>
          <w:p>
            <w:pPr>
              <w:spacing w:after="0"/>
              <w:rPr>
                <w:sz w:val="4"/>
                <w:szCs w:val="4"/>
                <w:color w:val="auto"/>
              </w:rPr>
            </w:pPr>
          </w:p>
        </w:tc>
        <w:tc>
          <w:tcPr>
            <w:tcW w:w="1120" w:type="dxa"/>
            <w:vAlign w:val="bottom"/>
            <w:shd w:val="clear" w:color="auto" w:fill="D9D9D9"/>
          </w:tcPr>
          <w:p>
            <w:pPr>
              <w:spacing w:after="0"/>
              <w:rPr>
                <w:sz w:val="4"/>
                <w:szCs w:val="4"/>
                <w:color w:val="auto"/>
              </w:rPr>
            </w:pPr>
          </w:p>
        </w:tc>
        <w:tc>
          <w:tcPr>
            <w:tcW w:w="110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-765810</wp:posOffset>
            </wp:positionV>
            <wp:extent cx="6078220" cy="63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5">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-5715</wp:posOffset>
            </wp:positionV>
            <wp:extent cx="6078220" cy="635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6">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ectPr>
          <w:pgSz w:w="11900" w:h="16838" w:orient="portrait"/>
          <w:cols w:equalWidth="0" w:num="1">
            <w:col w:w="10460"/>
          </w:cols>
          <w:pgMar w:left="1440" w:top="1133" w:right="6" w:bottom="0" w:gutter="0" w:footer="0" w:header="0"/>
        </w:sectPr>
      </w:pPr>
    </w:p>
    <w:p>
      <w:pPr>
        <w:spacing w:after="0" w:line="49"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BASIC AND DILUTED (LOSS)/INCOME PER SHARE TOTAL</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(Loss)/income per share - basic</w:t>
      </w:r>
    </w:p>
    <w:p>
      <w:pPr>
        <w:spacing w:after="0" w:line="10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(Loss)/income per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22860</wp:posOffset>
            </wp:positionV>
            <wp:extent cx="3941445" cy="63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7">
                      <a:extLst>
                        <a:ext uri="{28A0092B-C50C-407E-A947-70E740481C1C}"/>
                      </a:extLst>
                    </a:blip>
                    <a:srcRect/>
                    <a:stretch>
                      <a:fillRect/>
                    </a:stretch>
                  </pic:blipFill>
                  <pic:spPr bwMode="auto">
                    <a:xfrm>
                      <a:off x="0" y="0"/>
                      <a:ext cx="3941445" cy="6350"/>
                    </a:xfrm>
                    <a:prstGeom prst="rect">
                      <a:avLst/>
                    </a:prstGeom>
                    <a:noFill/>
                  </pic:spPr>
                </pic:pic>
              </a:graphicData>
            </a:graphic>
          </wp:anchor>
        </w:drawing>
      </w:r>
    </w:p>
    <w:p>
      <w:pPr>
        <w:spacing w:after="0" w:line="6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Weighted average number of common shares</w:t>
      </w:r>
    </w:p>
    <w:p>
      <w:pPr>
        <w:spacing w:after="0" w:line="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outstanding - basic total</w:t>
      </w:r>
    </w:p>
    <w:p>
      <w:pPr>
        <w:spacing w:after="0" w:line="7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Weighted average number of common shares</w:t>
      </w:r>
    </w:p>
    <w:p>
      <w:pPr>
        <w:spacing w:after="0" w:line="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outstanding - diluted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467360</wp:posOffset>
            </wp:positionV>
            <wp:extent cx="1676400" cy="1905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8">
                      <a:extLst>
                        <a:ext uri="{28A0092B-C50C-407E-A947-70E740481C1C}"/>
                      </a:extLst>
                    </a:blip>
                    <a:srcRect/>
                    <a:stretch>
                      <a:fillRect/>
                    </a:stretch>
                  </pic:blipFill>
                  <pic:spPr bwMode="auto">
                    <a:xfrm>
                      <a:off x="0" y="0"/>
                      <a:ext cx="1676400" cy="19050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22860</wp:posOffset>
            </wp:positionV>
            <wp:extent cx="3941445" cy="635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9">
                      <a:extLst>
                        <a:ext uri="{28A0092B-C50C-407E-A947-70E740481C1C}"/>
                      </a:extLst>
                    </a:blip>
                    <a:srcRect/>
                    <a:stretch>
                      <a:fillRect/>
                    </a:stretch>
                  </pic:blipFill>
                  <pic:spPr bwMode="auto">
                    <a:xfrm>
                      <a:off x="0" y="0"/>
                      <a:ext cx="394144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ind w:left="240"/>
        <w:spacing w:after="0"/>
        <w:tabs>
          <w:tab w:leader="none" w:pos="1360" w:val="left"/>
        </w:tabs>
        <w:rPr>
          <w:sz w:val="20"/>
          <w:szCs w:val="20"/>
          <w:color w:val="auto"/>
        </w:rPr>
      </w:pPr>
      <w:r>
        <w:rPr>
          <w:rFonts w:ascii="Arial" w:cs="Arial" w:eastAsia="Arial" w:hAnsi="Arial"/>
          <w:sz w:val="18"/>
          <w:szCs w:val="18"/>
          <w:color w:val="auto"/>
        </w:rPr>
        <w:t>(0.47)</w:t>
      </w:r>
      <w:r>
        <w:rPr>
          <w:sz w:val="20"/>
          <w:szCs w:val="20"/>
          <w:color w:val="auto"/>
        </w:rPr>
        <w:tab/>
      </w:r>
      <w:r>
        <w:rPr>
          <w:rFonts w:ascii="Arial" w:cs="Arial" w:eastAsia="Arial" w:hAnsi="Arial"/>
          <w:sz w:val="18"/>
          <w:szCs w:val="18"/>
          <w:color w:val="auto"/>
        </w:rPr>
        <w:t>(0.09)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-174625</wp:posOffset>
            </wp:positionV>
            <wp:extent cx="719455" cy="40576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0">
                      <a:extLst>
                        <a:ext uri="{28A0092B-C50C-407E-A947-70E740481C1C}"/>
                      </a:extLst>
                    </a:blip>
                    <a:srcRect/>
                    <a:stretch>
                      <a:fillRect/>
                    </a:stretch>
                  </pic:blipFill>
                  <pic:spPr bwMode="auto">
                    <a:xfrm>
                      <a:off x="0" y="0"/>
                      <a:ext cx="719455" cy="405765"/>
                    </a:xfrm>
                    <a:prstGeom prst="rect">
                      <a:avLst/>
                    </a:prstGeom>
                    <a:noFill/>
                  </pic:spPr>
                </pic:pic>
              </a:graphicData>
            </a:graphic>
          </wp:anchor>
        </w:drawing>
      </w:r>
    </w:p>
    <w:p>
      <w:pPr>
        <w:spacing w:after="0" w:line="87" w:lineRule="exact"/>
        <w:rPr>
          <w:sz w:val="20"/>
          <w:szCs w:val="20"/>
          <w:color w:val="auto"/>
        </w:rPr>
      </w:pPr>
    </w:p>
    <w:p>
      <w:pPr>
        <w:ind w:left="240"/>
        <w:spacing w:after="0"/>
        <w:tabs>
          <w:tab w:leader="none" w:pos="1360" w:val="left"/>
        </w:tabs>
        <w:rPr>
          <w:sz w:val="20"/>
          <w:szCs w:val="20"/>
          <w:color w:val="auto"/>
        </w:rPr>
      </w:pPr>
      <w:r>
        <w:rPr>
          <w:rFonts w:ascii="Arial" w:cs="Arial" w:eastAsia="Arial" w:hAnsi="Arial"/>
          <w:sz w:val="18"/>
          <w:szCs w:val="18"/>
          <w:color w:val="auto"/>
        </w:rPr>
        <w:t>(0.47)</w:t>
      </w:r>
      <w:r>
        <w:rPr>
          <w:sz w:val="20"/>
          <w:szCs w:val="20"/>
          <w:color w:val="auto"/>
        </w:rPr>
        <w:tab/>
      </w:r>
      <w:r>
        <w:rPr>
          <w:rFonts w:ascii="Arial" w:cs="Arial" w:eastAsia="Arial" w:hAnsi="Arial"/>
          <w:sz w:val="18"/>
          <w:szCs w:val="18"/>
          <w:color w:val="auto"/>
        </w:rPr>
        <w:t>(0.09)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24130</wp:posOffset>
            </wp:positionV>
            <wp:extent cx="2136140" cy="36068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1">
                      <a:extLst>
                        <a:ext uri="{28A0092B-C50C-407E-A947-70E740481C1C}"/>
                      </a:extLst>
                    </a:blip>
                    <a:srcRect/>
                    <a:stretch>
                      <a:fillRect/>
                    </a:stretch>
                  </pic:blipFill>
                  <pic:spPr bwMode="auto">
                    <a:xfrm>
                      <a:off x="0" y="0"/>
                      <a:ext cx="2136140" cy="36068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24130</wp:posOffset>
            </wp:positionV>
            <wp:extent cx="2136140" cy="36068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2">
                      <a:extLst>
                        <a:ext uri="{28A0092B-C50C-407E-A947-70E740481C1C}"/>
                      </a:extLst>
                    </a:blip>
                    <a:srcRect/>
                    <a:stretch>
                      <a:fillRect/>
                    </a:stretch>
                  </pic:blipFill>
                  <pic:spPr bwMode="auto">
                    <a:xfrm>
                      <a:off x="0" y="0"/>
                      <a:ext cx="2136140" cy="360680"/>
                    </a:xfrm>
                    <a:prstGeom prst="rect">
                      <a:avLst/>
                    </a:prstGeom>
                    <a:noFill/>
                  </pic:spPr>
                </pic:pic>
              </a:graphicData>
            </a:graphic>
          </wp:anchor>
        </w:drawing>
      </w:r>
    </w:p>
    <w:p>
      <w:pPr>
        <w:spacing w:after="0" w:line="335" w:lineRule="exact"/>
        <w:rPr>
          <w:sz w:val="20"/>
          <w:szCs w:val="20"/>
          <w:color w:val="auto"/>
        </w:rPr>
      </w:pPr>
    </w:p>
    <w:p>
      <w:pPr>
        <w:spacing w:after="0"/>
        <w:tabs>
          <w:tab w:leader="none" w:pos="1120" w:val="left"/>
          <w:tab w:leader="none" w:pos="2260" w:val="left"/>
        </w:tabs>
        <w:rPr>
          <w:sz w:val="20"/>
          <w:szCs w:val="20"/>
          <w:color w:val="auto"/>
        </w:rPr>
      </w:pPr>
      <w:r>
        <w:rPr>
          <w:rFonts w:ascii="Arial" w:cs="Arial" w:eastAsia="Arial" w:hAnsi="Arial"/>
          <w:sz w:val="18"/>
          <w:szCs w:val="18"/>
          <w:color w:val="auto"/>
        </w:rPr>
        <w:t>162,172</w:t>
      </w:r>
      <w:r>
        <w:rPr>
          <w:sz w:val="20"/>
          <w:szCs w:val="20"/>
          <w:color w:val="auto"/>
        </w:rPr>
        <w:tab/>
      </w:r>
      <w:r>
        <w:rPr>
          <w:rFonts w:ascii="Arial" w:cs="Arial" w:eastAsia="Arial" w:hAnsi="Arial"/>
          <w:sz w:val="18"/>
          <w:szCs w:val="18"/>
          <w:color w:val="auto"/>
        </w:rPr>
        <w:t>161,338</w:t>
      </w:r>
      <w:r>
        <w:rPr>
          <w:sz w:val="20"/>
          <w:szCs w:val="20"/>
          <w:color w:val="auto"/>
        </w:rPr>
        <w:tab/>
      </w: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28575</wp:posOffset>
            </wp:positionV>
            <wp:extent cx="64135" cy="36068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3">
                      <a:extLst>
                        <a:ext uri="{28A0092B-C50C-407E-A947-70E740481C1C}"/>
                      </a:extLst>
                    </a:blip>
                    <a:srcRect/>
                    <a:stretch>
                      <a:fillRect/>
                    </a:stretch>
                  </pic:blipFill>
                  <pic:spPr bwMode="auto">
                    <a:xfrm>
                      <a:off x="0" y="0"/>
                      <a:ext cx="64135" cy="360680"/>
                    </a:xfrm>
                    <a:prstGeom prst="rect">
                      <a:avLst/>
                    </a:prstGeom>
                    <a:noFill/>
                  </pic:spPr>
                </pic:pic>
              </a:graphicData>
            </a:graphic>
          </wp:anchor>
        </w:drawing>
        <w:drawing>
          <wp:anchor simplePos="0" relativeHeight="251657728" behindDoc="1" locked="0" layoutInCell="0" allowOverlap="1">
            <wp:simplePos x="0" y="0"/>
            <wp:positionH relativeFrom="column">
              <wp:posOffset>421005</wp:posOffset>
            </wp:positionH>
            <wp:positionV relativeFrom="paragraph">
              <wp:posOffset>28575</wp:posOffset>
            </wp:positionV>
            <wp:extent cx="64135" cy="36068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4">
                      <a:extLst>
                        <a:ext uri="{28A0092B-C50C-407E-A947-70E740481C1C}"/>
                      </a:extLst>
                    </a:blip>
                    <a:srcRect/>
                    <a:stretch>
                      <a:fillRect/>
                    </a:stretch>
                  </pic:blipFill>
                  <pic:spPr bwMode="auto">
                    <a:xfrm>
                      <a:off x="0" y="0"/>
                      <a:ext cx="64135" cy="360680"/>
                    </a:xfrm>
                    <a:prstGeom prst="rect">
                      <a:avLst/>
                    </a:prstGeom>
                    <a:noFill/>
                  </pic:spPr>
                </pic:pic>
              </a:graphicData>
            </a:graphic>
          </wp:anchor>
        </w:drawing>
      </w:r>
    </w:p>
    <w:p>
      <w:pPr>
        <w:spacing w:after="0" w:line="331" w:lineRule="exact"/>
        <w:rPr>
          <w:sz w:val="20"/>
          <w:szCs w:val="20"/>
          <w:color w:val="auto"/>
        </w:rPr>
      </w:pPr>
    </w:p>
    <w:p>
      <w:pPr>
        <w:spacing w:after="0"/>
        <w:tabs>
          <w:tab w:leader="none" w:pos="1120" w:val="left"/>
          <w:tab w:leader="none" w:pos="2260" w:val="left"/>
        </w:tabs>
        <w:rPr>
          <w:sz w:val="20"/>
          <w:szCs w:val="20"/>
          <w:color w:val="auto"/>
        </w:rPr>
      </w:pPr>
      <w:r>
        <w:rPr>
          <w:rFonts w:ascii="Arial" w:cs="Arial" w:eastAsia="Arial" w:hAnsi="Arial"/>
          <w:sz w:val="18"/>
          <w:szCs w:val="18"/>
          <w:color w:val="auto"/>
        </w:rPr>
        <w:t>162,172</w:t>
      </w:r>
      <w:r>
        <w:rPr>
          <w:sz w:val="20"/>
          <w:szCs w:val="20"/>
          <w:color w:val="auto"/>
        </w:rPr>
        <w:tab/>
      </w:r>
      <w:r>
        <w:rPr>
          <w:rFonts w:ascii="Arial" w:cs="Arial" w:eastAsia="Arial" w:hAnsi="Arial"/>
          <w:sz w:val="18"/>
          <w:szCs w:val="18"/>
          <w:color w:val="auto"/>
        </w:rPr>
        <w:t>161,338</w:t>
      </w:r>
      <w:r>
        <w:rPr>
          <w:sz w:val="20"/>
          <w:szCs w:val="20"/>
          <w:color w:val="auto"/>
        </w:rPr>
        <w:tab/>
      </w:r>
      <w:r>
        <w:rPr>
          <w:rFonts w:ascii="Arial" w:cs="Arial" w:eastAsia="Arial" w:hAnsi="Arial"/>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28575</wp:posOffset>
            </wp:positionV>
            <wp:extent cx="2136140" cy="635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5">
                      <a:extLst>
                        <a:ext uri="{28A0092B-C50C-407E-A947-70E740481C1C}"/>
                      </a:extLst>
                    </a:blip>
                    <a:srcRect/>
                    <a:stretch>
                      <a:fillRect/>
                    </a:stretch>
                  </pic:blipFill>
                  <pic:spPr bwMode="auto">
                    <a:xfrm>
                      <a:off x="0" y="0"/>
                      <a:ext cx="2136140" cy="635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28575</wp:posOffset>
            </wp:positionV>
            <wp:extent cx="2136140" cy="635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6">
                      <a:extLst>
                        <a:ext uri="{28A0092B-C50C-407E-A947-70E740481C1C}"/>
                      </a:extLst>
                    </a:blip>
                    <a:srcRect/>
                    <a:stretch>
                      <a:fillRect/>
                    </a:stretch>
                  </pic:blipFill>
                  <pic:spPr bwMode="auto">
                    <a:xfrm>
                      <a:off x="0" y="0"/>
                      <a:ext cx="2136140" cy="635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7200" w:space="720"/>
            <w:col w:w="2540"/>
          </w:cols>
          <w:pgMar w:left="1440" w:top="1133"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979170</wp:posOffset>
            </wp:positionV>
            <wp:extent cx="6764020" cy="1905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33"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11 / 16</w:t>
      </w:r>
    </w:p>
    <w:p>
      <w:pPr>
        <w:sectPr>
          <w:pgSz w:w="11900" w:h="16838" w:orient="portrait"/>
          <w:cols w:equalWidth="0" w:num="1">
            <w:col w:w="10460"/>
          </w:cols>
          <w:pgMar w:left="1440" w:top="1133" w:right="6" w:bottom="0" w:gutter="0" w:footer="0" w:header="0"/>
          <w:type w:val="continuous"/>
        </w:sectPr>
      </w:pPr>
    </w:p>
    <w:bookmarkStart w:id="379" w:name="page380"/>
    <w:bookmarkEnd w:id="3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CONSOLIDATED STATEMENTS OF CHANGES IN EQUITY</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(Expressed in thousands of US dollars, shares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236220</wp:posOffset>
            </wp:positionV>
            <wp:extent cx="6078220" cy="2857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8">
                      <a:extLst>
                        <a:ext uri="{28A0092B-C50C-407E-A947-70E740481C1C}"/>
                      </a:extLst>
                    </a:blip>
                    <a:srcRect/>
                    <a:stretch>
                      <a:fillRect/>
                    </a:stretch>
                  </pic:blipFill>
                  <pic:spPr bwMode="auto">
                    <a:xfrm>
                      <a:off x="0" y="0"/>
                      <a:ext cx="6078220" cy="2857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Share capital</w:t>
            </w: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96"/>
        </w:trPr>
        <w:tc>
          <w:tcPr>
            <w:tcW w:w="2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jc w:val="right"/>
              <w:ind w:right="200"/>
              <w:spacing w:after="0"/>
              <w:rPr>
                <w:sz w:val="20"/>
                <w:szCs w:val="20"/>
                <w:color w:val="auto"/>
              </w:rPr>
            </w:pPr>
            <w:r>
              <w:rPr>
                <w:rFonts w:ascii="Arial" w:cs="Arial" w:eastAsia="Arial" w:hAnsi="Arial"/>
                <w:sz w:val="12"/>
                <w:szCs w:val="12"/>
                <w:b w:val="1"/>
                <w:bCs w:val="1"/>
                <w:color w:val="auto"/>
              </w:rPr>
              <w:t>Accumulated</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81"/>
        </w:trPr>
        <w:tc>
          <w:tcPr>
            <w:tcW w:w="2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jc w:val="right"/>
              <w:ind w:right="200"/>
              <w:spacing w:after="0"/>
              <w:rPr>
                <w:sz w:val="20"/>
                <w:szCs w:val="20"/>
                <w:color w:val="auto"/>
              </w:rPr>
            </w:pPr>
            <w:r>
              <w:rPr>
                <w:rFonts w:ascii="Arial" w:cs="Arial" w:eastAsia="Arial" w:hAnsi="Arial"/>
                <w:sz w:val="12"/>
                <w:szCs w:val="12"/>
                <w:b w:val="1"/>
                <w:bCs w:val="1"/>
                <w:color w:val="auto"/>
              </w:rPr>
              <w:t>other</w:t>
            </w: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b w:val="1"/>
                <w:bCs w:val="1"/>
                <w:color w:val="auto"/>
              </w:rPr>
              <w:t>Non-</w:t>
            </w:r>
          </w:p>
        </w:tc>
        <w:tc>
          <w:tcPr>
            <w:tcW w:w="340" w:type="dxa"/>
            <w:vAlign w:val="bottom"/>
          </w:tcPr>
          <w:p>
            <w:pPr>
              <w:spacing w:after="0"/>
              <w:rPr>
                <w:sz w:val="15"/>
                <w:szCs w:val="15"/>
                <w:color w:val="auto"/>
              </w:rPr>
            </w:pPr>
          </w:p>
        </w:tc>
      </w:tr>
      <w:tr>
        <w:trPr>
          <w:trHeight w:val="181"/>
        </w:trPr>
        <w:tc>
          <w:tcPr>
            <w:tcW w:w="2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b w:val="1"/>
                <w:bCs w:val="1"/>
                <w:color w:val="auto"/>
              </w:rPr>
              <w:t>Capital</w:t>
            </w:r>
          </w:p>
        </w:tc>
        <w:tc>
          <w:tcPr>
            <w:tcW w:w="1200" w:type="dxa"/>
            <w:vAlign w:val="bottom"/>
          </w:tcPr>
          <w:p>
            <w:pPr>
              <w:jc w:val="right"/>
              <w:ind w:right="200"/>
              <w:spacing w:after="0"/>
              <w:rPr>
                <w:sz w:val="20"/>
                <w:szCs w:val="20"/>
                <w:color w:val="auto"/>
              </w:rPr>
            </w:pPr>
            <w:r>
              <w:rPr>
                <w:rFonts w:ascii="Arial" w:cs="Arial" w:eastAsia="Arial" w:hAnsi="Arial"/>
                <w:sz w:val="12"/>
                <w:szCs w:val="12"/>
                <w:b w:val="1"/>
                <w:bCs w:val="1"/>
                <w:color w:val="auto"/>
              </w:rPr>
              <w:t>comprehensive</w:t>
            </w:r>
          </w:p>
        </w:tc>
        <w:tc>
          <w:tcPr>
            <w:tcW w:w="800" w:type="dxa"/>
            <w:vAlign w:val="bottom"/>
          </w:tcPr>
          <w:p>
            <w:pPr>
              <w:spacing w:after="0"/>
              <w:rPr>
                <w:sz w:val="15"/>
                <w:szCs w:val="15"/>
                <w:color w:val="auto"/>
              </w:rPr>
            </w:pPr>
          </w:p>
        </w:tc>
        <w:tc>
          <w:tcPr>
            <w:tcW w:w="1060" w:type="dxa"/>
            <w:vAlign w:val="bottom"/>
          </w:tcPr>
          <w:p>
            <w:pPr>
              <w:jc w:val="right"/>
              <w:ind w:right="80"/>
              <w:spacing w:after="0"/>
              <w:rPr>
                <w:sz w:val="20"/>
                <w:szCs w:val="20"/>
                <w:color w:val="auto"/>
              </w:rPr>
            </w:pPr>
            <w:r>
              <w:rPr>
                <w:rFonts w:ascii="Arial" w:cs="Arial" w:eastAsia="Arial" w:hAnsi="Arial"/>
                <w:sz w:val="12"/>
                <w:szCs w:val="12"/>
                <w:b w:val="1"/>
                <w:bCs w:val="1"/>
                <w:color w:val="auto"/>
              </w:rPr>
              <w:t>Shareholders’</w:t>
            </w:r>
          </w:p>
        </w:tc>
        <w:tc>
          <w:tcPr>
            <w:tcW w:w="880" w:type="dxa"/>
            <w:vAlign w:val="bottom"/>
          </w:tcPr>
          <w:p>
            <w:pPr>
              <w:jc w:val="right"/>
              <w:ind w:right="100"/>
              <w:spacing w:after="0"/>
              <w:rPr>
                <w:sz w:val="20"/>
                <w:szCs w:val="20"/>
                <w:color w:val="auto"/>
              </w:rPr>
            </w:pPr>
            <w:r>
              <w:rPr>
                <w:rFonts w:ascii="Arial" w:cs="Arial" w:eastAsia="Arial" w:hAnsi="Arial"/>
                <w:sz w:val="12"/>
                <w:szCs w:val="12"/>
                <w:b w:val="1"/>
                <w:bCs w:val="1"/>
                <w:color w:val="auto"/>
              </w:rPr>
              <w:t>controlling</w:t>
            </w:r>
          </w:p>
        </w:tc>
        <w:tc>
          <w:tcPr>
            <w:tcW w:w="340" w:type="dxa"/>
            <w:vAlign w:val="bottom"/>
          </w:tcPr>
          <w:p>
            <w:pPr>
              <w:spacing w:after="0"/>
              <w:rPr>
                <w:sz w:val="15"/>
                <w:szCs w:val="15"/>
                <w:color w:val="auto"/>
              </w:rPr>
            </w:pPr>
          </w:p>
        </w:tc>
      </w:tr>
      <w:tr>
        <w:trPr>
          <w:trHeight w:val="181"/>
        </w:trPr>
        <w:tc>
          <w:tcPr>
            <w:tcW w:w="2920" w:type="dxa"/>
            <w:vAlign w:val="bottom"/>
          </w:tcPr>
          <w:p>
            <w:pPr>
              <w:spacing w:after="0"/>
              <w:rPr>
                <w:sz w:val="15"/>
                <w:szCs w:val="15"/>
                <w:color w:val="auto"/>
              </w:rPr>
            </w:pPr>
          </w:p>
        </w:tc>
        <w:tc>
          <w:tcPr>
            <w:tcW w:w="760" w:type="dxa"/>
            <w:vAlign w:val="bottom"/>
          </w:tcPr>
          <w:p>
            <w:pPr>
              <w:jc w:val="right"/>
              <w:ind w:right="80"/>
              <w:spacing w:after="0"/>
              <w:rPr>
                <w:sz w:val="20"/>
                <w:szCs w:val="20"/>
                <w:color w:val="auto"/>
              </w:rPr>
            </w:pPr>
            <w:r>
              <w:rPr>
                <w:rFonts w:ascii="Arial" w:cs="Arial" w:eastAsia="Arial" w:hAnsi="Arial"/>
                <w:sz w:val="12"/>
                <w:szCs w:val="12"/>
                <w:b w:val="1"/>
                <w:bCs w:val="1"/>
                <w:color w:val="auto"/>
              </w:rPr>
              <w:t>Number</w:t>
            </w:r>
          </w:p>
        </w:tc>
        <w:tc>
          <w:tcPr>
            <w:tcW w:w="780" w:type="dxa"/>
            <w:vAlign w:val="bottom"/>
          </w:tcPr>
          <w:p>
            <w:pPr>
              <w:jc w:val="right"/>
              <w:ind w:right="120"/>
              <w:spacing w:after="0"/>
              <w:rPr>
                <w:sz w:val="20"/>
                <w:szCs w:val="20"/>
                <w:color w:val="auto"/>
              </w:rPr>
            </w:pPr>
            <w:r>
              <w:rPr>
                <w:rFonts w:ascii="Arial" w:cs="Arial" w:eastAsia="Arial" w:hAnsi="Arial"/>
                <w:sz w:val="12"/>
                <w:szCs w:val="12"/>
                <w:b w:val="1"/>
                <w:bCs w:val="1"/>
                <w:color w:val="auto"/>
              </w:rPr>
              <w:t>Amount</w:t>
            </w:r>
          </w:p>
        </w:tc>
        <w:tc>
          <w:tcPr>
            <w:tcW w:w="820" w:type="dxa"/>
            <w:vAlign w:val="bottom"/>
          </w:tcPr>
          <w:p>
            <w:pPr>
              <w:jc w:val="right"/>
              <w:ind w:right="60"/>
              <w:spacing w:after="0"/>
              <w:rPr>
                <w:sz w:val="20"/>
                <w:szCs w:val="20"/>
                <w:color w:val="auto"/>
              </w:rPr>
            </w:pPr>
            <w:r>
              <w:rPr>
                <w:rFonts w:ascii="Arial" w:cs="Arial" w:eastAsia="Arial" w:hAnsi="Arial"/>
                <w:sz w:val="12"/>
                <w:szCs w:val="12"/>
                <w:b w:val="1"/>
                <w:bCs w:val="1"/>
                <w:color w:val="auto"/>
              </w:rPr>
              <w:t>Reserve</w:t>
            </w:r>
          </w:p>
        </w:tc>
        <w:tc>
          <w:tcPr>
            <w:tcW w:w="1200" w:type="dxa"/>
            <w:vAlign w:val="bottom"/>
          </w:tcPr>
          <w:p>
            <w:pPr>
              <w:jc w:val="right"/>
              <w:ind w:right="160"/>
              <w:spacing w:after="0"/>
              <w:rPr>
                <w:sz w:val="20"/>
                <w:szCs w:val="20"/>
                <w:color w:val="auto"/>
              </w:rPr>
            </w:pPr>
            <w:r>
              <w:rPr>
                <w:rFonts w:ascii="Arial" w:cs="Arial" w:eastAsia="Arial" w:hAnsi="Arial"/>
                <w:sz w:val="12"/>
                <w:szCs w:val="12"/>
                <w:b w:val="1"/>
                <w:bCs w:val="1"/>
                <w:color w:val="auto"/>
              </w:rPr>
              <w:t>loss</w:t>
            </w:r>
          </w:p>
        </w:tc>
        <w:tc>
          <w:tcPr>
            <w:tcW w:w="800" w:type="dxa"/>
            <w:vAlign w:val="bottom"/>
          </w:tcPr>
          <w:p>
            <w:pPr>
              <w:jc w:val="right"/>
              <w:ind w:right="101"/>
              <w:spacing w:after="0"/>
              <w:rPr>
                <w:sz w:val="20"/>
                <w:szCs w:val="20"/>
                <w:color w:val="auto"/>
              </w:rPr>
            </w:pPr>
            <w:r>
              <w:rPr>
                <w:rFonts w:ascii="Arial" w:cs="Arial" w:eastAsia="Arial" w:hAnsi="Arial"/>
                <w:sz w:val="12"/>
                <w:szCs w:val="12"/>
                <w:b w:val="1"/>
                <w:bCs w:val="1"/>
                <w:color w:val="auto"/>
              </w:rPr>
              <w:t>Deficit</w:t>
            </w:r>
          </w:p>
        </w:tc>
        <w:tc>
          <w:tcPr>
            <w:tcW w:w="1060" w:type="dxa"/>
            <w:vAlign w:val="bottom"/>
          </w:tcPr>
          <w:p>
            <w:pPr>
              <w:jc w:val="right"/>
              <w:ind w:right="80"/>
              <w:spacing w:after="0"/>
              <w:rPr>
                <w:sz w:val="20"/>
                <w:szCs w:val="20"/>
                <w:color w:val="auto"/>
              </w:rPr>
            </w:pPr>
            <w:r>
              <w:rPr>
                <w:rFonts w:ascii="Arial" w:cs="Arial" w:eastAsia="Arial" w:hAnsi="Arial"/>
                <w:sz w:val="12"/>
                <w:szCs w:val="12"/>
                <w:b w:val="1"/>
                <w:bCs w:val="1"/>
                <w:color w:val="auto"/>
              </w:rPr>
              <w:t>equity</w:t>
            </w:r>
          </w:p>
        </w:tc>
        <w:tc>
          <w:tcPr>
            <w:tcW w:w="880" w:type="dxa"/>
            <w:vAlign w:val="bottom"/>
          </w:tcPr>
          <w:p>
            <w:pPr>
              <w:jc w:val="right"/>
              <w:ind w:right="60"/>
              <w:spacing w:after="0"/>
              <w:rPr>
                <w:sz w:val="20"/>
                <w:szCs w:val="20"/>
                <w:color w:val="auto"/>
              </w:rPr>
            </w:pPr>
            <w:r>
              <w:rPr>
                <w:rFonts w:ascii="Arial" w:cs="Arial" w:eastAsia="Arial" w:hAnsi="Arial"/>
                <w:sz w:val="12"/>
                <w:szCs w:val="12"/>
                <w:b w:val="1"/>
                <w:bCs w:val="1"/>
                <w:color w:val="auto"/>
              </w:rPr>
              <w:t>interest</w:t>
            </w: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rPr>
              <w:t>Total</w:t>
            </w:r>
          </w:p>
        </w:tc>
      </w:tr>
      <w:tr>
        <w:trPr>
          <w:trHeight w:val="196"/>
        </w:trPr>
        <w:tc>
          <w:tcPr>
            <w:tcW w:w="2920" w:type="dxa"/>
            <w:vAlign w:val="bottom"/>
          </w:tcPr>
          <w:p>
            <w:pPr>
              <w:spacing w:after="0"/>
              <w:rPr>
                <w:sz w:val="17"/>
                <w:szCs w:val="17"/>
                <w:color w:val="auto"/>
              </w:rPr>
            </w:pPr>
          </w:p>
        </w:tc>
        <w:tc>
          <w:tcPr>
            <w:tcW w:w="760" w:type="dxa"/>
            <w:vAlign w:val="bottom"/>
          </w:tcPr>
          <w:p>
            <w:pPr>
              <w:jc w:val="right"/>
              <w:ind w:right="80"/>
              <w:spacing w:after="0"/>
              <w:rPr>
                <w:sz w:val="20"/>
                <w:szCs w:val="20"/>
                <w:color w:val="auto"/>
              </w:rPr>
            </w:pPr>
            <w:r>
              <w:rPr>
                <w:rFonts w:ascii="Arial" w:cs="Arial" w:eastAsia="Arial" w:hAnsi="Arial"/>
                <w:sz w:val="12"/>
                <w:szCs w:val="12"/>
                <w:b w:val="1"/>
                <w:bCs w:val="1"/>
                <w:color w:val="auto"/>
              </w:rPr>
              <w:t>of shares</w:t>
            </w:r>
          </w:p>
        </w:tc>
        <w:tc>
          <w:tcPr>
            <w:tcW w:w="780" w:type="dxa"/>
            <w:vAlign w:val="bottom"/>
          </w:tcPr>
          <w:p>
            <w:pPr>
              <w:jc w:val="right"/>
              <w:ind w:right="120"/>
              <w:spacing w:after="0"/>
              <w:rPr>
                <w:sz w:val="20"/>
                <w:szCs w:val="20"/>
                <w:color w:val="auto"/>
              </w:rPr>
            </w:pPr>
            <w:r>
              <w:rPr>
                <w:rFonts w:ascii="Arial" w:cs="Arial" w:eastAsia="Arial" w:hAnsi="Arial"/>
                <w:sz w:val="12"/>
                <w:szCs w:val="12"/>
                <w:b w:val="1"/>
                <w:bCs w:val="1"/>
                <w:color w:val="auto"/>
              </w:rPr>
              <w:t>$</w:t>
            </w:r>
          </w:p>
        </w:tc>
        <w:tc>
          <w:tcPr>
            <w:tcW w:w="820" w:type="dxa"/>
            <w:vAlign w:val="bottom"/>
          </w:tcPr>
          <w:p>
            <w:pPr>
              <w:jc w:val="right"/>
              <w:ind w:right="60"/>
              <w:spacing w:after="0"/>
              <w:rPr>
                <w:sz w:val="20"/>
                <w:szCs w:val="20"/>
                <w:color w:val="auto"/>
              </w:rPr>
            </w:pPr>
            <w:r>
              <w:rPr>
                <w:rFonts w:ascii="Arial" w:cs="Arial" w:eastAsia="Arial" w:hAnsi="Arial"/>
                <w:sz w:val="12"/>
                <w:szCs w:val="12"/>
                <w:b w:val="1"/>
                <w:bCs w:val="1"/>
                <w:color w:val="auto"/>
              </w:rPr>
              <w:t>$</w:t>
            </w:r>
          </w:p>
        </w:tc>
        <w:tc>
          <w:tcPr>
            <w:tcW w:w="1200" w:type="dxa"/>
            <w:vAlign w:val="bottom"/>
          </w:tcPr>
          <w:p>
            <w:pPr>
              <w:jc w:val="right"/>
              <w:ind w:right="160"/>
              <w:spacing w:after="0"/>
              <w:rPr>
                <w:sz w:val="20"/>
                <w:szCs w:val="20"/>
                <w:color w:val="auto"/>
              </w:rPr>
            </w:pPr>
            <w:r>
              <w:rPr>
                <w:rFonts w:ascii="Arial" w:cs="Arial" w:eastAsia="Arial" w:hAnsi="Arial"/>
                <w:sz w:val="12"/>
                <w:szCs w:val="12"/>
                <w:b w:val="1"/>
                <w:bCs w:val="1"/>
                <w:color w:val="auto"/>
              </w:rPr>
              <w:t>$</w:t>
            </w:r>
          </w:p>
        </w:tc>
        <w:tc>
          <w:tcPr>
            <w:tcW w:w="800" w:type="dxa"/>
            <w:vAlign w:val="bottom"/>
          </w:tcPr>
          <w:p>
            <w:pPr>
              <w:jc w:val="right"/>
              <w:ind w:right="101"/>
              <w:spacing w:after="0"/>
              <w:rPr>
                <w:sz w:val="20"/>
                <w:szCs w:val="20"/>
                <w:color w:val="auto"/>
              </w:rPr>
            </w:pPr>
            <w:r>
              <w:rPr>
                <w:rFonts w:ascii="Arial" w:cs="Arial" w:eastAsia="Arial" w:hAnsi="Arial"/>
                <w:sz w:val="12"/>
                <w:szCs w:val="12"/>
                <w:b w:val="1"/>
                <w:bCs w:val="1"/>
                <w:color w:val="auto"/>
              </w:rPr>
              <w:t>$</w:t>
            </w:r>
          </w:p>
        </w:tc>
        <w:tc>
          <w:tcPr>
            <w:tcW w:w="1060" w:type="dxa"/>
            <w:vAlign w:val="bottom"/>
          </w:tcPr>
          <w:p>
            <w:pPr>
              <w:jc w:val="right"/>
              <w:ind w:right="80"/>
              <w:spacing w:after="0"/>
              <w:rPr>
                <w:sz w:val="20"/>
                <w:szCs w:val="20"/>
                <w:color w:val="auto"/>
              </w:rPr>
            </w:pPr>
            <w:r>
              <w:rPr>
                <w:rFonts w:ascii="Arial" w:cs="Arial" w:eastAsia="Arial" w:hAnsi="Arial"/>
                <w:sz w:val="12"/>
                <w:szCs w:val="12"/>
                <w:b w:val="1"/>
                <w:bCs w:val="1"/>
                <w:color w:val="auto"/>
              </w:rPr>
              <w:t>$</w:t>
            </w:r>
          </w:p>
        </w:tc>
        <w:tc>
          <w:tcPr>
            <w:tcW w:w="880" w:type="dxa"/>
            <w:vAlign w:val="bottom"/>
          </w:tcPr>
          <w:p>
            <w:pPr>
              <w:jc w:val="right"/>
              <w:ind w:right="60"/>
              <w:spacing w:after="0"/>
              <w:rPr>
                <w:sz w:val="20"/>
                <w:szCs w:val="20"/>
                <w:color w:val="auto"/>
              </w:rPr>
            </w:pPr>
            <w:r>
              <w:rPr>
                <w:rFonts w:ascii="Arial" w:cs="Arial" w:eastAsia="Arial" w:hAnsi="Arial"/>
                <w:sz w:val="12"/>
                <w:szCs w:val="12"/>
                <w:b w:val="1"/>
                <w:bCs w:val="1"/>
                <w:color w:val="auto"/>
              </w:rPr>
              <w:t>$</w:t>
            </w:r>
          </w:p>
        </w:tc>
        <w:tc>
          <w:tcPr>
            <w:tcW w:w="340" w:type="dxa"/>
            <w:vAlign w:val="bottom"/>
          </w:tcPr>
          <w:p>
            <w:pPr>
              <w:spacing w:after="0"/>
              <w:rPr>
                <w:sz w:val="17"/>
                <w:szCs w:val="17"/>
                <w:color w:val="auto"/>
              </w:rPr>
            </w:pPr>
          </w:p>
        </w:tc>
      </w:tr>
      <w:tr>
        <w:trPr>
          <w:trHeight w:val="206"/>
        </w:trPr>
        <w:tc>
          <w:tcPr>
            <w:tcW w:w="2920" w:type="dxa"/>
            <w:vAlign w:val="bottom"/>
          </w:tcPr>
          <w:p>
            <w:pPr>
              <w:spacing w:after="0"/>
              <w:rPr>
                <w:sz w:val="20"/>
                <w:szCs w:val="20"/>
                <w:color w:val="auto"/>
              </w:rPr>
            </w:pPr>
            <w:r>
              <w:rPr>
                <w:rFonts w:ascii="Arial" w:cs="Arial" w:eastAsia="Arial" w:hAnsi="Arial"/>
                <w:sz w:val="12"/>
                <w:szCs w:val="12"/>
                <w:color w:val="auto"/>
              </w:rPr>
              <w:t>Authorized share capital:</w:t>
            </w: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81"/>
        </w:trPr>
        <w:tc>
          <w:tcPr>
            <w:tcW w:w="2920" w:type="dxa"/>
            <w:vAlign w:val="bottom"/>
          </w:tcPr>
          <w:p>
            <w:pPr>
              <w:spacing w:after="0"/>
              <w:rPr>
                <w:sz w:val="20"/>
                <w:szCs w:val="20"/>
                <w:color w:val="auto"/>
              </w:rPr>
            </w:pPr>
            <w:r>
              <w:rPr>
                <w:rFonts w:ascii="Arial" w:cs="Arial" w:eastAsia="Arial" w:hAnsi="Arial"/>
                <w:sz w:val="12"/>
                <w:szCs w:val="12"/>
                <w:color w:val="auto"/>
              </w:rPr>
              <w:t>Unlimited common shares without par value</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24"/>
        </w:trPr>
        <w:tc>
          <w:tcPr>
            <w:tcW w:w="2920" w:type="dxa"/>
            <w:vAlign w:val="bottom"/>
          </w:tcPr>
          <w:p>
            <w:pPr>
              <w:spacing w:after="0"/>
              <w:rPr>
                <w:sz w:val="20"/>
                <w:szCs w:val="20"/>
                <w:color w:val="auto"/>
              </w:rPr>
            </w:pPr>
            <w:r>
              <w:rPr>
                <w:rFonts w:ascii="Arial" w:cs="Arial" w:eastAsia="Arial" w:hAnsi="Arial"/>
                <w:sz w:val="12"/>
                <w:szCs w:val="12"/>
                <w:color w:val="auto"/>
              </w:rPr>
              <w:t>Balance, December 31, 2022</w:t>
            </w: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135,035</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1,350</w:t>
            </w: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1,058,361</w:t>
            </w:r>
          </w:p>
        </w:tc>
        <w:tc>
          <w:tcPr>
            <w:tcW w:w="1200" w:type="dxa"/>
            <w:vAlign w:val="bottom"/>
          </w:tcPr>
          <w:p>
            <w:pPr>
              <w:jc w:val="right"/>
              <w:ind w:right="100"/>
              <w:spacing w:after="0"/>
              <w:rPr>
                <w:sz w:val="20"/>
                <w:szCs w:val="20"/>
                <w:color w:val="auto"/>
              </w:rPr>
            </w:pPr>
            <w:r>
              <w:rPr>
                <w:rFonts w:ascii="Arial" w:cs="Arial" w:eastAsia="Arial" w:hAnsi="Arial"/>
                <w:sz w:val="12"/>
                <w:szCs w:val="12"/>
                <w:color w:val="auto"/>
              </w:rPr>
              <w:t xml:space="preserve">(3,487 </w:t>
            </w:r>
            <w:r>
              <w:rPr>
                <w:rFonts w:ascii="Arial" w:cs="Arial" w:eastAsia="Arial" w:hAnsi="Arial"/>
                <w:sz w:val="24"/>
                <w:szCs w:val="24"/>
                <w:color w:val="auto"/>
                <w:vertAlign w:val="subscript"/>
              </w:rPr>
              <w:t>)</w:t>
            </w:r>
          </w:p>
        </w:tc>
        <w:tc>
          <w:tcPr>
            <w:tcW w:w="800" w:type="dxa"/>
            <w:vAlign w:val="bottom"/>
          </w:tcPr>
          <w:p>
            <w:pPr>
              <w:jc w:val="right"/>
              <w:ind w:right="41"/>
              <w:spacing w:after="0"/>
              <w:rPr>
                <w:sz w:val="20"/>
                <w:szCs w:val="20"/>
                <w:color w:val="auto"/>
              </w:rPr>
            </w:pPr>
            <w:r>
              <w:rPr>
                <w:rFonts w:ascii="Arial" w:cs="Arial" w:eastAsia="Arial" w:hAnsi="Arial"/>
                <w:sz w:val="12"/>
                <w:szCs w:val="12"/>
                <w:color w:val="auto"/>
              </w:rPr>
              <w:t xml:space="preserve">(272,222 </w:t>
            </w:r>
            <w:r>
              <w:rPr>
                <w:rFonts w:ascii="Arial" w:cs="Arial" w:eastAsia="Arial" w:hAnsi="Arial"/>
                <w:sz w:val="24"/>
                <w:szCs w:val="24"/>
                <w:color w:val="auto"/>
                <w:vertAlign w:val="subscript"/>
              </w:rPr>
              <w:t>)</w:t>
            </w: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784,002</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206"/>
        </w:trPr>
        <w:tc>
          <w:tcPr>
            <w:tcW w:w="2920" w:type="dxa"/>
            <w:vAlign w:val="bottom"/>
          </w:tcPr>
          <w:p>
            <w:pPr>
              <w:spacing w:after="0"/>
              <w:rPr>
                <w:sz w:val="20"/>
                <w:szCs w:val="20"/>
                <w:color w:val="auto"/>
              </w:rPr>
            </w:pPr>
            <w:r>
              <w:rPr>
                <w:rFonts w:ascii="Arial" w:cs="Arial" w:eastAsia="Arial" w:hAnsi="Arial"/>
                <w:sz w:val="12"/>
                <w:szCs w:val="12"/>
                <w:color w:val="auto"/>
              </w:rPr>
              <w:t>Shares issued on conversion of RSUs, DSUs, PSUs,</w:t>
            </w: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81"/>
        </w:trPr>
        <w:tc>
          <w:tcPr>
            <w:tcW w:w="2920" w:type="dxa"/>
            <w:vAlign w:val="bottom"/>
          </w:tcPr>
          <w:p>
            <w:pPr>
              <w:spacing w:after="0"/>
              <w:rPr>
                <w:sz w:val="20"/>
                <w:szCs w:val="20"/>
                <w:color w:val="auto"/>
              </w:rPr>
            </w:pPr>
            <w:r>
              <w:rPr>
                <w:rFonts w:ascii="Arial" w:cs="Arial" w:eastAsia="Arial" w:hAnsi="Arial"/>
                <w:sz w:val="12"/>
                <w:szCs w:val="12"/>
                <w:color w:val="auto"/>
              </w:rPr>
              <w:t>and exercise of stock options</w:t>
            </w: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2,186</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22</w:t>
            </w: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150</w:t>
            </w:r>
          </w:p>
        </w:tc>
        <w:tc>
          <w:tcPr>
            <w:tcW w:w="12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172</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r>
      <w:tr>
        <w:trPr>
          <w:trHeight w:val="314"/>
        </w:trPr>
        <w:tc>
          <w:tcPr>
            <w:tcW w:w="2920" w:type="dxa"/>
            <w:vAlign w:val="bottom"/>
          </w:tcPr>
          <w:p>
            <w:pPr>
              <w:spacing w:after="0"/>
              <w:rPr>
                <w:sz w:val="20"/>
                <w:szCs w:val="20"/>
                <w:color w:val="auto"/>
              </w:rPr>
            </w:pPr>
            <w:r>
              <w:rPr>
                <w:rFonts w:ascii="Arial" w:cs="Arial" w:eastAsia="Arial" w:hAnsi="Arial"/>
                <w:sz w:val="12"/>
                <w:szCs w:val="12"/>
                <w:color w:val="auto"/>
              </w:rPr>
              <w:t>Shares issued pursuant to the GM investment</w:t>
            </w: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15,002</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150</w:t>
            </w: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286,804</w:t>
            </w:r>
          </w:p>
        </w:tc>
        <w:tc>
          <w:tcPr>
            <w:tcW w:w="12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286,954</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314"/>
        </w:trPr>
        <w:tc>
          <w:tcPr>
            <w:tcW w:w="2920" w:type="dxa"/>
            <w:vAlign w:val="bottom"/>
          </w:tcPr>
          <w:p>
            <w:pPr>
              <w:spacing w:after="0"/>
              <w:rPr>
                <w:sz w:val="20"/>
                <w:szCs w:val="20"/>
                <w:color w:val="auto"/>
              </w:rPr>
            </w:pPr>
            <w:r>
              <w:rPr>
                <w:rFonts w:ascii="Arial" w:cs="Arial" w:eastAsia="Arial" w:hAnsi="Arial"/>
                <w:sz w:val="12"/>
                <w:szCs w:val="12"/>
                <w:color w:val="auto"/>
              </w:rPr>
              <w:t>Share issuance costs</w:t>
            </w: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 xml:space="preserve">(15,217 </w:t>
            </w:r>
            <w:r>
              <w:rPr>
                <w:rFonts w:ascii="Arial" w:cs="Arial" w:eastAsia="Arial" w:hAnsi="Arial"/>
                <w:sz w:val="24"/>
                <w:szCs w:val="24"/>
                <w:color w:val="auto"/>
                <w:vertAlign w:val="subscript"/>
              </w:rPr>
              <w:t>)</w:t>
            </w:r>
          </w:p>
        </w:tc>
        <w:tc>
          <w:tcPr>
            <w:tcW w:w="12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 xml:space="preserve">(15,217 </w:t>
            </w:r>
            <w:r>
              <w:rPr>
                <w:rFonts w:ascii="Arial" w:cs="Arial" w:eastAsia="Arial" w:hAnsi="Arial"/>
                <w:sz w:val="24"/>
                <w:szCs w:val="24"/>
                <w:color w:val="auto"/>
                <w:vertAlign w:val="subscript"/>
              </w:rPr>
              <w:t>)</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4"/>
                <w:szCs w:val="24"/>
                <w:color w:val="auto"/>
              </w:rPr>
            </w:pPr>
          </w:p>
        </w:tc>
      </w:tr>
      <w:tr>
        <w:trPr>
          <w:trHeight w:val="314"/>
        </w:trPr>
        <w:tc>
          <w:tcPr>
            <w:tcW w:w="2920" w:type="dxa"/>
            <w:vAlign w:val="bottom"/>
          </w:tcPr>
          <w:p>
            <w:pPr>
              <w:spacing w:after="0"/>
              <w:rPr>
                <w:sz w:val="20"/>
                <w:szCs w:val="20"/>
                <w:color w:val="auto"/>
              </w:rPr>
            </w:pPr>
            <w:r>
              <w:rPr>
                <w:rFonts w:ascii="Arial" w:cs="Arial" w:eastAsia="Arial" w:hAnsi="Arial"/>
                <w:sz w:val="12"/>
                <w:szCs w:val="12"/>
                <w:color w:val="auto"/>
              </w:rPr>
              <w:t>Shares issued pursuant to Arena Minerals acquisition</w:t>
            </w: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8,456</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85</w:t>
            </w: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163,118</w:t>
            </w:r>
          </w:p>
        </w:tc>
        <w:tc>
          <w:tcPr>
            <w:tcW w:w="12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163,203</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314"/>
        </w:trPr>
        <w:tc>
          <w:tcPr>
            <w:tcW w:w="2920" w:type="dxa"/>
            <w:vAlign w:val="bottom"/>
          </w:tcPr>
          <w:p>
            <w:pPr>
              <w:spacing w:after="0"/>
              <w:rPr>
                <w:sz w:val="20"/>
                <w:szCs w:val="20"/>
                <w:color w:val="auto"/>
              </w:rPr>
            </w:pPr>
            <w:r>
              <w:rPr>
                <w:rFonts w:ascii="Arial" w:cs="Arial" w:eastAsia="Arial" w:hAnsi="Arial"/>
                <w:sz w:val="12"/>
                <w:szCs w:val="12"/>
                <w:color w:val="auto"/>
              </w:rPr>
              <w:t>Share based compensation</w:t>
            </w: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14,254</w:t>
            </w:r>
          </w:p>
        </w:tc>
        <w:tc>
          <w:tcPr>
            <w:tcW w:w="12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14,254</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4"/>
                <w:szCs w:val="24"/>
                <w:color w:val="auto"/>
              </w:rPr>
            </w:pPr>
          </w:p>
        </w:tc>
      </w:tr>
      <w:tr>
        <w:trPr>
          <w:trHeight w:val="314"/>
        </w:trPr>
        <w:tc>
          <w:tcPr>
            <w:tcW w:w="2920" w:type="dxa"/>
            <w:vAlign w:val="bottom"/>
          </w:tcPr>
          <w:p>
            <w:pPr>
              <w:spacing w:after="0"/>
              <w:rPr>
                <w:sz w:val="20"/>
                <w:szCs w:val="20"/>
                <w:color w:val="auto"/>
              </w:rPr>
            </w:pPr>
            <w:r>
              <w:rPr>
                <w:rFonts w:ascii="Arial" w:cs="Arial" w:eastAsia="Arial" w:hAnsi="Arial"/>
                <w:sz w:val="12"/>
                <w:szCs w:val="12"/>
                <w:color w:val="auto"/>
              </w:rPr>
              <w:t>DSUs issued in lieu of directors' fees</w:t>
            </w: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628</w:t>
            </w:r>
          </w:p>
        </w:tc>
        <w:tc>
          <w:tcPr>
            <w:tcW w:w="12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628</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4"/>
                <w:szCs w:val="24"/>
                <w:color w:val="auto"/>
              </w:rPr>
            </w:pPr>
          </w:p>
        </w:tc>
      </w:tr>
      <w:tr>
        <w:trPr>
          <w:trHeight w:val="319"/>
        </w:trPr>
        <w:tc>
          <w:tcPr>
            <w:tcW w:w="2920" w:type="dxa"/>
            <w:vAlign w:val="bottom"/>
          </w:tcPr>
          <w:p>
            <w:pPr>
              <w:spacing w:after="0"/>
              <w:rPr>
                <w:sz w:val="20"/>
                <w:szCs w:val="20"/>
                <w:color w:val="auto"/>
              </w:rPr>
            </w:pPr>
            <w:r>
              <w:rPr>
                <w:rFonts w:ascii="Arial" w:cs="Arial" w:eastAsia="Arial" w:hAnsi="Arial"/>
                <w:sz w:val="12"/>
                <w:szCs w:val="12"/>
                <w:color w:val="auto"/>
              </w:rPr>
              <w:t>Distribution of assets upon separation</w:t>
            </w: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 xml:space="preserve">(16,097 </w:t>
            </w:r>
            <w:r>
              <w:rPr>
                <w:rFonts w:ascii="Arial" w:cs="Arial" w:eastAsia="Arial" w:hAnsi="Arial"/>
                <w:sz w:val="24"/>
                <w:szCs w:val="24"/>
                <w:color w:val="auto"/>
                <w:vertAlign w:val="subscript"/>
              </w:rPr>
              <w:t>)</w:t>
            </w:r>
          </w:p>
        </w:tc>
        <w:tc>
          <w:tcPr>
            <w:tcW w:w="12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1"/>
              <w:spacing w:after="0"/>
              <w:rPr>
                <w:sz w:val="20"/>
                <w:szCs w:val="20"/>
                <w:color w:val="auto"/>
              </w:rPr>
            </w:pPr>
            <w:r>
              <w:rPr>
                <w:rFonts w:ascii="Arial" w:cs="Arial" w:eastAsia="Arial" w:hAnsi="Arial"/>
                <w:sz w:val="10"/>
                <w:szCs w:val="10"/>
                <w:color w:val="auto"/>
              </w:rPr>
              <w:t xml:space="preserve">(1,677,337 </w:t>
            </w:r>
            <w:r>
              <w:rPr>
                <w:rFonts w:ascii="Arial" w:cs="Arial" w:eastAsia="Arial" w:hAnsi="Arial"/>
                <w:sz w:val="19"/>
                <w:szCs w:val="19"/>
                <w:color w:val="auto"/>
                <w:vertAlign w:val="subscript"/>
              </w:rPr>
              <w:t>)</w:t>
            </w: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 xml:space="preserve">(1,693,434 </w:t>
            </w:r>
            <w:r>
              <w:rPr>
                <w:rFonts w:ascii="Arial" w:cs="Arial" w:eastAsia="Arial" w:hAnsi="Arial"/>
                <w:sz w:val="24"/>
                <w:szCs w:val="24"/>
                <w:color w:val="auto"/>
                <w:vertAlign w:val="subscript"/>
              </w:rPr>
              <w:t>)</w:t>
            </w:r>
          </w:p>
        </w:tc>
        <w:tc>
          <w:tcPr>
            <w:tcW w:w="8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310"/>
        </w:trPr>
        <w:tc>
          <w:tcPr>
            <w:tcW w:w="2920" w:type="dxa"/>
            <w:vAlign w:val="bottom"/>
          </w:tcPr>
          <w:p>
            <w:pPr>
              <w:spacing w:after="0"/>
              <w:rPr>
                <w:sz w:val="20"/>
                <w:szCs w:val="20"/>
                <w:color w:val="auto"/>
              </w:rPr>
            </w:pPr>
            <w:r>
              <w:rPr>
                <w:rFonts w:ascii="Arial" w:cs="Arial" w:eastAsia="Arial" w:hAnsi="Arial"/>
                <w:sz w:val="12"/>
                <w:szCs w:val="12"/>
                <w:color w:val="auto"/>
              </w:rPr>
              <w:t>Net income</w:t>
            </w: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01"/>
              <w:spacing w:after="0"/>
              <w:rPr>
                <w:sz w:val="20"/>
                <w:szCs w:val="20"/>
                <w:color w:val="auto"/>
              </w:rPr>
            </w:pPr>
            <w:r>
              <w:rPr>
                <w:rFonts w:ascii="Arial" w:cs="Arial" w:eastAsia="Arial" w:hAnsi="Arial"/>
                <w:sz w:val="11"/>
                <w:szCs w:val="11"/>
                <w:color w:val="auto"/>
              </w:rPr>
              <w:t>1,288,369</w:t>
            </w: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1,288,369</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324"/>
        </w:trPr>
        <w:tc>
          <w:tcPr>
            <w:tcW w:w="2920" w:type="dxa"/>
            <w:vAlign w:val="bottom"/>
          </w:tcPr>
          <w:p>
            <w:pPr>
              <w:spacing w:after="0"/>
              <w:rPr>
                <w:sz w:val="20"/>
                <w:szCs w:val="20"/>
                <w:color w:val="auto"/>
              </w:rPr>
            </w:pPr>
            <w:r>
              <w:rPr>
                <w:rFonts w:ascii="Arial" w:cs="Arial" w:eastAsia="Arial" w:hAnsi="Arial"/>
                <w:sz w:val="12"/>
                <w:szCs w:val="12"/>
                <w:color w:val="auto"/>
              </w:rPr>
              <w:t>Balance, December 31, 2023 (Note 14)</w:t>
            </w: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160,679</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1,607</w:t>
            </w: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1,492,001</w:t>
            </w:r>
          </w:p>
        </w:tc>
        <w:tc>
          <w:tcPr>
            <w:tcW w:w="1200" w:type="dxa"/>
            <w:vAlign w:val="bottom"/>
          </w:tcPr>
          <w:p>
            <w:pPr>
              <w:jc w:val="right"/>
              <w:ind w:right="100"/>
              <w:spacing w:after="0"/>
              <w:rPr>
                <w:sz w:val="20"/>
                <w:szCs w:val="20"/>
                <w:color w:val="auto"/>
              </w:rPr>
            </w:pPr>
            <w:r>
              <w:rPr>
                <w:rFonts w:ascii="Arial" w:cs="Arial" w:eastAsia="Arial" w:hAnsi="Arial"/>
                <w:sz w:val="12"/>
                <w:szCs w:val="12"/>
                <w:color w:val="auto"/>
              </w:rPr>
              <w:t xml:space="preserve">(3,487 </w:t>
            </w:r>
            <w:r>
              <w:rPr>
                <w:rFonts w:ascii="Arial" w:cs="Arial" w:eastAsia="Arial" w:hAnsi="Arial"/>
                <w:sz w:val="24"/>
                <w:szCs w:val="24"/>
                <w:color w:val="auto"/>
                <w:vertAlign w:val="subscript"/>
              </w:rPr>
              <w:t>)</w:t>
            </w:r>
          </w:p>
        </w:tc>
        <w:tc>
          <w:tcPr>
            <w:tcW w:w="800" w:type="dxa"/>
            <w:vAlign w:val="bottom"/>
          </w:tcPr>
          <w:p>
            <w:pPr>
              <w:jc w:val="right"/>
              <w:ind w:right="41"/>
              <w:spacing w:after="0"/>
              <w:rPr>
                <w:sz w:val="20"/>
                <w:szCs w:val="20"/>
                <w:color w:val="auto"/>
              </w:rPr>
            </w:pPr>
            <w:r>
              <w:rPr>
                <w:rFonts w:ascii="Arial" w:cs="Arial" w:eastAsia="Arial" w:hAnsi="Arial"/>
                <w:sz w:val="12"/>
                <w:szCs w:val="12"/>
                <w:color w:val="auto"/>
              </w:rPr>
              <w:t xml:space="preserve">(661,190 </w:t>
            </w:r>
            <w:r>
              <w:rPr>
                <w:rFonts w:ascii="Arial" w:cs="Arial" w:eastAsia="Arial" w:hAnsi="Arial"/>
                <w:sz w:val="24"/>
                <w:szCs w:val="24"/>
                <w:color w:val="auto"/>
                <w:vertAlign w:val="subscript"/>
              </w:rPr>
              <w:t>)</w:t>
            </w: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828,931</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206"/>
        </w:trPr>
        <w:tc>
          <w:tcPr>
            <w:tcW w:w="2920" w:type="dxa"/>
            <w:vAlign w:val="bottom"/>
          </w:tcPr>
          <w:p>
            <w:pPr>
              <w:spacing w:after="0"/>
              <w:rPr>
                <w:sz w:val="20"/>
                <w:szCs w:val="20"/>
                <w:color w:val="auto"/>
              </w:rPr>
            </w:pPr>
            <w:r>
              <w:rPr>
                <w:rFonts w:ascii="Arial" w:cs="Arial" w:eastAsia="Arial" w:hAnsi="Arial"/>
                <w:sz w:val="12"/>
                <w:szCs w:val="12"/>
                <w:color w:val="auto"/>
              </w:rPr>
              <w:t>Shares issued on conversion of RSUs, DSUs, PSUs,</w:t>
            </w: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95"/>
        </w:trPr>
        <w:tc>
          <w:tcPr>
            <w:tcW w:w="2920" w:type="dxa"/>
            <w:vAlign w:val="bottom"/>
          </w:tcPr>
          <w:p>
            <w:pPr>
              <w:spacing w:after="0"/>
              <w:rPr>
                <w:sz w:val="20"/>
                <w:szCs w:val="20"/>
                <w:color w:val="auto"/>
              </w:rPr>
            </w:pPr>
            <w:r>
              <w:rPr>
                <w:rFonts w:ascii="Arial" w:cs="Arial" w:eastAsia="Arial" w:hAnsi="Arial"/>
                <w:sz w:val="12"/>
                <w:szCs w:val="12"/>
                <w:color w:val="auto"/>
              </w:rPr>
              <w:t>and exercise of stock options</w:t>
            </w: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1,253</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12</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 xml:space="preserve">(12 </w:t>
            </w:r>
            <w:r>
              <w:rPr>
                <w:rFonts w:ascii="Arial" w:cs="Arial" w:eastAsia="Arial" w:hAnsi="Arial"/>
                <w:sz w:val="24"/>
                <w:szCs w:val="24"/>
                <w:color w:val="auto"/>
                <w:vertAlign w:val="subscript"/>
              </w:rPr>
              <w:t>)</w:t>
            </w:r>
          </w:p>
        </w:tc>
        <w:tc>
          <w:tcPr>
            <w:tcW w:w="12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 xml:space="preserve">(0 </w:t>
            </w:r>
            <w:r>
              <w:rPr>
                <w:rFonts w:ascii="Arial" w:cs="Arial" w:eastAsia="Arial" w:hAnsi="Arial"/>
                <w:sz w:val="24"/>
                <w:szCs w:val="24"/>
                <w:color w:val="auto"/>
                <w:vertAlign w:val="subscript"/>
              </w:rPr>
              <w:t>)</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4"/>
                <w:szCs w:val="24"/>
                <w:color w:val="auto"/>
              </w:rPr>
            </w:pPr>
          </w:p>
        </w:tc>
      </w:tr>
      <w:tr>
        <w:trPr>
          <w:trHeight w:val="200"/>
        </w:trPr>
        <w:tc>
          <w:tcPr>
            <w:tcW w:w="2920" w:type="dxa"/>
            <w:vAlign w:val="bottom"/>
          </w:tcPr>
          <w:p>
            <w:pPr>
              <w:spacing w:after="0"/>
              <w:rPr>
                <w:sz w:val="20"/>
                <w:szCs w:val="20"/>
                <w:color w:val="auto"/>
              </w:rPr>
            </w:pPr>
            <w:r>
              <w:rPr>
                <w:rFonts w:ascii="Arial" w:cs="Arial" w:eastAsia="Arial" w:hAnsi="Arial"/>
                <w:sz w:val="12"/>
                <w:szCs w:val="12"/>
                <w:color w:val="auto"/>
              </w:rPr>
              <w:t>Share based compensation</w:t>
            </w: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7,693</w:t>
            </w:r>
          </w:p>
        </w:tc>
        <w:tc>
          <w:tcPr>
            <w:tcW w:w="12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7,693</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7"/>
                <w:szCs w:val="17"/>
                <w:color w:val="auto"/>
              </w:rPr>
            </w:pPr>
          </w:p>
        </w:tc>
      </w:tr>
      <w:tr>
        <w:trPr>
          <w:trHeight w:val="314"/>
        </w:trPr>
        <w:tc>
          <w:tcPr>
            <w:tcW w:w="2920" w:type="dxa"/>
            <w:vAlign w:val="bottom"/>
          </w:tcPr>
          <w:p>
            <w:pPr>
              <w:spacing w:after="0"/>
              <w:rPr>
                <w:sz w:val="20"/>
                <w:szCs w:val="20"/>
                <w:color w:val="auto"/>
              </w:rPr>
            </w:pPr>
            <w:r>
              <w:rPr>
                <w:rFonts w:ascii="Arial" w:cs="Arial" w:eastAsia="Arial" w:hAnsi="Arial"/>
                <w:sz w:val="12"/>
                <w:szCs w:val="12"/>
                <w:color w:val="auto"/>
              </w:rPr>
              <w:t>Pastos Grandes Transaction (Note 10)</w:t>
            </w: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01"/>
              <w:spacing w:after="0"/>
              <w:rPr>
                <w:sz w:val="20"/>
                <w:szCs w:val="20"/>
                <w:color w:val="auto"/>
              </w:rPr>
            </w:pPr>
            <w:r>
              <w:rPr>
                <w:rFonts w:ascii="Arial" w:cs="Arial" w:eastAsia="Arial" w:hAnsi="Arial"/>
                <w:sz w:val="12"/>
                <w:szCs w:val="12"/>
                <w:color w:val="auto"/>
              </w:rPr>
              <w:t>6,884</w:t>
            </w: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6,884</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62,662</w:t>
            </w:r>
          </w:p>
        </w:tc>
        <w:tc>
          <w:tcPr>
            <w:tcW w:w="340" w:type="dxa"/>
            <w:vAlign w:val="bottom"/>
          </w:tcPr>
          <w:p>
            <w:pPr>
              <w:spacing w:after="0"/>
              <w:rPr>
                <w:sz w:val="24"/>
                <w:szCs w:val="24"/>
                <w:color w:val="auto"/>
              </w:rPr>
            </w:pPr>
          </w:p>
        </w:tc>
      </w:tr>
      <w:tr>
        <w:trPr>
          <w:trHeight w:val="314"/>
        </w:trPr>
        <w:tc>
          <w:tcPr>
            <w:tcW w:w="2920" w:type="dxa"/>
            <w:vAlign w:val="bottom"/>
          </w:tcPr>
          <w:p>
            <w:pPr>
              <w:spacing w:after="0"/>
              <w:rPr>
                <w:sz w:val="20"/>
                <w:szCs w:val="20"/>
                <w:color w:val="auto"/>
              </w:rPr>
            </w:pPr>
            <w:r>
              <w:rPr>
                <w:rFonts w:ascii="Arial" w:cs="Arial" w:eastAsia="Arial" w:hAnsi="Arial"/>
                <w:sz w:val="12"/>
                <w:szCs w:val="12"/>
                <w:color w:val="auto"/>
              </w:rPr>
              <w:t>Net loss</w:t>
            </w: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41"/>
              <w:spacing w:after="0"/>
              <w:rPr>
                <w:sz w:val="20"/>
                <w:szCs w:val="20"/>
                <w:color w:val="auto"/>
              </w:rPr>
            </w:pPr>
            <w:r>
              <w:rPr>
                <w:rFonts w:ascii="Arial" w:cs="Arial" w:eastAsia="Arial" w:hAnsi="Arial"/>
                <w:sz w:val="12"/>
                <w:szCs w:val="12"/>
                <w:color w:val="auto"/>
              </w:rPr>
              <w:t xml:space="preserve">(15,234 </w:t>
            </w:r>
            <w:r>
              <w:rPr>
                <w:rFonts w:ascii="Arial" w:cs="Arial" w:eastAsia="Arial" w:hAnsi="Arial"/>
                <w:sz w:val="24"/>
                <w:szCs w:val="24"/>
                <w:color w:val="auto"/>
                <w:vertAlign w:val="subscript"/>
              </w:rPr>
              <w:t>)</w:t>
            </w: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 xml:space="preserve">(15,234 </w:t>
            </w:r>
            <w:r>
              <w:rPr>
                <w:rFonts w:ascii="Arial" w:cs="Arial" w:eastAsia="Arial" w:hAnsi="Arial"/>
                <w:sz w:val="24"/>
                <w:szCs w:val="24"/>
                <w:color w:val="auto"/>
                <w:vertAlign w:val="subscript"/>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 xml:space="preserve">(6 </w:t>
            </w:r>
            <w:r>
              <w:rPr>
                <w:rFonts w:ascii="Arial" w:cs="Arial" w:eastAsia="Arial" w:hAnsi="Arial"/>
                <w:sz w:val="24"/>
                <w:szCs w:val="24"/>
                <w:color w:val="auto"/>
                <w:vertAlign w:val="subscript"/>
              </w:rPr>
              <w:t>)</w:t>
            </w:r>
          </w:p>
        </w:tc>
        <w:tc>
          <w:tcPr>
            <w:tcW w:w="340" w:type="dxa"/>
            <w:vAlign w:val="bottom"/>
          </w:tcPr>
          <w:p>
            <w:pPr>
              <w:spacing w:after="0"/>
              <w:rPr>
                <w:sz w:val="24"/>
                <w:szCs w:val="24"/>
                <w:color w:val="auto"/>
              </w:rPr>
            </w:pPr>
          </w:p>
        </w:tc>
      </w:tr>
      <w:tr>
        <w:trPr>
          <w:trHeight w:val="324"/>
        </w:trPr>
        <w:tc>
          <w:tcPr>
            <w:tcW w:w="2920" w:type="dxa"/>
            <w:vAlign w:val="bottom"/>
          </w:tcPr>
          <w:p>
            <w:pPr>
              <w:spacing w:after="0"/>
              <w:rPr>
                <w:sz w:val="20"/>
                <w:szCs w:val="20"/>
                <w:color w:val="auto"/>
              </w:rPr>
            </w:pPr>
            <w:r>
              <w:rPr>
                <w:rFonts w:ascii="Arial" w:cs="Arial" w:eastAsia="Arial" w:hAnsi="Arial"/>
                <w:sz w:val="12"/>
                <w:szCs w:val="12"/>
                <w:color w:val="auto"/>
              </w:rPr>
              <w:t>Balance, December 31, 2024</w:t>
            </w: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161,932</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1,619</w:t>
            </w: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1,499,682</w:t>
            </w:r>
          </w:p>
        </w:tc>
        <w:tc>
          <w:tcPr>
            <w:tcW w:w="1200" w:type="dxa"/>
            <w:vAlign w:val="bottom"/>
          </w:tcPr>
          <w:p>
            <w:pPr>
              <w:jc w:val="right"/>
              <w:ind w:right="100"/>
              <w:spacing w:after="0"/>
              <w:rPr>
                <w:sz w:val="20"/>
                <w:szCs w:val="20"/>
                <w:color w:val="auto"/>
              </w:rPr>
            </w:pPr>
            <w:r>
              <w:rPr>
                <w:rFonts w:ascii="Arial" w:cs="Arial" w:eastAsia="Arial" w:hAnsi="Arial"/>
                <w:sz w:val="12"/>
                <w:szCs w:val="12"/>
                <w:color w:val="auto"/>
              </w:rPr>
              <w:t xml:space="preserve">(3,487 </w:t>
            </w:r>
            <w:r>
              <w:rPr>
                <w:rFonts w:ascii="Arial" w:cs="Arial" w:eastAsia="Arial" w:hAnsi="Arial"/>
                <w:sz w:val="24"/>
                <w:szCs w:val="24"/>
                <w:color w:val="auto"/>
                <w:vertAlign w:val="subscript"/>
              </w:rPr>
              <w:t>)</w:t>
            </w:r>
          </w:p>
        </w:tc>
        <w:tc>
          <w:tcPr>
            <w:tcW w:w="800" w:type="dxa"/>
            <w:vAlign w:val="bottom"/>
          </w:tcPr>
          <w:p>
            <w:pPr>
              <w:jc w:val="right"/>
              <w:ind w:right="41"/>
              <w:spacing w:after="0"/>
              <w:rPr>
                <w:sz w:val="20"/>
                <w:szCs w:val="20"/>
                <w:color w:val="auto"/>
              </w:rPr>
            </w:pPr>
            <w:r>
              <w:rPr>
                <w:rFonts w:ascii="Arial" w:cs="Arial" w:eastAsia="Arial" w:hAnsi="Arial"/>
                <w:sz w:val="12"/>
                <w:szCs w:val="12"/>
                <w:color w:val="auto"/>
              </w:rPr>
              <w:t xml:space="preserve">(669,540 </w:t>
            </w:r>
            <w:r>
              <w:rPr>
                <w:rFonts w:ascii="Arial" w:cs="Arial" w:eastAsia="Arial" w:hAnsi="Arial"/>
                <w:sz w:val="24"/>
                <w:szCs w:val="24"/>
                <w:color w:val="auto"/>
                <w:vertAlign w:val="subscript"/>
              </w:rPr>
              <w:t>)</w:t>
            </w: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828,274</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62,656</w:t>
            </w:r>
          </w:p>
        </w:tc>
        <w:tc>
          <w:tcPr>
            <w:tcW w:w="34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36"/>
        </w:trPr>
        <w:tc>
          <w:tcPr>
            <w:tcW w:w="2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170"/>
        </w:trPr>
        <w:tc>
          <w:tcPr>
            <w:tcW w:w="2920" w:type="dxa"/>
            <w:vAlign w:val="bottom"/>
            <w:shd w:val="clear" w:color="auto" w:fill="D9D9D9"/>
          </w:tcPr>
          <w:p>
            <w:pPr>
              <w:spacing w:after="0"/>
              <w:rPr>
                <w:sz w:val="20"/>
                <w:szCs w:val="20"/>
                <w:color w:val="auto"/>
              </w:rPr>
            </w:pPr>
            <w:r>
              <w:rPr>
                <w:rFonts w:ascii="Arial" w:cs="Arial" w:eastAsia="Arial" w:hAnsi="Arial"/>
                <w:sz w:val="12"/>
                <w:szCs w:val="12"/>
                <w:color w:val="auto"/>
              </w:rPr>
              <w:t>Shares issued on conversion of RSUs, DSUs, PSUs,</w:t>
            </w:r>
          </w:p>
        </w:tc>
        <w:tc>
          <w:tcPr>
            <w:tcW w:w="760" w:type="dxa"/>
            <w:vAlign w:val="bottom"/>
            <w:shd w:val="clear" w:color="auto" w:fill="D9D9D9"/>
          </w:tcPr>
          <w:p>
            <w:pPr>
              <w:spacing w:after="0"/>
              <w:rPr>
                <w:sz w:val="14"/>
                <w:szCs w:val="14"/>
                <w:color w:val="auto"/>
              </w:rPr>
            </w:pPr>
          </w:p>
        </w:tc>
        <w:tc>
          <w:tcPr>
            <w:tcW w:w="78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1200" w:type="dxa"/>
            <w:vAlign w:val="bottom"/>
            <w:shd w:val="clear" w:color="auto" w:fill="D9D9D9"/>
          </w:tcPr>
          <w:p>
            <w:pPr>
              <w:spacing w:after="0"/>
              <w:rPr>
                <w:sz w:val="14"/>
                <w:szCs w:val="14"/>
                <w:color w:val="auto"/>
              </w:rPr>
            </w:pPr>
          </w:p>
        </w:tc>
        <w:tc>
          <w:tcPr>
            <w:tcW w:w="800" w:type="dxa"/>
            <w:vAlign w:val="bottom"/>
            <w:shd w:val="clear" w:color="auto" w:fill="D9D9D9"/>
          </w:tcPr>
          <w:p>
            <w:pPr>
              <w:spacing w:after="0"/>
              <w:rPr>
                <w:sz w:val="14"/>
                <w:szCs w:val="14"/>
                <w:color w:val="auto"/>
              </w:rPr>
            </w:pPr>
          </w:p>
        </w:tc>
        <w:tc>
          <w:tcPr>
            <w:tcW w:w="1060" w:type="dxa"/>
            <w:vAlign w:val="bottom"/>
            <w:shd w:val="clear" w:color="auto" w:fill="D9D9D9"/>
          </w:tcPr>
          <w:p>
            <w:pPr>
              <w:spacing w:after="0"/>
              <w:rPr>
                <w:sz w:val="14"/>
                <w:szCs w:val="14"/>
                <w:color w:val="auto"/>
              </w:rPr>
            </w:pPr>
          </w:p>
        </w:tc>
        <w:tc>
          <w:tcPr>
            <w:tcW w:w="880" w:type="dxa"/>
            <w:vAlign w:val="bottom"/>
            <w:shd w:val="clear" w:color="auto" w:fill="D9D9D9"/>
          </w:tcPr>
          <w:p>
            <w:pPr>
              <w:spacing w:after="0"/>
              <w:rPr>
                <w:sz w:val="14"/>
                <w:szCs w:val="14"/>
                <w:color w:val="auto"/>
              </w:rPr>
            </w:pPr>
          </w:p>
        </w:tc>
        <w:tc>
          <w:tcPr>
            <w:tcW w:w="340" w:type="dxa"/>
            <w:vAlign w:val="bottom"/>
            <w:shd w:val="clear" w:color="auto" w:fill="D9D9D9"/>
          </w:tcPr>
          <w:p>
            <w:pPr>
              <w:spacing w:after="0"/>
              <w:rPr>
                <w:sz w:val="14"/>
                <w:szCs w:val="14"/>
                <w:color w:val="auto"/>
              </w:rPr>
            </w:pPr>
          </w:p>
        </w:tc>
      </w:tr>
      <w:tr>
        <w:trPr>
          <w:trHeight w:val="295"/>
        </w:trPr>
        <w:tc>
          <w:tcPr>
            <w:tcW w:w="2920" w:type="dxa"/>
            <w:vAlign w:val="bottom"/>
            <w:shd w:val="clear" w:color="auto" w:fill="D9D9D9"/>
          </w:tcPr>
          <w:p>
            <w:pPr>
              <w:spacing w:after="0"/>
              <w:rPr>
                <w:sz w:val="20"/>
                <w:szCs w:val="20"/>
                <w:color w:val="auto"/>
              </w:rPr>
            </w:pPr>
            <w:r>
              <w:rPr>
                <w:rFonts w:ascii="Arial" w:cs="Arial" w:eastAsia="Arial" w:hAnsi="Arial"/>
                <w:sz w:val="12"/>
                <w:szCs w:val="12"/>
                <w:color w:val="auto"/>
              </w:rPr>
              <w:t>and exercise of stock options</w:t>
            </w:r>
          </w:p>
        </w:tc>
        <w:tc>
          <w:tcPr>
            <w:tcW w:w="760" w:type="dxa"/>
            <w:vAlign w:val="bottom"/>
            <w:shd w:val="clear" w:color="auto" w:fill="D9D9D9"/>
          </w:tcPr>
          <w:p>
            <w:pPr>
              <w:jc w:val="right"/>
              <w:ind w:right="80"/>
              <w:spacing w:after="0"/>
              <w:rPr>
                <w:sz w:val="20"/>
                <w:szCs w:val="20"/>
                <w:color w:val="auto"/>
              </w:rPr>
            </w:pPr>
            <w:r>
              <w:rPr>
                <w:rFonts w:ascii="Arial" w:cs="Arial" w:eastAsia="Arial" w:hAnsi="Arial"/>
                <w:sz w:val="12"/>
                <w:szCs w:val="12"/>
                <w:color w:val="auto"/>
              </w:rPr>
              <w:t>475</w:t>
            </w:r>
          </w:p>
        </w:tc>
        <w:tc>
          <w:tcPr>
            <w:tcW w:w="780" w:type="dxa"/>
            <w:vAlign w:val="bottom"/>
            <w:shd w:val="clear" w:color="auto" w:fill="D9D9D9"/>
          </w:tcPr>
          <w:p>
            <w:pPr>
              <w:jc w:val="right"/>
              <w:ind w:right="120"/>
              <w:spacing w:after="0"/>
              <w:rPr>
                <w:sz w:val="20"/>
                <w:szCs w:val="20"/>
                <w:color w:val="auto"/>
              </w:rPr>
            </w:pPr>
            <w:r>
              <w:rPr>
                <w:rFonts w:ascii="Arial" w:cs="Arial" w:eastAsia="Arial" w:hAnsi="Arial"/>
                <w:sz w:val="12"/>
                <w:szCs w:val="12"/>
                <w:color w:val="auto"/>
              </w:rPr>
              <w:t>5</w:t>
            </w:r>
          </w:p>
        </w:tc>
        <w:tc>
          <w:tcPr>
            <w:tcW w:w="820" w:type="dxa"/>
            <w:vAlign w:val="bottom"/>
            <w:shd w:val="clear" w:color="auto" w:fill="D9D9D9"/>
          </w:tcPr>
          <w:p>
            <w:pPr>
              <w:jc w:val="right"/>
              <w:ind w:right="20"/>
              <w:spacing w:after="0"/>
              <w:rPr>
                <w:sz w:val="20"/>
                <w:szCs w:val="20"/>
                <w:color w:val="auto"/>
              </w:rPr>
            </w:pPr>
            <w:r>
              <w:rPr>
                <w:rFonts w:ascii="Arial" w:cs="Arial" w:eastAsia="Arial" w:hAnsi="Arial"/>
                <w:sz w:val="12"/>
                <w:szCs w:val="12"/>
                <w:color w:val="auto"/>
              </w:rPr>
              <w:t xml:space="preserve">(5 </w:t>
            </w:r>
            <w:r>
              <w:rPr>
                <w:rFonts w:ascii="Arial" w:cs="Arial" w:eastAsia="Arial" w:hAnsi="Arial"/>
                <w:sz w:val="24"/>
                <w:szCs w:val="24"/>
                <w:color w:val="auto"/>
                <w:vertAlign w:val="subscript"/>
              </w:rPr>
              <w:t>)</w:t>
            </w:r>
          </w:p>
        </w:tc>
        <w:tc>
          <w:tcPr>
            <w:tcW w:w="1200" w:type="dxa"/>
            <w:vAlign w:val="bottom"/>
            <w:shd w:val="clear" w:color="auto" w:fill="D9D9D9"/>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shd w:val="clear" w:color="auto" w:fill="D9D9D9"/>
          </w:tcPr>
          <w:p>
            <w:pPr>
              <w:jc w:val="right"/>
              <w:ind w:right="101"/>
              <w:spacing w:after="0"/>
              <w:rPr>
                <w:sz w:val="20"/>
                <w:szCs w:val="20"/>
                <w:color w:val="auto"/>
              </w:rPr>
            </w:pPr>
            <w:r>
              <w:rPr>
                <w:rFonts w:ascii="Arial" w:cs="Arial" w:eastAsia="Arial" w:hAnsi="Arial"/>
                <w:sz w:val="12"/>
                <w:szCs w:val="12"/>
                <w:color w:val="auto"/>
              </w:rPr>
              <w:t>-</w:t>
            </w:r>
          </w:p>
        </w:tc>
        <w:tc>
          <w:tcPr>
            <w:tcW w:w="1060" w:type="dxa"/>
            <w:vAlign w:val="bottom"/>
            <w:shd w:val="clear" w:color="auto" w:fill="D9D9D9"/>
          </w:tcPr>
          <w:p>
            <w:pPr>
              <w:jc w:val="right"/>
              <w:ind w:right="80"/>
              <w:spacing w:after="0"/>
              <w:rPr>
                <w:sz w:val="20"/>
                <w:szCs w:val="20"/>
                <w:color w:val="auto"/>
              </w:rPr>
            </w:pPr>
            <w:r>
              <w:rPr>
                <w:rFonts w:ascii="Arial" w:cs="Arial" w:eastAsia="Arial" w:hAnsi="Arial"/>
                <w:sz w:val="12"/>
                <w:szCs w:val="12"/>
                <w:color w:val="auto"/>
              </w:rPr>
              <w:t>0</w:t>
            </w:r>
          </w:p>
        </w:tc>
        <w:tc>
          <w:tcPr>
            <w:tcW w:w="880" w:type="dxa"/>
            <w:vAlign w:val="bottom"/>
            <w:shd w:val="clear" w:color="auto" w:fill="D9D9D9"/>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D9D9D9"/>
          </w:tcPr>
          <w:p>
            <w:pPr>
              <w:spacing w:after="0"/>
              <w:rPr>
                <w:sz w:val="24"/>
                <w:szCs w:val="24"/>
                <w:color w:val="auto"/>
              </w:rPr>
            </w:pPr>
          </w:p>
        </w:tc>
      </w:tr>
      <w:tr>
        <w:trPr>
          <w:trHeight w:val="200"/>
        </w:trPr>
        <w:tc>
          <w:tcPr>
            <w:tcW w:w="2920" w:type="dxa"/>
            <w:vAlign w:val="bottom"/>
            <w:shd w:val="clear" w:color="auto" w:fill="D9D9D9"/>
          </w:tcPr>
          <w:p>
            <w:pPr>
              <w:spacing w:after="0"/>
              <w:rPr>
                <w:sz w:val="20"/>
                <w:szCs w:val="20"/>
                <w:color w:val="auto"/>
              </w:rPr>
            </w:pPr>
            <w:r>
              <w:rPr>
                <w:rFonts w:ascii="Arial" w:cs="Arial" w:eastAsia="Arial" w:hAnsi="Arial"/>
                <w:sz w:val="12"/>
                <w:szCs w:val="12"/>
                <w:color w:val="auto"/>
              </w:rPr>
              <w:t>Share based compensation (Note 14)</w:t>
            </w:r>
          </w:p>
        </w:tc>
        <w:tc>
          <w:tcPr>
            <w:tcW w:w="760" w:type="dxa"/>
            <w:vAlign w:val="bottom"/>
            <w:shd w:val="clear" w:color="auto" w:fill="D9D9D9"/>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shd w:val="clear" w:color="auto" w:fill="D9D9D9"/>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shd w:val="clear" w:color="auto" w:fill="D9D9D9"/>
          </w:tcPr>
          <w:p>
            <w:pPr>
              <w:jc w:val="right"/>
              <w:ind w:right="60"/>
              <w:spacing w:after="0"/>
              <w:rPr>
                <w:sz w:val="20"/>
                <w:szCs w:val="20"/>
                <w:color w:val="auto"/>
              </w:rPr>
            </w:pPr>
            <w:r>
              <w:rPr>
                <w:rFonts w:ascii="Arial" w:cs="Arial" w:eastAsia="Arial" w:hAnsi="Arial"/>
                <w:sz w:val="12"/>
                <w:szCs w:val="12"/>
                <w:color w:val="auto"/>
              </w:rPr>
              <w:t>15,055</w:t>
            </w:r>
          </w:p>
        </w:tc>
        <w:tc>
          <w:tcPr>
            <w:tcW w:w="1200" w:type="dxa"/>
            <w:vAlign w:val="bottom"/>
            <w:shd w:val="clear" w:color="auto" w:fill="D9D9D9"/>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shd w:val="clear" w:color="auto" w:fill="D9D9D9"/>
          </w:tcPr>
          <w:p>
            <w:pPr>
              <w:jc w:val="right"/>
              <w:ind w:right="101"/>
              <w:spacing w:after="0"/>
              <w:rPr>
                <w:sz w:val="20"/>
                <w:szCs w:val="20"/>
                <w:color w:val="auto"/>
              </w:rPr>
            </w:pPr>
            <w:r>
              <w:rPr>
                <w:rFonts w:ascii="Arial" w:cs="Arial" w:eastAsia="Arial" w:hAnsi="Arial"/>
                <w:sz w:val="12"/>
                <w:szCs w:val="12"/>
                <w:color w:val="auto"/>
              </w:rPr>
              <w:t>-</w:t>
            </w:r>
          </w:p>
        </w:tc>
        <w:tc>
          <w:tcPr>
            <w:tcW w:w="1060" w:type="dxa"/>
            <w:vAlign w:val="bottom"/>
            <w:shd w:val="clear" w:color="auto" w:fill="D9D9D9"/>
          </w:tcPr>
          <w:p>
            <w:pPr>
              <w:jc w:val="right"/>
              <w:ind w:right="80"/>
              <w:spacing w:after="0"/>
              <w:rPr>
                <w:sz w:val="20"/>
                <w:szCs w:val="20"/>
                <w:color w:val="auto"/>
              </w:rPr>
            </w:pPr>
            <w:r>
              <w:rPr>
                <w:rFonts w:ascii="Arial" w:cs="Arial" w:eastAsia="Arial" w:hAnsi="Arial"/>
                <w:sz w:val="12"/>
                <w:szCs w:val="12"/>
                <w:color w:val="auto"/>
              </w:rPr>
              <w:t>15,055</w:t>
            </w:r>
          </w:p>
        </w:tc>
        <w:tc>
          <w:tcPr>
            <w:tcW w:w="880" w:type="dxa"/>
            <w:vAlign w:val="bottom"/>
            <w:shd w:val="clear" w:color="auto" w:fill="D9D9D9"/>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D9D9D9"/>
          </w:tcPr>
          <w:p>
            <w:pPr>
              <w:spacing w:after="0"/>
              <w:rPr>
                <w:sz w:val="17"/>
                <w:szCs w:val="17"/>
                <w:color w:val="auto"/>
              </w:rPr>
            </w:pPr>
          </w:p>
        </w:tc>
      </w:tr>
      <w:tr>
        <w:trPr>
          <w:trHeight w:val="196"/>
        </w:trPr>
        <w:tc>
          <w:tcPr>
            <w:tcW w:w="2920" w:type="dxa"/>
            <w:vAlign w:val="bottom"/>
            <w:shd w:val="clear" w:color="auto" w:fill="D9D9D9"/>
          </w:tcPr>
          <w:p>
            <w:pPr>
              <w:spacing w:after="0"/>
              <w:rPr>
                <w:sz w:val="20"/>
                <w:szCs w:val="20"/>
                <w:color w:val="auto"/>
              </w:rPr>
            </w:pPr>
            <w:r>
              <w:rPr>
                <w:rFonts w:ascii="Arial" w:cs="Arial" w:eastAsia="Arial" w:hAnsi="Arial"/>
                <w:sz w:val="12"/>
                <w:szCs w:val="12"/>
                <w:color w:val="auto"/>
              </w:rPr>
              <w:t>Pastos Grandes Share Premium Reduction</w:t>
            </w:r>
          </w:p>
        </w:tc>
        <w:tc>
          <w:tcPr>
            <w:tcW w:w="760" w:type="dxa"/>
            <w:vAlign w:val="bottom"/>
            <w:shd w:val="clear" w:color="auto" w:fill="D9D9D9"/>
          </w:tcPr>
          <w:p>
            <w:pPr>
              <w:spacing w:after="0"/>
              <w:rPr>
                <w:sz w:val="17"/>
                <w:szCs w:val="17"/>
                <w:color w:val="auto"/>
              </w:rPr>
            </w:pPr>
          </w:p>
        </w:tc>
        <w:tc>
          <w:tcPr>
            <w:tcW w:w="780" w:type="dxa"/>
            <w:vAlign w:val="bottom"/>
            <w:shd w:val="clear" w:color="auto" w:fill="D9D9D9"/>
          </w:tcPr>
          <w:p>
            <w:pPr>
              <w:spacing w:after="0"/>
              <w:rPr>
                <w:sz w:val="17"/>
                <w:szCs w:val="17"/>
                <w:color w:val="auto"/>
              </w:rPr>
            </w:pPr>
          </w:p>
        </w:tc>
        <w:tc>
          <w:tcPr>
            <w:tcW w:w="820" w:type="dxa"/>
            <w:vAlign w:val="bottom"/>
            <w:shd w:val="clear" w:color="auto" w:fill="D9D9D9"/>
          </w:tcPr>
          <w:p>
            <w:pPr>
              <w:spacing w:after="0"/>
              <w:rPr>
                <w:sz w:val="17"/>
                <w:szCs w:val="17"/>
                <w:color w:val="auto"/>
              </w:rPr>
            </w:pPr>
          </w:p>
        </w:tc>
        <w:tc>
          <w:tcPr>
            <w:tcW w:w="1200" w:type="dxa"/>
            <w:vAlign w:val="bottom"/>
            <w:shd w:val="clear" w:color="auto" w:fill="D9D9D9"/>
          </w:tcPr>
          <w:p>
            <w:pPr>
              <w:spacing w:after="0"/>
              <w:rPr>
                <w:sz w:val="17"/>
                <w:szCs w:val="17"/>
                <w:color w:val="auto"/>
              </w:rPr>
            </w:pPr>
          </w:p>
        </w:tc>
        <w:tc>
          <w:tcPr>
            <w:tcW w:w="800" w:type="dxa"/>
            <w:vAlign w:val="bottom"/>
            <w:shd w:val="clear" w:color="auto" w:fill="D9D9D9"/>
          </w:tcPr>
          <w:p>
            <w:pPr>
              <w:spacing w:after="0"/>
              <w:rPr>
                <w:sz w:val="17"/>
                <w:szCs w:val="17"/>
                <w:color w:val="auto"/>
              </w:rPr>
            </w:pPr>
          </w:p>
        </w:tc>
        <w:tc>
          <w:tcPr>
            <w:tcW w:w="106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340" w:type="dxa"/>
            <w:vAlign w:val="bottom"/>
            <w:shd w:val="clear" w:color="auto" w:fill="D9D9D9"/>
          </w:tcPr>
          <w:p>
            <w:pPr>
              <w:spacing w:after="0"/>
              <w:rPr>
                <w:sz w:val="17"/>
                <w:szCs w:val="17"/>
                <w:color w:val="auto"/>
              </w:rPr>
            </w:pPr>
          </w:p>
        </w:tc>
      </w:tr>
      <w:tr>
        <w:trPr>
          <w:trHeight w:val="207"/>
        </w:trPr>
        <w:tc>
          <w:tcPr>
            <w:tcW w:w="2920" w:type="dxa"/>
            <w:vAlign w:val="bottom"/>
            <w:shd w:val="clear" w:color="auto" w:fill="D9D9D9"/>
          </w:tcPr>
          <w:p>
            <w:pPr>
              <w:spacing w:after="0"/>
              <w:rPr>
                <w:sz w:val="20"/>
                <w:szCs w:val="20"/>
                <w:color w:val="auto"/>
              </w:rPr>
            </w:pPr>
            <w:r>
              <w:rPr>
                <w:rFonts w:ascii="Arial" w:cs="Arial" w:eastAsia="Arial" w:hAnsi="Arial"/>
                <w:sz w:val="12"/>
                <w:szCs w:val="12"/>
                <w:color w:val="auto"/>
              </w:rPr>
              <w:t>Transaction (Note 10)</w:t>
            </w:r>
          </w:p>
        </w:tc>
        <w:tc>
          <w:tcPr>
            <w:tcW w:w="760" w:type="dxa"/>
            <w:vAlign w:val="bottom"/>
            <w:shd w:val="clear" w:color="auto" w:fill="D9D9D9"/>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shd w:val="clear" w:color="auto" w:fill="D9D9D9"/>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shd w:val="clear" w:color="auto" w:fill="D9D9D9"/>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D9D9D9"/>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shd w:val="clear" w:color="auto" w:fill="D9D9D9"/>
          </w:tcPr>
          <w:p>
            <w:pPr>
              <w:jc w:val="right"/>
              <w:ind w:right="101"/>
              <w:spacing w:after="0"/>
              <w:rPr>
                <w:sz w:val="20"/>
                <w:szCs w:val="20"/>
                <w:color w:val="auto"/>
              </w:rPr>
            </w:pPr>
            <w:r>
              <w:rPr>
                <w:rFonts w:ascii="Arial" w:cs="Arial" w:eastAsia="Arial" w:hAnsi="Arial"/>
                <w:sz w:val="12"/>
                <w:szCs w:val="12"/>
                <w:color w:val="auto"/>
              </w:rPr>
              <w:t>-</w:t>
            </w:r>
          </w:p>
        </w:tc>
        <w:tc>
          <w:tcPr>
            <w:tcW w:w="1060" w:type="dxa"/>
            <w:vAlign w:val="bottom"/>
            <w:shd w:val="clear" w:color="auto" w:fill="D9D9D9"/>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shd w:val="clear" w:color="auto" w:fill="D9D9D9"/>
          </w:tcPr>
          <w:p>
            <w:pPr>
              <w:jc w:val="right"/>
              <w:spacing w:after="0" w:line="207" w:lineRule="exact"/>
              <w:rPr>
                <w:sz w:val="20"/>
                <w:szCs w:val="20"/>
                <w:color w:val="auto"/>
              </w:rPr>
            </w:pPr>
            <w:r>
              <w:rPr>
                <w:rFonts w:ascii="Arial" w:cs="Arial" w:eastAsia="Arial" w:hAnsi="Arial"/>
                <w:sz w:val="12"/>
                <w:szCs w:val="12"/>
                <w:color w:val="auto"/>
              </w:rPr>
              <w:t xml:space="preserve">(11,917 </w:t>
            </w:r>
            <w:r>
              <w:rPr>
                <w:rFonts w:ascii="Arial" w:cs="Arial" w:eastAsia="Arial" w:hAnsi="Arial"/>
                <w:sz w:val="23"/>
                <w:szCs w:val="23"/>
                <w:color w:val="auto"/>
                <w:vertAlign w:val="subscript"/>
              </w:rPr>
              <w:t>)</w:t>
            </w:r>
          </w:p>
        </w:tc>
        <w:tc>
          <w:tcPr>
            <w:tcW w:w="340" w:type="dxa"/>
            <w:vAlign w:val="bottom"/>
            <w:shd w:val="clear" w:color="auto" w:fill="D9D9D9"/>
          </w:tcPr>
          <w:p>
            <w:pPr>
              <w:spacing w:after="0"/>
              <w:rPr>
                <w:sz w:val="17"/>
                <w:szCs w:val="17"/>
                <w:color w:val="auto"/>
              </w:rPr>
            </w:pPr>
          </w:p>
        </w:tc>
      </w:tr>
      <w:tr>
        <w:trPr>
          <w:trHeight w:val="170"/>
        </w:trPr>
        <w:tc>
          <w:tcPr>
            <w:tcW w:w="2920" w:type="dxa"/>
            <w:vAlign w:val="bottom"/>
            <w:shd w:val="clear" w:color="auto" w:fill="D9D9D9"/>
          </w:tcPr>
          <w:p>
            <w:pPr>
              <w:spacing w:after="0"/>
              <w:rPr>
                <w:sz w:val="20"/>
                <w:szCs w:val="20"/>
                <w:color w:val="auto"/>
              </w:rPr>
            </w:pPr>
            <w:r>
              <w:rPr>
                <w:rFonts w:ascii="Arial" w:cs="Arial" w:eastAsia="Arial" w:hAnsi="Arial"/>
                <w:sz w:val="12"/>
                <w:szCs w:val="12"/>
                <w:color w:val="auto"/>
              </w:rPr>
              <w:t>Pastos Grandes' loss on modification of loans</w:t>
            </w:r>
          </w:p>
        </w:tc>
        <w:tc>
          <w:tcPr>
            <w:tcW w:w="760" w:type="dxa"/>
            <w:vAlign w:val="bottom"/>
            <w:shd w:val="clear" w:color="auto" w:fill="D9D9D9"/>
          </w:tcPr>
          <w:p>
            <w:pPr>
              <w:spacing w:after="0"/>
              <w:rPr>
                <w:sz w:val="14"/>
                <w:szCs w:val="14"/>
                <w:color w:val="auto"/>
              </w:rPr>
            </w:pPr>
          </w:p>
        </w:tc>
        <w:tc>
          <w:tcPr>
            <w:tcW w:w="78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1200" w:type="dxa"/>
            <w:vAlign w:val="bottom"/>
            <w:shd w:val="clear" w:color="auto" w:fill="D9D9D9"/>
          </w:tcPr>
          <w:p>
            <w:pPr>
              <w:spacing w:after="0"/>
              <w:rPr>
                <w:sz w:val="14"/>
                <w:szCs w:val="14"/>
                <w:color w:val="auto"/>
              </w:rPr>
            </w:pPr>
          </w:p>
        </w:tc>
        <w:tc>
          <w:tcPr>
            <w:tcW w:w="800" w:type="dxa"/>
            <w:vAlign w:val="bottom"/>
            <w:shd w:val="clear" w:color="auto" w:fill="D9D9D9"/>
          </w:tcPr>
          <w:p>
            <w:pPr>
              <w:spacing w:after="0"/>
              <w:rPr>
                <w:sz w:val="14"/>
                <w:szCs w:val="14"/>
                <w:color w:val="auto"/>
              </w:rPr>
            </w:pPr>
          </w:p>
        </w:tc>
        <w:tc>
          <w:tcPr>
            <w:tcW w:w="1060" w:type="dxa"/>
            <w:vAlign w:val="bottom"/>
            <w:shd w:val="clear" w:color="auto" w:fill="D9D9D9"/>
          </w:tcPr>
          <w:p>
            <w:pPr>
              <w:spacing w:after="0"/>
              <w:rPr>
                <w:sz w:val="14"/>
                <w:szCs w:val="14"/>
                <w:color w:val="auto"/>
              </w:rPr>
            </w:pPr>
          </w:p>
        </w:tc>
        <w:tc>
          <w:tcPr>
            <w:tcW w:w="880" w:type="dxa"/>
            <w:vAlign w:val="bottom"/>
            <w:shd w:val="clear" w:color="auto" w:fill="D9D9D9"/>
          </w:tcPr>
          <w:p>
            <w:pPr>
              <w:spacing w:after="0"/>
              <w:rPr>
                <w:sz w:val="14"/>
                <w:szCs w:val="14"/>
                <w:color w:val="auto"/>
              </w:rPr>
            </w:pPr>
          </w:p>
        </w:tc>
        <w:tc>
          <w:tcPr>
            <w:tcW w:w="340" w:type="dxa"/>
            <w:vAlign w:val="bottom"/>
            <w:shd w:val="clear" w:color="auto" w:fill="D9D9D9"/>
          </w:tcPr>
          <w:p>
            <w:pPr>
              <w:spacing w:after="0"/>
              <w:rPr>
                <w:sz w:val="14"/>
                <w:szCs w:val="14"/>
                <w:color w:val="auto"/>
              </w:rPr>
            </w:pPr>
          </w:p>
        </w:tc>
      </w:tr>
      <w:tr>
        <w:trPr>
          <w:trHeight w:val="296"/>
        </w:trPr>
        <w:tc>
          <w:tcPr>
            <w:tcW w:w="2920" w:type="dxa"/>
            <w:vAlign w:val="bottom"/>
            <w:shd w:val="clear" w:color="auto" w:fill="D9D9D9"/>
          </w:tcPr>
          <w:p>
            <w:pPr>
              <w:spacing w:after="0"/>
              <w:rPr>
                <w:sz w:val="20"/>
                <w:szCs w:val="20"/>
                <w:color w:val="auto"/>
              </w:rPr>
            </w:pPr>
            <w:r>
              <w:rPr>
                <w:rFonts w:ascii="Arial" w:cs="Arial" w:eastAsia="Arial" w:hAnsi="Arial"/>
                <w:sz w:val="12"/>
                <w:szCs w:val="12"/>
                <w:color w:val="auto"/>
              </w:rPr>
              <w:t>advances to Exar (Note 10)</w:t>
            </w:r>
          </w:p>
        </w:tc>
        <w:tc>
          <w:tcPr>
            <w:tcW w:w="760" w:type="dxa"/>
            <w:vAlign w:val="bottom"/>
            <w:shd w:val="clear" w:color="auto" w:fill="D9D9D9"/>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shd w:val="clear" w:color="auto" w:fill="D9D9D9"/>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shd w:val="clear" w:color="auto" w:fill="D9D9D9"/>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D9D9D9"/>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shd w:val="clear" w:color="auto" w:fill="D9D9D9"/>
          </w:tcPr>
          <w:p>
            <w:pPr>
              <w:jc w:val="right"/>
              <w:ind w:right="101"/>
              <w:spacing w:after="0"/>
              <w:rPr>
                <w:sz w:val="20"/>
                <w:szCs w:val="20"/>
                <w:color w:val="auto"/>
              </w:rPr>
            </w:pPr>
            <w:r>
              <w:rPr>
                <w:rFonts w:ascii="Arial" w:cs="Arial" w:eastAsia="Arial" w:hAnsi="Arial"/>
                <w:sz w:val="12"/>
                <w:szCs w:val="12"/>
                <w:color w:val="auto"/>
              </w:rPr>
              <w:t>-</w:t>
            </w:r>
          </w:p>
        </w:tc>
        <w:tc>
          <w:tcPr>
            <w:tcW w:w="1060" w:type="dxa"/>
            <w:vAlign w:val="bottom"/>
            <w:shd w:val="clear" w:color="auto" w:fill="D9D9D9"/>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shd w:val="clear" w:color="auto" w:fill="D9D9D9"/>
          </w:tcPr>
          <w:p>
            <w:pPr>
              <w:jc w:val="right"/>
              <w:spacing w:after="0"/>
              <w:rPr>
                <w:sz w:val="20"/>
                <w:szCs w:val="20"/>
                <w:color w:val="auto"/>
              </w:rPr>
            </w:pPr>
            <w:r>
              <w:rPr>
                <w:rFonts w:ascii="Arial" w:cs="Arial" w:eastAsia="Arial" w:hAnsi="Arial"/>
                <w:sz w:val="12"/>
                <w:szCs w:val="12"/>
                <w:color w:val="auto"/>
              </w:rPr>
              <w:t xml:space="preserve">(255 </w:t>
            </w:r>
            <w:r>
              <w:rPr>
                <w:rFonts w:ascii="Arial" w:cs="Arial" w:eastAsia="Arial" w:hAnsi="Arial"/>
                <w:sz w:val="24"/>
                <w:szCs w:val="24"/>
                <w:color w:val="auto"/>
                <w:vertAlign w:val="subscript"/>
              </w:rPr>
              <w:t>)</w:t>
            </w:r>
          </w:p>
        </w:tc>
        <w:tc>
          <w:tcPr>
            <w:tcW w:w="340" w:type="dxa"/>
            <w:vAlign w:val="bottom"/>
            <w:shd w:val="clear" w:color="auto" w:fill="D9D9D9"/>
          </w:tcPr>
          <w:p>
            <w:pPr>
              <w:spacing w:after="0"/>
              <w:rPr>
                <w:sz w:val="24"/>
                <w:szCs w:val="24"/>
                <w:color w:val="auto"/>
              </w:rPr>
            </w:pPr>
          </w:p>
        </w:tc>
      </w:tr>
      <w:tr>
        <w:trPr>
          <w:trHeight w:val="236"/>
        </w:trPr>
        <w:tc>
          <w:tcPr>
            <w:tcW w:w="2920" w:type="dxa"/>
            <w:vAlign w:val="bottom"/>
            <w:shd w:val="clear" w:color="auto" w:fill="D9D9D9"/>
          </w:tcPr>
          <w:p>
            <w:pPr>
              <w:spacing w:after="0"/>
              <w:rPr>
                <w:sz w:val="20"/>
                <w:szCs w:val="20"/>
                <w:color w:val="auto"/>
              </w:rPr>
            </w:pPr>
            <w:r>
              <w:rPr>
                <w:rFonts w:ascii="Arial" w:cs="Arial" w:eastAsia="Arial" w:hAnsi="Arial"/>
                <w:sz w:val="12"/>
                <w:szCs w:val="12"/>
                <w:color w:val="auto"/>
              </w:rPr>
              <w:t>Net loss</w:t>
            </w:r>
          </w:p>
        </w:tc>
        <w:tc>
          <w:tcPr>
            <w:tcW w:w="760" w:type="dxa"/>
            <w:vAlign w:val="bottom"/>
            <w:shd w:val="clear" w:color="auto" w:fill="D9D9D9"/>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shd w:val="clear" w:color="auto" w:fill="D9D9D9"/>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shd w:val="clear" w:color="auto" w:fill="D9D9D9"/>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D9D9D9"/>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shd w:val="clear" w:color="auto" w:fill="D9D9D9"/>
          </w:tcPr>
          <w:p>
            <w:pPr>
              <w:jc w:val="right"/>
              <w:ind w:right="41"/>
              <w:spacing w:after="0" w:line="235" w:lineRule="exact"/>
              <w:rPr>
                <w:sz w:val="20"/>
                <w:szCs w:val="20"/>
                <w:color w:val="auto"/>
              </w:rPr>
            </w:pPr>
            <w:r>
              <w:rPr>
                <w:rFonts w:ascii="Arial" w:cs="Arial" w:eastAsia="Arial" w:hAnsi="Arial"/>
                <w:sz w:val="12"/>
                <w:szCs w:val="12"/>
                <w:color w:val="auto"/>
              </w:rPr>
              <w:t xml:space="preserve">(75,449 </w:t>
            </w:r>
            <w:r>
              <w:rPr>
                <w:rFonts w:ascii="Arial" w:cs="Arial" w:eastAsia="Arial" w:hAnsi="Arial"/>
                <w:sz w:val="24"/>
                <w:szCs w:val="24"/>
                <w:color w:val="auto"/>
                <w:vertAlign w:val="subscript"/>
              </w:rPr>
              <w:t>)</w:t>
            </w:r>
          </w:p>
        </w:tc>
        <w:tc>
          <w:tcPr>
            <w:tcW w:w="1060" w:type="dxa"/>
            <w:vAlign w:val="bottom"/>
            <w:shd w:val="clear" w:color="auto" w:fill="D9D9D9"/>
          </w:tcPr>
          <w:p>
            <w:pPr>
              <w:jc w:val="right"/>
              <w:ind w:right="20"/>
              <w:spacing w:after="0" w:line="235" w:lineRule="exact"/>
              <w:rPr>
                <w:sz w:val="20"/>
                <w:szCs w:val="20"/>
                <w:color w:val="auto"/>
              </w:rPr>
            </w:pPr>
            <w:r>
              <w:rPr>
                <w:rFonts w:ascii="Arial" w:cs="Arial" w:eastAsia="Arial" w:hAnsi="Arial"/>
                <w:sz w:val="12"/>
                <w:szCs w:val="12"/>
                <w:color w:val="auto"/>
              </w:rPr>
              <w:t xml:space="preserve">(75,449 </w:t>
            </w:r>
            <w:r>
              <w:rPr>
                <w:rFonts w:ascii="Arial" w:cs="Arial" w:eastAsia="Arial" w:hAnsi="Arial"/>
                <w:sz w:val="24"/>
                <w:szCs w:val="24"/>
                <w:color w:val="auto"/>
                <w:vertAlign w:val="subscript"/>
              </w:rPr>
              <w:t>)</w:t>
            </w:r>
          </w:p>
        </w:tc>
        <w:tc>
          <w:tcPr>
            <w:tcW w:w="880" w:type="dxa"/>
            <w:vAlign w:val="bottom"/>
            <w:shd w:val="clear" w:color="auto" w:fill="D9D9D9"/>
          </w:tcPr>
          <w:p>
            <w:pPr>
              <w:jc w:val="right"/>
              <w:spacing w:after="0" w:line="235" w:lineRule="exact"/>
              <w:rPr>
                <w:sz w:val="20"/>
                <w:szCs w:val="20"/>
                <w:color w:val="auto"/>
              </w:rPr>
            </w:pPr>
            <w:r>
              <w:rPr>
                <w:rFonts w:ascii="Arial" w:cs="Arial" w:eastAsia="Arial" w:hAnsi="Arial"/>
                <w:sz w:val="12"/>
                <w:szCs w:val="12"/>
                <w:color w:val="auto"/>
              </w:rPr>
              <w:t xml:space="preserve">(1,431 </w:t>
            </w:r>
            <w:r>
              <w:rPr>
                <w:rFonts w:ascii="Arial" w:cs="Arial" w:eastAsia="Arial" w:hAnsi="Arial"/>
                <w:sz w:val="24"/>
                <w:szCs w:val="24"/>
                <w:color w:val="auto"/>
                <w:vertAlign w:val="subscript"/>
              </w:rPr>
              <w:t>)</w:t>
            </w:r>
          </w:p>
        </w:tc>
        <w:tc>
          <w:tcPr>
            <w:tcW w:w="340" w:type="dxa"/>
            <w:vAlign w:val="bottom"/>
            <w:shd w:val="clear" w:color="auto" w:fill="D9D9D9"/>
          </w:tcPr>
          <w:p>
            <w:pPr>
              <w:spacing w:after="0"/>
              <w:rPr>
                <w:sz w:val="20"/>
                <w:szCs w:val="20"/>
                <w:color w:val="auto"/>
              </w:rPr>
            </w:pPr>
          </w:p>
        </w:tc>
      </w:tr>
      <w:tr>
        <w:trPr>
          <w:trHeight w:val="295"/>
        </w:trPr>
        <w:tc>
          <w:tcPr>
            <w:tcW w:w="2920" w:type="dxa"/>
            <w:vAlign w:val="bottom"/>
            <w:shd w:val="clear" w:color="auto" w:fill="D9D9D9"/>
          </w:tcPr>
          <w:p>
            <w:pPr>
              <w:spacing w:after="0"/>
              <w:rPr>
                <w:sz w:val="20"/>
                <w:szCs w:val="20"/>
                <w:color w:val="auto"/>
              </w:rPr>
            </w:pPr>
            <w:r>
              <w:rPr>
                <w:rFonts w:ascii="Arial" w:cs="Arial" w:eastAsia="Arial" w:hAnsi="Arial"/>
                <w:sz w:val="12"/>
                <w:szCs w:val="12"/>
                <w:color w:val="auto"/>
              </w:rPr>
              <w:t>Balance December 31, 2025</w:t>
            </w:r>
          </w:p>
        </w:tc>
        <w:tc>
          <w:tcPr>
            <w:tcW w:w="760" w:type="dxa"/>
            <w:vAlign w:val="bottom"/>
            <w:shd w:val="clear" w:color="auto" w:fill="D9D9D9"/>
          </w:tcPr>
          <w:p>
            <w:pPr>
              <w:jc w:val="right"/>
              <w:ind w:right="80"/>
              <w:spacing w:after="0"/>
              <w:rPr>
                <w:sz w:val="20"/>
                <w:szCs w:val="20"/>
                <w:color w:val="auto"/>
              </w:rPr>
            </w:pPr>
            <w:r>
              <w:rPr>
                <w:rFonts w:ascii="Arial" w:cs="Arial" w:eastAsia="Arial" w:hAnsi="Arial"/>
                <w:sz w:val="12"/>
                <w:szCs w:val="12"/>
                <w:color w:val="auto"/>
              </w:rPr>
              <w:t>162,407</w:t>
            </w:r>
          </w:p>
        </w:tc>
        <w:tc>
          <w:tcPr>
            <w:tcW w:w="780" w:type="dxa"/>
            <w:vAlign w:val="bottom"/>
            <w:shd w:val="clear" w:color="auto" w:fill="D9D9D9"/>
          </w:tcPr>
          <w:p>
            <w:pPr>
              <w:jc w:val="right"/>
              <w:ind w:right="120"/>
              <w:spacing w:after="0"/>
              <w:rPr>
                <w:sz w:val="20"/>
                <w:szCs w:val="20"/>
                <w:color w:val="auto"/>
              </w:rPr>
            </w:pPr>
            <w:r>
              <w:rPr>
                <w:rFonts w:ascii="Arial" w:cs="Arial" w:eastAsia="Arial" w:hAnsi="Arial"/>
                <w:sz w:val="12"/>
                <w:szCs w:val="12"/>
                <w:color w:val="auto"/>
              </w:rPr>
              <w:t>1,624</w:t>
            </w:r>
          </w:p>
        </w:tc>
        <w:tc>
          <w:tcPr>
            <w:tcW w:w="820" w:type="dxa"/>
            <w:vAlign w:val="bottom"/>
            <w:shd w:val="clear" w:color="auto" w:fill="D9D9D9"/>
          </w:tcPr>
          <w:p>
            <w:pPr>
              <w:jc w:val="right"/>
              <w:ind w:right="60"/>
              <w:spacing w:after="0"/>
              <w:rPr>
                <w:sz w:val="20"/>
                <w:szCs w:val="20"/>
                <w:color w:val="auto"/>
              </w:rPr>
            </w:pPr>
            <w:r>
              <w:rPr>
                <w:rFonts w:ascii="Arial" w:cs="Arial" w:eastAsia="Arial" w:hAnsi="Arial"/>
                <w:sz w:val="12"/>
                <w:szCs w:val="12"/>
                <w:color w:val="auto"/>
              </w:rPr>
              <w:t>1,514,732</w:t>
            </w:r>
          </w:p>
        </w:tc>
        <w:tc>
          <w:tcPr>
            <w:tcW w:w="1200" w:type="dxa"/>
            <w:vAlign w:val="bottom"/>
            <w:shd w:val="clear" w:color="auto" w:fill="D9D9D9"/>
          </w:tcPr>
          <w:p>
            <w:pPr>
              <w:jc w:val="right"/>
              <w:ind w:right="100"/>
              <w:spacing w:after="0"/>
              <w:rPr>
                <w:sz w:val="20"/>
                <w:szCs w:val="20"/>
                <w:color w:val="auto"/>
              </w:rPr>
            </w:pPr>
            <w:r>
              <w:rPr>
                <w:rFonts w:ascii="Arial" w:cs="Arial" w:eastAsia="Arial" w:hAnsi="Arial"/>
                <w:sz w:val="12"/>
                <w:szCs w:val="12"/>
                <w:color w:val="auto"/>
              </w:rPr>
              <w:t xml:space="preserve">(3,487 </w:t>
            </w:r>
            <w:r>
              <w:rPr>
                <w:rFonts w:ascii="Arial" w:cs="Arial" w:eastAsia="Arial" w:hAnsi="Arial"/>
                <w:sz w:val="24"/>
                <w:szCs w:val="24"/>
                <w:color w:val="auto"/>
                <w:vertAlign w:val="subscript"/>
              </w:rPr>
              <w:t>)</w:t>
            </w:r>
          </w:p>
        </w:tc>
        <w:tc>
          <w:tcPr>
            <w:tcW w:w="800" w:type="dxa"/>
            <w:vAlign w:val="bottom"/>
            <w:shd w:val="clear" w:color="auto" w:fill="D9D9D9"/>
          </w:tcPr>
          <w:p>
            <w:pPr>
              <w:jc w:val="right"/>
              <w:ind w:right="41"/>
              <w:spacing w:after="0"/>
              <w:rPr>
                <w:sz w:val="20"/>
                <w:szCs w:val="20"/>
                <w:color w:val="auto"/>
              </w:rPr>
            </w:pPr>
            <w:r>
              <w:rPr>
                <w:rFonts w:ascii="Arial" w:cs="Arial" w:eastAsia="Arial" w:hAnsi="Arial"/>
                <w:sz w:val="12"/>
                <w:szCs w:val="12"/>
                <w:color w:val="auto"/>
              </w:rPr>
              <w:t xml:space="preserve">(744,989 </w:t>
            </w:r>
            <w:r>
              <w:rPr>
                <w:rFonts w:ascii="Arial" w:cs="Arial" w:eastAsia="Arial" w:hAnsi="Arial"/>
                <w:sz w:val="24"/>
                <w:szCs w:val="24"/>
                <w:color w:val="auto"/>
                <w:vertAlign w:val="subscript"/>
              </w:rPr>
              <w:t>)</w:t>
            </w:r>
          </w:p>
        </w:tc>
        <w:tc>
          <w:tcPr>
            <w:tcW w:w="1060" w:type="dxa"/>
            <w:vAlign w:val="bottom"/>
            <w:shd w:val="clear" w:color="auto" w:fill="D9D9D9"/>
          </w:tcPr>
          <w:p>
            <w:pPr>
              <w:jc w:val="right"/>
              <w:ind w:right="80"/>
              <w:spacing w:after="0"/>
              <w:rPr>
                <w:sz w:val="20"/>
                <w:szCs w:val="20"/>
                <w:color w:val="auto"/>
              </w:rPr>
            </w:pPr>
            <w:r>
              <w:rPr>
                <w:rFonts w:ascii="Arial" w:cs="Arial" w:eastAsia="Arial" w:hAnsi="Arial"/>
                <w:sz w:val="12"/>
                <w:szCs w:val="12"/>
                <w:color w:val="auto"/>
              </w:rPr>
              <w:t>767,880</w:t>
            </w:r>
          </w:p>
        </w:tc>
        <w:tc>
          <w:tcPr>
            <w:tcW w:w="880" w:type="dxa"/>
            <w:vAlign w:val="bottom"/>
            <w:shd w:val="clear" w:color="auto" w:fill="D9D9D9"/>
          </w:tcPr>
          <w:p>
            <w:pPr>
              <w:jc w:val="right"/>
              <w:ind w:right="60"/>
              <w:spacing w:after="0"/>
              <w:rPr>
                <w:sz w:val="20"/>
                <w:szCs w:val="20"/>
                <w:color w:val="auto"/>
              </w:rPr>
            </w:pPr>
            <w:r>
              <w:rPr>
                <w:rFonts w:ascii="Arial" w:cs="Arial" w:eastAsia="Arial" w:hAnsi="Arial"/>
                <w:sz w:val="12"/>
                <w:szCs w:val="12"/>
                <w:color w:val="auto"/>
              </w:rPr>
              <w:t>49,053</w:t>
            </w:r>
          </w:p>
        </w:tc>
        <w:tc>
          <w:tcPr>
            <w:tcW w:w="340" w:type="dxa"/>
            <w:vAlign w:val="bottom"/>
            <w:shd w:val="clear" w:color="auto" w:fill="D9D9D9"/>
          </w:tcPr>
          <w:p>
            <w:pPr>
              <w:jc w:val="right"/>
              <w:spacing w:after="0"/>
              <w:rPr>
                <w:sz w:val="20"/>
                <w:szCs w:val="20"/>
                <w:color w:val="auto"/>
              </w:rPr>
            </w:pPr>
            <w:r>
              <w:rPr>
                <w:rFonts w:ascii="Arial" w:cs="Arial" w:eastAsia="Arial" w:hAnsi="Arial"/>
                <w:sz w:val="12"/>
                <w:szCs w:val="12"/>
                <w:color w:val="auto"/>
              </w:rPr>
              <w:t>8</w:t>
            </w:r>
          </w:p>
        </w:tc>
      </w:tr>
      <w:tr>
        <w:trPr>
          <w:trHeight w:val="29"/>
        </w:trPr>
        <w:tc>
          <w:tcPr>
            <w:tcW w:w="2920" w:type="dxa"/>
            <w:vAlign w:val="bottom"/>
            <w:shd w:val="clear" w:color="auto" w:fill="D9D9D9"/>
          </w:tcPr>
          <w:p>
            <w:pPr>
              <w:spacing w:after="0"/>
              <w:rPr>
                <w:sz w:val="2"/>
                <w:szCs w:val="2"/>
                <w:color w:val="auto"/>
              </w:rPr>
            </w:pPr>
          </w:p>
        </w:tc>
        <w:tc>
          <w:tcPr>
            <w:tcW w:w="760" w:type="dxa"/>
            <w:vAlign w:val="bottom"/>
            <w:shd w:val="clear" w:color="auto" w:fill="D9D9D9"/>
          </w:tcPr>
          <w:p>
            <w:pPr>
              <w:spacing w:after="0"/>
              <w:rPr>
                <w:sz w:val="2"/>
                <w:szCs w:val="2"/>
                <w:color w:val="auto"/>
              </w:rPr>
            </w:pPr>
          </w:p>
        </w:tc>
        <w:tc>
          <w:tcPr>
            <w:tcW w:w="780" w:type="dxa"/>
            <w:vAlign w:val="bottom"/>
            <w:shd w:val="clear" w:color="auto" w:fill="D9D9D9"/>
          </w:tcPr>
          <w:p>
            <w:pPr>
              <w:spacing w:after="0"/>
              <w:rPr>
                <w:sz w:val="2"/>
                <w:szCs w:val="2"/>
                <w:color w:val="auto"/>
              </w:rPr>
            </w:pPr>
          </w:p>
        </w:tc>
        <w:tc>
          <w:tcPr>
            <w:tcW w:w="820" w:type="dxa"/>
            <w:vAlign w:val="bottom"/>
            <w:shd w:val="clear" w:color="auto" w:fill="D9D9D9"/>
          </w:tcPr>
          <w:p>
            <w:pPr>
              <w:spacing w:after="0"/>
              <w:rPr>
                <w:sz w:val="2"/>
                <w:szCs w:val="2"/>
                <w:color w:val="auto"/>
              </w:rPr>
            </w:pPr>
          </w:p>
        </w:tc>
        <w:tc>
          <w:tcPr>
            <w:tcW w:w="1200" w:type="dxa"/>
            <w:vAlign w:val="bottom"/>
            <w:shd w:val="clear" w:color="auto" w:fill="D9D9D9"/>
          </w:tcPr>
          <w:p>
            <w:pPr>
              <w:spacing w:after="0"/>
              <w:rPr>
                <w:sz w:val="2"/>
                <w:szCs w:val="2"/>
                <w:color w:val="auto"/>
              </w:rPr>
            </w:pPr>
          </w:p>
        </w:tc>
        <w:tc>
          <w:tcPr>
            <w:tcW w:w="800" w:type="dxa"/>
            <w:vAlign w:val="bottom"/>
            <w:shd w:val="clear" w:color="auto" w:fill="D9D9D9"/>
          </w:tcPr>
          <w:p>
            <w:pPr>
              <w:spacing w:after="0"/>
              <w:rPr>
                <w:sz w:val="2"/>
                <w:szCs w:val="2"/>
                <w:color w:val="auto"/>
              </w:rPr>
            </w:pPr>
          </w:p>
        </w:tc>
        <w:tc>
          <w:tcPr>
            <w:tcW w:w="1060" w:type="dxa"/>
            <w:vAlign w:val="bottom"/>
            <w:shd w:val="clear" w:color="auto" w:fill="D9D9D9"/>
          </w:tcPr>
          <w:p>
            <w:pPr>
              <w:spacing w:after="0"/>
              <w:rPr>
                <w:sz w:val="2"/>
                <w:szCs w:val="2"/>
                <w:color w:val="auto"/>
              </w:rPr>
            </w:pPr>
          </w:p>
        </w:tc>
        <w:tc>
          <w:tcPr>
            <w:tcW w:w="880" w:type="dxa"/>
            <w:vAlign w:val="bottom"/>
            <w:shd w:val="clear" w:color="auto" w:fill="D9D9D9"/>
          </w:tcPr>
          <w:p>
            <w:pPr>
              <w:spacing w:after="0"/>
              <w:rPr>
                <w:sz w:val="2"/>
                <w:szCs w:val="2"/>
                <w:color w:val="auto"/>
              </w:rPr>
            </w:pPr>
          </w:p>
        </w:tc>
        <w:tc>
          <w:tcPr>
            <w:tcW w:w="340" w:type="dxa"/>
            <w:vAlign w:val="bottom"/>
            <w:shd w:val="clear" w:color="auto" w:fill="D9D9D9"/>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438150</wp:posOffset>
            </wp:positionV>
            <wp:extent cx="1676400" cy="1905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9">
                      <a:extLst>
                        <a:ext uri="{28A0092B-C50C-407E-A947-70E740481C1C}"/>
                      </a:extLst>
                    </a:blip>
                    <a:srcRect/>
                    <a:stretch>
                      <a:fillRect/>
                    </a:stretch>
                  </pic:blipFill>
                  <pic:spPr bwMode="auto">
                    <a:xfrm>
                      <a:off x="0" y="0"/>
                      <a:ext cx="1676400" cy="19050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-4685665</wp:posOffset>
            </wp:positionV>
            <wp:extent cx="6078220" cy="635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0">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-4440555</wp:posOffset>
            </wp:positionV>
            <wp:extent cx="6078220" cy="635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1">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-4234180</wp:posOffset>
            </wp:positionV>
            <wp:extent cx="6078220" cy="63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2">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-2591435</wp:posOffset>
            </wp:positionV>
            <wp:extent cx="6078220" cy="635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3">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-2385060</wp:posOffset>
            </wp:positionV>
            <wp:extent cx="6078220" cy="635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4">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-1540510</wp:posOffset>
            </wp:positionV>
            <wp:extent cx="6078220" cy="63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5">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-1334770</wp:posOffset>
            </wp:positionV>
            <wp:extent cx="6078220" cy="635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6">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-211455</wp:posOffset>
            </wp:positionV>
            <wp:extent cx="6078220" cy="63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7">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-5715</wp:posOffset>
            </wp:positionV>
            <wp:extent cx="6078220" cy="63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8">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12 / 16</w:t>
      </w:r>
    </w:p>
    <w:p>
      <w:pPr>
        <w:sectPr>
          <w:pgSz w:w="11900" w:h="16838" w:orient="portrait"/>
          <w:cols w:equalWidth="0" w:num="1">
            <w:col w:w="10460"/>
          </w:cols>
          <w:pgMar w:left="1440" w:top="1440" w:right="6" w:bottom="0" w:gutter="0" w:footer="0" w:header="0"/>
          <w:type w:val="continuous"/>
        </w:sectPr>
      </w:pPr>
    </w:p>
    <w:bookmarkStart w:id="380" w:name="page381"/>
    <w:bookmarkEnd w:id="3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spacing w:after="0"/>
        <w:rPr>
          <w:sz w:val="20"/>
          <w:szCs w:val="20"/>
          <w:color w:val="auto"/>
        </w:rPr>
      </w:pPr>
      <w:r>
        <w:rPr>
          <w:rFonts w:ascii="Arial" w:cs="Arial" w:eastAsia="Arial" w:hAnsi="Arial"/>
          <w:sz w:val="19"/>
          <w:szCs w:val="19"/>
          <w:b w:val="1"/>
          <w:bCs w:val="1"/>
          <w:color w:val="153A57"/>
        </w:rPr>
        <w:t>LITHIUM ARGENTINA AG (FORMERLY LITHIUM AMERICAS (ARGENTINA) CORP.</w:t>
      </w:r>
    </w:p>
    <w:p>
      <w:pPr>
        <w:spacing w:after="0" w:line="76"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CONSOLIDATED STATEMENTS OF CASH FLOWS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236220</wp:posOffset>
            </wp:positionV>
            <wp:extent cx="6078220" cy="2857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0">
                      <a:extLst>
                        <a:ext uri="{28A0092B-C50C-407E-A947-70E740481C1C}"/>
                      </a:extLst>
                    </a:blip>
                    <a:srcRect/>
                    <a:stretch>
                      <a:fillRect/>
                    </a:stretch>
                  </pic:blipFill>
                  <pic:spPr bwMode="auto">
                    <a:xfrm>
                      <a:off x="0" y="0"/>
                      <a:ext cx="6078220" cy="28575"/>
                    </a:xfrm>
                    <a:prstGeom prst="rect">
                      <a:avLst/>
                    </a:prstGeom>
                    <a:noFill/>
                  </pic:spPr>
                </pic:pic>
              </a:graphicData>
            </a:graphic>
          </wp:anchor>
        </w:drawing>
      </w:r>
    </w:p>
    <w:p>
      <w:pPr>
        <w:sectPr>
          <w:pgSz w:w="11900" w:h="16838" w:orient="portrait"/>
          <w:cols w:equalWidth="0" w:num="1">
            <w:col w:w="10440"/>
          </w:cols>
          <w:pgMar w:left="1440" w:top="1440" w:right="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b w:val="1"/>
                <w:bCs w:val="1"/>
                <w:color w:val="auto"/>
              </w:rPr>
              <w:t>Note</w:t>
            </w:r>
          </w:p>
        </w:tc>
      </w:tr>
      <w:tr>
        <w:trPr>
          <w:trHeight w:val="461"/>
        </w:trPr>
        <w:tc>
          <w:tcPr>
            <w:tcW w:w="460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740" w:type="dxa"/>
            <w:vAlign w:val="bottom"/>
          </w:tcPr>
          <w:p>
            <w:pPr>
              <w:spacing w:after="0"/>
              <w:rPr>
                <w:sz w:val="24"/>
                <w:szCs w:val="24"/>
                <w:color w:val="auto"/>
              </w:rPr>
            </w:pPr>
          </w:p>
        </w:tc>
      </w:tr>
      <w:tr>
        <w:trPr>
          <w:trHeight w:val="314"/>
        </w:trPr>
        <w:tc>
          <w:tcPr>
            <w:tcW w:w="4600" w:type="dxa"/>
            <w:vAlign w:val="bottom"/>
          </w:tcPr>
          <w:p>
            <w:pPr>
              <w:spacing w:after="0"/>
              <w:rPr>
                <w:sz w:val="20"/>
                <w:szCs w:val="20"/>
                <w:color w:val="auto"/>
              </w:rPr>
            </w:pPr>
            <w:r>
              <w:rPr>
                <w:rFonts w:ascii="Arial" w:cs="Arial" w:eastAsia="Arial" w:hAnsi="Arial"/>
                <w:sz w:val="14"/>
                <w:szCs w:val="14"/>
                <w:b w:val="1"/>
                <w:bCs w:val="1"/>
                <w:color w:val="auto"/>
              </w:rPr>
              <w:t>(Loss)/income from continuing operations</w:t>
            </w:r>
          </w:p>
        </w:tc>
        <w:tc>
          <w:tcPr>
            <w:tcW w:w="740" w:type="dxa"/>
            <w:vAlign w:val="bottom"/>
          </w:tcPr>
          <w:p>
            <w:pPr>
              <w:spacing w:after="0"/>
              <w:rPr>
                <w:sz w:val="24"/>
                <w:szCs w:val="24"/>
                <w:color w:val="auto"/>
              </w:rPr>
            </w:pPr>
          </w:p>
        </w:tc>
      </w:tr>
      <w:tr>
        <w:trPr>
          <w:trHeight w:val="451"/>
        </w:trPr>
        <w:tc>
          <w:tcPr>
            <w:tcW w:w="4600" w:type="dxa"/>
            <w:vAlign w:val="bottom"/>
          </w:tcPr>
          <w:p>
            <w:pPr>
              <w:spacing w:after="0"/>
              <w:rPr>
                <w:sz w:val="20"/>
                <w:szCs w:val="20"/>
                <w:color w:val="auto"/>
              </w:rPr>
            </w:pPr>
            <w:r>
              <w:rPr>
                <w:rFonts w:ascii="Arial" w:cs="Arial" w:eastAsia="Arial" w:hAnsi="Arial"/>
                <w:sz w:val="14"/>
                <w:szCs w:val="14"/>
                <w:color w:val="auto"/>
              </w:rPr>
              <w:t>Items not affecting cash and other items:</w:t>
            </w:r>
          </w:p>
        </w:tc>
        <w:tc>
          <w:tcPr>
            <w:tcW w:w="740" w:type="dxa"/>
            <w:vAlign w:val="bottom"/>
          </w:tcPr>
          <w:p>
            <w:pPr>
              <w:spacing w:after="0"/>
              <w:rPr>
                <w:sz w:val="24"/>
                <w:szCs w:val="24"/>
                <w:color w:val="auto"/>
              </w:rPr>
            </w:pPr>
          </w:p>
        </w:tc>
      </w:tr>
      <w:tr>
        <w:trPr>
          <w:trHeight w:val="314"/>
        </w:trPr>
        <w:tc>
          <w:tcPr>
            <w:tcW w:w="4600" w:type="dxa"/>
            <w:vAlign w:val="bottom"/>
          </w:tcPr>
          <w:p>
            <w:pPr>
              <w:ind w:left="200"/>
              <w:spacing w:after="0"/>
              <w:rPr>
                <w:sz w:val="20"/>
                <w:szCs w:val="20"/>
                <w:color w:val="auto"/>
              </w:rPr>
            </w:pPr>
            <w:r>
              <w:rPr>
                <w:rFonts w:ascii="Arial" w:cs="Arial" w:eastAsia="Arial" w:hAnsi="Arial"/>
                <w:sz w:val="14"/>
                <w:szCs w:val="14"/>
                <w:color w:val="auto"/>
              </w:rPr>
              <w:t>Share based compensation</w:t>
            </w:r>
          </w:p>
        </w:tc>
        <w:tc>
          <w:tcPr>
            <w:tcW w:w="740" w:type="dxa"/>
            <w:vAlign w:val="bottom"/>
          </w:tcPr>
          <w:p>
            <w:pPr>
              <w:spacing w:after="0"/>
              <w:rPr>
                <w:sz w:val="24"/>
                <w:szCs w:val="24"/>
                <w:color w:val="auto"/>
              </w:rPr>
            </w:pPr>
          </w:p>
        </w:tc>
      </w:tr>
      <w:tr>
        <w:trPr>
          <w:trHeight w:val="314"/>
        </w:trPr>
        <w:tc>
          <w:tcPr>
            <w:tcW w:w="4600" w:type="dxa"/>
            <w:vAlign w:val="bottom"/>
          </w:tcPr>
          <w:p>
            <w:pPr>
              <w:ind w:left="200"/>
              <w:spacing w:after="0"/>
              <w:rPr>
                <w:sz w:val="20"/>
                <w:szCs w:val="20"/>
                <w:color w:val="auto"/>
              </w:rPr>
            </w:pPr>
            <w:r>
              <w:rPr>
                <w:rFonts w:ascii="Arial" w:cs="Arial" w:eastAsia="Arial" w:hAnsi="Arial"/>
                <w:sz w:val="14"/>
                <w:szCs w:val="14"/>
                <w:color w:val="auto"/>
              </w:rPr>
              <w:t>Depreciation</w:t>
            </w: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314"/>
        </w:trPr>
        <w:tc>
          <w:tcPr>
            <w:tcW w:w="4600" w:type="dxa"/>
            <w:vAlign w:val="bottom"/>
          </w:tcPr>
          <w:p>
            <w:pPr>
              <w:ind w:left="200"/>
              <w:spacing w:after="0"/>
              <w:rPr>
                <w:sz w:val="20"/>
                <w:szCs w:val="20"/>
                <w:color w:val="auto"/>
              </w:rPr>
            </w:pPr>
            <w:r>
              <w:rPr>
                <w:rFonts w:ascii="Arial" w:cs="Arial" w:eastAsia="Arial" w:hAnsi="Arial"/>
                <w:sz w:val="14"/>
                <w:szCs w:val="14"/>
                <w:color w:val="auto"/>
              </w:rPr>
              <w:t>Current tax expense</w:t>
            </w:r>
          </w:p>
        </w:tc>
        <w:tc>
          <w:tcPr>
            <w:tcW w:w="7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314"/>
        </w:trPr>
        <w:tc>
          <w:tcPr>
            <w:tcW w:w="4600" w:type="dxa"/>
            <w:vAlign w:val="bottom"/>
          </w:tcPr>
          <w:p>
            <w:pPr>
              <w:ind w:left="200"/>
              <w:spacing w:after="0"/>
              <w:rPr>
                <w:sz w:val="20"/>
                <w:szCs w:val="20"/>
                <w:color w:val="auto"/>
              </w:rPr>
            </w:pPr>
            <w:r>
              <w:rPr>
                <w:rFonts w:ascii="Arial" w:cs="Arial" w:eastAsia="Arial" w:hAnsi="Arial"/>
                <w:sz w:val="14"/>
                <w:szCs w:val="14"/>
                <w:color w:val="auto"/>
              </w:rPr>
              <w:t>Deferred tax expense/(recovery)</w:t>
            </w:r>
          </w:p>
        </w:tc>
        <w:tc>
          <w:tcPr>
            <w:tcW w:w="7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314"/>
        </w:trPr>
        <w:tc>
          <w:tcPr>
            <w:tcW w:w="4600" w:type="dxa"/>
            <w:vAlign w:val="bottom"/>
          </w:tcPr>
          <w:p>
            <w:pPr>
              <w:ind w:left="200"/>
              <w:spacing w:after="0"/>
              <w:rPr>
                <w:sz w:val="20"/>
                <w:szCs w:val="20"/>
                <w:color w:val="auto"/>
              </w:rPr>
            </w:pPr>
            <w:r>
              <w:rPr>
                <w:rFonts w:ascii="Arial" w:cs="Arial" w:eastAsia="Arial" w:hAnsi="Arial"/>
                <w:sz w:val="14"/>
                <w:szCs w:val="14"/>
                <w:color w:val="auto"/>
              </w:rPr>
              <w:t>Foreign exchange loss/(gain)</w:t>
            </w:r>
          </w:p>
        </w:tc>
        <w:tc>
          <w:tcPr>
            <w:tcW w:w="740" w:type="dxa"/>
            <w:vAlign w:val="bottom"/>
          </w:tcPr>
          <w:p>
            <w:pPr>
              <w:spacing w:after="0"/>
              <w:rPr>
                <w:sz w:val="24"/>
                <w:szCs w:val="24"/>
                <w:color w:val="auto"/>
              </w:rPr>
            </w:pPr>
          </w:p>
        </w:tc>
      </w:tr>
      <w:tr>
        <w:trPr>
          <w:trHeight w:val="314"/>
        </w:trPr>
        <w:tc>
          <w:tcPr>
            <w:tcW w:w="4600" w:type="dxa"/>
            <w:vAlign w:val="bottom"/>
          </w:tcPr>
          <w:p>
            <w:pPr>
              <w:ind w:left="200"/>
              <w:spacing w:after="0"/>
              <w:rPr>
                <w:sz w:val="20"/>
                <w:szCs w:val="20"/>
                <w:color w:val="auto"/>
              </w:rPr>
            </w:pPr>
            <w:r>
              <w:rPr>
                <w:rFonts w:ascii="Arial" w:cs="Arial" w:eastAsia="Arial" w:hAnsi="Arial"/>
                <w:sz w:val="14"/>
                <w:szCs w:val="14"/>
                <w:color w:val="auto"/>
              </w:rPr>
              <w:t>Share of loss of Cauchari-Olaroz Project</w:t>
            </w: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14"/>
        </w:trPr>
        <w:tc>
          <w:tcPr>
            <w:tcW w:w="4600" w:type="dxa"/>
            <w:vAlign w:val="bottom"/>
          </w:tcPr>
          <w:p>
            <w:pPr>
              <w:ind w:left="200"/>
              <w:spacing w:after="0"/>
              <w:rPr>
                <w:sz w:val="20"/>
                <w:szCs w:val="20"/>
                <w:color w:val="auto"/>
              </w:rPr>
            </w:pPr>
            <w:r>
              <w:rPr>
                <w:rFonts w:ascii="Arial" w:cs="Arial" w:eastAsia="Arial" w:hAnsi="Arial"/>
                <w:sz w:val="14"/>
                <w:szCs w:val="14"/>
                <w:color w:val="auto"/>
              </w:rPr>
              <w:t>Loss on JEMSE receivable</w:t>
            </w: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14"/>
        </w:trPr>
        <w:tc>
          <w:tcPr>
            <w:tcW w:w="4600" w:type="dxa"/>
            <w:vAlign w:val="bottom"/>
          </w:tcPr>
          <w:p>
            <w:pPr>
              <w:ind w:left="200"/>
              <w:spacing w:after="0"/>
              <w:rPr>
                <w:sz w:val="20"/>
                <w:szCs w:val="20"/>
                <w:color w:val="auto"/>
              </w:rPr>
            </w:pPr>
            <w:r>
              <w:rPr>
                <w:rFonts w:ascii="Arial" w:cs="Arial" w:eastAsia="Arial" w:hAnsi="Arial"/>
                <w:sz w:val="14"/>
                <w:szCs w:val="14"/>
                <w:color w:val="auto"/>
              </w:rPr>
              <w:t>Share of loss of Arena Minerals</w:t>
            </w:r>
          </w:p>
        </w:tc>
        <w:tc>
          <w:tcPr>
            <w:tcW w:w="740" w:type="dxa"/>
            <w:vAlign w:val="bottom"/>
          </w:tcPr>
          <w:p>
            <w:pPr>
              <w:spacing w:after="0"/>
              <w:rPr>
                <w:sz w:val="24"/>
                <w:szCs w:val="24"/>
                <w:color w:val="auto"/>
              </w:rPr>
            </w:pPr>
          </w:p>
        </w:tc>
      </w:tr>
      <w:tr>
        <w:trPr>
          <w:trHeight w:val="314"/>
        </w:trPr>
        <w:tc>
          <w:tcPr>
            <w:tcW w:w="4600" w:type="dxa"/>
            <w:vAlign w:val="bottom"/>
          </w:tcPr>
          <w:p>
            <w:pPr>
              <w:ind w:left="200"/>
              <w:spacing w:after="0"/>
              <w:rPr>
                <w:sz w:val="20"/>
                <w:szCs w:val="20"/>
                <w:color w:val="auto"/>
              </w:rPr>
            </w:pPr>
            <w:r>
              <w:rPr>
                <w:rFonts w:ascii="Arial" w:cs="Arial" w:eastAsia="Arial" w:hAnsi="Arial"/>
                <w:sz w:val="14"/>
                <w:szCs w:val="14"/>
                <w:color w:val="auto"/>
              </w:rPr>
              <w:t>Share of loss of Sal de la Puna Project</w:t>
            </w:r>
          </w:p>
        </w:tc>
        <w:tc>
          <w:tcPr>
            <w:tcW w:w="7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314"/>
        </w:trPr>
        <w:tc>
          <w:tcPr>
            <w:tcW w:w="4600" w:type="dxa"/>
            <w:vAlign w:val="bottom"/>
          </w:tcPr>
          <w:p>
            <w:pPr>
              <w:ind w:left="200"/>
              <w:spacing w:after="0"/>
              <w:rPr>
                <w:sz w:val="20"/>
                <w:szCs w:val="20"/>
                <w:color w:val="auto"/>
              </w:rPr>
            </w:pPr>
            <w:r>
              <w:rPr>
                <w:rFonts w:ascii="Arial" w:cs="Arial" w:eastAsia="Arial" w:hAnsi="Arial"/>
                <w:sz w:val="14"/>
                <w:szCs w:val="14"/>
                <w:color w:val="auto"/>
              </w:rPr>
              <w:t>Loss/(gain) on financial instruments measured at fair value</w:t>
            </w:r>
          </w:p>
        </w:tc>
        <w:tc>
          <w:tcPr>
            <w:tcW w:w="7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314"/>
        </w:trPr>
        <w:tc>
          <w:tcPr>
            <w:tcW w:w="4600" w:type="dxa"/>
            <w:vAlign w:val="bottom"/>
          </w:tcPr>
          <w:p>
            <w:pPr>
              <w:ind w:left="200"/>
              <w:spacing w:after="0"/>
              <w:rPr>
                <w:sz w:val="20"/>
                <w:szCs w:val="20"/>
                <w:color w:val="auto"/>
              </w:rPr>
            </w:pPr>
            <w:r>
              <w:rPr>
                <w:rFonts w:ascii="Arial" w:cs="Arial" w:eastAsia="Arial" w:hAnsi="Arial"/>
                <w:sz w:val="14"/>
                <w:szCs w:val="14"/>
                <w:color w:val="auto"/>
              </w:rPr>
              <w:t>Finance income</w:t>
            </w:r>
          </w:p>
        </w:tc>
        <w:tc>
          <w:tcPr>
            <w:tcW w:w="740" w:type="dxa"/>
            <w:vAlign w:val="bottom"/>
          </w:tcPr>
          <w:p>
            <w:pPr>
              <w:spacing w:after="0"/>
              <w:rPr>
                <w:sz w:val="24"/>
                <w:szCs w:val="24"/>
                <w:color w:val="auto"/>
              </w:rPr>
            </w:pPr>
          </w:p>
        </w:tc>
      </w:tr>
      <w:tr>
        <w:trPr>
          <w:trHeight w:val="314"/>
        </w:trPr>
        <w:tc>
          <w:tcPr>
            <w:tcW w:w="4600" w:type="dxa"/>
            <w:vAlign w:val="bottom"/>
          </w:tcPr>
          <w:p>
            <w:pPr>
              <w:ind w:left="200"/>
              <w:spacing w:after="0"/>
              <w:rPr>
                <w:sz w:val="20"/>
                <w:szCs w:val="20"/>
                <w:color w:val="auto"/>
              </w:rPr>
            </w:pPr>
            <w:r>
              <w:rPr>
                <w:rFonts w:ascii="Arial" w:cs="Arial" w:eastAsia="Arial" w:hAnsi="Arial"/>
                <w:sz w:val="14"/>
                <w:szCs w:val="14"/>
                <w:color w:val="auto"/>
              </w:rPr>
              <w:t>Finance and other costs</w:t>
            </w:r>
          </w:p>
        </w:tc>
        <w:tc>
          <w:tcPr>
            <w:tcW w:w="740" w:type="dxa"/>
            <w:vAlign w:val="bottom"/>
          </w:tcPr>
          <w:p>
            <w:pPr>
              <w:spacing w:after="0"/>
              <w:rPr>
                <w:sz w:val="24"/>
                <w:szCs w:val="24"/>
                <w:color w:val="auto"/>
              </w:rPr>
            </w:pPr>
          </w:p>
        </w:tc>
      </w:tr>
      <w:tr>
        <w:trPr>
          <w:trHeight w:val="314"/>
        </w:trPr>
        <w:tc>
          <w:tcPr>
            <w:tcW w:w="4600" w:type="dxa"/>
            <w:vAlign w:val="bottom"/>
          </w:tcPr>
          <w:p>
            <w:pPr>
              <w:spacing w:after="0"/>
              <w:rPr>
                <w:sz w:val="20"/>
                <w:szCs w:val="20"/>
                <w:color w:val="auto"/>
              </w:rPr>
            </w:pPr>
            <w:r>
              <w:rPr>
                <w:rFonts w:ascii="Arial" w:cs="Arial" w:eastAsia="Arial" w:hAnsi="Arial"/>
                <w:sz w:val="14"/>
                <w:szCs w:val="14"/>
                <w:color w:val="auto"/>
              </w:rPr>
              <w:t>Payment of interest on the convertible notes and debt facilities</w:t>
            </w:r>
          </w:p>
        </w:tc>
        <w:tc>
          <w:tcPr>
            <w:tcW w:w="740" w:type="dxa"/>
            <w:vAlign w:val="bottom"/>
          </w:tcPr>
          <w:p>
            <w:pPr>
              <w:spacing w:after="0"/>
              <w:rPr>
                <w:sz w:val="24"/>
                <w:szCs w:val="24"/>
                <w:color w:val="auto"/>
              </w:rPr>
            </w:pPr>
          </w:p>
        </w:tc>
      </w:tr>
      <w:tr>
        <w:trPr>
          <w:trHeight w:val="226"/>
        </w:trPr>
        <w:tc>
          <w:tcPr>
            <w:tcW w:w="4600" w:type="dxa"/>
            <w:vAlign w:val="bottom"/>
          </w:tcPr>
          <w:p>
            <w:pPr>
              <w:spacing w:after="0"/>
              <w:rPr>
                <w:sz w:val="20"/>
                <w:szCs w:val="20"/>
                <w:color w:val="auto"/>
              </w:rPr>
            </w:pPr>
            <w:r>
              <w:rPr>
                <w:rFonts w:ascii="Arial" w:cs="Arial" w:eastAsia="Arial" w:hAnsi="Arial"/>
                <w:sz w:val="14"/>
                <w:szCs w:val="14"/>
                <w:color w:val="auto"/>
              </w:rPr>
              <w:t>Changes in non-cash working capital items:</w:t>
            </w:r>
          </w:p>
        </w:tc>
        <w:tc>
          <w:tcPr>
            <w:tcW w:w="740" w:type="dxa"/>
            <w:vAlign w:val="bottom"/>
          </w:tcPr>
          <w:p>
            <w:pPr>
              <w:spacing w:after="0"/>
              <w:rPr>
                <w:sz w:val="19"/>
                <w:szCs w:val="19"/>
                <w:color w:val="auto"/>
              </w:rPr>
            </w:pPr>
          </w:p>
        </w:tc>
      </w:tr>
      <w:tr>
        <w:trPr>
          <w:trHeight w:val="314"/>
        </w:trPr>
        <w:tc>
          <w:tcPr>
            <w:tcW w:w="4600" w:type="dxa"/>
            <w:vAlign w:val="bottom"/>
          </w:tcPr>
          <w:p>
            <w:pPr>
              <w:ind w:left="200"/>
              <w:spacing w:after="0"/>
              <w:rPr>
                <w:sz w:val="20"/>
                <w:szCs w:val="20"/>
                <w:color w:val="auto"/>
              </w:rPr>
            </w:pPr>
            <w:r>
              <w:rPr>
                <w:rFonts w:ascii="Arial" w:cs="Arial" w:eastAsia="Arial" w:hAnsi="Arial"/>
                <w:sz w:val="14"/>
                <w:szCs w:val="14"/>
                <w:color w:val="auto"/>
              </w:rPr>
              <w:t>Decrease in receivables, prepaids and deposits</w:t>
            </w:r>
          </w:p>
        </w:tc>
        <w:tc>
          <w:tcPr>
            <w:tcW w:w="740" w:type="dxa"/>
            <w:vAlign w:val="bottom"/>
          </w:tcPr>
          <w:p>
            <w:pPr>
              <w:spacing w:after="0"/>
              <w:rPr>
                <w:sz w:val="24"/>
                <w:szCs w:val="24"/>
                <w:color w:val="auto"/>
              </w:rPr>
            </w:pPr>
          </w:p>
        </w:tc>
      </w:tr>
      <w:tr>
        <w:trPr>
          <w:trHeight w:val="314"/>
        </w:trPr>
        <w:tc>
          <w:tcPr>
            <w:tcW w:w="4600" w:type="dxa"/>
            <w:vAlign w:val="bottom"/>
          </w:tcPr>
          <w:p>
            <w:pPr>
              <w:ind w:left="200"/>
              <w:spacing w:after="0"/>
              <w:rPr>
                <w:sz w:val="20"/>
                <w:szCs w:val="20"/>
                <w:color w:val="auto"/>
              </w:rPr>
            </w:pPr>
            <w:r>
              <w:rPr>
                <w:rFonts w:ascii="Arial" w:cs="Arial" w:eastAsia="Arial" w:hAnsi="Arial"/>
                <w:sz w:val="14"/>
                <w:szCs w:val="14"/>
                <w:color w:val="auto"/>
              </w:rPr>
              <w:t>Increase in accounts payable and accrued liabilities</w:t>
            </w:r>
          </w:p>
        </w:tc>
        <w:tc>
          <w:tcPr>
            <w:tcW w:w="740" w:type="dxa"/>
            <w:vAlign w:val="bottom"/>
          </w:tcPr>
          <w:p>
            <w:pPr>
              <w:spacing w:after="0"/>
              <w:rPr>
                <w:sz w:val="24"/>
                <w:szCs w:val="24"/>
                <w:color w:val="auto"/>
              </w:rPr>
            </w:pPr>
          </w:p>
        </w:tc>
      </w:tr>
      <w:tr>
        <w:trPr>
          <w:trHeight w:val="324"/>
        </w:trPr>
        <w:tc>
          <w:tcPr>
            <w:tcW w:w="4600" w:type="dxa"/>
            <w:vAlign w:val="bottom"/>
          </w:tcPr>
          <w:p>
            <w:pPr>
              <w:ind w:left="200"/>
              <w:spacing w:after="0"/>
              <w:rPr>
                <w:sz w:val="20"/>
                <w:szCs w:val="20"/>
                <w:color w:val="auto"/>
              </w:rPr>
            </w:pPr>
            <w:r>
              <w:rPr>
                <w:rFonts w:ascii="Arial" w:cs="Arial" w:eastAsia="Arial" w:hAnsi="Arial"/>
                <w:sz w:val="14"/>
                <w:szCs w:val="14"/>
                <w:color w:val="auto"/>
              </w:rPr>
              <w:t>Decrease/(increase) in net prepayments made for lithium carbonate</w:t>
            </w:r>
          </w:p>
        </w:tc>
        <w:tc>
          <w:tcPr>
            <w:tcW w:w="740" w:type="dxa"/>
            <w:vAlign w:val="bottom"/>
          </w:tcPr>
          <w:p>
            <w:pPr>
              <w:spacing w:after="0"/>
              <w:rPr>
                <w:sz w:val="24"/>
                <w:szCs w:val="24"/>
                <w:color w:val="auto"/>
              </w:rPr>
            </w:pPr>
          </w:p>
        </w:tc>
      </w:tr>
      <w:tr>
        <w:trPr>
          <w:trHeight w:val="314"/>
        </w:trPr>
        <w:tc>
          <w:tcPr>
            <w:tcW w:w="4600" w:type="dxa"/>
            <w:vAlign w:val="bottom"/>
          </w:tcPr>
          <w:p>
            <w:pPr>
              <w:spacing w:after="0"/>
              <w:rPr>
                <w:sz w:val="20"/>
                <w:szCs w:val="20"/>
                <w:color w:val="auto"/>
              </w:rPr>
            </w:pPr>
            <w:r>
              <w:rPr>
                <w:rFonts w:ascii="Arial" w:cs="Arial" w:eastAsia="Arial" w:hAnsi="Arial"/>
                <w:sz w:val="14"/>
                <w:szCs w:val="14"/>
                <w:color w:val="auto"/>
              </w:rPr>
              <w:t>Cash used in operating activities of continuing operations</w:t>
            </w:r>
          </w:p>
        </w:tc>
        <w:tc>
          <w:tcPr>
            <w:tcW w:w="740" w:type="dxa"/>
            <w:vAlign w:val="bottom"/>
          </w:tcPr>
          <w:p>
            <w:pPr>
              <w:spacing w:after="0"/>
              <w:rPr>
                <w:sz w:val="24"/>
                <w:szCs w:val="24"/>
                <w:color w:val="auto"/>
              </w:rPr>
            </w:pPr>
          </w:p>
        </w:tc>
      </w:tr>
      <w:tr>
        <w:trPr>
          <w:trHeight w:val="324"/>
        </w:trPr>
        <w:tc>
          <w:tcPr>
            <w:tcW w:w="4600" w:type="dxa"/>
            <w:vAlign w:val="bottom"/>
          </w:tcPr>
          <w:p>
            <w:pPr>
              <w:spacing w:after="0"/>
              <w:rPr>
                <w:sz w:val="20"/>
                <w:szCs w:val="20"/>
                <w:color w:val="auto"/>
              </w:rPr>
            </w:pPr>
            <w:r>
              <w:rPr>
                <w:rFonts w:ascii="Arial" w:cs="Arial" w:eastAsia="Arial" w:hAnsi="Arial"/>
                <w:sz w:val="14"/>
                <w:szCs w:val="14"/>
                <w:color w:val="auto"/>
              </w:rPr>
              <w:t>Cash used in operating activities of discontinued operations</w:t>
            </w:r>
          </w:p>
        </w:tc>
        <w:tc>
          <w:tcPr>
            <w:tcW w:w="740" w:type="dxa"/>
            <w:vAlign w:val="bottom"/>
          </w:tcPr>
          <w:p>
            <w:pPr>
              <w:spacing w:after="0"/>
              <w:rPr>
                <w:sz w:val="24"/>
                <w:szCs w:val="24"/>
                <w:color w:val="auto"/>
              </w:rPr>
            </w:pPr>
          </w:p>
        </w:tc>
      </w:tr>
      <w:tr>
        <w:trPr>
          <w:trHeight w:val="324"/>
        </w:trPr>
        <w:tc>
          <w:tcPr>
            <w:tcW w:w="4600" w:type="dxa"/>
            <w:vAlign w:val="bottom"/>
          </w:tcPr>
          <w:p>
            <w:pPr>
              <w:spacing w:after="0"/>
              <w:rPr>
                <w:sz w:val="20"/>
                <w:szCs w:val="20"/>
                <w:color w:val="auto"/>
              </w:rPr>
            </w:pPr>
            <w:r>
              <w:rPr>
                <w:rFonts w:ascii="Arial" w:cs="Arial" w:eastAsia="Arial" w:hAnsi="Arial"/>
                <w:sz w:val="14"/>
                <w:szCs w:val="14"/>
                <w:color w:val="auto"/>
              </w:rPr>
              <w:t>Net cash used in operating activities</w:t>
            </w:r>
          </w:p>
        </w:tc>
        <w:tc>
          <w:tcPr>
            <w:tcW w:w="740" w:type="dxa"/>
            <w:vAlign w:val="bottom"/>
          </w:tcPr>
          <w:p>
            <w:pPr>
              <w:spacing w:after="0"/>
              <w:rPr>
                <w:sz w:val="24"/>
                <w:szCs w:val="24"/>
                <w:color w:val="auto"/>
              </w:rPr>
            </w:pPr>
          </w:p>
        </w:tc>
      </w:tr>
      <w:tr>
        <w:trPr>
          <w:trHeight w:val="451"/>
        </w:trPr>
        <w:tc>
          <w:tcPr>
            <w:tcW w:w="46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740" w:type="dxa"/>
            <w:vAlign w:val="bottom"/>
          </w:tcPr>
          <w:p>
            <w:pPr>
              <w:spacing w:after="0"/>
              <w:rPr>
                <w:sz w:val="24"/>
                <w:szCs w:val="24"/>
                <w:color w:val="auto"/>
              </w:rPr>
            </w:pPr>
          </w:p>
        </w:tc>
      </w:tr>
      <w:tr>
        <w:trPr>
          <w:trHeight w:val="314"/>
        </w:trPr>
        <w:tc>
          <w:tcPr>
            <w:tcW w:w="4600" w:type="dxa"/>
            <w:vAlign w:val="bottom"/>
          </w:tcPr>
          <w:p>
            <w:pPr>
              <w:ind w:left="200"/>
              <w:spacing w:after="0"/>
              <w:rPr>
                <w:sz w:val="20"/>
                <w:szCs w:val="20"/>
                <w:color w:val="auto"/>
              </w:rPr>
            </w:pPr>
            <w:r>
              <w:rPr>
                <w:rFonts w:ascii="Arial" w:cs="Arial" w:eastAsia="Arial" w:hAnsi="Arial"/>
                <w:sz w:val="14"/>
                <w:szCs w:val="14"/>
                <w:color w:val="auto"/>
              </w:rPr>
              <w:t>Loans to Exar Capital</w:t>
            </w: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314"/>
        </w:trPr>
        <w:tc>
          <w:tcPr>
            <w:tcW w:w="4600" w:type="dxa"/>
            <w:vAlign w:val="bottom"/>
          </w:tcPr>
          <w:p>
            <w:pPr>
              <w:ind w:left="200"/>
              <w:spacing w:after="0"/>
              <w:rPr>
                <w:sz w:val="20"/>
                <w:szCs w:val="20"/>
                <w:color w:val="auto"/>
              </w:rPr>
            </w:pPr>
            <w:r>
              <w:rPr>
                <w:rFonts w:ascii="Arial" w:cs="Arial" w:eastAsia="Arial" w:hAnsi="Arial"/>
                <w:sz w:val="14"/>
                <w:szCs w:val="14"/>
                <w:color w:val="auto"/>
              </w:rPr>
              <w:t>Proceeds from repayment of loans and interest by Exar Capital</w:t>
            </w: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314"/>
        </w:trPr>
        <w:tc>
          <w:tcPr>
            <w:tcW w:w="4600" w:type="dxa"/>
            <w:vAlign w:val="bottom"/>
          </w:tcPr>
          <w:p>
            <w:pPr>
              <w:ind w:left="200"/>
              <w:spacing w:after="0"/>
              <w:rPr>
                <w:sz w:val="20"/>
                <w:szCs w:val="20"/>
                <w:color w:val="auto"/>
              </w:rPr>
            </w:pPr>
            <w:r>
              <w:rPr>
                <w:rFonts w:ascii="Arial" w:cs="Arial" w:eastAsia="Arial" w:hAnsi="Arial"/>
                <w:sz w:val="14"/>
                <w:szCs w:val="14"/>
                <w:color w:val="auto"/>
              </w:rPr>
              <w:t>Loans to Minera Exar</w:t>
            </w: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314"/>
        </w:trPr>
        <w:tc>
          <w:tcPr>
            <w:tcW w:w="4600" w:type="dxa"/>
            <w:vAlign w:val="bottom"/>
          </w:tcPr>
          <w:p>
            <w:pPr>
              <w:ind w:left="200"/>
              <w:spacing w:after="0"/>
              <w:rPr>
                <w:sz w:val="20"/>
                <w:szCs w:val="20"/>
                <w:color w:val="auto"/>
              </w:rPr>
            </w:pPr>
            <w:r>
              <w:rPr>
                <w:rFonts w:ascii="Arial" w:cs="Arial" w:eastAsia="Arial" w:hAnsi="Arial"/>
                <w:sz w:val="14"/>
                <w:szCs w:val="14"/>
                <w:color w:val="auto"/>
              </w:rPr>
              <w:t>Contribution to Investment in Cauchari-Olaroz project</w:t>
            </w:r>
          </w:p>
        </w:tc>
        <w:tc>
          <w:tcPr>
            <w:tcW w:w="740" w:type="dxa"/>
            <w:vAlign w:val="bottom"/>
          </w:tcPr>
          <w:p>
            <w:pPr>
              <w:spacing w:after="0"/>
              <w:rPr>
                <w:sz w:val="24"/>
                <w:szCs w:val="24"/>
                <w:color w:val="auto"/>
              </w:rPr>
            </w:pPr>
          </w:p>
        </w:tc>
      </w:tr>
      <w:tr>
        <w:trPr>
          <w:trHeight w:val="314"/>
        </w:trPr>
        <w:tc>
          <w:tcPr>
            <w:tcW w:w="4600" w:type="dxa"/>
            <w:vAlign w:val="bottom"/>
          </w:tcPr>
          <w:p>
            <w:pPr>
              <w:ind w:left="200"/>
              <w:spacing w:after="0"/>
              <w:rPr>
                <w:sz w:val="20"/>
                <w:szCs w:val="20"/>
                <w:color w:val="auto"/>
              </w:rPr>
            </w:pPr>
            <w:r>
              <w:rPr>
                <w:rFonts w:ascii="Arial" w:cs="Arial" w:eastAsia="Arial" w:hAnsi="Arial"/>
                <w:sz w:val="14"/>
                <w:szCs w:val="14"/>
                <w:color w:val="auto"/>
              </w:rPr>
              <w:t>Contribution to Investment in Sal de la Puna Project</w:t>
            </w:r>
          </w:p>
        </w:tc>
        <w:tc>
          <w:tcPr>
            <w:tcW w:w="7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314"/>
        </w:trPr>
        <w:tc>
          <w:tcPr>
            <w:tcW w:w="4600" w:type="dxa"/>
            <w:vAlign w:val="bottom"/>
          </w:tcPr>
          <w:p>
            <w:pPr>
              <w:ind w:left="200"/>
              <w:spacing w:after="0"/>
              <w:rPr>
                <w:sz w:val="20"/>
                <w:szCs w:val="20"/>
                <w:color w:val="auto"/>
              </w:rPr>
            </w:pPr>
            <w:r>
              <w:rPr>
                <w:rFonts w:ascii="Arial" w:cs="Arial" w:eastAsia="Arial" w:hAnsi="Arial"/>
                <w:sz w:val="14"/>
                <w:szCs w:val="14"/>
                <w:color w:val="auto"/>
              </w:rPr>
              <w:t>Proceeds from withdrawal of short-term bank deposits</w:t>
            </w:r>
          </w:p>
        </w:tc>
        <w:tc>
          <w:tcPr>
            <w:tcW w:w="740" w:type="dxa"/>
            <w:vAlign w:val="bottom"/>
          </w:tcPr>
          <w:p>
            <w:pPr>
              <w:spacing w:after="0"/>
              <w:rPr>
                <w:sz w:val="24"/>
                <w:szCs w:val="24"/>
                <w:color w:val="auto"/>
              </w:rPr>
            </w:pPr>
          </w:p>
        </w:tc>
      </w:tr>
      <w:tr>
        <w:trPr>
          <w:trHeight w:val="314"/>
        </w:trPr>
        <w:tc>
          <w:tcPr>
            <w:tcW w:w="4600" w:type="dxa"/>
            <w:vAlign w:val="bottom"/>
          </w:tcPr>
          <w:p>
            <w:pPr>
              <w:ind w:left="200"/>
              <w:spacing w:after="0"/>
              <w:rPr>
                <w:sz w:val="20"/>
                <w:szCs w:val="20"/>
                <w:color w:val="auto"/>
              </w:rPr>
            </w:pPr>
            <w:r>
              <w:rPr>
                <w:rFonts w:ascii="Arial" w:cs="Arial" w:eastAsia="Arial" w:hAnsi="Arial"/>
                <w:sz w:val="14"/>
                <w:szCs w:val="14"/>
                <w:color w:val="auto"/>
              </w:rPr>
              <w:t>Change in cash as a result of Arena Minerals acquisition</w:t>
            </w:r>
          </w:p>
        </w:tc>
        <w:tc>
          <w:tcPr>
            <w:tcW w:w="740" w:type="dxa"/>
            <w:vAlign w:val="bottom"/>
          </w:tcPr>
          <w:p>
            <w:pPr>
              <w:spacing w:after="0"/>
              <w:rPr>
                <w:sz w:val="24"/>
                <w:szCs w:val="24"/>
                <w:color w:val="auto"/>
              </w:rPr>
            </w:pPr>
          </w:p>
        </w:tc>
      </w:tr>
      <w:tr>
        <w:trPr>
          <w:trHeight w:val="314"/>
        </w:trPr>
        <w:tc>
          <w:tcPr>
            <w:tcW w:w="4600" w:type="dxa"/>
            <w:vAlign w:val="bottom"/>
          </w:tcPr>
          <w:p>
            <w:pPr>
              <w:ind w:left="200"/>
              <w:spacing w:after="0"/>
              <w:rPr>
                <w:sz w:val="20"/>
                <w:szCs w:val="20"/>
                <w:color w:val="auto"/>
              </w:rPr>
            </w:pPr>
            <w:r>
              <w:rPr>
                <w:rFonts w:ascii="Arial" w:cs="Arial" w:eastAsia="Arial" w:hAnsi="Arial"/>
                <w:sz w:val="14"/>
                <w:szCs w:val="14"/>
                <w:color w:val="auto"/>
              </w:rPr>
              <w:t>Additions to exploration and evaluation assets</w:t>
            </w: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314"/>
        </w:trPr>
        <w:tc>
          <w:tcPr>
            <w:tcW w:w="4600" w:type="dxa"/>
            <w:vAlign w:val="bottom"/>
          </w:tcPr>
          <w:p>
            <w:pPr>
              <w:ind w:left="200"/>
              <w:spacing w:after="0"/>
              <w:rPr>
                <w:sz w:val="20"/>
                <w:szCs w:val="20"/>
                <w:color w:val="auto"/>
              </w:rPr>
            </w:pPr>
            <w:r>
              <w:rPr>
                <w:rFonts w:ascii="Arial" w:cs="Arial" w:eastAsia="Arial" w:hAnsi="Arial"/>
                <w:sz w:val="14"/>
                <w:szCs w:val="14"/>
                <w:color w:val="auto"/>
              </w:rPr>
              <w:t>Disposals of exploration and evaluation assets</w:t>
            </w: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324"/>
        </w:trPr>
        <w:tc>
          <w:tcPr>
            <w:tcW w:w="4600" w:type="dxa"/>
            <w:vAlign w:val="bottom"/>
          </w:tcPr>
          <w:p>
            <w:pPr>
              <w:ind w:left="200"/>
              <w:spacing w:after="0"/>
              <w:rPr>
                <w:sz w:val="20"/>
                <w:szCs w:val="20"/>
                <w:color w:val="auto"/>
              </w:rPr>
            </w:pPr>
            <w:r>
              <w:rPr>
                <w:rFonts w:ascii="Arial" w:cs="Arial" w:eastAsia="Arial" w:hAnsi="Arial"/>
                <w:sz w:val="14"/>
                <w:szCs w:val="14"/>
                <w:color w:val="auto"/>
              </w:rPr>
              <w:t>Additions to property, plant and equipment</w:t>
            </w:r>
          </w:p>
        </w:tc>
        <w:tc>
          <w:tcPr>
            <w:tcW w:w="740" w:type="dxa"/>
            <w:vAlign w:val="bottom"/>
          </w:tcPr>
          <w:p>
            <w:pPr>
              <w:spacing w:after="0"/>
              <w:rPr>
                <w:sz w:val="24"/>
                <w:szCs w:val="24"/>
                <w:color w:val="auto"/>
              </w:rPr>
            </w:pPr>
          </w:p>
        </w:tc>
      </w:tr>
      <w:tr>
        <w:trPr>
          <w:trHeight w:val="314"/>
        </w:trPr>
        <w:tc>
          <w:tcPr>
            <w:tcW w:w="4600" w:type="dxa"/>
            <w:vAlign w:val="bottom"/>
          </w:tcPr>
          <w:p>
            <w:pPr>
              <w:spacing w:after="0"/>
              <w:rPr>
                <w:sz w:val="20"/>
                <w:szCs w:val="20"/>
                <w:color w:val="auto"/>
              </w:rPr>
            </w:pPr>
            <w:r>
              <w:rPr>
                <w:rFonts w:ascii="Arial" w:cs="Arial" w:eastAsia="Arial" w:hAnsi="Arial"/>
                <w:sz w:val="14"/>
                <w:szCs w:val="14"/>
                <w:color w:val="auto"/>
              </w:rPr>
              <w:t>Cash provided/(used) in investing activities of continuing operations</w:t>
            </w:r>
          </w:p>
        </w:tc>
        <w:tc>
          <w:tcPr>
            <w:tcW w:w="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-7061200</wp:posOffset>
            </wp:positionV>
            <wp:extent cx="3398520" cy="635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1">
                      <a:extLst>
                        <a:ext uri="{28A0092B-C50C-407E-A947-70E740481C1C}"/>
                      </a:extLst>
                    </a:blip>
                    <a:srcRect/>
                    <a:stretch>
                      <a:fillRect/>
                    </a:stretch>
                  </pic:blipFill>
                  <pic:spPr bwMode="auto">
                    <a:xfrm>
                      <a:off x="0" y="0"/>
                      <a:ext cx="339852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jc w:val="right"/>
              <w:ind w:right="370"/>
              <w:spacing w:after="0"/>
              <w:rPr>
                <w:sz w:val="20"/>
                <w:szCs w:val="20"/>
                <w:color w:val="auto"/>
              </w:rPr>
            </w:pPr>
            <w:r>
              <w:rPr>
                <w:rFonts w:ascii="Arial" w:cs="Arial" w:eastAsia="Arial" w:hAnsi="Arial"/>
                <w:sz w:val="14"/>
                <w:szCs w:val="14"/>
                <w:b w:val="1"/>
                <w:bCs w:val="1"/>
                <w:color w:val="auto"/>
                <w:w w:val="95"/>
              </w:rPr>
              <w:t>Years Ended December 31,</w:t>
            </w:r>
          </w:p>
        </w:tc>
        <w:tc>
          <w:tcPr>
            <w:tcW w:w="500" w:type="dxa"/>
            <w:vAlign w:val="bottom"/>
          </w:tcPr>
          <w:p>
            <w:pPr>
              <w:spacing w:after="0"/>
              <w:rPr>
                <w:sz w:val="14"/>
                <w:szCs w:val="14"/>
                <w:color w:val="auto"/>
              </w:rPr>
            </w:pPr>
          </w:p>
        </w:tc>
      </w:tr>
      <w:tr>
        <w:trPr>
          <w:trHeight w:val="40"/>
        </w:trPr>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196"/>
        </w:trPr>
        <w:tc>
          <w:tcPr>
            <w:tcW w:w="130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right w:val="single" w:sz="8" w:color="D9D9D9"/>
            </w:tcBorders>
            <w:shd w:val="clear" w:color="auto" w:fill="D9D9D9"/>
          </w:tcPr>
          <w:p>
            <w:pPr>
              <w:spacing w:after="0"/>
              <w:rPr>
                <w:sz w:val="17"/>
                <w:szCs w:val="17"/>
                <w:color w:val="auto"/>
              </w:rPr>
            </w:pPr>
          </w:p>
        </w:tc>
        <w:tc>
          <w:tcPr>
            <w:tcW w:w="2180" w:type="dxa"/>
            <w:vAlign w:val="bottom"/>
          </w:tcPr>
          <w:p>
            <w:pPr>
              <w:jc w:val="right"/>
              <w:ind w:right="830"/>
              <w:spacing w:after="0"/>
              <w:rPr>
                <w:sz w:val="20"/>
                <w:szCs w:val="20"/>
                <w:color w:val="auto"/>
              </w:rPr>
            </w:pPr>
            <w:r>
              <w:rPr>
                <w:rFonts w:ascii="Arial" w:cs="Arial" w:eastAsia="Arial" w:hAnsi="Arial"/>
                <w:sz w:val="14"/>
                <w:szCs w:val="14"/>
                <w:b w:val="1"/>
                <w:bCs w:val="1"/>
                <w:color w:val="auto"/>
              </w:rPr>
              <w:t>2024</w:t>
            </w:r>
          </w:p>
        </w:tc>
        <w:tc>
          <w:tcPr>
            <w:tcW w:w="500" w:type="dxa"/>
            <w:vAlign w:val="bottom"/>
          </w:tcPr>
          <w:p>
            <w:pPr>
              <w:spacing w:after="0"/>
              <w:rPr>
                <w:sz w:val="17"/>
                <w:szCs w:val="17"/>
                <w:color w:val="auto"/>
              </w:rPr>
            </w:pPr>
          </w:p>
        </w:tc>
      </w:tr>
      <w:tr>
        <w:trPr>
          <w:trHeight w:val="226"/>
        </w:trPr>
        <w:tc>
          <w:tcPr>
            <w:tcW w:w="130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D9D9D9"/>
            </w:tcBorders>
            <w:shd w:val="clear" w:color="auto" w:fill="D9D9D9"/>
          </w:tcPr>
          <w:p>
            <w:pPr>
              <w:spacing w:after="0"/>
              <w:rPr>
                <w:sz w:val="19"/>
                <w:szCs w:val="19"/>
                <w:color w:val="auto"/>
              </w:rPr>
            </w:pPr>
          </w:p>
        </w:tc>
        <w:tc>
          <w:tcPr>
            <w:tcW w:w="2180" w:type="dxa"/>
            <w:vAlign w:val="bottom"/>
          </w:tcPr>
          <w:p>
            <w:pPr>
              <w:jc w:val="right"/>
              <w:ind w:right="83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9"/>
                <w:szCs w:val="19"/>
                <w:color w:val="auto"/>
              </w:rPr>
            </w:pPr>
          </w:p>
        </w:tc>
      </w:tr>
      <w:tr>
        <w:trPr>
          <w:trHeight w:val="550"/>
        </w:trPr>
        <w:tc>
          <w:tcPr>
            <w:tcW w:w="130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(76,880</w:t>
            </w:r>
          </w:p>
        </w:tc>
        <w:tc>
          <w:tcPr>
            <w:tcW w:w="120" w:type="dxa"/>
            <w:vAlign w:val="bottom"/>
            <w:tcBorders>
              <w:right w:val="single" w:sz="8" w:color="D9D9D9"/>
            </w:tcBorders>
            <w:shd w:val="clear" w:color="auto" w:fill="D9D9D9"/>
          </w:tcPr>
          <w:p>
            <w:pPr>
              <w:jc w:val="right"/>
              <w:spacing w:after="0"/>
              <w:rPr>
                <w:sz w:val="20"/>
                <w:szCs w:val="20"/>
                <w:color w:val="auto"/>
              </w:rPr>
            </w:pPr>
            <w:r>
              <w:rPr>
                <w:rFonts w:ascii="Arial" w:cs="Arial" w:eastAsia="Arial" w:hAnsi="Arial"/>
                <w:sz w:val="14"/>
                <w:szCs w:val="14"/>
                <w:b w:val="1"/>
                <w:bCs w:val="1"/>
                <w:color w:val="auto"/>
                <w:w w:val="84"/>
              </w:rPr>
              <w:t>)</w:t>
            </w:r>
          </w:p>
        </w:tc>
        <w:tc>
          <w:tcPr>
            <w:tcW w:w="2180" w:type="dxa"/>
            <w:vAlign w:val="bottom"/>
          </w:tcPr>
          <w:p>
            <w:pPr>
              <w:jc w:val="right"/>
              <w:ind w:right="770"/>
              <w:spacing w:after="0"/>
              <w:rPr>
                <w:sz w:val="20"/>
                <w:szCs w:val="20"/>
                <w:color w:val="auto"/>
              </w:rPr>
            </w:pPr>
            <w:r>
              <w:rPr>
                <w:rFonts w:ascii="Arial" w:cs="Arial" w:eastAsia="Arial" w:hAnsi="Arial"/>
                <w:sz w:val="14"/>
                <w:szCs w:val="14"/>
                <w:b w:val="1"/>
                <w:bCs w:val="1"/>
                <w:color w:val="auto"/>
              </w:rPr>
              <w:t>(15,240)</w:t>
            </w:r>
          </w:p>
        </w:tc>
        <w:tc>
          <w:tcPr>
            <w:tcW w:w="500" w:type="dxa"/>
            <w:vAlign w:val="bottom"/>
          </w:tcPr>
          <w:p>
            <w:pPr>
              <w:spacing w:after="0"/>
              <w:rPr>
                <w:sz w:val="24"/>
                <w:szCs w:val="24"/>
                <w:color w:val="auto"/>
              </w:rPr>
            </w:pPr>
          </w:p>
        </w:tc>
      </w:tr>
      <w:tr>
        <w:trPr>
          <w:trHeight w:val="741"/>
        </w:trPr>
        <w:tc>
          <w:tcPr>
            <w:tcW w:w="10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15,055</w:t>
            </w:r>
          </w:p>
        </w:tc>
        <w:tc>
          <w:tcPr>
            <w:tcW w:w="120" w:type="dxa"/>
            <w:vAlign w:val="bottom"/>
            <w:tcBorders>
              <w:right w:val="single" w:sz="8" w:color="D9D9D9"/>
            </w:tcBorders>
            <w:shd w:val="clear" w:color="auto" w:fill="D9D9D9"/>
          </w:tcPr>
          <w:p>
            <w:pPr>
              <w:spacing w:after="0"/>
              <w:rPr>
                <w:sz w:val="24"/>
                <w:szCs w:val="24"/>
                <w:color w:val="auto"/>
              </w:rPr>
            </w:pPr>
          </w:p>
        </w:tc>
        <w:tc>
          <w:tcPr>
            <w:tcW w:w="2180" w:type="dxa"/>
            <w:vAlign w:val="bottom"/>
          </w:tcPr>
          <w:p>
            <w:pPr>
              <w:jc w:val="right"/>
              <w:ind w:right="830"/>
              <w:spacing w:after="0"/>
              <w:rPr>
                <w:sz w:val="20"/>
                <w:szCs w:val="20"/>
                <w:color w:val="auto"/>
              </w:rPr>
            </w:pPr>
            <w:r>
              <w:rPr>
                <w:rFonts w:ascii="Arial" w:cs="Arial" w:eastAsia="Arial" w:hAnsi="Arial"/>
                <w:sz w:val="14"/>
                <w:szCs w:val="14"/>
                <w:color w:val="auto"/>
              </w:rPr>
              <w:t>7,229</w:t>
            </w:r>
          </w:p>
        </w:tc>
        <w:tc>
          <w:tcPr>
            <w:tcW w:w="500" w:type="dxa"/>
            <w:vAlign w:val="bottom"/>
          </w:tcPr>
          <w:p>
            <w:pPr>
              <w:spacing w:after="0"/>
              <w:rPr>
                <w:sz w:val="24"/>
                <w:szCs w:val="24"/>
                <w:color w:val="auto"/>
              </w:rPr>
            </w:pPr>
          </w:p>
        </w:tc>
      </w:tr>
      <w:tr>
        <w:trPr>
          <w:trHeight w:val="314"/>
        </w:trPr>
        <w:tc>
          <w:tcPr>
            <w:tcW w:w="10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489</w:t>
            </w:r>
          </w:p>
        </w:tc>
        <w:tc>
          <w:tcPr>
            <w:tcW w:w="120" w:type="dxa"/>
            <w:vAlign w:val="bottom"/>
            <w:tcBorders>
              <w:right w:val="single" w:sz="8" w:color="D9D9D9"/>
            </w:tcBorders>
            <w:shd w:val="clear" w:color="auto" w:fill="D9D9D9"/>
          </w:tcPr>
          <w:p>
            <w:pPr>
              <w:spacing w:after="0"/>
              <w:rPr>
                <w:sz w:val="24"/>
                <w:szCs w:val="24"/>
                <w:color w:val="auto"/>
              </w:rPr>
            </w:pPr>
          </w:p>
        </w:tc>
        <w:tc>
          <w:tcPr>
            <w:tcW w:w="2180" w:type="dxa"/>
            <w:vAlign w:val="bottom"/>
          </w:tcPr>
          <w:p>
            <w:pPr>
              <w:jc w:val="right"/>
              <w:ind w:right="830"/>
              <w:spacing w:after="0"/>
              <w:rPr>
                <w:sz w:val="20"/>
                <w:szCs w:val="20"/>
                <w:color w:val="auto"/>
              </w:rPr>
            </w:pPr>
            <w:r>
              <w:rPr>
                <w:rFonts w:ascii="Arial" w:cs="Arial" w:eastAsia="Arial" w:hAnsi="Arial"/>
                <w:sz w:val="14"/>
                <w:szCs w:val="14"/>
                <w:color w:val="auto"/>
              </w:rPr>
              <w:t>758</w:t>
            </w:r>
          </w:p>
        </w:tc>
        <w:tc>
          <w:tcPr>
            <w:tcW w:w="500" w:type="dxa"/>
            <w:vAlign w:val="bottom"/>
          </w:tcPr>
          <w:p>
            <w:pPr>
              <w:spacing w:after="0"/>
              <w:rPr>
                <w:sz w:val="24"/>
                <w:szCs w:val="24"/>
                <w:color w:val="auto"/>
              </w:rPr>
            </w:pPr>
          </w:p>
        </w:tc>
      </w:tr>
      <w:tr>
        <w:trPr>
          <w:trHeight w:val="314"/>
        </w:trPr>
        <w:tc>
          <w:tcPr>
            <w:tcW w:w="10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right w:val="single" w:sz="8" w:color="D9D9D9"/>
            </w:tcBorders>
            <w:shd w:val="clear" w:color="auto" w:fill="D9D9D9"/>
          </w:tcPr>
          <w:p>
            <w:pPr>
              <w:spacing w:after="0"/>
              <w:rPr>
                <w:sz w:val="24"/>
                <w:szCs w:val="24"/>
                <w:color w:val="auto"/>
              </w:rPr>
            </w:pPr>
          </w:p>
        </w:tc>
        <w:tc>
          <w:tcPr>
            <w:tcW w:w="2180" w:type="dxa"/>
            <w:vAlign w:val="bottom"/>
          </w:tcPr>
          <w:p>
            <w:pPr>
              <w:jc w:val="right"/>
              <w:ind w:right="83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r>
      <w:tr>
        <w:trPr>
          <w:trHeight w:val="339"/>
        </w:trPr>
        <w:tc>
          <w:tcPr>
            <w:tcW w:w="10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420</w:t>
            </w:r>
          </w:p>
        </w:tc>
        <w:tc>
          <w:tcPr>
            <w:tcW w:w="120" w:type="dxa"/>
            <w:vAlign w:val="bottom"/>
            <w:tcBorders>
              <w:right w:val="single" w:sz="8" w:color="D9D9D9"/>
            </w:tcBorders>
            <w:shd w:val="clear" w:color="auto" w:fill="D9D9D9"/>
          </w:tcPr>
          <w:p>
            <w:pPr>
              <w:spacing w:after="0"/>
              <w:rPr>
                <w:sz w:val="24"/>
                <w:szCs w:val="24"/>
                <w:color w:val="auto"/>
              </w:rPr>
            </w:pPr>
          </w:p>
        </w:tc>
        <w:tc>
          <w:tcPr>
            <w:tcW w:w="2180" w:type="dxa"/>
            <w:vAlign w:val="bottom"/>
          </w:tcPr>
          <w:p>
            <w:pPr>
              <w:jc w:val="right"/>
              <w:ind w:right="770"/>
              <w:spacing w:after="0"/>
              <w:rPr>
                <w:sz w:val="20"/>
                <w:szCs w:val="20"/>
                <w:color w:val="auto"/>
              </w:rPr>
            </w:pPr>
            <w:r>
              <w:rPr>
                <w:rFonts w:ascii="Arial" w:cs="Arial" w:eastAsia="Arial" w:hAnsi="Arial"/>
                <w:sz w:val="14"/>
                <w:szCs w:val="14"/>
                <w:color w:val="auto"/>
              </w:rPr>
              <w:t>(10,659)</w:t>
            </w:r>
          </w:p>
        </w:tc>
        <w:tc>
          <w:tcPr>
            <w:tcW w:w="500" w:type="dxa"/>
            <w:vAlign w:val="bottom"/>
          </w:tcPr>
          <w:p>
            <w:pPr>
              <w:spacing w:after="0"/>
              <w:rPr>
                <w:sz w:val="24"/>
                <w:szCs w:val="24"/>
                <w:color w:val="auto"/>
              </w:rPr>
            </w:pPr>
          </w:p>
        </w:tc>
      </w:tr>
      <w:tr>
        <w:trPr>
          <w:trHeight w:val="314"/>
        </w:trPr>
        <w:tc>
          <w:tcPr>
            <w:tcW w:w="10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693</w:t>
            </w:r>
          </w:p>
        </w:tc>
        <w:tc>
          <w:tcPr>
            <w:tcW w:w="120" w:type="dxa"/>
            <w:vAlign w:val="bottom"/>
            <w:tcBorders>
              <w:right w:val="single" w:sz="8" w:color="D9D9D9"/>
            </w:tcBorders>
            <w:shd w:val="clear" w:color="auto" w:fill="D9D9D9"/>
          </w:tcPr>
          <w:p>
            <w:pPr>
              <w:spacing w:after="0"/>
              <w:rPr>
                <w:sz w:val="24"/>
                <w:szCs w:val="24"/>
                <w:color w:val="auto"/>
              </w:rPr>
            </w:pPr>
          </w:p>
        </w:tc>
        <w:tc>
          <w:tcPr>
            <w:tcW w:w="2180" w:type="dxa"/>
            <w:vAlign w:val="bottom"/>
          </w:tcPr>
          <w:p>
            <w:pPr>
              <w:jc w:val="right"/>
              <w:ind w:right="770"/>
              <w:spacing w:after="0"/>
              <w:rPr>
                <w:sz w:val="20"/>
                <w:szCs w:val="20"/>
                <w:color w:val="auto"/>
              </w:rPr>
            </w:pPr>
            <w:r>
              <w:rPr>
                <w:rFonts w:ascii="Arial" w:cs="Arial" w:eastAsia="Arial" w:hAnsi="Arial"/>
                <w:sz w:val="14"/>
                <w:szCs w:val="14"/>
                <w:color w:val="auto"/>
              </w:rPr>
              <w:t>(2,147)</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90"/>
        </w:trPr>
        <w:tc>
          <w:tcPr>
            <w:tcW w:w="10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39,766</w:t>
            </w:r>
          </w:p>
        </w:tc>
        <w:tc>
          <w:tcPr>
            <w:tcW w:w="120" w:type="dxa"/>
            <w:vAlign w:val="bottom"/>
            <w:tcBorders>
              <w:right w:val="single" w:sz="8" w:color="D9D9D9"/>
            </w:tcBorders>
            <w:shd w:val="clear" w:color="auto" w:fill="D9D9D9"/>
          </w:tcPr>
          <w:p>
            <w:pPr>
              <w:spacing w:after="0"/>
              <w:rPr>
                <w:sz w:val="24"/>
                <w:szCs w:val="24"/>
                <w:color w:val="auto"/>
              </w:rPr>
            </w:pPr>
          </w:p>
        </w:tc>
        <w:tc>
          <w:tcPr>
            <w:tcW w:w="2180" w:type="dxa"/>
            <w:vAlign w:val="bottom"/>
          </w:tcPr>
          <w:p>
            <w:pPr>
              <w:jc w:val="right"/>
              <w:ind w:right="830"/>
              <w:spacing w:after="0"/>
              <w:rPr>
                <w:sz w:val="20"/>
                <w:szCs w:val="20"/>
                <w:color w:val="auto"/>
              </w:rPr>
            </w:pPr>
            <w:r>
              <w:rPr>
                <w:rFonts w:ascii="Arial" w:cs="Arial" w:eastAsia="Arial" w:hAnsi="Arial"/>
                <w:sz w:val="14"/>
                <w:szCs w:val="14"/>
                <w:color w:val="auto"/>
              </w:rPr>
              <w:t>28,232</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14"/>
        </w:trPr>
        <w:tc>
          <w:tcPr>
            <w:tcW w:w="10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9,261</w:t>
            </w:r>
          </w:p>
        </w:tc>
        <w:tc>
          <w:tcPr>
            <w:tcW w:w="120" w:type="dxa"/>
            <w:vAlign w:val="bottom"/>
            <w:tcBorders>
              <w:right w:val="single" w:sz="8" w:color="D9D9D9"/>
            </w:tcBorders>
            <w:shd w:val="clear" w:color="auto" w:fill="D9D9D9"/>
          </w:tcPr>
          <w:p>
            <w:pPr>
              <w:spacing w:after="0"/>
              <w:rPr>
                <w:sz w:val="24"/>
                <w:szCs w:val="24"/>
                <w:color w:val="auto"/>
              </w:rPr>
            </w:pPr>
          </w:p>
        </w:tc>
        <w:tc>
          <w:tcPr>
            <w:tcW w:w="2180" w:type="dxa"/>
            <w:vAlign w:val="bottom"/>
          </w:tcPr>
          <w:p>
            <w:pPr>
              <w:jc w:val="right"/>
              <w:ind w:right="83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r>
      <w:tr>
        <w:trPr>
          <w:trHeight w:val="314"/>
        </w:trPr>
        <w:tc>
          <w:tcPr>
            <w:tcW w:w="10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D9D9D9"/>
            </w:tcBorders>
            <w:shd w:val="clear" w:color="auto" w:fill="D9D9D9"/>
          </w:tcPr>
          <w:p>
            <w:pPr>
              <w:spacing w:after="0"/>
              <w:rPr>
                <w:sz w:val="24"/>
                <w:szCs w:val="24"/>
                <w:color w:val="auto"/>
              </w:rPr>
            </w:pPr>
          </w:p>
        </w:tc>
        <w:tc>
          <w:tcPr>
            <w:tcW w:w="2180" w:type="dxa"/>
            <w:vAlign w:val="bottom"/>
          </w:tcPr>
          <w:p>
            <w:pPr>
              <w:jc w:val="right"/>
              <w:ind w:right="83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r>
      <w:tr>
        <w:trPr>
          <w:trHeight w:val="55"/>
        </w:trPr>
        <w:tc>
          <w:tcPr>
            <w:tcW w:w="100" w:type="dxa"/>
            <w:vAlign w:val="bottom"/>
            <w:shd w:val="clear" w:color="auto" w:fill="D9D9D9"/>
          </w:tcPr>
          <w:p>
            <w:pPr>
              <w:spacing w:after="0"/>
              <w:rPr>
                <w:sz w:val="4"/>
                <w:szCs w:val="4"/>
                <w:color w:val="auto"/>
              </w:rPr>
            </w:pPr>
          </w:p>
        </w:tc>
        <w:tc>
          <w:tcPr>
            <w:tcW w:w="1200" w:type="dxa"/>
            <w:vAlign w:val="bottom"/>
            <w:shd w:val="clear" w:color="auto" w:fill="D9D9D9"/>
          </w:tcPr>
          <w:p>
            <w:pPr>
              <w:spacing w:after="0"/>
              <w:rPr>
                <w:sz w:val="4"/>
                <w:szCs w:val="4"/>
                <w:color w:val="auto"/>
              </w:rPr>
            </w:pPr>
          </w:p>
        </w:tc>
        <w:tc>
          <w:tcPr>
            <w:tcW w:w="120" w:type="dxa"/>
            <w:vAlign w:val="bottom"/>
            <w:tcBorders>
              <w:right w:val="single" w:sz="8" w:color="D9D9D9"/>
            </w:tcBorders>
            <w:shd w:val="clear" w:color="auto" w:fill="D9D9D9"/>
          </w:tcPr>
          <w:p>
            <w:pPr>
              <w:spacing w:after="0"/>
              <w:rPr>
                <w:sz w:val="4"/>
                <w:szCs w:val="4"/>
                <w:color w:val="auto"/>
              </w:rPr>
            </w:pPr>
          </w:p>
        </w:tc>
        <w:tc>
          <w:tcPr>
            <w:tcW w:w="218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60"/>
        </w:trPr>
        <w:tc>
          <w:tcPr>
            <w:tcW w:w="100" w:type="dxa"/>
            <w:vAlign w:val="bottom"/>
            <w:shd w:val="clear" w:color="auto" w:fill="D9D9D9"/>
          </w:tcPr>
          <w:p>
            <w:pPr>
              <w:spacing w:after="0"/>
              <w:rPr>
                <w:sz w:val="22"/>
                <w:szCs w:val="22"/>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256</w:t>
            </w:r>
          </w:p>
        </w:tc>
        <w:tc>
          <w:tcPr>
            <w:tcW w:w="120" w:type="dxa"/>
            <w:vAlign w:val="bottom"/>
            <w:tcBorders>
              <w:right w:val="single" w:sz="8" w:color="D9D9D9"/>
            </w:tcBorders>
            <w:shd w:val="clear" w:color="auto" w:fill="D9D9D9"/>
          </w:tcPr>
          <w:p>
            <w:pPr>
              <w:spacing w:after="0"/>
              <w:rPr>
                <w:sz w:val="22"/>
                <w:szCs w:val="22"/>
                <w:color w:val="auto"/>
              </w:rPr>
            </w:pPr>
          </w:p>
        </w:tc>
        <w:tc>
          <w:tcPr>
            <w:tcW w:w="2180" w:type="dxa"/>
            <w:vAlign w:val="bottom"/>
          </w:tcPr>
          <w:p>
            <w:pPr>
              <w:jc w:val="right"/>
              <w:ind w:right="830"/>
              <w:spacing w:after="0"/>
              <w:rPr>
                <w:sz w:val="20"/>
                <w:szCs w:val="20"/>
                <w:color w:val="auto"/>
              </w:rPr>
            </w:pPr>
            <w:r>
              <w:rPr>
                <w:rFonts w:ascii="Arial" w:cs="Arial" w:eastAsia="Arial" w:hAnsi="Arial"/>
                <w:sz w:val="14"/>
                <w:szCs w:val="14"/>
                <w:color w:val="auto"/>
              </w:rPr>
              <w:t>176</w:t>
            </w:r>
          </w:p>
        </w:tc>
        <w:tc>
          <w:tcPr>
            <w:tcW w:w="500" w:type="dxa"/>
            <w:vAlign w:val="bottom"/>
          </w:tcPr>
          <w:p>
            <w:pPr>
              <w:spacing w:after="0"/>
              <w:rPr>
                <w:sz w:val="22"/>
                <w:szCs w:val="22"/>
                <w:color w:val="auto"/>
              </w:rPr>
            </w:pPr>
          </w:p>
        </w:tc>
      </w:tr>
      <w:tr>
        <w:trPr>
          <w:trHeight w:val="339"/>
        </w:trPr>
        <w:tc>
          <w:tcPr>
            <w:tcW w:w="10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2,416</w:t>
            </w:r>
          </w:p>
        </w:tc>
        <w:tc>
          <w:tcPr>
            <w:tcW w:w="120" w:type="dxa"/>
            <w:vAlign w:val="bottom"/>
            <w:tcBorders>
              <w:right w:val="single" w:sz="8" w:color="D9D9D9"/>
            </w:tcBorders>
            <w:shd w:val="clear" w:color="auto" w:fill="D9D9D9"/>
          </w:tcPr>
          <w:p>
            <w:pPr>
              <w:spacing w:after="0"/>
              <w:rPr>
                <w:sz w:val="24"/>
                <w:szCs w:val="24"/>
                <w:color w:val="auto"/>
              </w:rPr>
            </w:pPr>
          </w:p>
        </w:tc>
        <w:tc>
          <w:tcPr>
            <w:tcW w:w="2180" w:type="dxa"/>
            <w:vAlign w:val="bottom"/>
          </w:tcPr>
          <w:p>
            <w:pPr>
              <w:jc w:val="right"/>
              <w:ind w:right="770"/>
              <w:spacing w:after="0"/>
              <w:rPr>
                <w:sz w:val="20"/>
                <w:szCs w:val="20"/>
                <w:color w:val="auto"/>
              </w:rPr>
            </w:pPr>
            <w:r>
              <w:rPr>
                <w:rFonts w:ascii="Arial" w:cs="Arial" w:eastAsia="Arial" w:hAnsi="Arial"/>
                <w:sz w:val="14"/>
                <w:szCs w:val="14"/>
                <w:color w:val="auto"/>
              </w:rPr>
              <w:t>(12,530)</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14"/>
        </w:trPr>
        <w:tc>
          <w:tcPr>
            <w:tcW w:w="10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(46,565</w:t>
            </w:r>
          </w:p>
        </w:tc>
        <w:tc>
          <w:tcPr>
            <w:tcW w:w="120" w:type="dxa"/>
            <w:vAlign w:val="bottom"/>
            <w:tcBorders>
              <w:right w:val="single" w:sz="8" w:color="D9D9D9"/>
            </w:tcBorders>
            <w:shd w:val="clear" w:color="auto" w:fill="D9D9D9"/>
          </w:tcPr>
          <w:p>
            <w:pPr>
              <w:jc w:val="right"/>
              <w:spacing w:after="0"/>
              <w:rPr>
                <w:sz w:val="20"/>
                <w:szCs w:val="20"/>
                <w:color w:val="auto"/>
              </w:rPr>
            </w:pPr>
            <w:r>
              <w:rPr>
                <w:rFonts w:ascii="Arial" w:cs="Arial" w:eastAsia="Arial" w:hAnsi="Arial"/>
                <w:sz w:val="14"/>
                <w:szCs w:val="14"/>
                <w:color w:val="auto"/>
                <w:w w:val="84"/>
              </w:rPr>
              <w:t>)</w:t>
            </w:r>
          </w:p>
        </w:tc>
        <w:tc>
          <w:tcPr>
            <w:tcW w:w="2180" w:type="dxa"/>
            <w:vAlign w:val="bottom"/>
          </w:tcPr>
          <w:p>
            <w:pPr>
              <w:jc w:val="right"/>
              <w:ind w:right="770"/>
              <w:spacing w:after="0"/>
              <w:rPr>
                <w:sz w:val="20"/>
                <w:szCs w:val="20"/>
                <w:color w:val="auto"/>
              </w:rPr>
            </w:pPr>
            <w:r>
              <w:rPr>
                <w:rFonts w:ascii="Arial" w:cs="Arial" w:eastAsia="Arial" w:hAnsi="Arial"/>
                <w:sz w:val="14"/>
                <w:szCs w:val="14"/>
                <w:color w:val="auto"/>
              </w:rPr>
              <w:t>(46,470)</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0"/>
        </w:trPr>
        <w:tc>
          <w:tcPr>
            <w:tcW w:w="100" w:type="dxa"/>
            <w:vAlign w:val="bottom"/>
            <w:shd w:val="clear" w:color="auto" w:fill="D9D9D9"/>
          </w:tcPr>
          <w:p>
            <w:pPr>
              <w:spacing w:after="0"/>
              <w:rPr>
                <w:sz w:val="2"/>
                <w:szCs w:val="2"/>
                <w:color w:val="auto"/>
              </w:rPr>
            </w:pPr>
          </w:p>
        </w:tc>
        <w:tc>
          <w:tcPr>
            <w:tcW w:w="1200" w:type="dxa"/>
            <w:vAlign w:val="bottom"/>
            <w:shd w:val="clear" w:color="auto" w:fill="D9D9D9"/>
          </w:tcPr>
          <w:p>
            <w:pPr>
              <w:spacing w:after="0"/>
              <w:rPr>
                <w:sz w:val="2"/>
                <w:szCs w:val="2"/>
                <w:color w:val="auto"/>
              </w:rPr>
            </w:pPr>
          </w:p>
        </w:tc>
        <w:tc>
          <w:tcPr>
            <w:tcW w:w="120" w:type="dxa"/>
            <w:vAlign w:val="bottom"/>
            <w:tcBorders>
              <w:right w:val="single" w:sz="8" w:color="D9D9D9"/>
            </w:tcBorders>
            <w:shd w:val="clear" w:color="auto" w:fill="D9D9D9"/>
          </w:tcPr>
          <w:p>
            <w:pPr>
              <w:spacing w:after="0"/>
              <w:rPr>
                <w:sz w:val="2"/>
                <w:szCs w:val="2"/>
                <w:color w:val="auto"/>
              </w:rPr>
            </w:pPr>
          </w:p>
        </w:tc>
        <w:tc>
          <w:tcPr>
            <w:tcW w:w="21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0"/>
        </w:trPr>
        <w:tc>
          <w:tcPr>
            <w:tcW w:w="100" w:type="dxa"/>
            <w:vAlign w:val="bottom"/>
            <w:shd w:val="clear" w:color="auto" w:fill="D9D9D9"/>
          </w:tcPr>
          <w:p>
            <w:pPr>
              <w:spacing w:after="0"/>
              <w:rPr>
                <w:sz w:val="22"/>
                <w:szCs w:val="22"/>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30,884</w:t>
            </w:r>
          </w:p>
        </w:tc>
        <w:tc>
          <w:tcPr>
            <w:tcW w:w="120" w:type="dxa"/>
            <w:vAlign w:val="bottom"/>
            <w:tcBorders>
              <w:right w:val="single" w:sz="8" w:color="D9D9D9"/>
            </w:tcBorders>
            <w:shd w:val="clear" w:color="auto" w:fill="D9D9D9"/>
          </w:tcPr>
          <w:p>
            <w:pPr>
              <w:spacing w:after="0"/>
              <w:rPr>
                <w:sz w:val="22"/>
                <w:szCs w:val="22"/>
                <w:color w:val="auto"/>
              </w:rPr>
            </w:pPr>
          </w:p>
        </w:tc>
        <w:tc>
          <w:tcPr>
            <w:tcW w:w="2180" w:type="dxa"/>
            <w:vAlign w:val="bottom"/>
          </w:tcPr>
          <w:p>
            <w:pPr>
              <w:jc w:val="right"/>
              <w:ind w:right="830"/>
              <w:spacing w:after="0"/>
              <w:rPr>
                <w:sz w:val="20"/>
                <w:szCs w:val="20"/>
                <w:color w:val="auto"/>
              </w:rPr>
            </w:pPr>
            <w:r>
              <w:rPr>
                <w:rFonts w:ascii="Arial" w:cs="Arial" w:eastAsia="Arial" w:hAnsi="Arial"/>
                <w:sz w:val="14"/>
                <w:szCs w:val="14"/>
                <w:color w:val="auto"/>
              </w:rPr>
              <w:t>25,134</w:t>
            </w:r>
          </w:p>
        </w:tc>
        <w:tc>
          <w:tcPr>
            <w:tcW w:w="500" w:type="dxa"/>
            <w:vAlign w:val="bottom"/>
          </w:tcPr>
          <w:p>
            <w:pPr>
              <w:spacing w:after="0"/>
              <w:rPr>
                <w:sz w:val="22"/>
                <w:szCs w:val="22"/>
                <w:color w:val="auto"/>
              </w:rPr>
            </w:pPr>
          </w:p>
        </w:tc>
      </w:tr>
      <w:tr>
        <w:trPr>
          <w:trHeight w:val="339"/>
        </w:trPr>
        <w:tc>
          <w:tcPr>
            <w:tcW w:w="100" w:type="dxa"/>
            <w:vAlign w:val="bottom"/>
            <w:shd w:val="clear" w:color="auto" w:fill="D9D9D9"/>
          </w:tcPr>
          <w:p>
            <w:pPr>
              <w:spacing w:after="0"/>
              <w:rPr>
                <w:sz w:val="24"/>
                <w:szCs w:val="24"/>
                <w:color w:val="auto"/>
              </w:rPr>
            </w:pPr>
          </w:p>
        </w:tc>
        <w:tc>
          <w:tcPr>
            <w:tcW w:w="1320" w:type="dxa"/>
            <w:vAlign w:val="bottom"/>
            <w:tcBorders>
              <w:right w:val="single" w:sz="8" w:color="D9D9D9"/>
            </w:tcBorders>
            <w:gridSpan w:val="2"/>
            <w:shd w:val="clear" w:color="auto" w:fill="D9D9D9"/>
          </w:tcPr>
          <w:p>
            <w:pPr>
              <w:jc w:val="right"/>
              <w:spacing w:after="0"/>
              <w:rPr>
                <w:sz w:val="20"/>
                <w:szCs w:val="20"/>
                <w:color w:val="auto"/>
              </w:rPr>
            </w:pPr>
            <w:r>
              <w:rPr>
                <w:rFonts w:ascii="Arial" w:cs="Arial" w:eastAsia="Arial" w:hAnsi="Arial"/>
                <w:sz w:val="14"/>
                <w:szCs w:val="14"/>
                <w:color w:val="auto"/>
              </w:rPr>
              <w:t>(4,529)</w:t>
            </w:r>
          </w:p>
        </w:tc>
        <w:tc>
          <w:tcPr>
            <w:tcW w:w="2180" w:type="dxa"/>
            <w:vAlign w:val="bottom"/>
          </w:tcPr>
          <w:p>
            <w:pPr>
              <w:jc w:val="right"/>
              <w:ind w:right="770"/>
              <w:spacing w:after="0"/>
              <w:rPr>
                <w:sz w:val="20"/>
                <w:szCs w:val="20"/>
                <w:color w:val="auto"/>
              </w:rPr>
            </w:pPr>
            <w:r>
              <w:rPr>
                <w:rFonts w:ascii="Arial" w:cs="Arial" w:eastAsia="Arial" w:hAnsi="Arial"/>
                <w:sz w:val="14"/>
                <w:szCs w:val="14"/>
                <w:color w:val="auto"/>
              </w:rPr>
              <w:t>(4,528)</w:t>
            </w:r>
          </w:p>
        </w:tc>
        <w:tc>
          <w:tcPr>
            <w:tcW w:w="500" w:type="dxa"/>
            <w:vAlign w:val="bottom"/>
          </w:tcPr>
          <w:p>
            <w:pPr>
              <w:spacing w:after="0"/>
              <w:rPr>
                <w:sz w:val="24"/>
                <w:szCs w:val="24"/>
                <w:color w:val="auto"/>
              </w:rPr>
            </w:pPr>
          </w:p>
        </w:tc>
      </w:tr>
      <w:tr>
        <w:trPr>
          <w:trHeight w:val="255"/>
        </w:trPr>
        <w:tc>
          <w:tcPr>
            <w:tcW w:w="1420" w:type="dxa"/>
            <w:vAlign w:val="bottom"/>
            <w:tcBorders>
              <w:right w:val="single" w:sz="8" w:color="D9D9D9"/>
            </w:tcBorders>
            <w:gridSpan w:val="3"/>
            <w:shd w:val="clear" w:color="auto" w:fill="D9D9D9"/>
          </w:tcPr>
          <w:p>
            <w:pPr>
              <w:spacing w:after="0"/>
              <w:rPr>
                <w:sz w:val="22"/>
                <w:szCs w:val="22"/>
                <w:color w:val="auto"/>
              </w:rPr>
            </w:pPr>
          </w:p>
        </w:tc>
        <w:tc>
          <w:tcPr>
            <w:tcW w:w="218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94"/>
        </w:trPr>
        <w:tc>
          <w:tcPr>
            <w:tcW w:w="1420" w:type="dxa"/>
            <w:vAlign w:val="bottom"/>
            <w:tcBorders>
              <w:bottom w:val="single" w:sz="8" w:color="D9D9D9"/>
              <w:right w:val="single" w:sz="8" w:color="D9D9D9"/>
            </w:tcBorders>
            <w:gridSpan w:val="3"/>
            <w:shd w:val="clear" w:color="auto" w:fill="D9D9D9"/>
          </w:tcPr>
          <w:p>
            <w:pPr>
              <w:jc w:val="right"/>
              <w:spacing w:after="0"/>
              <w:rPr>
                <w:sz w:val="20"/>
                <w:szCs w:val="20"/>
                <w:color w:val="auto"/>
              </w:rPr>
            </w:pPr>
            <w:r>
              <w:rPr>
                <w:rFonts w:ascii="Arial" w:cs="Arial" w:eastAsia="Arial" w:hAnsi="Arial"/>
                <w:sz w:val="14"/>
                <w:szCs w:val="14"/>
                <w:color w:val="auto"/>
              </w:rPr>
              <w:t>(2,938)</w:t>
            </w:r>
          </w:p>
        </w:tc>
        <w:tc>
          <w:tcPr>
            <w:tcW w:w="2180" w:type="dxa"/>
            <w:vAlign w:val="bottom"/>
          </w:tcPr>
          <w:p>
            <w:pPr>
              <w:jc w:val="right"/>
              <w:ind w:right="770"/>
              <w:spacing w:after="0"/>
              <w:rPr>
                <w:sz w:val="20"/>
                <w:szCs w:val="20"/>
                <w:color w:val="auto"/>
              </w:rPr>
            </w:pPr>
            <w:r>
              <w:rPr>
                <w:rFonts w:ascii="Arial" w:cs="Arial" w:eastAsia="Arial" w:hAnsi="Arial"/>
                <w:sz w:val="14"/>
                <w:szCs w:val="14"/>
                <w:color w:val="auto"/>
              </w:rPr>
              <w:t>(16,458)</w:t>
            </w:r>
          </w:p>
        </w:tc>
        <w:tc>
          <w:tcPr>
            <w:tcW w:w="500" w:type="dxa"/>
            <w:vAlign w:val="bottom"/>
          </w:tcPr>
          <w:p>
            <w:pPr>
              <w:spacing w:after="0"/>
              <w:rPr>
                <w:sz w:val="24"/>
                <w:szCs w:val="24"/>
                <w:color w:val="auto"/>
              </w:rPr>
            </w:pPr>
          </w:p>
        </w:tc>
      </w:tr>
      <w:tr>
        <w:trPr>
          <w:trHeight w:val="260"/>
        </w:trPr>
        <w:tc>
          <w:tcPr>
            <w:tcW w:w="100" w:type="dxa"/>
            <w:vAlign w:val="bottom"/>
          </w:tcPr>
          <w:p>
            <w:pPr>
              <w:spacing w:after="0"/>
              <w:rPr>
                <w:sz w:val="22"/>
                <w:szCs w:val="22"/>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1,668</w:t>
            </w:r>
          </w:p>
        </w:tc>
        <w:tc>
          <w:tcPr>
            <w:tcW w:w="120" w:type="dxa"/>
            <w:vAlign w:val="bottom"/>
            <w:tcBorders>
              <w:right w:val="single" w:sz="8" w:color="D9D9D9"/>
            </w:tcBorders>
            <w:shd w:val="clear" w:color="auto" w:fill="D9D9D9"/>
          </w:tcPr>
          <w:p>
            <w:pPr>
              <w:spacing w:after="0"/>
              <w:rPr>
                <w:sz w:val="22"/>
                <w:szCs w:val="22"/>
                <w:color w:val="auto"/>
              </w:rPr>
            </w:pPr>
          </w:p>
        </w:tc>
        <w:tc>
          <w:tcPr>
            <w:tcW w:w="2180" w:type="dxa"/>
            <w:vAlign w:val="bottom"/>
          </w:tcPr>
          <w:p>
            <w:pPr>
              <w:jc w:val="right"/>
              <w:ind w:right="830"/>
              <w:spacing w:after="0"/>
              <w:rPr>
                <w:sz w:val="20"/>
                <w:szCs w:val="20"/>
                <w:color w:val="auto"/>
              </w:rPr>
            </w:pPr>
            <w:r>
              <w:rPr>
                <w:rFonts w:ascii="Arial" w:cs="Arial" w:eastAsia="Arial" w:hAnsi="Arial"/>
                <w:sz w:val="14"/>
                <w:szCs w:val="14"/>
                <w:color w:val="auto"/>
              </w:rPr>
              <w:t>20,342</w:t>
            </w:r>
          </w:p>
        </w:tc>
        <w:tc>
          <w:tcPr>
            <w:tcW w:w="500" w:type="dxa"/>
            <w:vAlign w:val="bottom"/>
          </w:tcPr>
          <w:p>
            <w:pPr>
              <w:spacing w:after="0"/>
              <w:rPr>
                <w:sz w:val="22"/>
                <w:szCs w:val="22"/>
                <w:color w:val="auto"/>
              </w:rPr>
            </w:pPr>
          </w:p>
        </w:tc>
      </w:tr>
      <w:tr>
        <w:trPr>
          <w:trHeight w:val="55"/>
        </w:trPr>
        <w:tc>
          <w:tcPr>
            <w:tcW w:w="100" w:type="dxa"/>
            <w:vAlign w:val="bottom"/>
          </w:tcPr>
          <w:p>
            <w:pPr>
              <w:spacing w:after="0"/>
              <w:rPr>
                <w:sz w:val="4"/>
                <w:szCs w:val="4"/>
                <w:color w:val="auto"/>
              </w:rPr>
            </w:pPr>
          </w:p>
        </w:tc>
        <w:tc>
          <w:tcPr>
            <w:tcW w:w="1200" w:type="dxa"/>
            <w:vAlign w:val="bottom"/>
            <w:shd w:val="clear" w:color="auto" w:fill="D9D9D9"/>
          </w:tcPr>
          <w:p>
            <w:pPr>
              <w:spacing w:after="0"/>
              <w:rPr>
                <w:sz w:val="4"/>
                <w:szCs w:val="4"/>
                <w:color w:val="auto"/>
              </w:rPr>
            </w:pPr>
          </w:p>
        </w:tc>
        <w:tc>
          <w:tcPr>
            <w:tcW w:w="120" w:type="dxa"/>
            <w:vAlign w:val="bottom"/>
            <w:tcBorders>
              <w:right w:val="single" w:sz="8" w:color="D9D9D9"/>
            </w:tcBorders>
            <w:shd w:val="clear" w:color="auto" w:fill="D9D9D9"/>
          </w:tcPr>
          <w:p>
            <w:pPr>
              <w:spacing w:after="0"/>
              <w:rPr>
                <w:sz w:val="4"/>
                <w:szCs w:val="4"/>
                <w:color w:val="auto"/>
              </w:rPr>
            </w:pPr>
          </w:p>
        </w:tc>
        <w:tc>
          <w:tcPr>
            <w:tcW w:w="2180" w:type="dxa"/>
            <w:vAlign w:val="bottom"/>
          </w:tcPr>
          <w:p>
            <w:pPr>
              <w:spacing w:after="0"/>
              <w:rPr>
                <w:sz w:val="4"/>
                <w:szCs w:val="4"/>
                <w:color w:val="auto"/>
              </w:rPr>
            </w:pPr>
          </w:p>
        </w:tc>
        <w:tc>
          <w:tcPr>
            <w:tcW w:w="50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-4066540</wp:posOffset>
            </wp:positionV>
            <wp:extent cx="2614930" cy="635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2">
                      <a:extLst>
                        <a:ext uri="{28A0092B-C50C-407E-A947-70E740481C1C}"/>
                      </a:extLst>
                    </a:blip>
                    <a:srcRect/>
                    <a:stretch>
                      <a:fillRect/>
                    </a:stretch>
                  </pic:blipFill>
                  <pic:spPr bwMode="auto">
                    <a:xfrm>
                      <a:off x="0" y="0"/>
                      <a:ext cx="2614930" cy="635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-3773170</wp:posOffset>
            </wp:positionV>
            <wp:extent cx="2679065" cy="635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3">
                      <a:extLst>
                        <a:ext uri="{28A0092B-C50C-407E-A947-70E740481C1C}"/>
                      </a:extLst>
                    </a:blip>
                    <a:srcRect/>
                    <a:stretch>
                      <a:fillRect/>
                    </a:stretch>
                  </pic:blipFill>
                  <pic:spPr bwMode="auto">
                    <a:xfrm>
                      <a:off x="0" y="0"/>
                      <a:ext cx="2679065" cy="6350"/>
                    </a:xfrm>
                    <a:prstGeom prst="rect">
                      <a:avLst/>
                    </a:prstGeom>
                    <a:noFill/>
                  </pic:spPr>
                </pic:pic>
              </a:graphicData>
            </a:graphic>
          </wp:anchor>
        </w:drawing>
      </w:r>
    </w:p>
    <w:p>
      <w:pPr>
        <w:spacing w:after="0" w:line="79" w:lineRule="exact"/>
        <w:rPr>
          <w:sz w:val="20"/>
          <w:szCs w:val="20"/>
          <w:color w:val="auto"/>
        </w:rPr>
      </w:pPr>
    </w:p>
    <w:p>
      <w:pPr>
        <w:ind w:left="2340" w:hanging="1092"/>
        <w:spacing w:after="0"/>
        <w:tabs>
          <w:tab w:leader="none" w:pos="23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4,351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2614930" cy="635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4">
                      <a:extLst>
                        <a:ext uri="{28A0092B-C50C-407E-A947-70E740481C1C}"/>
                      </a:extLst>
                    </a:blip>
                    <a:srcRect/>
                    <a:stretch>
                      <a:fillRect/>
                    </a:stretch>
                  </pic:blipFill>
                  <pic:spPr bwMode="auto">
                    <a:xfrm>
                      <a:off x="0" y="0"/>
                      <a:ext cx="2614930" cy="635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20" w:type="dxa"/>
            <w:vAlign w:val="bottom"/>
          </w:tcPr>
          <w:p>
            <w:pPr>
              <w:jc w:val="right"/>
              <w:spacing w:after="0"/>
              <w:rPr>
                <w:sz w:val="20"/>
                <w:szCs w:val="20"/>
                <w:color w:val="auto"/>
              </w:rPr>
            </w:pPr>
            <w:r>
              <w:rPr>
                <w:rFonts w:ascii="Arial" w:cs="Arial" w:eastAsia="Arial" w:hAnsi="Arial"/>
                <w:sz w:val="14"/>
                <w:szCs w:val="14"/>
                <w:color w:val="auto"/>
              </w:rPr>
              <w:t>(29,956)</w:t>
            </w:r>
          </w:p>
        </w:tc>
        <w:tc>
          <w:tcPr>
            <w:tcW w:w="1960" w:type="dxa"/>
            <w:vAlign w:val="bottom"/>
          </w:tcPr>
          <w:p>
            <w:pPr>
              <w:jc w:val="right"/>
              <w:ind w:right="550"/>
              <w:spacing w:after="0"/>
              <w:rPr>
                <w:sz w:val="20"/>
                <w:szCs w:val="20"/>
                <w:color w:val="auto"/>
              </w:rPr>
            </w:pPr>
            <w:r>
              <w:rPr>
                <w:rFonts w:ascii="Arial" w:cs="Arial" w:eastAsia="Arial" w:hAnsi="Arial"/>
                <w:sz w:val="14"/>
                <w:szCs w:val="14"/>
                <w:color w:val="auto"/>
              </w:rPr>
              <w:t>(21,810)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90"/>
        </w:trPr>
        <w:tc>
          <w:tcPr>
            <w:tcW w:w="14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61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49"/>
        </w:trPr>
        <w:tc>
          <w:tcPr>
            <w:tcW w:w="1420" w:type="dxa"/>
            <w:vAlign w:val="bottom"/>
          </w:tcPr>
          <w:p>
            <w:pPr>
              <w:jc w:val="right"/>
              <w:spacing w:after="0"/>
              <w:rPr>
                <w:sz w:val="20"/>
                <w:szCs w:val="20"/>
                <w:color w:val="auto"/>
              </w:rPr>
            </w:pPr>
            <w:r>
              <w:rPr>
                <w:rFonts w:ascii="Arial" w:cs="Arial" w:eastAsia="Arial" w:hAnsi="Arial"/>
                <w:sz w:val="14"/>
                <w:szCs w:val="14"/>
                <w:color w:val="auto"/>
              </w:rPr>
              <w:t>(29,956)</w:t>
            </w:r>
          </w:p>
        </w:tc>
        <w:tc>
          <w:tcPr>
            <w:tcW w:w="1960" w:type="dxa"/>
            <w:vAlign w:val="bottom"/>
          </w:tcPr>
          <w:p>
            <w:pPr>
              <w:jc w:val="right"/>
              <w:ind w:right="550"/>
              <w:spacing w:after="0"/>
              <w:rPr>
                <w:sz w:val="20"/>
                <w:szCs w:val="20"/>
                <w:color w:val="auto"/>
              </w:rPr>
            </w:pPr>
            <w:r>
              <w:rPr>
                <w:rFonts w:ascii="Arial" w:cs="Arial" w:eastAsia="Arial" w:hAnsi="Arial"/>
                <w:sz w:val="14"/>
                <w:szCs w:val="14"/>
                <w:color w:val="auto"/>
              </w:rPr>
              <w:t>(21,810)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0"/>
        </w:trPr>
        <w:tc>
          <w:tcPr>
            <w:tcW w:w="14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451"/>
        </w:trPr>
        <w:tc>
          <w:tcPr>
            <w:tcW w:w="1420" w:type="dxa"/>
            <w:vAlign w:val="bottom"/>
            <w:shd w:val="clear" w:color="auto" w:fill="D9D9D9"/>
          </w:tcPr>
          <w:p>
            <w:pPr>
              <w:spacing w:after="0"/>
              <w:rPr>
                <w:sz w:val="24"/>
                <w:szCs w:val="24"/>
                <w:color w:val="auto"/>
              </w:rPr>
            </w:pPr>
          </w:p>
        </w:tc>
        <w:tc>
          <w:tcPr>
            <w:tcW w:w="19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5"/>
        </w:trPr>
        <w:tc>
          <w:tcPr>
            <w:tcW w:w="1420" w:type="dxa"/>
            <w:vAlign w:val="bottom"/>
            <w:shd w:val="clear" w:color="auto" w:fill="D9D9D9"/>
          </w:tcPr>
          <w:p>
            <w:pPr>
              <w:jc w:val="right"/>
              <w:ind w:right="50"/>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550"/>
              <w:spacing w:after="0"/>
              <w:rPr>
                <w:sz w:val="20"/>
                <w:szCs w:val="20"/>
                <w:color w:val="auto"/>
              </w:rPr>
            </w:pPr>
            <w:r>
              <w:rPr>
                <w:rFonts w:ascii="Arial" w:cs="Arial" w:eastAsia="Arial" w:hAnsi="Arial"/>
                <w:sz w:val="14"/>
                <w:szCs w:val="14"/>
                <w:color w:val="auto"/>
              </w:rPr>
              <w:t>(41,978)</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0"/>
        </w:trPr>
        <w:tc>
          <w:tcPr>
            <w:tcW w:w="1420" w:type="dxa"/>
            <w:vAlign w:val="bottom"/>
            <w:shd w:val="clear" w:color="auto" w:fill="D9D9D9"/>
          </w:tcPr>
          <w:p>
            <w:pPr>
              <w:spacing w:after="0"/>
              <w:rPr>
                <w:sz w:val="2"/>
                <w:szCs w:val="2"/>
                <w:color w:val="auto"/>
              </w:rPr>
            </w:pPr>
          </w:p>
        </w:tc>
        <w:tc>
          <w:tcPr>
            <w:tcW w:w="19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0"/>
        </w:trPr>
        <w:tc>
          <w:tcPr>
            <w:tcW w:w="1420" w:type="dxa"/>
            <w:vAlign w:val="bottom"/>
            <w:shd w:val="clear" w:color="auto" w:fill="D9D9D9"/>
          </w:tcPr>
          <w:p>
            <w:pPr>
              <w:jc w:val="right"/>
              <w:ind w:right="50"/>
              <w:spacing w:after="0"/>
              <w:rPr>
                <w:sz w:val="20"/>
                <w:szCs w:val="20"/>
                <w:color w:val="auto"/>
              </w:rPr>
            </w:pPr>
            <w:r>
              <w:rPr>
                <w:rFonts w:ascii="Arial" w:cs="Arial" w:eastAsia="Arial" w:hAnsi="Arial"/>
                <w:sz w:val="14"/>
                <w:szCs w:val="14"/>
                <w:color w:val="auto"/>
              </w:rPr>
              <w:t>3,920</w:t>
            </w:r>
          </w:p>
        </w:tc>
        <w:tc>
          <w:tcPr>
            <w:tcW w:w="1960" w:type="dxa"/>
            <w:vAlign w:val="bottom"/>
          </w:tcPr>
          <w:p>
            <w:pPr>
              <w:jc w:val="right"/>
              <w:ind w:right="610"/>
              <w:spacing w:after="0"/>
              <w:rPr>
                <w:sz w:val="20"/>
                <w:szCs w:val="20"/>
                <w:color w:val="auto"/>
              </w:rPr>
            </w:pPr>
            <w:r>
              <w:rPr>
                <w:rFonts w:ascii="Arial" w:cs="Arial" w:eastAsia="Arial" w:hAnsi="Arial"/>
                <w:sz w:val="14"/>
                <w:szCs w:val="14"/>
                <w:color w:val="auto"/>
              </w:rPr>
              <w:t>26,476</w:t>
            </w:r>
          </w:p>
        </w:tc>
        <w:tc>
          <w:tcPr>
            <w:tcW w:w="720" w:type="dxa"/>
            <w:vAlign w:val="bottom"/>
          </w:tcPr>
          <w:p>
            <w:pPr>
              <w:spacing w:after="0"/>
              <w:rPr>
                <w:sz w:val="22"/>
                <w:szCs w:val="22"/>
                <w:color w:val="auto"/>
              </w:rPr>
            </w:pPr>
          </w:p>
        </w:tc>
      </w:tr>
      <w:tr>
        <w:trPr>
          <w:trHeight w:val="339"/>
        </w:trPr>
        <w:tc>
          <w:tcPr>
            <w:tcW w:w="1420" w:type="dxa"/>
            <w:vAlign w:val="bottom"/>
            <w:shd w:val="clear" w:color="auto" w:fill="D9D9D9"/>
          </w:tcPr>
          <w:p>
            <w:pPr>
              <w:jc w:val="right"/>
              <w:ind w:right="50"/>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550"/>
              <w:spacing w:after="0"/>
              <w:rPr>
                <w:sz w:val="20"/>
                <w:szCs w:val="20"/>
                <w:color w:val="auto"/>
              </w:rPr>
            </w:pPr>
            <w:r>
              <w:rPr>
                <w:rFonts w:ascii="Arial" w:cs="Arial" w:eastAsia="Arial" w:hAnsi="Arial"/>
                <w:sz w:val="14"/>
                <w:szCs w:val="14"/>
                <w:color w:val="auto"/>
              </w:rPr>
              <w:t>(65,000)</w:t>
            </w:r>
          </w:p>
        </w:tc>
        <w:tc>
          <w:tcPr>
            <w:tcW w:w="720" w:type="dxa"/>
            <w:vAlign w:val="bottom"/>
          </w:tcPr>
          <w:p>
            <w:pPr>
              <w:spacing w:after="0"/>
              <w:rPr>
                <w:sz w:val="24"/>
                <w:szCs w:val="24"/>
                <w:color w:val="auto"/>
              </w:rPr>
            </w:pPr>
          </w:p>
        </w:tc>
      </w:tr>
      <w:tr>
        <w:trPr>
          <w:trHeight w:val="30"/>
        </w:trPr>
        <w:tc>
          <w:tcPr>
            <w:tcW w:w="1420" w:type="dxa"/>
            <w:vAlign w:val="bottom"/>
            <w:shd w:val="clear" w:color="auto" w:fill="D9D9D9"/>
          </w:tcPr>
          <w:p>
            <w:pPr>
              <w:spacing w:after="0"/>
              <w:rPr>
                <w:sz w:val="2"/>
                <w:szCs w:val="2"/>
                <w:color w:val="auto"/>
              </w:rPr>
            </w:pPr>
          </w:p>
        </w:tc>
        <w:tc>
          <w:tcPr>
            <w:tcW w:w="19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85"/>
        </w:trPr>
        <w:tc>
          <w:tcPr>
            <w:tcW w:w="1420" w:type="dxa"/>
            <w:vAlign w:val="bottom"/>
            <w:shd w:val="clear" w:color="auto" w:fill="D9D9D9"/>
          </w:tcPr>
          <w:p>
            <w:pPr>
              <w:jc w:val="right"/>
              <w:ind w:right="50"/>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550"/>
              <w:spacing w:after="0"/>
              <w:rPr>
                <w:sz w:val="20"/>
                <w:szCs w:val="20"/>
                <w:color w:val="auto"/>
              </w:rPr>
            </w:pPr>
            <w:r>
              <w:rPr>
                <w:rFonts w:ascii="Arial" w:cs="Arial" w:eastAsia="Arial" w:hAnsi="Arial"/>
                <w:sz w:val="14"/>
                <w:szCs w:val="14"/>
                <w:color w:val="auto"/>
              </w:rPr>
              <w:t>(1,570)</w:t>
            </w:r>
          </w:p>
        </w:tc>
        <w:tc>
          <w:tcPr>
            <w:tcW w:w="720" w:type="dxa"/>
            <w:vAlign w:val="bottom"/>
          </w:tcPr>
          <w:p>
            <w:pPr>
              <w:spacing w:after="0"/>
              <w:rPr>
                <w:sz w:val="24"/>
                <w:szCs w:val="24"/>
                <w:color w:val="auto"/>
              </w:rPr>
            </w:pPr>
          </w:p>
        </w:tc>
      </w:tr>
      <w:tr>
        <w:trPr>
          <w:trHeight w:val="30"/>
        </w:trPr>
        <w:tc>
          <w:tcPr>
            <w:tcW w:w="1420" w:type="dxa"/>
            <w:vAlign w:val="bottom"/>
            <w:shd w:val="clear" w:color="auto" w:fill="D9D9D9"/>
          </w:tcPr>
          <w:p>
            <w:pPr>
              <w:spacing w:after="0"/>
              <w:rPr>
                <w:sz w:val="2"/>
                <w:szCs w:val="2"/>
                <w:color w:val="auto"/>
              </w:rPr>
            </w:pPr>
          </w:p>
        </w:tc>
        <w:tc>
          <w:tcPr>
            <w:tcW w:w="19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85"/>
        </w:trPr>
        <w:tc>
          <w:tcPr>
            <w:tcW w:w="14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(419)</w:t>
            </w:r>
          </w:p>
        </w:tc>
        <w:tc>
          <w:tcPr>
            <w:tcW w:w="1960" w:type="dxa"/>
            <w:vAlign w:val="bottom"/>
          </w:tcPr>
          <w:p>
            <w:pPr>
              <w:jc w:val="right"/>
              <w:ind w:right="550"/>
              <w:spacing w:after="0"/>
              <w:rPr>
                <w:sz w:val="20"/>
                <w:szCs w:val="20"/>
                <w:color w:val="auto"/>
              </w:rPr>
            </w:pPr>
            <w:r>
              <w:rPr>
                <w:rFonts w:ascii="Arial" w:cs="Arial" w:eastAsia="Arial" w:hAnsi="Arial"/>
                <w:sz w:val="14"/>
                <w:szCs w:val="14"/>
                <w:color w:val="auto"/>
              </w:rPr>
              <w:t>(2,113)</w:t>
            </w:r>
          </w:p>
        </w:tc>
        <w:tc>
          <w:tcPr>
            <w:tcW w:w="720" w:type="dxa"/>
            <w:vAlign w:val="bottom"/>
          </w:tcPr>
          <w:p>
            <w:pPr>
              <w:spacing w:after="0"/>
              <w:rPr>
                <w:sz w:val="24"/>
                <w:szCs w:val="24"/>
                <w:color w:val="auto"/>
              </w:rPr>
            </w:pPr>
          </w:p>
        </w:tc>
      </w:tr>
      <w:tr>
        <w:trPr>
          <w:trHeight w:val="30"/>
        </w:trPr>
        <w:tc>
          <w:tcPr>
            <w:tcW w:w="1420" w:type="dxa"/>
            <w:vAlign w:val="bottom"/>
            <w:shd w:val="clear" w:color="auto" w:fill="D9D9D9"/>
          </w:tcPr>
          <w:p>
            <w:pPr>
              <w:spacing w:after="0"/>
              <w:rPr>
                <w:sz w:val="2"/>
                <w:szCs w:val="2"/>
                <w:color w:val="auto"/>
              </w:rPr>
            </w:pPr>
          </w:p>
        </w:tc>
        <w:tc>
          <w:tcPr>
            <w:tcW w:w="19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0"/>
        </w:trPr>
        <w:tc>
          <w:tcPr>
            <w:tcW w:w="1420" w:type="dxa"/>
            <w:vAlign w:val="bottom"/>
            <w:shd w:val="clear" w:color="auto" w:fill="D9D9D9"/>
          </w:tcPr>
          <w:p>
            <w:pPr>
              <w:jc w:val="right"/>
              <w:ind w:right="50"/>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61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55"/>
        </w:trPr>
        <w:tc>
          <w:tcPr>
            <w:tcW w:w="1420" w:type="dxa"/>
            <w:vAlign w:val="bottom"/>
            <w:shd w:val="clear" w:color="auto" w:fill="D9D9D9"/>
          </w:tcPr>
          <w:p>
            <w:pPr>
              <w:spacing w:after="0"/>
              <w:rPr>
                <w:sz w:val="4"/>
                <w:szCs w:val="4"/>
                <w:color w:val="auto"/>
              </w:rPr>
            </w:pPr>
          </w:p>
        </w:tc>
        <w:tc>
          <w:tcPr>
            <w:tcW w:w="196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60"/>
        </w:trPr>
        <w:tc>
          <w:tcPr>
            <w:tcW w:w="1420" w:type="dxa"/>
            <w:vAlign w:val="bottom"/>
            <w:shd w:val="clear" w:color="auto" w:fill="D9D9D9"/>
          </w:tcPr>
          <w:p>
            <w:pPr>
              <w:jc w:val="right"/>
              <w:ind w:right="50"/>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61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2"/>
                <w:szCs w:val="22"/>
                <w:color w:val="auto"/>
              </w:rPr>
            </w:pPr>
          </w:p>
        </w:tc>
      </w:tr>
      <w:tr>
        <w:trPr>
          <w:trHeight w:val="339"/>
        </w:trPr>
        <w:tc>
          <w:tcPr>
            <w:tcW w:w="14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(229)</w:t>
            </w:r>
          </w:p>
        </w:tc>
        <w:tc>
          <w:tcPr>
            <w:tcW w:w="1960" w:type="dxa"/>
            <w:vAlign w:val="bottom"/>
          </w:tcPr>
          <w:p>
            <w:pPr>
              <w:jc w:val="right"/>
              <w:ind w:right="550"/>
              <w:spacing w:after="0"/>
              <w:rPr>
                <w:sz w:val="20"/>
                <w:szCs w:val="20"/>
                <w:color w:val="auto"/>
              </w:rPr>
            </w:pPr>
            <w:r>
              <w:rPr>
                <w:rFonts w:ascii="Arial" w:cs="Arial" w:eastAsia="Arial" w:hAnsi="Arial"/>
                <w:sz w:val="14"/>
                <w:szCs w:val="14"/>
                <w:color w:val="auto"/>
              </w:rPr>
              <w:t>(702)</w:t>
            </w:r>
          </w:p>
        </w:tc>
        <w:tc>
          <w:tcPr>
            <w:tcW w:w="720" w:type="dxa"/>
            <w:vAlign w:val="bottom"/>
          </w:tcPr>
          <w:p>
            <w:pPr>
              <w:spacing w:after="0"/>
              <w:rPr>
                <w:sz w:val="24"/>
                <w:szCs w:val="24"/>
                <w:color w:val="auto"/>
              </w:rPr>
            </w:pPr>
          </w:p>
        </w:tc>
      </w:tr>
      <w:tr>
        <w:trPr>
          <w:trHeight w:val="30"/>
        </w:trPr>
        <w:tc>
          <w:tcPr>
            <w:tcW w:w="1420" w:type="dxa"/>
            <w:vAlign w:val="bottom"/>
            <w:shd w:val="clear" w:color="auto" w:fill="D9D9D9"/>
          </w:tcPr>
          <w:p>
            <w:pPr>
              <w:spacing w:after="0"/>
              <w:rPr>
                <w:sz w:val="2"/>
                <w:szCs w:val="2"/>
                <w:color w:val="auto"/>
              </w:rPr>
            </w:pPr>
          </w:p>
        </w:tc>
        <w:tc>
          <w:tcPr>
            <w:tcW w:w="19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0"/>
        </w:trPr>
        <w:tc>
          <w:tcPr>
            <w:tcW w:w="1420" w:type="dxa"/>
            <w:vAlign w:val="bottom"/>
            <w:shd w:val="clear" w:color="auto" w:fill="D9D9D9"/>
          </w:tcPr>
          <w:p>
            <w:pPr>
              <w:jc w:val="right"/>
              <w:ind w:right="50"/>
              <w:spacing w:after="0"/>
              <w:rPr>
                <w:sz w:val="20"/>
                <w:szCs w:val="20"/>
                <w:color w:val="auto"/>
              </w:rPr>
            </w:pPr>
            <w:r>
              <w:rPr>
                <w:rFonts w:ascii="Arial" w:cs="Arial" w:eastAsia="Arial" w:hAnsi="Arial"/>
                <w:sz w:val="14"/>
                <w:szCs w:val="14"/>
                <w:color w:val="auto"/>
              </w:rPr>
              <w:t>3,009</w:t>
            </w:r>
          </w:p>
        </w:tc>
        <w:tc>
          <w:tcPr>
            <w:tcW w:w="1960" w:type="dxa"/>
            <w:vAlign w:val="bottom"/>
          </w:tcPr>
          <w:p>
            <w:pPr>
              <w:jc w:val="right"/>
              <w:ind w:right="61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2"/>
                <w:szCs w:val="22"/>
                <w:color w:val="auto"/>
              </w:rPr>
            </w:pPr>
          </w:p>
        </w:tc>
      </w:tr>
      <w:tr>
        <w:trPr>
          <w:trHeight w:val="55"/>
        </w:trPr>
        <w:tc>
          <w:tcPr>
            <w:tcW w:w="1420" w:type="dxa"/>
            <w:vAlign w:val="bottom"/>
            <w:shd w:val="clear" w:color="auto" w:fill="D9D9D9"/>
          </w:tcPr>
          <w:p>
            <w:pPr>
              <w:spacing w:after="0"/>
              <w:rPr>
                <w:sz w:val="4"/>
                <w:szCs w:val="4"/>
                <w:color w:val="auto"/>
              </w:rPr>
            </w:pPr>
          </w:p>
        </w:tc>
        <w:tc>
          <w:tcPr>
            <w:tcW w:w="1960" w:type="dxa"/>
            <w:vAlign w:val="bottom"/>
          </w:tcPr>
          <w:p>
            <w:pPr>
              <w:spacing w:after="0"/>
              <w:rPr>
                <w:sz w:val="4"/>
                <w:szCs w:val="4"/>
                <w:color w:val="auto"/>
              </w:rPr>
            </w:pPr>
          </w:p>
        </w:tc>
        <w:tc>
          <w:tcPr>
            <w:tcW w:w="7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-2294890</wp:posOffset>
            </wp:positionV>
            <wp:extent cx="2614930" cy="2120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5">
                      <a:extLst>
                        <a:ext uri="{28A0092B-C50C-407E-A947-70E740481C1C}"/>
                      </a:extLst>
                    </a:blip>
                    <a:srcRect/>
                    <a:stretch>
                      <a:fillRect/>
                    </a:stretch>
                  </pic:blipFill>
                  <pic:spPr bwMode="auto">
                    <a:xfrm>
                      <a:off x="0" y="0"/>
                      <a:ext cx="2614930" cy="212090"/>
                    </a:xfrm>
                    <a:prstGeom prst="rect">
                      <a:avLst/>
                    </a:prstGeom>
                    <a:noFill/>
                  </pic:spPr>
                </pic:pic>
              </a:graphicData>
            </a:graphic>
          </wp:anchor>
        </w:drawing>
        <w:drawing>
          <wp:anchor simplePos="0" relativeHeight="251657728" behindDoc="1" locked="0" layoutInCell="0" allowOverlap="1">
            <wp:simplePos x="0" y="0"/>
            <wp:positionH relativeFrom="column">
              <wp:posOffset>831215</wp:posOffset>
            </wp:positionH>
            <wp:positionV relativeFrom="paragraph">
              <wp:posOffset>0</wp:posOffset>
            </wp:positionV>
            <wp:extent cx="64135" cy="2057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6">
                      <a:extLst>
                        <a:ext uri="{28A0092B-C50C-407E-A947-70E740481C1C}"/>
                      </a:extLst>
                    </a:blip>
                    <a:srcRect/>
                    <a:stretch>
                      <a:fillRect/>
                    </a:stretch>
                  </pic:blipFill>
                  <pic:spPr bwMode="auto">
                    <a:xfrm>
                      <a:off x="0" y="0"/>
                      <a:ext cx="64135" cy="205740"/>
                    </a:xfrm>
                    <a:prstGeom prst="rect">
                      <a:avLst/>
                    </a:prstGeom>
                    <a:noFill/>
                  </pic:spPr>
                </pic:pic>
              </a:graphicData>
            </a:graphic>
          </wp:anchor>
        </w:drawing>
      </w:r>
    </w:p>
    <w:p>
      <w:pPr>
        <w:spacing w:after="0" w:line="85" w:lineRule="exact"/>
        <w:rPr>
          <w:sz w:val="20"/>
          <w:szCs w:val="20"/>
          <w:color w:val="auto"/>
        </w:rPr>
      </w:pPr>
    </w:p>
    <w:p>
      <w:pPr>
        <w:ind w:left="2420" w:hanging="1172"/>
        <w:spacing w:after="0"/>
        <w:tabs>
          <w:tab w:leader="none" w:pos="242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(971)</w:t>
      </w:r>
    </w:p>
    <w:p>
      <w:pPr>
        <w:spacing w:after="0" w:line="157" w:lineRule="exact"/>
        <w:rPr>
          <w:rFonts w:ascii="Arial" w:cs="Arial" w:eastAsia="Arial" w:hAnsi="Arial"/>
          <w:sz w:val="14"/>
          <w:szCs w:val="14"/>
          <w:color w:val="auto"/>
        </w:rPr>
      </w:pPr>
    </w:p>
    <w:p>
      <w:pPr>
        <w:ind w:left="940"/>
        <w:spacing w:after="0"/>
        <w:rPr>
          <w:rFonts w:ascii="Arial" w:cs="Arial" w:eastAsia="Arial" w:hAnsi="Arial"/>
          <w:sz w:val="14"/>
          <w:szCs w:val="14"/>
          <w:color w:val="auto"/>
        </w:rPr>
      </w:pPr>
      <w:r>
        <w:rPr>
          <w:rFonts w:ascii="Arial" w:cs="Arial" w:eastAsia="Arial" w:hAnsi="Arial"/>
          <w:sz w:val="14"/>
          <w:szCs w:val="14"/>
          <w:color w:val="auto"/>
        </w:rPr>
        <w:t>6,281(85,858)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2614930" cy="20574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7">
                      <a:extLst>
                        <a:ext uri="{28A0092B-C50C-407E-A947-70E740481C1C}"/>
                      </a:extLst>
                    </a:blip>
                    <a:srcRect/>
                    <a:stretch>
                      <a:fillRect/>
                    </a:stretch>
                  </pic:blipFill>
                  <pic:spPr bwMode="auto">
                    <a:xfrm>
                      <a:off x="0" y="0"/>
                      <a:ext cx="2614930" cy="2057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2614930" cy="20574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8">
                      <a:extLst>
                        <a:ext uri="{28A0092B-C50C-407E-A947-70E740481C1C}"/>
                      </a:extLst>
                    </a:blip>
                    <a:srcRect/>
                    <a:stretch>
                      <a:fillRect/>
                    </a:stretch>
                  </pic:blipFill>
                  <pic:spPr bwMode="auto">
                    <a:xfrm>
                      <a:off x="0" y="0"/>
                      <a:ext cx="2614930" cy="20574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6240" w:space="100"/>
            <w:col w:w="4100"/>
          </w:cols>
          <w:pgMar w:left="1440" w:top="1440" w:right="26" w:bottom="0" w:gutter="0" w:footer="0" w:header="0"/>
          <w:type w:val="continuous"/>
        </w:sectPr>
      </w:pPr>
    </w:p>
    <w:p>
      <w:pPr>
        <w:spacing w:after="0" w:line="35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13 / 16</w:t>
      </w:r>
    </w:p>
    <w:p>
      <w:pPr>
        <w:sectPr>
          <w:pgSz w:w="11900" w:h="16838" w:orient="portrait"/>
          <w:cols w:equalWidth="0" w:num="1">
            <w:col w:w="10440"/>
          </w:cols>
          <w:pgMar w:left="1440" w:top="1440" w:right="26" w:bottom="0" w:gutter="0" w:footer="0" w:header="0"/>
          <w:type w:val="continuous"/>
        </w:sectPr>
      </w:pPr>
    </w:p>
    <w:bookmarkStart w:id="381" w:name="page382"/>
    <w:bookmarkEnd w:id="381"/>
    <w:tbl>
      <w:tblPr>
        <w:tblLayout w:type="fixed"/>
        <w:tblInd w:w="900" w:type="dxa"/>
        <w:tblCellMar>
          <w:top w:w="0" w:type="dxa"/>
          <w:left w:w="0" w:type="dxa"/>
          <w:bottom w:w="0" w:type="dxa"/>
          <w:right w:w="0" w:type="dxa"/>
        </w:tblCellMar>
      </w:tblPr>
      <w:tr>
        <w:trPr>
          <w:trHeight w:val="295"/>
        </w:trPr>
        <w:tc>
          <w:tcPr>
            <w:tcW w:w="4720" w:type="dxa"/>
            <w:vAlign w:val="bottom"/>
          </w:tcPr>
          <w:p>
            <w:pPr>
              <w:spacing w:after="0"/>
              <w:rPr>
                <w:sz w:val="20"/>
                <w:szCs w:val="20"/>
                <w:color w:val="auto"/>
              </w:rPr>
            </w:pPr>
            <w:r>
              <w:rPr>
                <w:rFonts w:ascii="Arial" w:cs="Arial" w:eastAsia="Arial" w:hAnsi="Arial"/>
                <w:sz w:val="14"/>
                <w:szCs w:val="14"/>
                <w:color w:val="auto"/>
              </w:rPr>
              <w:t>Cash used in investing activities of discontinued operations</w:t>
            </w:r>
          </w:p>
        </w:tc>
        <w:tc>
          <w:tcPr>
            <w:tcW w:w="720" w:type="dxa"/>
            <w:vAlign w:val="bottom"/>
          </w:tcPr>
          <w:p>
            <w:pPr>
              <w:spacing w:after="0"/>
              <w:rPr>
                <w:sz w:val="24"/>
                <w:szCs w:val="24"/>
                <w:color w:val="auto"/>
              </w:rPr>
            </w:pPr>
          </w:p>
        </w:tc>
        <w:tc>
          <w:tcPr>
            <w:tcW w:w="13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9D9"/>
          </w:tcPr>
          <w:p>
            <w:pPr>
              <w:spacing w:after="0"/>
              <w:rPr>
                <w:sz w:val="24"/>
                <w:szCs w:val="24"/>
                <w:color w:val="auto"/>
              </w:rPr>
            </w:pPr>
          </w:p>
        </w:tc>
        <w:tc>
          <w:tcPr>
            <w:tcW w:w="1940" w:type="dxa"/>
            <w:vAlign w:val="bottom"/>
          </w:tcPr>
          <w:p>
            <w:pPr>
              <w:jc w:val="right"/>
              <w:ind w:right="59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24"/>
        </w:trPr>
        <w:tc>
          <w:tcPr>
            <w:tcW w:w="4720" w:type="dxa"/>
            <w:vAlign w:val="bottom"/>
          </w:tcPr>
          <w:p>
            <w:pPr>
              <w:spacing w:after="0"/>
              <w:rPr>
                <w:sz w:val="20"/>
                <w:szCs w:val="20"/>
                <w:color w:val="auto"/>
              </w:rPr>
            </w:pPr>
            <w:r>
              <w:rPr>
                <w:rFonts w:ascii="Arial" w:cs="Arial" w:eastAsia="Arial" w:hAnsi="Arial"/>
                <w:sz w:val="14"/>
                <w:szCs w:val="14"/>
                <w:color w:val="auto"/>
              </w:rPr>
              <w:t>Net cash provided/(used) in investing activities</w:t>
            </w:r>
          </w:p>
        </w:tc>
        <w:tc>
          <w:tcPr>
            <w:tcW w:w="720" w:type="dxa"/>
            <w:vAlign w:val="bottom"/>
          </w:tcPr>
          <w:p>
            <w:pPr>
              <w:spacing w:after="0"/>
              <w:rPr>
                <w:sz w:val="24"/>
                <w:szCs w:val="24"/>
                <w:color w:val="auto"/>
              </w:rPr>
            </w:pPr>
          </w:p>
        </w:tc>
        <w:tc>
          <w:tcPr>
            <w:tcW w:w="13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6,281</w:t>
            </w:r>
          </w:p>
        </w:tc>
        <w:tc>
          <w:tcPr>
            <w:tcW w:w="120" w:type="dxa"/>
            <w:vAlign w:val="bottom"/>
            <w:shd w:val="clear" w:color="auto" w:fill="D9D9D9"/>
          </w:tcPr>
          <w:p>
            <w:pPr>
              <w:spacing w:after="0"/>
              <w:rPr>
                <w:sz w:val="24"/>
                <w:szCs w:val="24"/>
                <w:color w:val="auto"/>
              </w:rPr>
            </w:pPr>
          </w:p>
        </w:tc>
        <w:tc>
          <w:tcPr>
            <w:tcW w:w="1940" w:type="dxa"/>
            <w:vAlign w:val="bottom"/>
          </w:tcPr>
          <w:p>
            <w:pPr>
              <w:jc w:val="right"/>
              <w:ind w:right="530"/>
              <w:spacing w:after="0"/>
              <w:rPr>
                <w:sz w:val="20"/>
                <w:szCs w:val="20"/>
                <w:color w:val="auto"/>
              </w:rPr>
            </w:pPr>
            <w:r>
              <w:rPr>
                <w:rFonts w:ascii="Arial" w:cs="Arial" w:eastAsia="Arial" w:hAnsi="Arial"/>
                <w:sz w:val="14"/>
                <w:szCs w:val="14"/>
                <w:color w:val="auto"/>
              </w:rPr>
              <w:t>(85,858)</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51"/>
        </w:trPr>
        <w:tc>
          <w:tcPr>
            <w:tcW w:w="472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720" w:type="dxa"/>
            <w:vAlign w:val="bottom"/>
          </w:tcPr>
          <w:p>
            <w:pPr>
              <w:spacing w:after="0"/>
              <w:rPr>
                <w:sz w:val="24"/>
                <w:szCs w:val="24"/>
                <w:color w:val="auto"/>
              </w:rPr>
            </w:pPr>
          </w:p>
        </w:tc>
        <w:tc>
          <w:tcPr>
            <w:tcW w:w="130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4"/>
        </w:trPr>
        <w:tc>
          <w:tcPr>
            <w:tcW w:w="4720" w:type="dxa"/>
            <w:vAlign w:val="bottom"/>
          </w:tcPr>
          <w:p>
            <w:pPr>
              <w:ind w:left="200"/>
              <w:spacing w:after="0"/>
              <w:rPr>
                <w:sz w:val="20"/>
                <w:szCs w:val="20"/>
                <w:color w:val="auto"/>
              </w:rPr>
            </w:pPr>
            <w:r>
              <w:rPr>
                <w:rFonts w:ascii="Arial" w:cs="Arial" w:eastAsia="Arial" w:hAnsi="Arial"/>
                <w:sz w:val="14"/>
                <w:szCs w:val="14"/>
                <w:color w:val="auto"/>
              </w:rPr>
              <w:t>Proceeds from equity awards exercises</w:t>
            </w:r>
          </w:p>
        </w:tc>
        <w:tc>
          <w:tcPr>
            <w:tcW w:w="720" w:type="dxa"/>
            <w:vAlign w:val="bottom"/>
          </w:tcPr>
          <w:p>
            <w:pPr>
              <w:spacing w:after="0"/>
              <w:rPr>
                <w:sz w:val="24"/>
                <w:szCs w:val="24"/>
                <w:color w:val="auto"/>
              </w:rPr>
            </w:pPr>
          </w:p>
        </w:tc>
        <w:tc>
          <w:tcPr>
            <w:tcW w:w="13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9D9"/>
          </w:tcPr>
          <w:p>
            <w:pPr>
              <w:spacing w:after="0"/>
              <w:rPr>
                <w:sz w:val="24"/>
                <w:szCs w:val="24"/>
                <w:color w:val="auto"/>
              </w:rPr>
            </w:pPr>
          </w:p>
        </w:tc>
        <w:tc>
          <w:tcPr>
            <w:tcW w:w="1940" w:type="dxa"/>
            <w:vAlign w:val="bottom"/>
          </w:tcPr>
          <w:p>
            <w:pPr>
              <w:jc w:val="right"/>
              <w:ind w:right="59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4"/>
                <w:szCs w:val="24"/>
                <w:color w:val="auto"/>
              </w:rPr>
            </w:pPr>
          </w:p>
        </w:tc>
      </w:tr>
      <w:tr>
        <w:trPr>
          <w:trHeight w:val="314"/>
        </w:trPr>
        <w:tc>
          <w:tcPr>
            <w:tcW w:w="4720" w:type="dxa"/>
            <w:vAlign w:val="bottom"/>
          </w:tcPr>
          <w:p>
            <w:pPr>
              <w:ind w:left="200"/>
              <w:spacing w:after="0"/>
              <w:rPr>
                <w:sz w:val="20"/>
                <w:szCs w:val="20"/>
                <w:color w:val="auto"/>
              </w:rPr>
            </w:pPr>
            <w:r>
              <w:rPr>
                <w:rFonts w:ascii="Arial" w:cs="Arial" w:eastAsia="Arial" w:hAnsi="Arial"/>
                <w:sz w:val="14"/>
                <w:szCs w:val="14"/>
                <w:color w:val="auto"/>
              </w:rPr>
              <w:t>Financing costs related to separation</w:t>
            </w:r>
          </w:p>
        </w:tc>
        <w:tc>
          <w:tcPr>
            <w:tcW w:w="720" w:type="dxa"/>
            <w:vAlign w:val="bottom"/>
          </w:tcPr>
          <w:p>
            <w:pPr>
              <w:spacing w:after="0"/>
              <w:rPr>
                <w:sz w:val="24"/>
                <w:szCs w:val="24"/>
                <w:color w:val="auto"/>
              </w:rPr>
            </w:pPr>
          </w:p>
        </w:tc>
        <w:tc>
          <w:tcPr>
            <w:tcW w:w="13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9D9"/>
          </w:tcPr>
          <w:p>
            <w:pPr>
              <w:spacing w:after="0"/>
              <w:rPr>
                <w:sz w:val="24"/>
                <w:szCs w:val="24"/>
                <w:color w:val="auto"/>
              </w:rPr>
            </w:pPr>
          </w:p>
        </w:tc>
        <w:tc>
          <w:tcPr>
            <w:tcW w:w="1940" w:type="dxa"/>
            <w:vAlign w:val="bottom"/>
          </w:tcPr>
          <w:p>
            <w:pPr>
              <w:jc w:val="right"/>
              <w:ind w:right="59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14"/>
        </w:trPr>
        <w:tc>
          <w:tcPr>
            <w:tcW w:w="4720" w:type="dxa"/>
            <w:vAlign w:val="bottom"/>
          </w:tcPr>
          <w:p>
            <w:pPr>
              <w:ind w:left="200"/>
              <w:spacing w:after="0"/>
              <w:rPr>
                <w:sz w:val="20"/>
                <w:szCs w:val="20"/>
                <w:color w:val="auto"/>
              </w:rPr>
            </w:pPr>
            <w:r>
              <w:rPr>
                <w:rFonts w:ascii="Arial" w:cs="Arial" w:eastAsia="Arial" w:hAnsi="Arial"/>
                <w:sz w:val="14"/>
                <w:szCs w:val="14"/>
                <w:color w:val="auto"/>
              </w:rPr>
              <w:t>Cash distributed upon separation</w:t>
            </w:r>
          </w:p>
        </w:tc>
        <w:tc>
          <w:tcPr>
            <w:tcW w:w="720" w:type="dxa"/>
            <w:vAlign w:val="bottom"/>
          </w:tcPr>
          <w:p>
            <w:pPr>
              <w:spacing w:after="0"/>
              <w:rPr>
                <w:sz w:val="24"/>
                <w:szCs w:val="24"/>
                <w:color w:val="auto"/>
              </w:rPr>
            </w:pPr>
          </w:p>
        </w:tc>
        <w:tc>
          <w:tcPr>
            <w:tcW w:w="13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9D9"/>
          </w:tcPr>
          <w:p>
            <w:pPr>
              <w:spacing w:after="0"/>
              <w:rPr>
                <w:sz w:val="24"/>
                <w:szCs w:val="24"/>
                <w:color w:val="auto"/>
              </w:rPr>
            </w:pPr>
          </w:p>
        </w:tc>
        <w:tc>
          <w:tcPr>
            <w:tcW w:w="1940" w:type="dxa"/>
            <w:vAlign w:val="bottom"/>
          </w:tcPr>
          <w:p>
            <w:pPr>
              <w:jc w:val="right"/>
              <w:ind w:right="59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314"/>
        </w:trPr>
        <w:tc>
          <w:tcPr>
            <w:tcW w:w="4720" w:type="dxa"/>
            <w:vAlign w:val="bottom"/>
          </w:tcPr>
          <w:p>
            <w:pPr>
              <w:ind w:left="200"/>
              <w:spacing w:after="0"/>
              <w:rPr>
                <w:sz w:val="20"/>
                <w:szCs w:val="20"/>
                <w:color w:val="auto"/>
              </w:rPr>
            </w:pPr>
            <w:r>
              <w:rPr>
                <w:rFonts w:ascii="Arial" w:cs="Arial" w:eastAsia="Arial" w:hAnsi="Arial"/>
                <w:sz w:val="14"/>
                <w:szCs w:val="14"/>
                <w:color w:val="auto"/>
              </w:rPr>
              <w:t>Proceeds from Pastos Grandes Transaction</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10</w:t>
            </w:r>
          </w:p>
        </w:tc>
        <w:tc>
          <w:tcPr>
            <w:tcW w:w="13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9D9"/>
          </w:tcPr>
          <w:p>
            <w:pPr>
              <w:spacing w:after="0"/>
              <w:rPr>
                <w:sz w:val="24"/>
                <w:szCs w:val="24"/>
                <w:color w:val="auto"/>
              </w:rPr>
            </w:pPr>
          </w:p>
        </w:tc>
        <w:tc>
          <w:tcPr>
            <w:tcW w:w="1940" w:type="dxa"/>
            <w:vAlign w:val="bottom"/>
          </w:tcPr>
          <w:p>
            <w:pPr>
              <w:jc w:val="right"/>
              <w:ind w:right="590"/>
              <w:spacing w:after="0"/>
              <w:rPr>
                <w:sz w:val="20"/>
                <w:szCs w:val="20"/>
                <w:color w:val="auto"/>
              </w:rPr>
            </w:pPr>
            <w:r>
              <w:rPr>
                <w:rFonts w:ascii="Arial" w:cs="Arial" w:eastAsia="Arial" w:hAnsi="Arial"/>
                <w:sz w:val="14"/>
                <w:szCs w:val="14"/>
                <w:color w:val="auto"/>
              </w:rPr>
              <w:t>70,000</w:t>
            </w:r>
          </w:p>
        </w:tc>
        <w:tc>
          <w:tcPr>
            <w:tcW w:w="740" w:type="dxa"/>
            <w:vAlign w:val="bottom"/>
          </w:tcPr>
          <w:p>
            <w:pPr>
              <w:spacing w:after="0"/>
              <w:rPr>
                <w:sz w:val="24"/>
                <w:szCs w:val="24"/>
                <w:color w:val="auto"/>
              </w:rPr>
            </w:pPr>
          </w:p>
        </w:tc>
      </w:tr>
      <w:tr>
        <w:trPr>
          <w:trHeight w:val="314"/>
        </w:trPr>
        <w:tc>
          <w:tcPr>
            <w:tcW w:w="4720" w:type="dxa"/>
            <w:vAlign w:val="bottom"/>
          </w:tcPr>
          <w:p>
            <w:pPr>
              <w:ind w:left="200"/>
              <w:spacing w:after="0"/>
              <w:rPr>
                <w:sz w:val="20"/>
                <w:szCs w:val="20"/>
                <w:color w:val="auto"/>
              </w:rPr>
            </w:pPr>
            <w:r>
              <w:rPr>
                <w:rFonts w:ascii="Arial" w:cs="Arial" w:eastAsia="Arial" w:hAnsi="Arial"/>
                <w:sz w:val="14"/>
                <w:szCs w:val="14"/>
                <w:color w:val="auto"/>
              </w:rPr>
              <w:t>Financing costs</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10</w:t>
            </w:r>
          </w:p>
        </w:tc>
        <w:tc>
          <w:tcPr>
            <w:tcW w:w="13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9D9"/>
          </w:tcPr>
          <w:p>
            <w:pPr>
              <w:spacing w:after="0"/>
              <w:rPr>
                <w:sz w:val="24"/>
                <w:szCs w:val="24"/>
                <w:color w:val="auto"/>
              </w:rPr>
            </w:pPr>
          </w:p>
        </w:tc>
        <w:tc>
          <w:tcPr>
            <w:tcW w:w="1940" w:type="dxa"/>
            <w:vAlign w:val="bottom"/>
          </w:tcPr>
          <w:p>
            <w:pPr>
              <w:jc w:val="right"/>
              <w:ind w:right="530"/>
              <w:spacing w:after="0"/>
              <w:rPr>
                <w:sz w:val="20"/>
                <w:szCs w:val="20"/>
                <w:color w:val="auto"/>
              </w:rPr>
            </w:pPr>
            <w:r>
              <w:rPr>
                <w:rFonts w:ascii="Arial" w:cs="Arial" w:eastAsia="Arial" w:hAnsi="Arial"/>
                <w:sz w:val="14"/>
                <w:szCs w:val="14"/>
                <w:color w:val="auto"/>
              </w:rPr>
              <w:t>(455)</w:t>
            </w:r>
          </w:p>
        </w:tc>
        <w:tc>
          <w:tcPr>
            <w:tcW w:w="740" w:type="dxa"/>
            <w:vAlign w:val="bottom"/>
          </w:tcPr>
          <w:p>
            <w:pPr>
              <w:spacing w:after="0"/>
              <w:rPr>
                <w:sz w:val="24"/>
                <w:szCs w:val="24"/>
                <w:color w:val="auto"/>
              </w:rPr>
            </w:pPr>
          </w:p>
        </w:tc>
      </w:tr>
      <w:tr>
        <w:trPr>
          <w:trHeight w:val="324"/>
        </w:trPr>
        <w:tc>
          <w:tcPr>
            <w:tcW w:w="4720" w:type="dxa"/>
            <w:vAlign w:val="bottom"/>
          </w:tcPr>
          <w:p>
            <w:pPr>
              <w:ind w:left="200"/>
              <w:spacing w:after="0"/>
              <w:rPr>
                <w:sz w:val="20"/>
                <w:szCs w:val="20"/>
                <w:color w:val="auto"/>
              </w:rPr>
            </w:pPr>
            <w:r>
              <w:rPr>
                <w:rFonts w:ascii="Arial" w:cs="Arial" w:eastAsia="Arial" w:hAnsi="Arial"/>
                <w:sz w:val="14"/>
                <w:szCs w:val="14"/>
                <w:color w:val="auto"/>
              </w:rPr>
              <w:t>Lease payments</w:t>
            </w:r>
          </w:p>
        </w:tc>
        <w:tc>
          <w:tcPr>
            <w:tcW w:w="720" w:type="dxa"/>
            <w:vAlign w:val="bottom"/>
          </w:tcPr>
          <w:p>
            <w:pPr>
              <w:spacing w:after="0"/>
              <w:rPr>
                <w:sz w:val="24"/>
                <w:szCs w:val="24"/>
                <w:color w:val="auto"/>
              </w:rPr>
            </w:pPr>
          </w:p>
        </w:tc>
        <w:tc>
          <w:tcPr>
            <w:tcW w:w="13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84"/>
              </w:rPr>
              <w:t>)</w:t>
            </w:r>
          </w:p>
        </w:tc>
        <w:tc>
          <w:tcPr>
            <w:tcW w:w="1940" w:type="dxa"/>
            <w:vAlign w:val="bottom"/>
          </w:tcPr>
          <w:p>
            <w:pPr>
              <w:jc w:val="right"/>
              <w:ind w:right="530"/>
              <w:spacing w:after="0"/>
              <w:rPr>
                <w:sz w:val="20"/>
                <w:szCs w:val="20"/>
                <w:color w:val="auto"/>
              </w:rPr>
            </w:pPr>
            <w:r>
              <w:rPr>
                <w:rFonts w:ascii="Arial" w:cs="Arial" w:eastAsia="Arial" w:hAnsi="Arial"/>
                <w:sz w:val="14"/>
                <w:szCs w:val="14"/>
                <w:color w:val="auto"/>
              </w:rPr>
              <w:t>(774)</w:t>
            </w:r>
          </w:p>
        </w:tc>
        <w:tc>
          <w:tcPr>
            <w:tcW w:w="740" w:type="dxa"/>
            <w:vAlign w:val="bottom"/>
          </w:tcPr>
          <w:p>
            <w:pPr>
              <w:spacing w:after="0"/>
              <w:rPr>
                <w:sz w:val="24"/>
                <w:szCs w:val="24"/>
                <w:color w:val="auto"/>
              </w:rPr>
            </w:pPr>
          </w:p>
        </w:tc>
      </w:tr>
      <w:tr>
        <w:trPr>
          <w:trHeight w:val="314"/>
        </w:trPr>
        <w:tc>
          <w:tcPr>
            <w:tcW w:w="4720" w:type="dxa"/>
            <w:vAlign w:val="bottom"/>
          </w:tcPr>
          <w:p>
            <w:pPr>
              <w:spacing w:after="0"/>
              <w:rPr>
                <w:sz w:val="20"/>
                <w:szCs w:val="20"/>
                <w:color w:val="auto"/>
              </w:rPr>
            </w:pPr>
            <w:r>
              <w:rPr>
                <w:rFonts w:ascii="Arial" w:cs="Arial" w:eastAsia="Arial" w:hAnsi="Arial"/>
                <w:sz w:val="14"/>
                <w:szCs w:val="14"/>
                <w:color w:val="auto"/>
              </w:rPr>
              <w:t>Cash (used)/provided by financing activities of continuing operations</w:t>
            </w:r>
          </w:p>
        </w:tc>
        <w:tc>
          <w:tcPr>
            <w:tcW w:w="720" w:type="dxa"/>
            <w:vAlign w:val="bottom"/>
          </w:tcPr>
          <w:p>
            <w:pPr>
              <w:spacing w:after="0"/>
              <w:rPr>
                <w:sz w:val="24"/>
                <w:szCs w:val="24"/>
                <w:color w:val="auto"/>
              </w:rPr>
            </w:pPr>
          </w:p>
        </w:tc>
        <w:tc>
          <w:tcPr>
            <w:tcW w:w="13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84"/>
              </w:rPr>
              <w:t>)</w:t>
            </w:r>
          </w:p>
        </w:tc>
        <w:tc>
          <w:tcPr>
            <w:tcW w:w="1940" w:type="dxa"/>
            <w:vAlign w:val="bottom"/>
          </w:tcPr>
          <w:p>
            <w:pPr>
              <w:jc w:val="right"/>
              <w:ind w:right="590"/>
              <w:spacing w:after="0"/>
              <w:rPr>
                <w:sz w:val="20"/>
                <w:szCs w:val="20"/>
                <w:color w:val="auto"/>
              </w:rPr>
            </w:pPr>
            <w:r>
              <w:rPr>
                <w:rFonts w:ascii="Arial" w:cs="Arial" w:eastAsia="Arial" w:hAnsi="Arial"/>
                <w:sz w:val="14"/>
                <w:szCs w:val="14"/>
                <w:color w:val="auto"/>
              </w:rPr>
              <w:t>68,771</w:t>
            </w: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324"/>
        </w:trPr>
        <w:tc>
          <w:tcPr>
            <w:tcW w:w="4720" w:type="dxa"/>
            <w:vAlign w:val="bottom"/>
          </w:tcPr>
          <w:p>
            <w:pPr>
              <w:spacing w:after="0"/>
              <w:rPr>
                <w:sz w:val="20"/>
                <w:szCs w:val="20"/>
                <w:color w:val="auto"/>
              </w:rPr>
            </w:pPr>
            <w:r>
              <w:rPr>
                <w:rFonts w:ascii="Arial" w:cs="Arial" w:eastAsia="Arial" w:hAnsi="Arial"/>
                <w:sz w:val="14"/>
                <w:szCs w:val="14"/>
                <w:color w:val="auto"/>
              </w:rPr>
              <w:t>Cash provided by financing activities of discontinued operations</w:t>
            </w:r>
          </w:p>
        </w:tc>
        <w:tc>
          <w:tcPr>
            <w:tcW w:w="720" w:type="dxa"/>
            <w:vAlign w:val="bottom"/>
          </w:tcPr>
          <w:p>
            <w:pPr>
              <w:spacing w:after="0"/>
              <w:rPr>
                <w:sz w:val="24"/>
                <w:szCs w:val="24"/>
                <w:color w:val="auto"/>
              </w:rPr>
            </w:pPr>
          </w:p>
        </w:tc>
        <w:tc>
          <w:tcPr>
            <w:tcW w:w="13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9D9"/>
          </w:tcPr>
          <w:p>
            <w:pPr>
              <w:spacing w:after="0"/>
              <w:rPr>
                <w:sz w:val="24"/>
                <w:szCs w:val="24"/>
                <w:color w:val="auto"/>
              </w:rPr>
            </w:pPr>
          </w:p>
        </w:tc>
        <w:tc>
          <w:tcPr>
            <w:tcW w:w="1940" w:type="dxa"/>
            <w:vAlign w:val="bottom"/>
          </w:tcPr>
          <w:p>
            <w:pPr>
              <w:jc w:val="right"/>
              <w:ind w:right="59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324"/>
        </w:trPr>
        <w:tc>
          <w:tcPr>
            <w:tcW w:w="4720" w:type="dxa"/>
            <w:vAlign w:val="bottom"/>
          </w:tcPr>
          <w:p>
            <w:pPr>
              <w:spacing w:after="0"/>
              <w:rPr>
                <w:sz w:val="20"/>
                <w:szCs w:val="20"/>
                <w:color w:val="auto"/>
              </w:rPr>
            </w:pPr>
            <w:r>
              <w:rPr>
                <w:rFonts w:ascii="Arial" w:cs="Arial" w:eastAsia="Arial" w:hAnsi="Arial"/>
                <w:sz w:val="14"/>
                <w:szCs w:val="14"/>
                <w:color w:val="auto"/>
              </w:rPr>
              <w:t>Net cash (used)/provided by financing activities</w:t>
            </w:r>
          </w:p>
        </w:tc>
        <w:tc>
          <w:tcPr>
            <w:tcW w:w="720" w:type="dxa"/>
            <w:vAlign w:val="bottom"/>
          </w:tcPr>
          <w:p>
            <w:pPr>
              <w:spacing w:after="0"/>
              <w:rPr>
                <w:sz w:val="24"/>
                <w:szCs w:val="24"/>
                <w:color w:val="auto"/>
              </w:rPr>
            </w:pPr>
          </w:p>
        </w:tc>
        <w:tc>
          <w:tcPr>
            <w:tcW w:w="13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84"/>
              </w:rPr>
              <w:t>)</w:t>
            </w:r>
          </w:p>
        </w:tc>
        <w:tc>
          <w:tcPr>
            <w:tcW w:w="1940" w:type="dxa"/>
            <w:vAlign w:val="bottom"/>
          </w:tcPr>
          <w:p>
            <w:pPr>
              <w:jc w:val="right"/>
              <w:ind w:right="590"/>
              <w:spacing w:after="0"/>
              <w:rPr>
                <w:sz w:val="20"/>
                <w:szCs w:val="20"/>
                <w:color w:val="auto"/>
              </w:rPr>
            </w:pPr>
            <w:r>
              <w:rPr>
                <w:rFonts w:ascii="Arial" w:cs="Arial" w:eastAsia="Arial" w:hAnsi="Arial"/>
                <w:sz w:val="14"/>
                <w:szCs w:val="14"/>
                <w:color w:val="auto"/>
              </w:rPr>
              <w:t>68,771</w:t>
            </w:r>
          </w:p>
        </w:tc>
        <w:tc>
          <w:tcPr>
            <w:tcW w:w="740" w:type="dxa"/>
            <w:vAlign w:val="bottom"/>
          </w:tcPr>
          <w:p>
            <w:pPr>
              <w:spacing w:after="0"/>
              <w:rPr>
                <w:sz w:val="24"/>
                <w:szCs w:val="24"/>
                <w:color w:val="auto"/>
              </w:rPr>
            </w:pPr>
          </w:p>
        </w:tc>
      </w:tr>
      <w:tr>
        <w:trPr>
          <w:trHeight w:val="540"/>
        </w:trPr>
        <w:tc>
          <w:tcPr>
            <w:tcW w:w="4720" w:type="dxa"/>
            <w:vAlign w:val="bottom"/>
          </w:tcPr>
          <w:p>
            <w:pPr>
              <w:spacing w:after="0"/>
              <w:rPr>
                <w:sz w:val="20"/>
                <w:szCs w:val="20"/>
                <w:color w:val="auto"/>
              </w:rPr>
            </w:pPr>
            <w:r>
              <w:rPr>
                <w:rFonts w:ascii="Arial" w:cs="Arial" w:eastAsia="Arial" w:hAnsi="Arial"/>
                <w:sz w:val="14"/>
                <w:szCs w:val="14"/>
                <w:color w:val="auto"/>
              </w:rPr>
              <w:t>Effect of foreign exchange on cash</w:t>
            </w:r>
          </w:p>
        </w:tc>
        <w:tc>
          <w:tcPr>
            <w:tcW w:w="720" w:type="dxa"/>
            <w:vAlign w:val="bottom"/>
          </w:tcPr>
          <w:p>
            <w:pPr>
              <w:spacing w:after="0"/>
              <w:rPr>
                <w:sz w:val="24"/>
                <w:szCs w:val="24"/>
                <w:color w:val="auto"/>
              </w:rPr>
            </w:pPr>
          </w:p>
        </w:tc>
        <w:tc>
          <w:tcPr>
            <w:tcW w:w="13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(402</w:t>
            </w: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84"/>
              </w:rPr>
              <w:t>)</w:t>
            </w:r>
          </w:p>
        </w:tc>
        <w:tc>
          <w:tcPr>
            <w:tcW w:w="1940" w:type="dxa"/>
            <w:vAlign w:val="bottom"/>
          </w:tcPr>
          <w:p>
            <w:pPr>
              <w:jc w:val="right"/>
              <w:ind w:right="590"/>
              <w:spacing w:after="0"/>
              <w:rPr>
                <w:sz w:val="20"/>
                <w:szCs w:val="20"/>
                <w:color w:val="auto"/>
              </w:rPr>
            </w:pPr>
            <w:r>
              <w:rPr>
                <w:rFonts w:ascii="Arial" w:cs="Arial" w:eastAsia="Arial" w:hAnsi="Arial"/>
                <w:sz w:val="14"/>
                <w:szCs w:val="14"/>
                <w:color w:val="auto"/>
              </w:rPr>
              <w:t>2,147</w:t>
            </w:r>
          </w:p>
        </w:tc>
        <w:tc>
          <w:tcPr>
            <w:tcW w:w="740" w:type="dxa"/>
            <w:vAlign w:val="bottom"/>
          </w:tcPr>
          <w:p>
            <w:pPr>
              <w:spacing w:after="0"/>
              <w:rPr>
                <w:sz w:val="24"/>
                <w:szCs w:val="24"/>
                <w:color w:val="auto"/>
              </w:rPr>
            </w:pPr>
          </w:p>
        </w:tc>
      </w:tr>
      <w:tr>
        <w:trPr>
          <w:trHeight w:val="540"/>
        </w:trPr>
        <w:tc>
          <w:tcPr>
            <w:tcW w:w="4720" w:type="dxa"/>
            <w:vAlign w:val="bottom"/>
          </w:tcPr>
          <w:p>
            <w:pPr>
              <w:spacing w:after="0"/>
              <w:rPr>
                <w:sz w:val="20"/>
                <w:szCs w:val="20"/>
                <w:color w:val="auto"/>
              </w:rPr>
            </w:pPr>
            <w:r>
              <w:rPr>
                <w:rFonts w:ascii="Arial" w:cs="Arial" w:eastAsia="Arial" w:hAnsi="Arial"/>
                <w:sz w:val="14"/>
                <w:szCs w:val="14"/>
                <w:b w:val="1"/>
                <w:bCs w:val="1"/>
                <w:color w:val="auto"/>
              </w:rPr>
              <w:t>CHANGE IN CASH AND CASH EQUIVALENTS</w:t>
            </w:r>
          </w:p>
        </w:tc>
        <w:tc>
          <w:tcPr>
            <w:tcW w:w="720" w:type="dxa"/>
            <w:vAlign w:val="bottom"/>
          </w:tcPr>
          <w:p>
            <w:pPr>
              <w:spacing w:after="0"/>
              <w:rPr>
                <w:sz w:val="24"/>
                <w:szCs w:val="24"/>
                <w:color w:val="auto"/>
              </w:rPr>
            </w:pPr>
          </w:p>
        </w:tc>
        <w:tc>
          <w:tcPr>
            <w:tcW w:w="13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(24,409</w:t>
            </w: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84"/>
              </w:rPr>
              <w:t>)</w:t>
            </w:r>
          </w:p>
        </w:tc>
        <w:tc>
          <w:tcPr>
            <w:tcW w:w="1940" w:type="dxa"/>
            <w:vAlign w:val="bottom"/>
          </w:tcPr>
          <w:p>
            <w:pPr>
              <w:jc w:val="right"/>
              <w:ind w:right="530"/>
              <w:spacing w:after="0"/>
              <w:rPr>
                <w:sz w:val="20"/>
                <w:szCs w:val="20"/>
                <w:color w:val="auto"/>
              </w:rPr>
            </w:pPr>
            <w:r>
              <w:rPr>
                <w:rFonts w:ascii="Arial" w:cs="Arial" w:eastAsia="Arial" w:hAnsi="Arial"/>
                <w:sz w:val="14"/>
                <w:szCs w:val="14"/>
                <w:color w:val="auto"/>
              </w:rPr>
              <w:t>(36,750)</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24"/>
        </w:trPr>
        <w:tc>
          <w:tcPr>
            <w:tcW w:w="4720" w:type="dxa"/>
            <w:vAlign w:val="bottom"/>
          </w:tcPr>
          <w:p>
            <w:pPr>
              <w:spacing w:after="0"/>
              <w:rPr>
                <w:sz w:val="20"/>
                <w:szCs w:val="20"/>
                <w:color w:val="auto"/>
              </w:rPr>
            </w:pPr>
            <w:r>
              <w:rPr>
                <w:rFonts w:ascii="Arial" w:cs="Arial" w:eastAsia="Arial" w:hAnsi="Arial"/>
                <w:sz w:val="14"/>
                <w:szCs w:val="14"/>
                <w:b w:val="1"/>
                <w:bCs w:val="1"/>
                <w:color w:val="auto"/>
              </w:rPr>
              <w:t>CASH AND CASH EQUIVALENTS - BEGINNING OF THE PERIOD</w:t>
            </w:r>
          </w:p>
        </w:tc>
        <w:tc>
          <w:tcPr>
            <w:tcW w:w="720" w:type="dxa"/>
            <w:vAlign w:val="bottom"/>
          </w:tcPr>
          <w:p>
            <w:pPr>
              <w:spacing w:after="0"/>
              <w:rPr>
                <w:sz w:val="24"/>
                <w:szCs w:val="24"/>
                <w:color w:val="auto"/>
              </w:rPr>
            </w:pPr>
          </w:p>
        </w:tc>
        <w:tc>
          <w:tcPr>
            <w:tcW w:w="13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85,543</w:t>
            </w:r>
          </w:p>
        </w:tc>
        <w:tc>
          <w:tcPr>
            <w:tcW w:w="120" w:type="dxa"/>
            <w:vAlign w:val="bottom"/>
            <w:shd w:val="clear" w:color="auto" w:fill="D9D9D9"/>
          </w:tcPr>
          <w:p>
            <w:pPr>
              <w:spacing w:after="0"/>
              <w:rPr>
                <w:sz w:val="24"/>
                <w:szCs w:val="24"/>
                <w:color w:val="auto"/>
              </w:rPr>
            </w:pPr>
          </w:p>
        </w:tc>
        <w:tc>
          <w:tcPr>
            <w:tcW w:w="1940" w:type="dxa"/>
            <w:vAlign w:val="bottom"/>
          </w:tcPr>
          <w:p>
            <w:pPr>
              <w:jc w:val="right"/>
              <w:ind w:right="590"/>
              <w:spacing w:after="0"/>
              <w:rPr>
                <w:sz w:val="20"/>
                <w:szCs w:val="20"/>
                <w:color w:val="auto"/>
              </w:rPr>
            </w:pPr>
            <w:r>
              <w:rPr>
                <w:rFonts w:ascii="Arial" w:cs="Arial" w:eastAsia="Arial" w:hAnsi="Arial"/>
                <w:sz w:val="14"/>
                <w:szCs w:val="14"/>
                <w:color w:val="auto"/>
              </w:rPr>
              <w:t>122,293</w:t>
            </w: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14"/>
        </w:trPr>
        <w:tc>
          <w:tcPr>
            <w:tcW w:w="4720" w:type="dxa"/>
            <w:vAlign w:val="bottom"/>
          </w:tcPr>
          <w:p>
            <w:pPr>
              <w:spacing w:after="0"/>
              <w:rPr>
                <w:sz w:val="20"/>
                <w:szCs w:val="20"/>
                <w:color w:val="auto"/>
              </w:rPr>
            </w:pPr>
            <w:r>
              <w:rPr>
                <w:rFonts w:ascii="Arial" w:cs="Arial" w:eastAsia="Arial" w:hAnsi="Arial"/>
                <w:sz w:val="14"/>
                <w:szCs w:val="14"/>
                <w:b w:val="1"/>
                <w:bCs w:val="1"/>
                <w:color w:val="auto"/>
              </w:rPr>
              <w:t>CASH AND CASH EQUIVALENTS - END OF THE PERIOD</w:t>
            </w:r>
          </w:p>
        </w:tc>
        <w:tc>
          <w:tcPr>
            <w:tcW w:w="720" w:type="dxa"/>
            <w:vAlign w:val="bottom"/>
          </w:tcPr>
          <w:p>
            <w:pPr>
              <w:spacing w:after="0"/>
              <w:rPr>
                <w:sz w:val="24"/>
                <w:szCs w:val="24"/>
                <w:color w:val="auto"/>
              </w:rPr>
            </w:pPr>
          </w:p>
        </w:tc>
        <w:tc>
          <w:tcPr>
            <w:tcW w:w="13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61,134</w:t>
            </w:r>
          </w:p>
        </w:tc>
        <w:tc>
          <w:tcPr>
            <w:tcW w:w="120" w:type="dxa"/>
            <w:vAlign w:val="bottom"/>
            <w:shd w:val="clear" w:color="auto" w:fill="D9D9D9"/>
          </w:tcPr>
          <w:p>
            <w:pPr>
              <w:spacing w:after="0"/>
              <w:rPr>
                <w:sz w:val="24"/>
                <w:szCs w:val="24"/>
                <w:color w:val="auto"/>
              </w:rPr>
            </w:pPr>
          </w:p>
        </w:tc>
        <w:tc>
          <w:tcPr>
            <w:tcW w:w="1940" w:type="dxa"/>
            <w:vAlign w:val="bottom"/>
          </w:tcPr>
          <w:p>
            <w:pPr>
              <w:jc w:val="right"/>
              <w:ind w:right="590"/>
              <w:spacing w:after="0"/>
              <w:rPr>
                <w:sz w:val="20"/>
                <w:szCs w:val="20"/>
                <w:color w:val="auto"/>
              </w:rPr>
            </w:pPr>
            <w:r>
              <w:rPr>
                <w:rFonts w:ascii="Arial" w:cs="Arial" w:eastAsia="Arial" w:hAnsi="Arial"/>
                <w:sz w:val="14"/>
                <w:szCs w:val="14"/>
                <w:color w:val="auto"/>
              </w:rPr>
              <w:t>85,543</w:t>
            </w: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40"/>
        </w:trPr>
        <w:tc>
          <w:tcPr>
            <w:tcW w:w="4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00" w:type="dxa"/>
            <w:vAlign w:val="bottom"/>
            <w:shd w:val="clear" w:color="auto" w:fill="D9D9D9"/>
          </w:tcPr>
          <w:p>
            <w:pPr>
              <w:spacing w:after="0"/>
              <w:rPr>
                <w:sz w:val="3"/>
                <w:szCs w:val="3"/>
                <w:color w:val="auto"/>
              </w:rPr>
            </w:pPr>
          </w:p>
        </w:tc>
        <w:tc>
          <w:tcPr>
            <w:tcW w:w="120" w:type="dxa"/>
            <w:vAlign w:val="bottom"/>
            <w:shd w:val="clear" w:color="auto" w:fill="D9D9D9"/>
          </w:tcPr>
          <w:p>
            <w:pPr>
              <w:spacing w:after="0"/>
              <w:rPr>
                <w:sz w:val="3"/>
                <w:szCs w:val="3"/>
                <w:color w:val="auto"/>
              </w:rPr>
            </w:pPr>
          </w:p>
        </w:tc>
        <w:tc>
          <w:tcPr>
            <w:tcW w:w="1940" w:type="dxa"/>
            <w:vAlign w:val="bottom"/>
          </w:tcPr>
          <w:p>
            <w:pPr>
              <w:spacing w:after="0"/>
              <w:rPr>
                <w:sz w:val="3"/>
                <w:szCs w:val="3"/>
                <w:color w:val="auto"/>
              </w:rPr>
            </w:pPr>
          </w:p>
        </w:tc>
        <w:tc>
          <w:tcPr>
            <w:tcW w:w="7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4030345</wp:posOffset>
            </wp:positionH>
            <wp:positionV relativeFrom="paragraph">
              <wp:posOffset>-3411855</wp:posOffset>
            </wp:positionV>
            <wp:extent cx="2614930" cy="635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9">
                      <a:extLst>
                        <a:ext uri="{28A0092B-C50C-407E-A947-70E740481C1C}"/>
                      </a:extLst>
                    </a:blip>
                    <a:srcRect/>
                    <a:stretch>
                      <a:fillRect/>
                    </a:stretch>
                  </pic:blipFill>
                  <pic:spPr bwMode="auto">
                    <a:xfrm>
                      <a:off x="0" y="0"/>
                      <a:ext cx="2614930" cy="6350"/>
                    </a:xfrm>
                    <a:prstGeom prst="rect">
                      <a:avLst/>
                    </a:prstGeom>
                    <a:noFill/>
                  </pic:spPr>
                </pic:pic>
              </a:graphicData>
            </a:graphic>
          </wp:anchor>
        </w:drawing>
        <w:drawing>
          <wp:anchor simplePos="0" relativeHeight="251657728" behindDoc="1" locked="0" layoutInCell="0" allowOverlap="1">
            <wp:simplePos x="0" y="0"/>
            <wp:positionH relativeFrom="column">
              <wp:posOffset>4030345</wp:posOffset>
            </wp:positionH>
            <wp:positionV relativeFrom="paragraph">
              <wp:posOffset>-3206115</wp:posOffset>
            </wp:positionV>
            <wp:extent cx="2614930" cy="635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0">
                      <a:extLst>
                        <a:ext uri="{28A0092B-C50C-407E-A947-70E740481C1C}"/>
                      </a:extLst>
                    </a:blip>
                    <a:srcRect/>
                    <a:stretch>
                      <a:fillRect/>
                    </a:stretch>
                  </pic:blipFill>
                  <pic:spPr bwMode="auto">
                    <a:xfrm>
                      <a:off x="0" y="0"/>
                      <a:ext cx="2614930" cy="6350"/>
                    </a:xfrm>
                    <a:prstGeom prst="rect">
                      <a:avLst/>
                    </a:prstGeom>
                    <a:noFill/>
                  </pic:spPr>
                </pic:pic>
              </a:graphicData>
            </a:graphic>
          </wp:anchor>
        </w:drawing>
        <w:drawing>
          <wp:anchor simplePos="0" relativeHeight="251657728" behindDoc="1" locked="0" layoutInCell="0" allowOverlap="1">
            <wp:simplePos x="0" y="0"/>
            <wp:positionH relativeFrom="column">
              <wp:posOffset>4030345</wp:posOffset>
            </wp:positionH>
            <wp:positionV relativeFrom="paragraph">
              <wp:posOffset>-1715135</wp:posOffset>
            </wp:positionV>
            <wp:extent cx="2614930" cy="635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1">
                      <a:extLst>
                        <a:ext uri="{28A0092B-C50C-407E-A947-70E740481C1C}"/>
                      </a:extLst>
                    </a:blip>
                    <a:srcRect/>
                    <a:stretch>
                      <a:fillRect/>
                    </a:stretch>
                  </pic:blipFill>
                  <pic:spPr bwMode="auto">
                    <a:xfrm>
                      <a:off x="0" y="0"/>
                      <a:ext cx="2614930" cy="6350"/>
                    </a:xfrm>
                    <a:prstGeom prst="rect">
                      <a:avLst/>
                    </a:prstGeom>
                    <a:noFill/>
                  </pic:spPr>
                </pic:pic>
              </a:graphicData>
            </a:graphic>
          </wp:anchor>
        </w:drawing>
        <w:drawing>
          <wp:anchor simplePos="0" relativeHeight="251657728" behindDoc="1" locked="0" layoutInCell="0" allowOverlap="1">
            <wp:simplePos x="0" y="0"/>
            <wp:positionH relativeFrom="column">
              <wp:posOffset>4030345</wp:posOffset>
            </wp:positionH>
            <wp:positionV relativeFrom="paragraph">
              <wp:posOffset>-1309370</wp:posOffset>
            </wp:positionV>
            <wp:extent cx="2614930" cy="635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2">
                      <a:extLst>
                        <a:ext uri="{28A0092B-C50C-407E-A947-70E740481C1C}"/>
                      </a:extLst>
                    </a:blip>
                    <a:srcRect/>
                    <a:stretch>
                      <a:fillRect/>
                    </a:stretch>
                  </pic:blipFill>
                  <pic:spPr bwMode="auto">
                    <a:xfrm>
                      <a:off x="0" y="0"/>
                      <a:ext cx="2614930" cy="6350"/>
                    </a:xfrm>
                    <a:prstGeom prst="rect">
                      <a:avLst/>
                    </a:prstGeom>
                    <a:noFill/>
                  </pic:spPr>
                </pic:pic>
              </a:graphicData>
            </a:graphic>
          </wp:anchor>
        </w:drawing>
        <w:drawing>
          <wp:anchor simplePos="0" relativeHeight="251657728" behindDoc="1" locked="0" layoutInCell="0" allowOverlap="1">
            <wp:simplePos x="0" y="0"/>
            <wp:positionH relativeFrom="column">
              <wp:posOffset>4030345</wp:posOffset>
            </wp:positionH>
            <wp:positionV relativeFrom="paragraph">
              <wp:posOffset>-1103630</wp:posOffset>
            </wp:positionV>
            <wp:extent cx="2614930" cy="635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3">
                      <a:extLst>
                        <a:ext uri="{28A0092B-C50C-407E-A947-70E740481C1C}"/>
                      </a:extLst>
                    </a:blip>
                    <a:srcRect/>
                    <a:stretch>
                      <a:fillRect/>
                    </a:stretch>
                  </pic:blipFill>
                  <pic:spPr bwMode="auto">
                    <a:xfrm>
                      <a:off x="0" y="0"/>
                      <a:ext cx="2614930" cy="6350"/>
                    </a:xfrm>
                    <a:prstGeom prst="rect">
                      <a:avLst/>
                    </a:prstGeom>
                    <a:noFill/>
                  </pic:spPr>
                </pic:pic>
              </a:graphicData>
            </a:graphic>
          </wp:anchor>
        </w:drawing>
        <w:drawing>
          <wp:anchor simplePos="0" relativeHeight="251657728" behindDoc="1" locked="0" layoutInCell="0" allowOverlap="1">
            <wp:simplePos x="0" y="0"/>
            <wp:positionH relativeFrom="column">
              <wp:posOffset>4030345</wp:posOffset>
            </wp:positionH>
            <wp:positionV relativeFrom="paragraph">
              <wp:posOffset>-211455</wp:posOffset>
            </wp:positionV>
            <wp:extent cx="2614930" cy="63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4">
                      <a:extLst>
                        <a:ext uri="{28A0092B-C50C-407E-A947-70E740481C1C}"/>
                      </a:extLst>
                    </a:blip>
                    <a:srcRect/>
                    <a:stretch>
                      <a:fillRect/>
                    </a:stretch>
                  </pic:blipFill>
                  <pic:spPr bwMode="auto">
                    <a:xfrm>
                      <a:off x="0" y="0"/>
                      <a:ext cx="261493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-5715</wp:posOffset>
            </wp:positionV>
            <wp:extent cx="6078220" cy="635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5">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3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Supplemental disclosure with respect to cash flows (Note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276225</wp:posOffset>
            </wp:positionV>
            <wp:extent cx="1676400" cy="1905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6">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40"/>
          </w:cols>
          <w:pgMar w:left="1440" w:top="1133" w:right="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14 / 16</w:t>
      </w:r>
    </w:p>
    <w:p>
      <w:pPr>
        <w:sectPr>
          <w:pgSz w:w="11900" w:h="16838" w:orient="portrait"/>
          <w:cols w:equalWidth="0" w:num="1">
            <w:col w:w="10440"/>
          </w:cols>
          <w:pgMar w:left="1440" w:top="1133" w:right="26" w:bottom="0" w:gutter="0" w:footer="0" w:header="0"/>
          <w:type w:val="continuous"/>
        </w:sectPr>
      </w:pPr>
    </w:p>
    <w:bookmarkStart w:id="382" w:name="page383"/>
    <w:bookmarkEnd w:id="3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43" w:lineRule="exact"/>
        <w:rPr>
          <w:sz w:val="20"/>
          <w:szCs w:val="20"/>
          <w:color w:val="auto"/>
        </w:rPr>
      </w:pPr>
    </w:p>
    <w:p>
      <w:pPr>
        <w:ind w:left="1620" w:hanging="726"/>
        <w:spacing w:after="0"/>
        <w:tabs>
          <w:tab w:leader="none" w:pos="1620" w:val="left"/>
        </w:tabs>
        <w:numPr>
          <w:ilvl w:val="0"/>
          <w:numId w:val="130"/>
        </w:numPr>
        <w:rPr>
          <w:rFonts w:ascii="Arial" w:cs="Arial" w:eastAsia="Arial" w:hAnsi="Arial"/>
          <w:sz w:val="20"/>
          <w:szCs w:val="20"/>
          <w:b w:val="1"/>
          <w:bCs w:val="1"/>
          <w:color w:val="153A57"/>
        </w:rPr>
      </w:pPr>
      <w:r>
        <w:rPr>
          <w:rFonts w:ascii="Arial" w:cs="Arial" w:eastAsia="Arial" w:hAnsi="Arial"/>
          <w:sz w:val="20"/>
          <w:szCs w:val="20"/>
          <w:b w:val="1"/>
          <w:bCs w:val="1"/>
          <w:color w:val="153A57"/>
        </w:rPr>
        <w:t>NATURE OF OPERATIONS AND GOING CONCERN</w:t>
      </w:r>
    </w:p>
    <w:p>
      <w:pPr>
        <w:spacing w:after="0" w:line="293" w:lineRule="exact"/>
        <w:rPr>
          <w:rFonts w:ascii="Arial" w:cs="Arial" w:eastAsia="Arial" w:hAnsi="Arial"/>
          <w:sz w:val="20"/>
          <w:szCs w:val="20"/>
          <w:b w:val="1"/>
          <w:bCs w:val="1"/>
          <w:color w:val="153A57"/>
        </w:rPr>
      </w:pPr>
    </w:p>
    <w:p>
      <w:pPr>
        <w:jc w:val="both"/>
        <w:ind w:left="1620"/>
        <w:spacing w:after="0" w:line="307" w:lineRule="auto"/>
        <w:rPr>
          <w:rFonts w:ascii="Arial" w:cs="Arial" w:eastAsia="Arial" w:hAnsi="Arial"/>
          <w:sz w:val="20"/>
          <w:szCs w:val="20"/>
          <w:b w:val="1"/>
          <w:bCs w:val="1"/>
          <w:color w:val="153A57"/>
        </w:rPr>
      </w:pPr>
      <w:r>
        <w:rPr>
          <w:rFonts w:ascii="Arial" w:cs="Arial" w:eastAsia="Arial" w:hAnsi="Arial"/>
          <w:sz w:val="20"/>
          <w:szCs w:val="20"/>
          <w:color w:val="auto"/>
        </w:rPr>
        <w:t>Lithium Argentina AG (“Lithium Argentina”, the “Company” or “LAR”), formerly Lithium Amer (Argentina) Corp., is a Swiss- domiciled resource company with lithium projects located in Argentina</w:t>
      </w:r>
    </w:p>
    <w:p>
      <w:pPr>
        <w:spacing w:after="0" w:line="215" w:lineRule="exact"/>
        <w:rPr>
          <w:rFonts w:ascii="Arial" w:cs="Arial" w:eastAsia="Arial" w:hAnsi="Arial"/>
          <w:sz w:val="20"/>
          <w:szCs w:val="20"/>
          <w:b w:val="1"/>
          <w:bCs w:val="1"/>
          <w:color w:val="153A57"/>
        </w:rPr>
      </w:pPr>
    </w:p>
    <w:p>
      <w:pPr>
        <w:jc w:val="both"/>
        <w:ind w:left="1620"/>
        <w:spacing w:after="0" w:line="314" w:lineRule="auto"/>
        <w:rPr>
          <w:rFonts w:ascii="Arial" w:cs="Arial" w:eastAsia="Arial" w:hAnsi="Arial"/>
          <w:sz w:val="20"/>
          <w:szCs w:val="20"/>
          <w:b w:val="1"/>
          <w:bCs w:val="1"/>
          <w:color w:val="153A57"/>
        </w:rPr>
      </w:pPr>
      <w:r>
        <w:rPr>
          <w:rFonts w:ascii="Arial" w:cs="Arial" w:eastAsia="Arial" w:hAnsi="Arial"/>
          <w:sz w:val="20"/>
          <w:szCs w:val="20"/>
          <w:color w:val="auto"/>
        </w:rPr>
        <w:t>On January 23, 2025, the Company completed a plan of arrangement under the laws of the provin British Columbia (the “Arrangement”) involving the Company’s continuation from the province of B Columbia under the name “Lithium Americas (Argentina) Corp.” into Zug, Canton of Zug, Switzerlan a Swiss share corporation under the name “Lithium Argentina AG.” As a result, the Company ceas be governed by the Business Corporations Act (British Columbia). Following the Arrangement, shareholders of the Company prior to the Arrangement continued to hold all the issued and outsta common registered shares of the Company (the “Continuation”) (Note 14). On January 27, 2025 Company began trading under the new symbol “LAR” on the Toronto Stock Exchange (“TSX”) an New York Stock Exchange (“NYSE”).</w:t>
      </w:r>
    </w:p>
    <w:p>
      <w:pPr>
        <w:spacing w:after="0" w:line="201"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color w:val="auto"/>
        </w:rPr>
        <w:t>The Company's registered office is located at Dammstrasse 19, 6300 Zug, Switzerland.</w:t>
      </w:r>
    </w:p>
    <w:p>
      <w:pPr>
        <w:spacing w:after="0" w:line="278" w:lineRule="exact"/>
        <w:rPr>
          <w:rFonts w:ascii="Arial" w:cs="Arial" w:eastAsia="Arial" w:hAnsi="Arial"/>
          <w:sz w:val="20"/>
          <w:szCs w:val="20"/>
          <w:b w:val="1"/>
          <w:bCs w:val="1"/>
          <w:color w:val="153A57"/>
        </w:rPr>
      </w:pPr>
    </w:p>
    <w:p>
      <w:pPr>
        <w:jc w:val="both"/>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The Company is focused on the operations of the Cauchari-Olaroz project (“Cauchari-Olaroz”). Cau Olaroz is a lithium brine operation located in the Salar de Olaroz and Salar de Cauchari in Jujuy prov north-western Argentina. The Company’s interest in Cauchari-Olaroz is held through a 44.8% owne interest in Minera Exar S.A. (“Minera Exar”), a company incorporated under the laws of Argen Ganfeng Lithium Co. Ltd. (“Ganfeng”) owns 46.7% of Minera Exar with the remaining 8.5% interest by Jujuy Energia y Mineria Sociedad del Estado (“JEMSE”), a mining investment company owned b provincial government of Jujuy. Cauchari-Olaroz is in the production stage and achieved comme production effective October 1, 2024, and is accounted for using the equity method.</w:t>
      </w:r>
    </w:p>
    <w:p>
      <w:pPr>
        <w:spacing w:after="0" w:line="215" w:lineRule="exact"/>
        <w:rPr>
          <w:rFonts w:ascii="Arial" w:cs="Arial" w:eastAsia="Arial" w:hAnsi="Arial"/>
          <w:sz w:val="20"/>
          <w:szCs w:val="20"/>
          <w:b w:val="1"/>
          <w:bCs w:val="1"/>
          <w:color w:val="153A57"/>
        </w:rPr>
      </w:pPr>
    </w:p>
    <w:p>
      <w:pPr>
        <w:jc w:val="both"/>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The Company also owns 85.1% interest in the Pastos Grandes lithium project (“Pastos Gran acquired through the acquisition of Millennial Lithium Corp. (“Millennial”) on January 25, 2022, and a ownership interest in the Sal de la Puna project (“Sal de la Puna”), held by the Company’s wholly-o subsidiary Arena Minerals Inc. (“Arena Minerals”) which was acquired on April 20, 2023. Pastos Gra and Sal de la Puna are lithium brine projects located in Salta province, in north-western Argentina. P Grandes is fully consolidated in the Company’s financial statements, whereas Sal de la Pun accounted for using the equity method.</w:t>
      </w:r>
    </w:p>
    <w:p>
      <w:pPr>
        <w:spacing w:after="0" w:line="213" w:lineRule="exact"/>
        <w:rPr>
          <w:rFonts w:ascii="Arial" w:cs="Arial" w:eastAsia="Arial" w:hAnsi="Arial"/>
          <w:sz w:val="20"/>
          <w:szCs w:val="20"/>
          <w:b w:val="1"/>
          <w:bCs w:val="1"/>
          <w:color w:val="153A57"/>
        </w:rPr>
      </w:pPr>
    </w:p>
    <w:p>
      <w:pPr>
        <w:jc w:val="both"/>
        <w:ind w:left="1620" w:right="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These consolidated financial statements have been prepared on a going concern basis, which ass that the Company will be able to meet its obligations and continue its operations for at least the twelve months.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15 / 16</w:t>
      </w:r>
    </w:p>
    <w:p>
      <w:pPr>
        <w:sectPr>
          <w:pgSz w:w="11900" w:h="16838" w:orient="portrait"/>
          <w:cols w:equalWidth="0" w:num="1">
            <w:col w:w="10460"/>
          </w:cols>
          <w:pgMar w:left="1440" w:top="1440" w:right="6" w:bottom="0" w:gutter="0" w:footer="0" w:header="0"/>
          <w:type w:val="continuous"/>
        </w:sectPr>
      </w:pPr>
    </w:p>
    <w:bookmarkStart w:id="383" w:name="page384"/>
    <w:bookmarkEnd w:id="383"/>
    <w:p>
      <w:pPr>
        <w:ind w:left="1620"/>
        <w:spacing w:after="0"/>
        <w:rPr>
          <w:sz w:val="20"/>
          <w:szCs w:val="20"/>
          <w:color w:val="auto"/>
        </w:rPr>
      </w:pPr>
      <w:r>
        <w:rPr>
          <w:rFonts w:ascii="Arial" w:cs="Arial" w:eastAsia="Arial" w:hAnsi="Arial"/>
          <w:sz w:val="20"/>
          <w:szCs w:val="20"/>
          <w:color w:val="auto"/>
        </w:rPr>
        <w:t>As at December 31, 2025, the Company had cash and cash equivalents of $61,134 (2024 - $85,543</w:t>
      </w:r>
    </w:p>
    <w:p>
      <w:pPr>
        <w:spacing w:after="0" w:line="79" w:lineRule="exact"/>
        <w:rPr>
          <w:sz w:val="20"/>
          <w:szCs w:val="20"/>
          <w:color w:val="auto"/>
        </w:rPr>
      </w:pPr>
    </w:p>
    <w:p>
      <w:pPr>
        <w:jc w:val="both"/>
        <w:ind w:left="1620"/>
        <w:spacing w:after="0" w:line="313" w:lineRule="auto"/>
        <w:rPr>
          <w:sz w:val="20"/>
          <w:szCs w:val="20"/>
          <w:color w:val="auto"/>
        </w:rPr>
      </w:pPr>
      <w:r>
        <w:rPr>
          <w:rFonts w:ascii="Arial" w:cs="Arial" w:eastAsia="Arial" w:hAnsi="Arial"/>
          <w:sz w:val="20"/>
          <w:szCs w:val="20"/>
          <w:color w:val="auto"/>
        </w:rPr>
        <w:t>equity-settleable convertible notes with a face value of $258,750 due on January 15, 2027. Subsequent to December 31, 2025, the Company’s 44.8% o operating project, Cauchari-Olaroz held through its equity stake in Minera Exar, distrib $41,755 to the Company. In addition, subsequent to year-end, the Company entered into a six-$130,000 debt facility with Ganfeng bearing interest at SOFR plus 2.5% (the “Debt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424815</wp:posOffset>
            </wp:positionV>
            <wp:extent cx="1676400" cy="1905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8">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ectPr>
          <w:pgSz w:w="11900" w:h="16838" w:orient="portrait"/>
          <w:cols w:equalWidth="0" w:num="1">
            <w:col w:w="1046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16 / 16</w:t>
      </w:r>
    </w:p>
    <w:p>
      <w:pPr>
        <w:sectPr>
          <w:pgSz w:w="11900" w:h="16838" w:orient="portrait"/>
          <w:cols w:equalWidth="0" w:num="1">
            <w:col w:w="10460"/>
          </w:cols>
          <w:pgMar w:left="1440" w:top="1165" w:right="6" w:bottom="0" w:gutter="0" w:footer="0" w:header="0"/>
          <w:type w:val="continuous"/>
        </w:sectPr>
      </w:pPr>
    </w:p>
    <w:bookmarkStart w:id="384" w:name="page385"/>
    <w:bookmarkEnd w:id="384"/>
    <w:p>
      <w:pPr>
        <w:jc w:val="center"/>
        <w:ind w:right="6"/>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465455</wp:posOffset>
            </wp:positionV>
            <wp:extent cx="6764020" cy="1905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026"/>
          </w:cols>
          <w:pgMar w:left="1440" w:top="128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40</w:t>
      </w:r>
    </w:p>
    <w:p>
      <w:pPr>
        <w:sectPr>
          <w:pgSz w:w="11900" w:h="16838" w:orient="portrait"/>
          <w:cols w:equalWidth="0" w:num="1">
            <w:col w:w="9026"/>
          </w:cols>
          <w:pgMar w:left="1440" w:top="1288" w:right="1440" w:bottom="0" w:gutter="0" w:footer="0" w:header="0"/>
          <w:type w:val="continuous"/>
        </w:sectPr>
      </w:pPr>
    </w:p>
    <w:bookmarkStart w:id="385" w:name="page386"/>
    <w:bookmarkEnd w:id="3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00" w:lineRule="exact"/>
        <w:rPr>
          <w:sz w:val="20"/>
          <w:szCs w:val="20"/>
          <w:color w:val="auto"/>
        </w:rPr>
      </w:pPr>
    </w:p>
    <w:p>
      <w:pPr>
        <w:ind w:left="1620" w:hanging="726"/>
        <w:spacing w:after="0"/>
        <w:tabs>
          <w:tab w:leader="none" w:pos="1620" w:val="left"/>
        </w:tabs>
        <w:numPr>
          <w:ilvl w:val="0"/>
          <w:numId w:val="131"/>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NATURE OF OPERATIONS AND GOING CONCERN </w:t>
      </w:r>
      <w:r>
        <w:rPr>
          <w:rFonts w:ascii="Arial" w:cs="Arial" w:eastAsia="Arial" w:hAnsi="Arial"/>
          <w:sz w:val="20"/>
          <w:szCs w:val="20"/>
          <w:i w:val="1"/>
          <w:iCs w:val="1"/>
          <w:color w:val="153A57"/>
        </w:rPr>
        <w:t>(continued)</w:t>
      </w:r>
    </w:p>
    <w:p>
      <w:pPr>
        <w:spacing w:after="0" w:line="277" w:lineRule="exact"/>
        <w:rPr>
          <w:rFonts w:ascii="Arial" w:cs="Arial" w:eastAsia="Arial" w:hAnsi="Arial"/>
          <w:sz w:val="20"/>
          <w:szCs w:val="20"/>
          <w:b w:val="1"/>
          <w:bCs w:val="1"/>
          <w:color w:val="153A57"/>
        </w:rPr>
      </w:pPr>
    </w:p>
    <w:p>
      <w:pPr>
        <w:jc w:val="both"/>
        <w:ind w:left="1620"/>
        <w:spacing w:after="0" w:line="332" w:lineRule="auto"/>
        <w:rPr>
          <w:rFonts w:ascii="Arial" w:cs="Arial" w:eastAsia="Arial" w:hAnsi="Arial"/>
          <w:sz w:val="20"/>
          <w:szCs w:val="20"/>
          <w:b w:val="1"/>
          <w:bCs w:val="1"/>
          <w:color w:val="153A57"/>
        </w:rPr>
      </w:pPr>
      <w:r>
        <w:rPr>
          <w:rFonts w:ascii="Arial" w:cs="Arial" w:eastAsia="Arial" w:hAnsi="Arial"/>
          <w:sz w:val="19"/>
          <w:szCs w:val="19"/>
          <w:color w:val="auto"/>
        </w:rPr>
        <w:t>Subsequent to year-end, realized lithium carbonate prices increased to an average of approxim $17,000 per tonne in January and February 2026. For year 2026, Cauchari-Olaroz is expected to pro between 35,000 and 40,000 tonnes of lithium carbonate on a 100% basis and generate signif operational cash flow. In accordance with shareholder agreement that regulates governance of Cau Olaroz, any excess cash flow (as defined in the shareholder agreement), from Cauchari-Olaro distributed among the Company and Ganfeng until a joint decision on any expansion plan is finalized</w:t>
      </w:r>
    </w:p>
    <w:p>
      <w:pPr>
        <w:spacing w:after="0" w:line="197" w:lineRule="exact"/>
        <w:rPr>
          <w:rFonts w:ascii="Arial" w:cs="Arial" w:eastAsia="Arial" w:hAnsi="Arial"/>
          <w:sz w:val="20"/>
          <w:szCs w:val="20"/>
          <w:b w:val="1"/>
          <w:bCs w:val="1"/>
          <w:color w:val="153A57"/>
        </w:rPr>
      </w:pPr>
    </w:p>
    <w:p>
      <w:pPr>
        <w:ind w:left="1620"/>
        <w:spacing w:after="0" w:line="312" w:lineRule="auto"/>
        <w:rPr>
          <w:rFonts w:ascii="Arial" w:cs="Arial" w:eastAsia="Arial" w:hAnsi="Arial"/>
          <w:sz w:val="20"/>
          <w:szCs w:val="20"/>
          <w:b w:val="1"/>
          <w:bCs w:val="1"/>
          <w:color w:val="153A57"/>
        </w:rPr>
      </w:pPr>
      <w:r>
        <w:rPr>
          <w:rFonts w:ascii="Arial" w:cs="Arial" w:eastAsia="Arial" w:hAnsi="Arial"/>
          <w:sz w:val="20"/>
          <w:szCs w:val="20"/>
          <w:color w:val="auto"/>
        </w:rPr>
        <w:t>The Company expects distributions from Cauchari-Olaroz to be sufficient to service the current porti its long-term debt. However, its ability to maintain normal operations and meet these obligations ulti depends on generating and repatriating sufficient cash flows from lithium carbonate productio Cauchari-Olaroz, or alternatively, securing additional financing.</w:t>
      </w:r>
    </w:p>
    <w:p>
      <w:pPr>
        <w:spacing w:after="0" w:line="211" w:lineRule="exact"/>
        <w:rPr>
          <w:rFonts w:ascii="Arial" w:cs="Arial" w:eastAsia="Arial" w:hAnsi="Arial"/>
          <w:sz w:val="20"/>
          <w:szCs w:val="20"/>
          <w:b w:val="1"/>
          <w:bCs w:val="1"/>
          <w:color w:val="153A57"/>
        </w:rPr>
      </w:pPr>
    </w:p>
    <w:p>
      <w:pPr>
        <w:ind w:left="1620"/>
        <w:spacing w:after="0" w:line="314" w:lineRule="auto"/>
        <w:rPr>
          <w:rFonts w:ascii="Arial" w:cs="Arial" w:eastAsia="Arial" w:hAnsi="Arial"/>
          <w:sz w:val="20"/>
          <w:szCs w:val="20"/>
          <w:b w:val="1"/>
          <w:bCs w:val="1"/>
          <w:color w:val="153A57"/>
        </w:rPr>
      </w:pPr>
      <w:r>
        <w:rPr>
          <w:rFonts w:ascii="Arial" w:cs="Arial" w:eastAsia="Arial" w:hAnsi="Arial"/>
          <w:sz w:val="20"/>
          <w:szCs w:val="20"/>
          <w:color w:val="auto"/>
        </w:rPr>
        <w:t>The significance of the assumptions underlying the forecast cash flows from Cauchari-Olaroz, the a and timing of distribution of the cash flow to the Company and the requirement to satisfy the cu portion of long-term debt, gives rise to material uncertainty which may cast significant doub substantial doubt as contemplated by Public Company Accounting Oversight Board (“PCA standards) on the Company’s ability to continue as a going concern. Although the Company has successful in obtaining distribution of cash flow from Cauchari-Olaroz and obtaining financing in the there can be no assurance that it will be able to distribute sufficient additional cash flow and o adequate financing in the future or that such financing will be available on terms acceptable to Company.</w:t>
      </w:r>
    </w:p>
    <w:p>
      <w:pPr>
        <w:spacing w:after="0" w:line="208" w:lineRule="exact"/>
        <w:rPr>
          <w:rFonts w:ascii="Arial" w:cs="Arial" w:eastAsia="Arial" w:hAnsi="Arial"/>
          <w:sz w:val="20"/>
          <w:szCs w:val="20"/>
          <w:b w:val="1"/>
          <w:bCs w:val="1"/>
          <w:color w:val="153A57"/>
        </w:rPr>
      </w:pPr>
    </w:p>
    <w:p>
      <w:pPr>
        <w:jc w:val="both"/>
        <w:ind w:left="1620"/>
        <w:spacing w:after="0" w:line="312" w:lineRule="auto"/>
        <w:rPr>
          <w:rFonts w:ascii="Arial" w:cs="Arial" w:eastAsia="Arial" w:hAnsi="Arial"/>
          <w:sz w:val="20"/>
          <w:szCs w:val="20"/>
          <w:b w:val="1"/>
          <w:bCs w:val="1"/>
          <w:color w:val="153A57"/>
        </w:rPr>
      </w:pPr>
      <w:r>
        <w:rPr>
          <w:rFonts w:ascii="Arial" w:cs="Arial" w:eastAsia="Arial" w:hAnsi="Arial"/>
          <w:sz w:val="20"/>
          <w:szCs w:val="20"/>
          <w:color w:val="auto"/>
        </w:rPr>
        <w:t>If the Company is unable to continue as a going concern, material adjustments to the recoverability amounts of assets and liabilities, the reported expenses, and the balance sheet classifications of a and liabilities may be required. These consolidated financial statements do not include any adjustm that may result from the outcome of this uncertainty.</w:t>
      </w:r>
    </w:p>
    <w:p>
      <w:pPr>
        <w:spacing w:after="0" w:line="204" w:lineRule="exact"/>
        <w:rPr>
          <w:rFonts w:ascii="Arial" w:cs="Arial" w:eastAsia="Arial" w:hAnsi="Arial"/>
          <w:sz w:val="20"/>
          <w:szCs w:val="20"/>
          <w:b w:val="1"/>
          <w:bCs w:val="1"/>
          <w:color w:val="153A57"/>
        </w:rPr>
      </w:pPr>
    </w:p>
    <w:p>
      <w:pPr>
        <w:ind w:left="1620" w:hanging="726"/>
        <w:spacing w:after="0"/>
        <w:tabs>
          <w:tab w:leader="none" w:pos="1620" w:val="left"/>
        </w:tabs>
        <w:numPr>
          <w:ilvl w:val="0"/>
          <w:numId w:val="131"/>
        </w:numPr>
        <w:rPr>
          <w:rFonts w:ascii="Arial" w:cs="Arial" w:eastAsia="Arial" w:hAnsi="Arial"/>
          <w:sz w:val="20"/>
          <w:szCs w:val="20"/>
          <w:b w:val="1"/>
          <w:bCs w:val="1"/>
          <w:color w:val="153A57"/>
        </w:rPr>
      </w:pPr>
      <w:r>
        <w:rPr>
          <w:rFonts w:ascii="Arial" w:cs="Arial" w:eastAsia="Arial" w:hAnsi="Arial"/>
          <w:sz w:val="20"/>
          <w:szCs w:val="20"/>
          <w:b w:val="1"/>
          <w:bCs w:val="1"/>
          <w:color w:val="153A57"/>
        </w:rPr>
        <w:t>BASIS OF PREPARATION</w:t>
      </w:r>
    </w:p>
    <w:p>
      <w:pPr>
        <w:spacing w:after="0" w:line="277" w:lineRule="exact"/>
        <w:rPr>
          <w:rFonts w:ascii="Arial" w:cs="Arial" w:eastAsia="Arial" w:hAnsi="Arial"/>
          <w:sz w:val="20"/>
          <w:szCs w:val="20"/>
          <w:b w:val="1"/>
          <w:bCs w:val="1"/>
          <w:color w:val="153A57"/>
        </w:rPr>
      </w:pPr>
    </w:p>
    <w:p>
      <w:pPr>
        <w:ind w:left="1620" w:right="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These consolidated financial statements of the Company have been prepared in accordance with Accounting Standards as issued by the International Accounting Standards Board (IASB) (I Accounting Standards).</w:t>
      </w:r>
    </w:p>
    <w:p>
      <w:pPr>
        <w:spacing w:after="0" w:line="211" w:lineRule="exact"/>
        <w:rPr>
          <w:rFonts w:ascii="Arial" w:cs="Arial" w:eastAsia="Arial" w:hAnsi="Arial"/>
          <w:sz w:val="20"/>
          <w:szCs w:val="20"/>
          <w:b w:val="1"/>
          <w:bCs w:val="1"/>
          <w:color w:val="153A57"/>
        </w:rPr>
      </w:pPr>
    </w:p>
    <w:p>
      <w:pPr>
        <w:jc w:val="both"/>
        <w:ind w:left="1620"/>
        <w:spacing w:after="0" w:line="312" w:lineRule="auto"/>
        <w:rPr>
          <w:rFonts w:ascii="Arial" w:cs="Arial" w:eastAsia="Arial" w:hAnsi="Arial"/>
          <w:sz w:val="20"/>
          <w:szCs w:val="20"/>
          <w:b w:val="1"/>
          <w:bCs w:val="1"/>
          <w:color w:val="153A57"/>
        </w:rPr>
      </w:pPr>
      <w:r>
        <w:rPr>
          <w:rFonts w:ascii="Arial" w:cs="Arial" w:eastAsia="Arial" w:hAnsi="Arial"/>
          <w:sz w:val="20"/>
          <w:szCs w:val="20"/>
          <w:color w:val="auto"/>
        </w:rPr>
        <w:t>These consolidated financial statements are expressed in United States dollars (“US$” or “US dollar” Company’s presentation currency, and have been prepared on a historical cost basis. The accou policies set out in Note 3 have been applied consistently to all the years presented in these consoli financial statements, unless otherwise stated.</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 / 40</w:t>
      </w:r>
    </w:p>
    <w:p>
      <w:pPr>
        <w:sectPr>
          <w:pgSz w:w="11900" w:h="16838" w:orient="portrait"/>
          <w:cols w:equalWidth="0" w:num="1">
            <w:col w:w="10460"/>
          </w:cols>
          <w:pgMar w:left="1440" w:top="1440" w:right="6" w:bottom="0" w:gutter="0" w:footer="0" w:header="0"/>
          <w:type w:val="continuous"/>
        </w:sectPr>
      </w:pPr>
    </w:p>
    <w:bookmarkStart w:id="386" w:name="page387"/>
    <w:bookmarkEnd w:id="386"/>
    <w:p>
      <w:pPr>
        <w:spacing w:after="0" w:line="2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1482090</wp:posOffset>
            </wp:positionH>
            <wp:positionV relativeFrom="page">
              <wp:posOffset>972185</wp:posOffset>
            </wp:positionV>
            <wp:extent cx="1676400" cy="1905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0">
                      <a:clrChange>
                        <a:clrFrom>
                          <a:srgbClr val="FFFFFF"/>
                        </a:clrFrom>
                        <a:clrTo>
                          <a:srgbClr val="FFFFFF">
                            <a:alpha val="0"/>
                          </a:srgbClr>
                        </a:clrTo>
                      </a:clrChange>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979170</wp:posOffset>
            </wp:positionV>
            <wp:extent cx="6764020" cy="1905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 / 40</w:t>
      </w:r>
    </w:p>
    <w:p>
      <w:pPr>
        <w:sectPr>
          <w:pgSz w:w="11900" w:h="16838" w:orient="portrait"/>
          <w:cols w:equalWidth="0" w:num="1">
            <w:col w:w="9026"/>
          </w:cols>
          <w:pgMar w:left="1440" w:top="1440" w:right="1440" w:bottom="0" w:gutter="0" w:footer="0" w:header="0"/>
          <w:type w:val="continuous"/>
        </w:sectPr>
      </w:pPr>
    </w:p>
    <w:bookmarkStart w:id="387" w:name="page388"/>
    <w:bookmarkEnd w:id="3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50" w:lineRule="exact"/>
        <w:rPr>
          <w:sz w:val="20"/>
          <w:szCs w:val="20"/>
          <w:color w:val="auto"/>
        </w:rPr>
      </w:pPr>
    </w:p>
    <w:p>
      <w:pPr>
        <w:ind w:left="1620" w:right="4000" w:hanging="726"/>
        <w:spacing w:after="0" w:line="531" w:lineRule="auto"/>
        <w:tabs>
          <w:tab w:leader="none" w:pos="1620" w:val="left"/>
        </w:tabs>
        <w:numPr>
          <w:ilvl w:val="0"/>
          <w:numId w:val="132"/>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SUMMARY OF MATERIAL ACCOUNTING POLICIES </w:t>
      </w:r>
      <w:r>
        <w:rPr>
          <w:rFonts w:ascii="Arial" w:cs="Arial" w:eastAsia="Arial" w:hAnsi="Arial"/>
          <w:sz w:val="20"/>
          <w:szCs w:val="20"/>
          <w:b w:val="1"/>
          <w:bCs w:val="1"/>
          <w:color w:val="000000"/>
        </w:rPr>
        <w:t>Material accounting policies</w:t>
      </w: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Principles of Consolidation</w:t>
      </w:r>
    </w:p>
    <w:p>
      <w:pPr>
        <w:spacing w:after="0" w:line="279" w:lineRule="exact"/>
        <w:rPr>
          <w:sz w:val="20"/>
          <w:szCs w:val="20"/>
          <w:color w:val="auto"/>
        </w:rPr>
      </w:pPr>
    </w:p>
    <w:p>
      <w:pPr>
        <w:jc w:val="both"/>
        <w:ind w:left="1620"/>
        <w:spacing w:after="0" w:line="312" w:lineRule="auto"/>
        <w:rPr>
          <w:sz w:val="20"/>
          <w:szCs w:val="20"/>
          <w:color w:val="auto"/>
        </w:rPr>
      </w:pPr>
      <w:r>
        <w:rPr>
          <w:rFonts w:ascii="Arial" w:cs="Arial" w:eastAsia="Arial" w:hAnsi="Arial"/>
          <w:sz w:val="20"/>
          <w:szCs w:val="20"/>
          <w:color w:val="auto"/>
        </w:rPr>
        <w:t>These consolidated financial statements include the accounts of Lithium Argentina and its corp group of companies, consisting of (i) Argentine subsidiaries, Proyecto Pastos Grandes S.A. Potassium S.A.; (ii) Dutch wholly owned subsidiaries 2265866 Ontario Holdings B.V., Arena Mi Holdings B.V., and Millennial Lithium B.V., (iii) Canadian wholly owned subsidiary 1511210 BC Ltd.</w:t>
      </w:r>
    </w:p>
    <w:p>
      <w:pPr>
        <w:spacing w:after="0" w:line="12" w:lineRule="exact"/>
        <w:rPr>
          <w:sz w:val="20"/>
          <w:szCs w:val="20"/>
          <w:color w:val="auto"/>
        </w:rPr>
      </w:pPr>
    </w:p>
    <w:p>
      <w:pPr>
        <w:ind w:left="1620" w:hanging="6"/>
        <w:spacing w:after="0" w:line="307" w:lineRule="auto"/>
        <w:tabs>
          <w:tab w:leader="none" w:pos="2032" w:val="left"/>
        </w:tabs>
        <w:numPr>
          <w:ilvl w:val="0"/>
          <w:numId w:val="133"/>
        </w:numPr>
        <w:rPr>
          <w:rFonts w:ascii="Arial" w:cs="Arial" w:eastAsia="Arial" w:hAnsi="Arial"/>
          <w:sz w:val="20"/>
          <w:szCs w:val="20"/>
          <w:color w:val="auto"/>
        </w:rPr>
      </w:pPr>
      <w:r>
        <w:rPr>
          <w:rFonts w:ascii="Arial" w:cs="Arial" w:eastAsia="Arial" w:hAnsi="Arial"/>
          <w:sz w:val="20"/>
          <w:szCs w:val="20"/>
          <w:color w:val="auto"/>
        </w:rPr>
        <w:t>US wholly owned subsidiary Lithium Americas (Argentina) Services Corp. All intercomp transactions and balances have been eliminated.</w:t>
      </w:r>
    </w:p>
    <w:p>
      <w:pPr>
        <w:spacing w:after="0" w:line="215" w:lineRule="exact"/>
        <w:rPr>
          <w:sz w:val="20"/>
          <w:szCs w:val="20"/>
          <w:color w:val="auto"/>
        </w:rPr>
      </w:pPr>
    </w:p>
    <w:p>
      <w:pPr>
        <w:jc w:val="both"/>
        <w:ind w:left="1620"/>
        <w:spacing w:after="0" w:line="313" w:lineRule="auto"/>
        <w:rPr>
          <w:sz w:val="20"/>
          <w:szCs w:val="20"/>
          <w:color w:val="auto"/>
        </w:rPr>
      </w:pPr>
      <w:r>
        <w:rPr>
          <w:rFonts w:ascii="Arial" w:cs="Arial" w:eastAsia="Arial" w:hAnsi="Arial"/>
          <w:sz w:val="20"/>
          <w:szCs w:val="20"/>
          <w:color w:val="auto"/>
        </w:rPr>
        <w:t>Subsidiaries are entities over which the Company has control. The Company is considered to contr entity when it is exposed to, or has rights to, variable returns from its involvement with the entity an the ability to affect those returns through its power to direct the entity’s relevant activities. Subsidiarie fully consolidated from the date on which control is transferred to the Company and are deconsolid from the date on which control ceases. Intercompany transactions, balances and unrealized gain transactions between group entities are eliminated. Where necessary, the accounting policie subsidiaries are adjusted to align with those of the Company.</w:t>
      </w:r>
    </w:p>
    <w:p>
      <w:pPr>
        <w:spacing w:after="0" w:line="207" w:lineRule="exact"/>
        <w:rPr>
          <w:sz w:val="20"/>
          <w:szCs w:val="20"/>
          <w:color w:val="auto"/>
        </w:rPr>
      </w:pPr>
    </w:p>
    <w:p>
      <w:pPr>
        <w:ind w:left="1620"/>
        <w:spacing w:after="0"/>
        <w:rPr>
          <w:sz w:val="20"/>
          <w:szCs w:val="20"/>
          <w:color w:val="auto"/>
        </w:rPr>
      </w:pPr>
      <w:r>
        <w:rPr>
          <w:rFonts w:ascii="Arial" w:cs="Arial" w:eastAsia="Arial" w:hAnsi="Arial"/>
          <w:sz w:val="20"/>
          <w:szCs w:val="20"/>
          <w:b w:val="1"/>
          <w:bCs w:val="1"/>
          <w:i w:val="1"/>
          <w:iCs w:val="1"/>
          <w:color w:val="auto"/>
        </w:rPr>
        <w:t>Investments in Associates and Joint Ventures</w:t>
      </w:r>
    </w:p>
    <w:p>
      <w:pPr>
        <w:spacing w:after="0" w:line="279" w:lineRule="exact"/>
        <w:rPr>
          <w:sz w:val="20"/>
          <w:szCs w:val="20"/>
          <w:color w:val="auto"/>
        </w:rPr>
      </w:pPr>
    </w:p>
    <w:p>
      <w:pPr>
        <w:jc w:val="both"/>
        <w:ind w:left="1620"/>
        <w:spacing w:after="0" w:line="334" w:lineRule="auto"/>
        <w:rPr>
          <w:sz w:val="20"/>
          <w:szCs w:val="20"/>
          <w:color w:val="auto"/>
        </w:rPr>
      </w:pPr>
      <w:r>
        <w:rPr>
          <w:rFonts w:ascii="Arial" w:cs="Arial" w:eastAsia="Arial" w:hAnsi="Arial"/>
          <w:sz w:val="19"/>
          <w:szCs w:val="19"/>
          <w:color w:val="auto"/>
        </w:rPr>
        <w:t>Associates are all entities over which the Company has significant influence but not control or control. This is generally the case where the Company holds between 20% and 50% of the voting ri Investments in associates and joint ventures are accounted for using the equity method of accountin</w:t>
      </w:r>
    </w:p>
    <w:p>
      <w:pPr>
        <w:spacing w:after="0" w:line="193" w:lineRule="exact"/>
        <w:rPr>
          <w:sz w:val="20"/>
          <w:szCs w:val="20"/>
          <w:color w:val="auto"/>
        </w:rPr>
      </w:pPr>
    </w:p>
    <w:p>
      <w:pPr>
        <w:jc w:val="both"/>
        <w:ind w:left="1620"/>
        <w:spacing w:after="0" w:line="313" w:lineRule="auto"/>
        <w:rPr>
          <w:sz w:val="20"/>
          <w:szCs w:val="20"/>
          <w:color w:val="auto"/>
        </w:rPr>
      </w:pPr>
      <w:r>
        <w:rPr>
          <w:rFonts w:ascii="Arial" w:cs="Arial" w:eastAsia="Arial" w:hAnsi="Arial"/>
          <w:sz w:val="20"/>
          <w:szCs w:val="20"/>
          <w:color w:val="auto"/>
        </w:rPr>
        <w:t>Under the equity method, the initial investment is recorded at cost, and the carrying value is subsequ adjusted for the Company’s share of post-acquisition net income or loss, depreciation, amortizatio impairment of fair value adjustments made to the underlying assets and liabilities at the acquisition The carrying value is also adjusted for dividends, cash contributions, and the Company’s share of acquisition movements in Other Comprehensive Income (“OCI”).</w:t>
      </w:r>
    </w:p>
    <w:p>
      <w:pPr>
        <w:spacing w:after="0" w:line="210" w:lineRule="exact"/>
        <w:rPr>
          <w:sz w:val="20"/>
          <w:szCs w:val="20"/>
          <w:color w:val="auto"/>
        </w:rPr>
      </w:pPr>
    </w:p>
    <w:p>
      <w:pPr>
        <w:ind w:left="1620"/>
        <w:spacing w:after="0" w:line="332" w:lineRule="auto"/>
        <w:rPr>
          <w:sz w:val="20"/>
          <w:szCs w:val="20"/>
          <w:color w:val="auto"/>
        </w:rPr>
      </w:pPr>
      <w:r>
        <w:rPr>
          <w:rFonts w:ascii="Arial" w:cs="Arial" w:eastAsia="Arial" w:hAnsi="Arial"/>
          <w:sz w:val="19"/>
          <w:szCs w:val="19"/>
          <w:color w:val="auto"/>
        </w:rPr>
        <w:t>If the Company’s share of losses of an associate or joint venture exceeds the carrying value of its int in the associate or joint venture, it ceases to recognize its share of further losses. Once the Comp interest is reduced to zero, additional losses are provided for, and liability is recognized, only to the e that the Company incurs legal or constructive obligations or makes payments on behalf of the asso or joint venture. If the associate subsequently reports profits, the Company resumes recognizing its of those profits only after its share of the profits equals the share of losses that were not recognized.</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 / 40</w:t>
      </w:r>
    </w:p>
    <w:p>
      <w:pPr>
        <w:sectPr>
          <w:pgSz w:w="11900" w:h="16838" w:orient="portrait"/>
          <w:cols w:equalWidth="0" w:num="1">
            <w:col w:w="10460"/>
          </w:cols>
          <w:pgMar w:left="1440" w:top="1440" w:right="6" w:bottom="0" w:gutter="0" w:footer="0" w:header="0"/>
          <w:type w:val="continuous"/>
        </w:sectPr>
      </w:pPr>
    </w:p>
    <w:bookmarkStart w:id="388" w:name="page389"/>
    <w:bookmarkEnd w:id="388"/>
    <w:p>
      <w:pPr>
        <w:jc w:val="both"/>
        <w:ind w:left="1620"/>
        <w:spacing w:after="0" w:line="313" w:lineRule="auto"/>
        <w:rPr>
          <w:sz w:val="20"/>
          <w:szCs w:val="20"/>
          <w:color w:val="auto"/>
        </w:rPr>
      </w:pPr>
      <w:r>
        <w:rPr>
          <w:rFonts w:ascii="Arial" w:cs="Arial" w:eastAsia="Arial" w:hAnsi="Arial"/>
          <w:sz w:val="20"/>
          <w:szCs w:val="20"/>
          <w:color w:val="auto"/>
        </w:rPr>
        <w:t>At each reporting date, the Company considers whether there is objective evidence of impairment investments in associates and joint ventures. If such evidence exists, the Company determines amount of any impairment by reference to the recoverable amount of investment, determine accordance with IAS 36, Impairment of Assets, as described in the Company’s accounting polic impairment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234315</wp:posOffset>
            </wp:positionV>
            <wp:extent cx="1676400" cy="1905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2">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 / 40</w:t>
      </w:r>
    </w:p>
    <w:p>
      <w:pPr>
        <w:sectPr>
          <w:pgSz w:w="11900" w:h="16838" w:orient="portrait"/>
          <w:cols w:equalWidth="0" w:num="1">
            <w:col w:w="10460"/>
          </w:cols>
          <w:pgMar w:left="1440" w:top="1172" w:right="6" w:bottom="0" w:gutter="0" w:footer="0" w:header="0"/>
          <w:type w:val="continuous"/>
        </w:sectPr>
      </w:pPr>
    </w:p>
    <w:bookmarkStart w:id="389" w:name="page390"/>
    <w:bookmarkEnd w:id="3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00" w:lineRule="exact"/>
        <w:rPr>
          <w:sz w:val="20"/>
          <w:szCs w:val="20"/>
          <w:color w:val="auto"/>
        </w:rPr>
      </w:pPr>
    </w:p>
    <w:p>
      <w:pPr>
        <w:ind w:left="1620" w:hanging="726"/>
        <w:spacing w:after="0"/>
        <w:tabs>
          <w:tab w:leader="none" w:pos="1620" w:val="left"/>
        </w:tabs>
        <w:numPr>
          <w:ilvl w:val="0"/>
          <w:numId w:val="134"/>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SUMMARY OF MATERIAL ACCOUNTING POLICIES </w:t>
      </w:r>
      <w:r>
        <w:rPr>
          <w:rFonts w:ascii="Arial" w:cs="Arial" w:eastAsia="Arial" w:hAnsi="Arial"/>
          <w:sz w:val="20"/>
          <w:szCs w:val="20"/>
          <w:i w:val="1"/>
          <w:iCs w:val="1"/>
          <w:color w:val="153A57"/>
        </w:rPr>
        <w:t>(continued)</w:t>
      </w:r>
    </w:p>
    <w:p>
      <w:pPr>
        <w:spacing w:after="0" w:line="277" w:lineRule="exact"/>
        <w:rPr>
          <w:rFonts w:ascii="Arial" w:cs="Arial" w:eastAsia="Arial" w:hAnsi="Arial"/>
          <w:sz w:val="20"/>
          <w:szCs w:val="20"/>
          <w:b w:val="1"/>
          <w:bCs w:val="1"/>
          <w:color w:val="153A57"/>
        </w:rPr>
      </w:pPr>
    </w:p>
    <w:p>
      <w:pPr>
        <w:ind w:left="1620" w:right="5480"/>
        <w:spacing w:after="0" w:line="516" w:lineRule="auto"/>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 xml:space="preserve">Foreign Currency Translation </w:t>
      </w:r>
      <w:r>
        <w:rPr>
          <w:rFonts w:ascii="Arial" w:cs="Arial" w:eastAsia="Arial" w:hAnsi="Arial"/>
          <w:sz w:val="20"/>
          <w:szCs w:val="20"/>
          <w:i w:val="1"/>
          <w:iCs w:val="1"/>
          <w:color w:val="auto"/>
        </w:rPr>
        <w:t>Functional and Presentation Currency</w:t>
      </w:r>
    </w:p>
    <w:p>
      <w:pPr>
        <w:spacing w:after="0" w:line="14" w:lineRule="exact"/>
        <w:rPr>
          <w:rFonts w:ascii="Arial" w:cs="Arial" w:eastAsia="Arial" w:hAnsi="Arial"/>
          <w:sz w:val="20"/>
          <w:szCs w:val="20"/>
          <w:b w:val="1"/>
          <w:bCs w:val="1"/>
          <w:color w:val="153A57"/>
        </w:rPr>
      </w:pPr>
    </w:p>
    <w:p>
      <w:pPr>
        <w:ind w:left="1620"/>
        <w:spacing w:after="0" w:line="307" w:lineRule="auto"/>
        <w:rPr>
          <w:rFonts w:ascii="Arial" w:cs="Arial" w:eastAsia="Arial" w:hAnsi="Arial"/>
          <w:sz w:val="20"/>
          <w:szCs w:val="20"/>
          <w:b w:val="1"/>
          <w:bCs w:val="1"/>
          <w:color w:val="153A57"/>
        </w:rPr>
      </w:pPr>
      <w:r>
        <w:rPr>
          <w:rFonts w:ascii="Arial" w:cs="Arial" w:eastAsia="Arial" w:hAnsi="Arial"/>
          <w:sz w:val="20"/>
          <w:szCs w:val="20"/>
          <w:color w:val="auto"/>
        </w:rPr>
        <w:t>Items included in the financial statements of each of the entities are measured using the currency o primary economic environment in which the entity operates (the functional currency).</w:t>
      </w:r>
    </w:p>
    <w:p>
      <w:pPr>
        <w:spacing w:after="0" w:line="215" w:lineRule="exact"/>
        <w:rPr>
          <w:rFonts w:ascii="Arial" w:cs="Arial" w:eastAsia="Arial" w:hAnsi="Arial"/>
          <w:sz w:val="20"/>
          <w:szCs w:val="20"/>
          <w:b w:val="1"/>
          <w:bCs w:val="1"/>
          <w:color w:val="153A57"/>
        </w:rPr>
      </w:pPr>
    </w:p>
    <w:p>
      <w:pPr>
        <w:jc w:val="both"/>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The consolidated financial statements are presented in US dollars. The functional currency of the p entity, Lithium Argentina, and all its subsidiaries, is the US dollar. The functional currency of Company’s associates, Minera Exar and Exar Capital B.V. (“Exar Capital”), is also the US dollar.</w:t>
      </w:r>
    </w:p>
    <w:p>
      <w:pPr>
        <w:spacing w:after="0" w:line="204"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i w:val="1"/>
          <w:iCs w:val="1"/>
          <w:color w:val="auto"/>
        </w:rPr>
        <w:t>Transactions and Balances</w:t>
      </w:r>
    </w:p>
    <w:p>
      <w:pPr>
        <w:spacing w:after="0" w:line="278" w:lineRule="exact"/>
        <w:rPr>
          <w:rFonts w:ascii="Arial" w:cs="Arial" w:eastAsia="Arial" w:hAnsi="Arial"/>
          <w:sz w:val="20"/>
          <w:szCs w:val="20"/>
          <w:b w:val="1"/>
          <w:bCs w:val="1"/>
          <w:color w:val="153A57"/>
        </w:rPr>
      </w:pPr>
    </w:p>
    <w:p>
      <w:pPr>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Foreign currency transactions are translated into the functional currency using the exchange rates a date of the transactions. Foreign exchange gains and losses resulting from the settlement of transactions, and from the translation of monetary assets and liabilities denominated in foreign curre at year end exchange rates, are recognized in profit or loss. Non-monetary items measured at hist cost continue to be carried at the exchange rate on the date of the transaction.</w:t>
      </w:r>
    </w:p>
    <w:p>
      <w:pPr>
        <w:spacing w:after="0" w:line="209" w:lineRule="exact"/>
        <w:rPr>
          <w:rFonts w:ascii="Arial" w:cs="Arial" w:eastAsia="Arial" w:hAnsi="Arial"/>
          <w:sz w:val="20"/>
          <w:szCs w:val="20"/>
          <w:b w:val="1"/>
          <w:bCs w:val="1"/>
          <w:color w:val="153A57"/>
        </w:rPr>
      </w:pPr>
    </w:p>
    <w:p>
      <w:pPr>
        <w:jc w:val="both"/>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Non-monetary items measured at fair value in a foreign currency are translated using the exchange at the date when the fair value was determined. Translation differences on assets and liabilities carri fair value are reported as part of the fair value gain or loss.</w:t>
      </w:r>
    </w:p>
    <w:p>
      <w:pPr>
        <w:spacing w:after="0" w:line="204"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Cash and Cash Equivalents</w:t>
      </w:r>
    </w:p>
    <w:p>
      <w:pPr>
        <w:spacing w:after="0" w:line="278" w:lineRule="exact"/>
        <w:rPr>
          <w:rFonts w:ascii="Arial" w:cs="Arial" w:eastAsia="Arial" w:hAnsi="Arial"/>
          <w:sz w:val="20"/>
          <w:szCs w:val="20"/>
          <w:b w:val="1"/>
          <w:bCs w:val="1"/>
          <w:color w:val="153A57"/>
        </w:rPr>
      </w:pPr>
    </w:p>
    <w:p>
      <w:pPr>
        <w:ind w:left="1620" w:right="60"/>
        <w:spacing w:after="0" w:line="336" w:lineRule="auto"/>
        <w:rPr>
          <w:rFonts w:ascii="Arial" w:cs="Arial" w:eastAsia="Arial" w:hAnsi="Arial"/>
          <w:sz w:val="20"/>
          <w:szCs w:val="20"/>
          <w:b w:val="1"/>
          <w:bCs w:val="1"/>
          <w:color w:val="153A57"/>
        </w:rPr>
      </w:pPr>
      <w:r>
        <w:rPr>
          <w:rFonts w:ascii="Arial" w:cs="Arial" w:eastAsia="Arial" w:hAnsi="Arial"/>
          <w:sz w:val="19"/>
          <w:szCs w:val="19"/>
          <w:color w:val="auto"/>
        </w:rPr>
        <w:t>Cash and cash equivalents consist of cash held with banks and highly liquid short-term investments can be withdrawn at any time and are subject to an insignificant risk of changes in value.</w:t>
      </w:r>
    </w:p>
    <w:p>
      <w:pPr>
        <w:spacing w:after="0" w:line="184"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Exploration and Evaluation Assets</w:t>
      </w:r>
    </w:p>
    <w:p>
      <w:pPr>
        <w:spacing w:after="0" w:line="278" w:lineRule="exact"/>
        <w:rPr>
          <w:rFonts w:ascii="Arial" w:cs="Arial" w:eastAsia="Arial" w:hAnsi="Arial"/>
          <w:sz w:val="20"/>
          <w:szCs w:val="20"/>
          <w:b w:val="1"/>
          <w:bCs w:val="1"/>
          <w:color w:val="153A57"/>
        </w:rPr>
      </w:pPr>
    </w:p>
    <w:p>
      <w:pPr>
        <w:jc w:val="both"/>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Exploration expenditures, excluding acquisition costs and claim maintenance costs, are expensed the technical feasibility and commercial viability have been established. These factors are asse based on the following:</w:t>
      </w:r>
    </w:p>
    <w:p>
      <w:pPr>
        <w:spacing w:after="0" w:line="255" w:lineRule="exact"/>
        <w:rPr>
          <w:rFonts w:ascii="Arial" w:cs="Arial" w:eastAsia="Arial" w:hAnsi="Arial"/>
          <w:sz w:val="20"/>
          <w:szCs w:val="20"/>
          <w:b w:val="1"/>
          <w:bCs w:val="1"/>
          <w:color w:val="153A57"/>
        </w:rPr>
      </w:pPr>
    </w:p>
    <w:p>
      <w:pPr>
        <w:ind w:left="1980" w:hanging="366"/>
        <w:spacing w:after="0" w:line="368" w:lineRule="auto"/>
        <w:tabs>
          <w:tab w:leader="none" w:pos="1980" w:val="left"/>
        </w:tabs>
        <w:numPr>
          <w:ilvl w:val="1"/>
          <w:numId w:val="134"/>
        </w:numPr>
        <w:rPr>
          <w:rFonts w:ascii="Arial" w:cs="Arial" w:eastAsia="Arial" w:hAnsi="Arial"/>
          <w:sz w:val="20"/>
          <w:szCs w:val="20"/>
          <w:color w:val="auto"/>
        </w:rPr>
      </w:pPr>
      <w:r>
        <w:rPr>
          <w:rFonts w:ascii="Arial" w:cs="Arial" w:eastAsia="Arial" w:hAnsi="Arial"/>
          <w:sz w:val="20"/>
          <w:szCs w:val="20"/>
          <w:color w:val="auto"/>
        </w:rPr>
        <w:t>The extent to which mineral reserves or mineral resources, have been identified through a feas study or similar document; and</w:t>
      </w:r>
    </w:p>
    <w:p>
      <w:pPr>
        <w:spacing w:after="0" w:line="207" w:lineRule="exact"/>
        <w:rPr>
          <w:rFonts w:ascii="Arial" w:cs="Arial" w:eastAsia="Arial" w:hAnsi="Arial"/>
          <w:sz w:val="20"/>
          <w:szCs w:val="20"/>
          <w:color w:val="auto"/>
        </w:rPr>
      </w:pPr>
    </w:p>
    <w:p>
      <w:pPr>
        <w:ind w:left="1980" w:hanging="366"/>
        <w:spacing w:after="0"/>
        <w:tabs>
          <w:tab w:leader="none" w:pos="1980" w:val="left"/>
        </w:tabs>
        <w:numPr>
          <w:ilvl w:val="1"/>
          <w:numId w:val="134"/>
        </w:numPr>
        <w:rPr>
          <w:rFonts w:ascii="Arial" w:cs="Arial" w:eastAsia="Arial" w:hAnsi="Arial"/>
          <w:sz w:val="20"/>
          <w:szCs w:val="20"/>
          <w:color w:val="auto"/>
        </w:rPr>
      </w:pPr>
      <w:r>
        <w:rPr>
          <w:rFonts w:ascii="Arial" w:cs="Arial" w:eastAsia="Arial" w:hAnsi="Arial"/>
          <w:sz w:val="20"/>
          <w:szCs w:val="20"/>
          <w:color w:val="auto"/>
        </w:rPr>
        <w:t>The status of mining leases, environmental and mining permits.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 / 40</w:t>
      </w:r>
    </w:p>
    <w:p>
      <w:pPr>
        <w:sectPr>
          <w:pgSz w:w="11900" w:h="16838" w:orient="portrait"/>
          <w:cols w:equalWidth="0" w:num="1">
            <w:col w:w="10460"/>
          </w:cols>
          <w:pgMar w:left="1440" w:top="1440" w:right="6" w:bottom="0" w:gutter="0" w:footer="0" w:header="0"/>
          <w:type w:val="continuous"/>
        </w:sectPr>
      </w:pPr>
    </w:p>
    <w:bookmarkStart w:id="390" w:name="page391"/>
    <w:bookmarkEnd w:id="390"/>
    <w:p>
      <w:pPr>
        <w:ind w:left="1620"/>
        <w:spacing w:after="0" w:line="332" w:lineRule="auto"/>
        <w:rPr>
          <w:sz w:val="20"/>
          <w:szCs w:val="20"/>
          <w:color w:val="auto"/>
        </w:rPr>
      </w:pPr>
      <w:r>
        <w:rPr>
          <w:rFonts w:ascii="Arial" w:cs="Arial" w:eastAsia="Arial" w:hAnsi="Arial"/>
          <w:sz w:val="19"/>
          <w:szCs w:val="19"/>
          <w:color w:val="auto"/>
        </w:rPr>
        <w:t>Costs related to the acquisition and maintenance of mineral property claims, including option paym and annual fees to keep the property in good standing are capitalized and deferred on a proper property basis. This also applies to exploration expenditures incurred within the geologic formation existing brownfield mining project, until the project is sold, abandoned, impaired, or placed production. After recognition, the Company applies the cost model for exploration and evaluation 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226695</wp:posOffset>
            </wp:positionV>
            <wp:extent cx="1676400" cy="1905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4">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 / 40</w:t>
      </w:r>
    </w:p>
    <w:p>
      <w:pPr>
        <w:sectPr>
          <w:pgSz w:w="11900" w:h="16838" w:orient="portrait"/>
          <w:cols w:equalWidth="0" w:num="1">
            <w:col w:w="10460"/>
          </w:cols>
          <w:pgMar w:left="1440" w:top="1172" w:right="6" w:bottom="0" w:gutter="0" w:footer="0" w:header="0"/>
          <w:type w:val="continuous"/>
        </w:sectPr>
      </w:pPr>
    </w:p>
    <w:bookmarkStart w:id="391" w:name="page392"/>
    <w:bookmarkEnd w:id="3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00" w:lineRule="exact"/>
        <w:rPr>
          <w:sz w:val="20"/>
          <w:szCs w:val="20"/>
          <w:color w:val="auto"/>
        </w:rPr>
      </w:pPr>
    </w:p>
    <w:p>
      <w:pPr>
        <w:ind w:left="1620" w:hanging="726"/>
        <w:spacing w:after="0"/>
        <w:tabs>
          <w:tab w:leader="none" w:pos="1620" w:val="left"/>
        </w:tabs>
        <w:numPr>
          <w:ilvl w:val="0"/>
          <w:numId w:val="135"/>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SUMMARY OF MATERIAL ACCOUNTING POLICIES </w:t>
      </w:r>
      <w:r>
        <w:rPr>
          <w:rFonts w:ascii="Arial" w:cs="Arial" w:eastAsia="Arial" w:hAnsi="Arial"/>
          <w:sz w:val="20"/>
          <w:szCs w:val="20"/>
          <w:i w:val="1"/>
          <w:iCs w:val="1"/>
          <w:color w:val="153A57"/>
        </w:rPr>
        <w:t>(continued)</w:t>
      </w:r>
    </w:p>
    <w:p>
      <w:pPr>
        <w:spacing w:after="0" w:line="277" w:lineRule="exact"/>
        <w:rPr>
          <w:rFonts w:ascii="Arial" w:cs="Arial" w:eastAsia="Arial" w:hAnsi="Arial"/>
          <w:sz w:val="20"/>
          <w:szCs w:val="20"/>
          <w:b w:val="1"/>
          <w:bCs w:val="1"/>
          <w:color w:val="153A57"/>
        </w:rPr>
      </w:pPr>
    </w:p>
    <w:p>
      <w:pPr>
        <w:jc w:val="both"/>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The Company evaluates its exploration and evaluation assets for impairment at each balance sheet as well as whenever events or circumstances suggest the possibility of impairment. If the Com determines that a property has been impaired, or if exploration results indicate no further wo warranted, the property is written down or written off. Additionally, exploration and evaluation asset tested for impairment immediately before being reclassified to mineral property development costs.</w:t>
      </w:r>
    </w:p>
    <w:p>
      <w:pPr>
        <w:spacing w:after="0" w:line="202"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Property, Plant and Equipment</w:t>
      </w:r>
    </w:p>
    <w:p>
      <w:pPr>
        <w:spacing w:after="0" w:line="278" w:lineRule="exact"/>
        <w:rPr>
          <w:rFonts w:ascii="Arial" w:cs="Arial" w:eastAsia="Arial" w:hAnsi="Arial"/>
          <w:sz w:val="20"/>
          <w:szCs w:val="20"/>
          <w:b w:val="1"/>
          <w:bCs w:val="1"/>
          <w:color w:val="153A57"/>
        </w:rPr>
      </w:pPr>
    </w:p>
    <w:p>
      <w:pPr>
        <w:jc w:val="both"/>
        <w:ind w:left="1620" w:right="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On initial recognition, property, plant and equipment are valued at cost. Cost includes the purchase and directly attributable acquisition or construction costs necessary to bring the asset to its inte location and condition for it to be capable of operating in the manner intended by the Company, incl appropriate borrowing costs and foreign exchange gains or losses on borrowings, and any related used to construct qualifying assets, as defined under IFRS.</w:t>
      </w:r>
    </w:p>
    <w:p>
      <w:pPr>
        <w:spacing w:after="0" w:line="209" w:lineRule="exact"/>
        <w:rPr>
          <w:rFonts w:ascii="Arial" w:cs="Arial" w:eastAsia="Arial" w:hAnsi="Arial"/>
          <w:sz w:val="20"/>
          <w:szCs w:val="20"/>
          <w:b w:val="1"/>
          <w:bCs w:val="1"/>
          <w:color w:val="153A57"/>
        </w:rPr>
      </w:pPr>
    </w:p>
    <w:p>
      <w:pPr>
        <w:jc w:val="both"/>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Capitalization of costs ceases when the asset is capable of operating in the manner intende management. The Company exercises judgment in determining when the asset is considered read use for management’s intended purpose.</w:t>
      </w:r>
    </w:p>
    <w:p>
      <w:pPr>
        <w:spacing w:after="0" w:line="211" w:lineRule="exact"/>
        <w:rPr>
          <w:rFonts w:ascii="Arial" w:cs="Arial" w:eastAsia="Arial" w:hAnsi="Arial"/>
          <w:sz w:val="20"/>
          <w:szCs w:val="20"/>
          <w:b w:val="1"/>
          <w:bCs w:val="1"/>
          <w:color w:val="153A57"/>
        </w:rPr>
      </w:pPr>
    </w:p>
    <w:p>
      <w:pPr>
        <w:jc w:val="both"/>
        <w:ind w:left="1620"/>
        <w:spacing w:after="0" w:line="312" w:lineRule="auto"/>
        <w:rPr>
          <w:rFonts w:ascii="Arial" w:cs="Arial" w:eastAsia="Arial" w:hAnsi="Arial"/>
          <w:sz w:val="20"/>
          <w:szCs w:val="20"/>
          <w:b w:val="1"/>
          <w:bCs w:val="1"/>
          <w:color w:val="153A57"/>
        </w:rPr>
      </w:pPr>
      <w:r>
        <w:rPr>
          <w:rFonts w:ascii="Arial" w:cs="Arial" w:eastAsia="Arial" w:hAnsi="Arial"/>
          <w:sz w:val="20"/>
          <w:szCs w:val="20"/>
          <w:color w:val="auto"/>
        </w:rPr>
        <w:t>Subsequently, property, plant, and equipment are measured at cost less accumulated depreciation any accumulated impairment losses, with the exception of land which is not depreciated. When diff parts of a single item of property, plant, and equipment have varying useful lives, they are treate separate items or major components.</w:t>
      </w:r>
    </w:p>
    <w:p>
      <w:pPr>
        <w:spacing w:after="0" w:line="204"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color w:val="auto"/>
        </w:rPr>
        <w:t>Property, plant and equipment that are in use are depreciated as follows:</w:t>
      </w:r>
    </w:p>
    <w:p>
      <w:pPr>
        <w:spacing w:after="0" w:line="278" w:lineRule="exact"/>
        <w:rPr>
          <w:rFonts w:ascii="Arial" w:cs="Arial" w:eastAsia="Arial" w:hAnsi="Arial"/>
          <w:sz w:val="20"/>
          <w:szCs w:val="20"/>
          <w:b w:val="1"/>
          <w:bCs w:val="1"/>
          <w:color w:val="153A57"/>
        </w:rPr>
      </w:pPr>
    </w:p>
    <w:p>
      <w:pPr>
        <w:ind w:left="1980" w:hanging="366"/>
        <w:spacing w:after="0" w:line="305" w:lineRule="auto"/>
        <w:tabs>
          <w:tab w:leader="none" w:pos="1980" w:val="left"/>
        </w:tabs>
        <w:numPr>
          <w:ilvl w:val="1"/>
          <w:numId w:val="135"/>
        </w:numPr>
        <w:rPr>
          <w:rFonts w:ascii="Arial" w:cs="Arial" w:eastAsia="Arial" w:hAnsi="Arial"/>
          <w:sz w:val="20"/>
          <w:szCs w:val="20"/>
          <w:color w:val="auto"/>
        </w:rPr>
      </w:pPr>
      <w:r>
        <w:rPr>
          <w:rFonts w:ascii="Arial" w:cs="Arial" w:eastAsia="Arial" w:hAnsi="Arial"/>
          <w:sz w:val="20"/>
          <w:szCs w:val="20"/>
          <w:color w:val="auto"/>
        </w:rPr>
        <w:t>Laboratory, exploration, and pilot plant equipment included in “Equipment and machinery” – str line basis over the estimated useful life of 10 years;</w:t>
      </w:r>
    </w:p>
    <w:p>
      <w:pPr>
        <w:spacing w:after="0" w:line="208" w:lineRule="exact"/>
        <w:rPr>
          <w:rFonts w:ascii="Arial" w:cs="Arial" w:eastAsia="Arial" w:hAnsi="Arial"/>
          <w:sz w:val="20"/>
          <w:szCs w:val="20"/>
          <w:color w:val="auto"/>
        </w:rPr>
      </w:pPr>
    </w:p>
    <w:p>
      <w:pPr>
        <w:ind w:left="1980" w:hanging="366"/>
        <w:spacing w:after="0"/>
        <w:tabs>
          <w:tab w:leader="none" w:pos="1980" w:val="left"/>
        </w:tabs>
        <w:numPr>
          <w:ilvl w:val="1"/>
          <w:numId w:val="135"/>
        </w:numPr>
        <w:rPr>
          <w:rFonts w:ascii="Arial" w:cs="Arial" w:eastAsia="Arial" w:hAnsi="Arial"/>
          <w:sz w:val="20"/>
          <w:szCs w:val="20"/>
          <w:color w:val="auto"/>
        </w:rPr>
      </w:pPr>
      <w:r>
        <w:rPr>
          <w:rFonts w:ascii="Arial" w:cs="Arial" w:eastAsia="Arial" w:hAnsi="Arial"/>
          <w:sz w:val="20"/>
          <w:szCs w:val="20"/>
          <w:color w:val="auto"/>
        </w:rPr>
        <w:t>Buildings – straight-line basis over the estimated useful life of 20 years;</w:t>
      </w:r>
    </w:p>
    <w:p>
      <w:pPr>
        <w:spacing w:after="0" w:line="277" w:lineRule="exact"/>
        <w:rPr>
          <w:rFonts w:ascii="Arial" w:cs="Arial" w:eastAsia="Arial" w:hAnsi="Arial"/>
          <w:sz w:val="20"/>
          <w:szCs w:val="20"/>
          <w:color w:val="auto"/>
        </w:rPr>
      </w:pPr>
    </w:p>
    <w:p>
      <w:pPr>
        <w:ind w:left="1980" w:hanging="366"/>
        <w:spacing w:after="0" w:line="305" w:lineRule="auto"/>
        <w:tabs>
          <w:tab w:leader="none" w:pos="1980" w:val="left"/>
        </w:tabs>
        <w:numPr>
          <w:ilvl w:val="1"/>
          <w:numId w:val="135"/>
        </w:numPr>
        <w:rPr>
          <w:rFonts w:ascii="Arial" w:cs="Arial" w:eastAsia="Arial" w:hAnsi="Arial"/>
          <w:sz w:val="20"/>
          <w:szCs w:val="20"/>
          <w:color w:val="auto"/>
        </w:rPr>
      </w:pPr>
      <w:r>
        <w:rPr>
          <w:rFonts w:ascii="Arial" w:cs="Arial" w:eastAsia="Arial" w:hAnsi="Arial"/>
          <w:sz w:val="20"/>
          <w:szCs w:val="20"/>
          <w:color w:val="auto"/>
        </w:rPr>
        <w:t>Right-of-use assets included in “Other” – depreciated over the shorter of the asset’s useful life the lease term on a straight-line basis; and</w:t>
      </w:r>
    </w:p>
    <w:p>
      <w:pPr>
        <w:spacing w:after="0" w:line="208" w:lineRule="exact"/>
        <w:rPr>
          <w:rFonts w:ascii="Arial" w:cs="Arial" w:eastAsia="Arial" w:hAnsi="Arial"/>
          <w:sz w:val="20"/>
          <w:szCs w:val="20"/>
          <w:color w:val="auto"/>
        </w:rPr>
      </w:pPr>
    </w:p>
    <w:p>
      <w:pPr>
        <w:ind w:left="1980" w:hanging="366"/>
        <w:spacing w:after="0"/>
        <w:tabs>
          <w:tab w:leader="none" w:pos="1980" w:val="left"/>
        </w:tabs>
        <w:numPr>
          <w:ilvl w:val="1"/>
          <w:numId w:val="135"/>
        </w:numPr>
        <w:rPr>
          <w:rFonts w:ascii="Arial" w:cs="Arial" w:eastAsia="Arial" w:hAnsi="Arial"/>
          <w:sz w:val="20"/>
          <w:szCs w:val="20"/>
          <w:color w:val="auto"/>
        </w:rPr>
      </w:pPr>
      <w:r>
        <w:rPr>
          <w:rFonts w:ascii="Arial" w:cs="Arial" w:eastAsia="Arial" w:hAnsi="Arial"/>
          <w:sz w:val="20"/>
          <w:szCs w:val="20"/>
          <w:color w:val="auto"/>
        </w:rPr>
        <w:t>Office equipment included in “Other” – declining balance method at 20% annual rate.</w:t>
      </w:r>
    </w:p>
    <w:p>
      <w:pPr>
        <w:spacing w:after="0" w:line="277" w:lineRule="exact"/>
        <w:rPr>
          <w:sz w:val="20"/>
          <w:szCs w:val="20"/>
          <w:color w:val="auto"/>
        </w:rPr>
      </w:pPr>
    </w:p>
    <w:p>
      <w:pPr>
        <w:jc w:val="both"/>
        <w:ind w:left="1620"/>
        <w:spacing w:after="0" w:line="312" w:lineRule="auto"/>
        <w:rPr>
          <w:sz w:val="20"/>
          <w:szCs w:val="20"/>
          <w:color w:val="auto"/>
        </w:rPr>
      </w:pPr>
      <w:r>
        <w:rPr>
          <w:rFonts w:ascii="Arial" w:cs="Arial" w:eastAsia="Arial" w:hAnsi="Arial"/>
          <w:sz w:val="20"/>
          <w:szCs w:val="20"/>
          <w:color w:val="auto"/>
        </w:rPr>
        <w:t>The assets’ residual values, useful lives, and depreciation methods are reviewed and, if approp adjusted at least annually. The gain or loss on the disposal of an item of property, plant, and equipm determined by the difference between the sale proceeds and the carrying amount of the asset a recognized in profit or loss.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 / 40</w:t>
      </w:r>
    </w:p>
    <w:p>
      <w:pPr>
        <w:sectPr>
          <w:pgSz w:w="11900" w:h="16838" w:orient="portrait"/>
          <w:cols w:equalWidth="0" w:num="1">
            <w:col w:w="10460"/>
          </w:cols>
          <w:pgMar w:left="1440" w:top="1440" w:right="6" w:bottom="0" w:gutter="0" w:footer="0" w:header="0"/>
          <w:type w:val="continuous"/>
        </w:sectPr>
      </w:pPr>
    </w:p>
    <w:bookmarkStart w:id="392" w:name="page393"/>
    <w:bookmarkEnd w:id="392"/>
    <w:p>
      <w:pPr>
        <w:ind w:left="1620"/>
        <w:spacing w:after="0"/>
        <w:rPr>
          <w:sz w:val="20"/>
          <w:szCs w:val="20"/>
          <w:color w:val="auto"/>
        </w:rPr>
      </w:pPr>
      <w:r>
        <w:rPr>
          <w:rFonts w:ascii="Arial" w:cs="Arial" w:eastAsia="Arial" w:hAnsi="Arial"/>
          <w:sz w:val="20"/>
          <w:szCs w:val="20"/>
          <w:b w:val="1"/>
          <w:bCs w:val="1"/>
          <w:i w:val="1"/>
          <w:iCs w:val="1"/>
          <w:color w:val="auto"/>
        </w:rPr>
        <w:t>Impairment of Property, Plant and Equipment</w:t>
      </w:r>
    </w:p>
    <w:p>
      <w:pPr>
        <w:spacing w:after="0" w:line="279" w:lineRule="exact"/>
        <w:rPr>
          <w:sz w:val="20"/>
          <w:szCs w:val="20"/>
          <w:color w:val="auto"/>
        </w:rPr>
      </w:pPr>
    </w:p>
    <w:p>
      <w:pPr>
        <w:jc w:val="both"/>
        <w:ind w:left="1620"/>
        <w:spacing w:after="0" w:line="313" w:lineRule="auto"/>
        <w:rPr>
          <w:sz w:val="20"/>
          <w:szCs w:val="20"/>
          <w:color w:val="auto"/>
        </w:rPr>
      </w:pPr>
      <w:r>
        <w:rPr>
          <w:rFonts w:ascii="Arial" w:cs="Arial" w:eastAsia="Arial" w:hAnsi="Arial"/>
          <w:sz w:val="20"/>
          <w:szCs w:val="20"/>
          <w:color w:val="auto"/>
        </w:rPr>
        <w:t>Property, plant, and equipment are assessed for impairment indicators at each reporting date whenever an impairment indicator arises outside of a reporting date. If an impairment indicat identified, an impairment assessment is carried out. If an impairment loss is recognized, it is fo amount by which the asset’s carrying amount exceeds its recoverable amount. The recoverable amo the higher of an asset’s fair value less costs of disposal and its value in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234315</wp:posOffset>
            </wp:positionV>
            <wp:extent cx="1676400" cy="1905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6">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9 / 40</w:t>
      </w:r>
    </w:p>
    <w:p>
      <w:pPr>
        <w:sectPr>
          <w:pgSz w:w="11900" w:h="16838" w:orient="portrait"/>
          <w:cols w:equalWidth="0" w:num="1">
            <w:col w:w="10460"/>
          </w:cols>
          <w:pgMar w:left="1440" w:top="1165" w:right="6" w:bottom="0" w:gutter="0" w:footer="0" w:header="0"/>
          <w:type w:val="continuous"/>
        </w:sectPr>
      </w:pPr>
    </w:p>
    <w:bookmarkStart w:id="393" w:name="page394"/>
    <w:bookmarkEnd w:id="3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00" w:lineRule="exact"/>
        <w:rPr>
          <w:sz w:val="20"/>
          <w:szCs w:val="20"/>
          <w:color w:val="auto"/>
        </w:rPr>
      </w:pPr>
    </w:p>
    <w:p>
      <w:pPr>
        <w:ind w:left="1620" w:hanging="726"/>
        <w:spacing w:after="0"/>
        <w:tabs>
          <w:tab w:leader="none" w:pos="1620" w:val="left"/>
        </w:tabs>
        <w:numPr>
          <w:ilvl w:val="0"/>
          <w:numId w:val="136"/>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SUMMARY OF MATERIAL ACCOUNTING POLICIES </w:t>
      </w:r>
      <w:r>
        <w:rPr>
          <w:rFonts w:ascii="Arial" w:cs="Arial" w:eastAsia="Arial" w:hAnsi="Arial"/>
          <w:sz w:val="20"/>
          <w:szCs w:val="20"/>
          <w:i w:val="1"/>
          <w:iCs w:val="1"/>
          <w:color w:val="153A57"/>
        </w:rPr>
        <w:t>(continued)</w:t>
      </w:r>
    </w:p>
    <w:p>
      <w:pPr>
        <w:spacing w:after="0" w:line="277" w:lineRule="exact"/>
        <w:rPr>
          <w:rFonts w:ascii="Arial" w:cs="Arial" w:eastAsia="Arial" w:hAnsi="Arial"/>
          <w:sz w:val="20"/>
          <w:szCs w:val="20"/>
          <w:b w:val="1"/>
          <w:bCs w:val="1"/>
          <w:color w:val="153A57"/>
        </w:rPr>
      </w:pPr>
    </w:p>
    <w:p>
      <w:pPr>
        <w:ind w:left="1620"/>
        <w:spacing w:after="0" w:line="307" w:lineRule="auto"/>
        <w:rPr>
          <w:rFonts w:ascii="Arial" w:cs="Arial" w:eastAsia="Arial" w:hAnsi="Arial"/>
          <w:sz w:val="20"/>
          <w:szCs w:val="20"/>
          <w:b w:val="1"/>
          <w:bCs w:val="1"/>
          <w:color w:val="153A57"/>
        </w:rPr>
      </w:pPr>
      <w:r>
        <w:rPr>
          <w:rFonts w:ascii="Arial" w:cs="Arial" w:eastAsia="Arial" w:hAnsi="Arial"/>
          <w:sz w:val="20"/>
          <w:szCs w:val="20"/>
          <w:color w:val="auto"/>
        </w:rPr>
        <w:t>Fair value is determined as the amount that would be obtained from the sale of the asset in an a length transaction between knowledgeable, willing parties.</w:t>
      </w:r>
    </w:p>
    <w:p>
      <w:pPr>
        <w:spacing w:after="0" w:line="215" w:lineRule="exact"/>
        <w:rPr>
          <w:rFonts w:ascii="Arial" w:cs="Arial" w:eastAsia="Arial" w:hAnsi="Arial"/>
          <w:sz w:val="20"/>
          <w:szCs w:val="20"/>
          <w:b w:val="1"/>
          <w:bCs w:val="1"/>
          <w:color w:val="153A57"/>
        </w:rPr>
      </w:pPr>
    </w:p>
    <w:p>
      <w:pPr>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In assessing value in use, estimated future cash flows are discounted to their present value using tax discount rate that reflects current market assessments of the time value of money and the specific to the asset. For impairment assessment purposes, assets are grouped at the lowest leve which there are separately identifiable cash flows (cash-generating units). These are typically indiv mines or development projects.</w:t>
      </w:r>
    </w:p>
    <w:p>
      <w:pPr>
        <w:spacing w:after="0" w:line="209" w:lineRule="exact"/>
        <w:rPr>
          <w:rFonts w:ascii="Arial" w:cs="Arial" w:eastAsia="Arial" w:hAnsi="Arial"/>
          <w:sz w:val="20"/>
          <w:szCs w:val="20"/>
          <w:b w:val="1"/>
          <w:bCs w:val="1"/>
          <w:color w:val="153A57"/>
        </w:rPr>
      </w:pPr>
    </w:p>
    <w:p>
      <w:pPr>
        <w:ind w:left="1620"/>
        <w:spacing w:after="0" w:line="312" w:lineRule="auto"/>
        <w:rPr>
          <w:rFonts w:ascii="Arial" w:cs="Arial" w:eastAsia="Arial" w:hAnsi="Arial"/>
          <w:sz w:val="20"/>
          <w:szCs w:val="20"/>
          <w:b w:val="1"/>
          <w:bCs w:val="1"/>
          <w:color w:val="153A57"/>
        </w:rPr>
      </w:pPr>
      <w:r>
        <w:rPr>
          <w:rFonts w:ascii="Arial" w:cs="Arial" w:eastAsia="Arial" w:hAnsi="Arial"/>
          <w:sz w:val="20"/>
          <w:szCs w:val="20"/>
          <w:color w:val="auto"/>
        </w:rPr>
        <w:t>Where the factors that led to an impairment loss subsequently reverse, the carrying amount of the (or cash-generating unit) is increased to the revised estimate of its recoverable amount, but not abov carrying amount that would have been determined had no impairment loss been recognized in years. A reversal of an impairment loss is recognized immediately in profit or loss.</w:t>
      </w:r>
    </w:p>
    <w:p>
      <w:pPr>
        <w:spacing w:after="0" w:line="204"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Leases</w:t>
      </w:r>
    </w:p>
    <w:p>
      <w:pPr>
        <w:spacing w:after="0" w:line="278" w:lineRule="exact"/>
        <w:rPr>
          <w:rFonts w:ascii="Arial" w:cs="Arial" w:eastAsia="Arial" w:hAnsi="Arial"/>
          <w:sz w:val="20"/>
          <w:szCs w:val="20"/>
          <w:b w:val="1"/>
          <w:bCs w:val="1"/>
          <w:color w:val="153A57"/>
        </w:rPr>
      </w:pPr>
    </w:p>
    <w:p>
      <w:pPr>
        <w:jc w:val="both"/>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At the inception of a contract, the Company assesses whether the contract is, or contains, a leas contract is, or contains, a lease if it conveys the right to control the use of an identified asset for a p of time in exchange for consideration.</w:t>
      </w:r>
    </w:p>
    <w:p>
      <w:pPr>
        <w:spacing w:after="0" w:line="211" w:lineRule="exact"/>
        <w:rPr>
          <w:rFonts w:ascii="Arial" w:cs="Arial" w:eastAsia="Arial" w:hAnsi="Arial"/>
          <w:sz w:val="20"/>
          <w:szCs w:val="20"/>
          <w:b w:val="1"/>
          <w:bCs w:val="1"/>
          <w:color w:val="153A57"/>
        </w:rPr>
      </w:pPr>
    </w:p>
    <w:p>
      <w:pPr>
        <w:jc w:val="both"/>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The Company evaluates whether the contract involves the use of an identified asset, whether it ha right to obtain substantially all of the economic benefits from the use of the asset during the term o arrangement, and whether it has the right to direct the use of the asset. At inception, or u reassessment of a contract that contains one or more lease components, the Company allocate consideration in the contract to each lease component based on their relative stand-alone prices.</w:t>
      </w:r>
    </w:p>
    <w:p>
      <w:pPr>
        <w:spacing w:after="0" w:line="209" w:lineRule="exact"/>
        <w:rPr>
          <w:rFonts w:ascii="Arial" w:cs="Arial" w:eastAsia="Arial" w:hAnsi="Arial"/>
          <w:sz w:val="20"/>
          <w:szCs w:val="20"/>
          <w:b w:val="1"/>
          <w:bCs w:val="1"/>
          <w:color w:val="153A57"/>
        </w:rPr>
      </w:pPr>
    </w:p>
    <w:p>
      <w:pPr>
        <w:jc w:val="both"/>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The Company leases offices, buildings, and equipment. Lease contracts are typically entered int fixed periods of 3 to 5 years. Lease terms are negotiated on an individual basis and include a ran different conditions.</w:t>
      </w:r>
    </w:p>
    <w:p>
      <w:pPr>
        <w:spacing w:after="0" w:line="211" w:lineRule="exact"/>
        <w:rPr>
          <w:rFonts w:ascii="Arial" w:cs="Arial" w:eastAsia="Arial" w:hAnsi="Arial"/>
          <w:sz w:val="20"/>
          <w:szCs w:val="20"/>
          <w:b w:val="1"/>
          <w:bCs w:val="1"/>
          <w:color w:val="153A57"/>
        </w:rPr>
      </w:pPr>
    </w:p>
    <w:p>
      <w:pPr>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Leases are recognized as a right-of-use asset and a corresponding liability on the date the leased is available for use by the Company. Each lease payment is allocated between the liability and finance cost. The finance cost is charged to profit or loss over the lease term, such that a con periodic rate of interest is applied to the remaining balance of the liability. The right-of-use ass depreciated over the shorter of the asset’s useful life and the lease term, on a straight-line basis.</w:t>
      </w:r>
    </w:p>
    <w:p>
      <w:pPr>
        <w:spacing w:after="0" w:line="209" w:lineRule="exact"/>
        <w:rPr>
          <w:rFonts w:ascii="Arial" w:cs="Arial" w:eastAsia="Arial" w:hAnsi="Arial"/>
          <w:sz w:val="20"/>
          <w:szCs w:val="20"/>
          <w:b w:val="1"/>
          <w:bCs w:val="1"/>
          <w:color w:val="153A57"/>
        </w:rPr>
      </w:pPr>
    </w:p>
    <w:p>
      <w:pPr>
        <w:ind w:left="1620"/>
        <w:spacing w:after="0" w:line="307" w:lineRule="auto"/>
        <w:rPr>
          <w:rFonts w:ascii="Arial" w:cs="Arial" w:eastAsia="Arial" w:hAnsi="Arial"/>
          <w:sz w:val="20"/>
          <w:szCs w:val="20"/>
          <w:b w:val="1"/>
          <w:bCs w:val="1"/>
          <w:color w:val="153A57"/>
        </w:rPr>
      </w:pPr>
      <w:r>
        <w:rPr>
          <w:rFonts w:ascii="Arial" w:cs="Arial" w:eastAsia="Arial" w:hAnsi="Arial"/>
          <w:sz w:val="20"/>
          <w:szCs w:val="20"/>
          <w:color w:val="auto"/>
        </w:rPr>
        <w:t>Assets and liabilities arising from a lease are initially measured on a present value basis. Lease liab include the net present value of the following lease payments: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10 / 40</w:t>
      </w:r>
    </w:p>
    <w:p>
      <w:pPr>
        <w:sectPr>
          <w:pgSz w:w="11900" w:h="16838" w:orient="portrait"/>
          <w:cols w:equalWidth="0" w:num="1">
            <w:col w:w="10460"/>
          </w:cols>
          <w:pgMar w:left="1440" w:top="1440" w:right="6" w:bottom="0" w:gutter="0" w:footer="0" w:header="0"/>
          <w:type w:val="continuous"/>
        </w:sectPr>
      </w:pPr>
    </w:p>
    <w:bookmarkStart w:id="394" w:name="page395"/>
    <w:bookmarkEnd w:id="394"/>
    <w:p>
      <w:pPr>
        <w:ind w:left="1980" w:hanging="366"/>
        <w:spacing w:after="0"/>
        <w:tabs>
          <w:tab w:leader="none" w:pos="198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fixed payments (including in-substance fixed payments), less any lease incentives receivable;</w:t>
      </w:r>
    </w:p>
    <w:p>
      <w:pPr>
        <w:spacing w:after="0" w:line="330" w:lineRule="exact"/>
        <w:rPr>
          <w:rFonts w:ascii="Arial" w:cs="Arial" w:eastAsia="Arial" w:hAnsi="Arial"/>
          <w:sz w:val="20"/>
          <w:szCs w:val="20"/>
          <w:color w:val="auto"/>
        </w:rPr>
      </w:pPr>
    </w:p>
    <w:p>
      <w:pPr>
        <w:ind w:left="1980" w:hanging="366"/>
        <w:spacing w:after="0"/>
        <w:tabs>
          <w:tab w:leader="none" w:pos="198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variable lease payments based on an index or a rate;</w:t>
      </w:r>
    </w:p>
    <w:p>
      <w:pPr>
        <w:spacing w:after="0" w:line="330" w:lineRule="exact"/>
        <w:rPr>
          <w:rFonts w:ascii="Arial" w:cs="Arial" w:eastAsia="Arial" w:hAnsi="Arial"/>
          <w:sz w:val="20"/>
          <w:szCs w:val="20"/>
          <w:color w:val="auto"/>
        </w:rPr>
      </w:pPr>
    </w:p>
    <w:p>
      <w:pPr>
        <w:ind w:left="1980" w:hanging="366"/>
        <w:spacing w:after="0"/>
        <w:tabs>
          <w:tab w:leader="none" w:pos="198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amounts expected to be payable by the lessee under residual value guarantees;</w:t>
      </w:r>
    </w:p>
    <w:p>
      <w:pPr>
        <w:spacing w:after="0" w:line="337" w:lineRule="exact"/>
        <w:rPr>
          <w:rFonts w:ascii="Arial" w:cs="Arial" w:eastAsia="Arial" w:hAnsi="Arial"/>
          <w:sz w:val="20"/>
          <w:szCs w:val="20"/>
          <w:color w:val="auto"/>
        </w:rPr>
      </w:pPr>
    </w:p>
    <w:p>
      <w:pPr>
        <w:ind w:left="1980" w:hanging="366"/>
        <w:spacing w:after="0"/>
        <w:tabs>
          <w:tab w:leader="none" w:pos="198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exercise price of a purchase option, if the lessee is reasonably certain to exercise that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290195</wp:posOffset>
            </wp:positionV>
            <wp:extent cx="1676400" cy="1905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8">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08"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11 / 40</w:t>
      </w:r>
    </w:p>
    <w:p>
      <w:pPr>
        <w:sectPr>
          <w:pgSz w:w="11900" w:h="16838" w:orient="portrait"/>
          <w:cols w:equalWidth="0" w:num="1">
            <w:col w:w="10460"/>
          </w:cols>
          <w:pgMar w:left="1440" w:top="1408" w:right="6" w:bottom="0" w:gutter="0" w:footer="0" w:header="0"/>
          <w:type w:val="continuous"/>
        </w:sectPr>
      </w:pPr>
    </w:p>
    <w:bookmarkStart w:id="395" w:name="page396"/>
    <w:bookmarkEnd w:id="3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00" w:lineRule="exact"/>
        <w:rPr>
          <w:sz w:val="20"/>
          <w:szCs w:val="20"/>
          <w:color w:val="auto"/>
        </w:rPr>
      </w:pPr>
    </w:p>
    <w:p>
      <w:pPr>
        <w:ind w:left="1620" w:hanging="726"/>
        <w:spacing w:after="0"/>
        <w:tabs>
          <w:tab w:leader="none" w:pos="1620" w:val="left"/>
        </w:tabs>
        <w:numPr>
          <w:ilvl w:val="0"/>
          <w:numId w:val="138"/>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SUMMARY OF MATERIAL ACCOUNTING POLICIES </w:t>
      </w:r>
      <w:r>
        <w:rPr>
          <w:rFonts w:ascii="Arial" w:cs="Arial" w:eastAsia="Arial" w:hAnsi="Arial"/>
          <w:sz w:val="20"/>
          <w:szCs w:val="20"/>
          <w:i w:val="1"/>
          <w:iCs w:val="1"/>
          <w:color w:val="153A57"/>
        </w:rPr>
        <w:t>(continued)</w:t>
      </w:r>
    </w:p>
    <w:p>
      <w:pPr>
        <w:spacing w:after="0" w:line="277" w:lineRule="exact"/>
        <w:rPr>
          <w:sz w:val="20"/>
          <w:szCs w:val="20"/>
          <w:color w:val="auto"/>
        </w:rPr>
      </w:pPr>
    </w:p>
    <w:p>
      <w:pPr>
        <w:ind w:left="1980" w:right="40" w:hanging="366"/>
        <w:spacing w:after="0" w:line="305" w:lineRule="auto"/>
        <w:tabs>
          <w:tab w:leader="none" w:pos="198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payments of penalties for terminating the lease, if the lease term reflects the lessee’s decisi exercise that option.</w:t>
      </w:r>
    </w:p>
    <w:p>
      <w:pPr>
        <w:spacing w:after="0" w:line="215" w:lineRule="exact"/>
        <w:rPr>
          <w:sz w:val="20"/>
          <w:szCs w:val="20"/>
          <w:color w:val="auto"/>
        </w:rPr>
      </w:pPr>
    </w:p>
    <w:p>
      <w:pPr>
        <w:ind w:left="1620"/>
        <w:spacing w:after="0" w:line="307" w:lineRule="auto"/>
        <w:rPr>
          <w:sz w:val="20"/>
          <w:szCs w:val="20"/>
          <w:color w:val="auto"/>
        </w:rPr>
      </w:pPr>
      <w:r>
        <w:rPr>
          <w:rFonts w:ascii="Arial" w:cs="Arial" w:eastAsia="Arial" w:hAnsi="Arial"/>
          <w:sz w:val="20"/>
          <w:szCs w:val="20"/>
          <w:color w:val="auto"/>
        </w:rPr>
        <w:t>Lease payments are discounted using the interest rate implicit in the lease. If that rate canno determined, the lessee’s incremental borrowing rate is used.</w:t>
      </w:r>
    </w:p>
    <w:p>
      <w:pPr>
        <w:spacing w:after="0" w:line="215" w:lineRule="exact"/>
        <w:rPr>
          <w:sz w:val="20"/>
          <w:szCs w:val="20"/>
          <w:color w:val="auto"/>
        </w:rPr>
      </w:pPr>
    </w:p>
    <w:p>
      <w:pPr>
        <w:ind w:left="1620"/>
        <w:spacing w:after="0" w:line="307" w:lineRule="auto"/>
        <w:rPr>
          <w:sz w:val="20"/>
          <w:szCs w:val="20"/>
          <w:color w:val="auto"/>
        </w:rPr>
      </w:pPr>
      <w:r>
        <w:rPr>
          <w:rFonts w:ascii="Arial" w:cs="Arial" w:eastAsia="Arial" w:hAnsi="Arial"/>
          <w:sz w:val="20"/>
          <w:szCs w:val="20"/>
          <w:color w:val="auto"/>
        </w:rPr>
        <w:t>This is the rate the lessee would pay to borrow the funds necessary to obtain an asset of similar val a similar economic environment, with similar terms and conditions.</w:t>
      </w:r>
    </w:p>
    <w:p>
      <w:pPr>
        <w:spacing w:after="0" w:line="208"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Right-of-use assets are measured at cost, which includes the following:</w:t>
      </w:r>
    </w:p>
    <w:p>
      <w:pPr>
        <w:spacing w:after="0" w:line="272" w:lineRule="exact"/>
        <w:rPr>
          <w:sz w:val="20"/>
          <w:szCs w:val="20"/>
          <w:color w:val="auto"/>
        </w:rPr>
      </w:pPr>
    </w:p>
    <w:p>
      <w:pPr>
        <w:ind w:left="1980" w:hanging="366"/>
        <w:spacing w:after="0"/>
        <w:tabs>
          <w:tab w:leader="none" w:pos="198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amount of the initial measurement of the lease liability;</w:t>
      </w:r>
    </w:p>
    <w:p>
      <w:pPr>
        <w:spacing w:after="0" w:line="277" w:lineRule="exact"/>
        <w:rPr>
          <w:rFonts w:ascii="Arial" w:cs="Arial" w:eastAsia="Arial" w:hAnsi="Arial"/>
          <w:sz w:val="20"/>
          <w:szCs w:val="20"/>
          <w:color w:val="auto"/>
        </w:rPr>
      </w:pPr>
    </w:p>
    <w:p>
      <w:pPr>
        <w:ind w:left="1980" w:hanging="366"/>
        <w:spacing w:after="0"/>
        <w:tabs>
          <w:tab w:leader="none" w:pos="198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any lease payments made on or before the commencement date, less any lease incentives rece</w:t>
      </w:r>
    </w:p>
    <w:p>
      <w:pPr>
        <w:spacing w:after="0" w:line="274" w:lineRule="exact"/>
        <w:rPr>
          <w:rFonts w:ascii="Arial" w:cs="Arial" w:eastAsia="Arial" w:hAnsi="Arial"/>
          <w:sz w:val="19"/>
          <w:szCs w:val="19"/>
          <w:color w:val="auto"/>
        </w:rPr>
      </w:pPr>
    </w:p>
    <w:p>
      <w:pPr>
        <w:ind w:left="1980" w:hanging="366"/>
        <w:spacing w:after="0"/>
        <w:tabs>
          <w:tab w:leader="none" w:pos="198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any initial direct costs; and</w:t>
      </w:r>
    </w:p>
    <w:p>
      <w:pPr>
        <w:spacing w:after="0" w:line="270" w:lineRule="exact"/>
        <w:rPr>
          <w:rFonts w:ascii="Arial" w:cs="Arial" w:eastAsia="Arial" w:hAnsi="Arial"/>
          <w:sz w:val="20"/>
          <w:szCs w:val="20"/>
          <w:color w:val="auto"/>
        </w:rPr>
      </w:pPr>
    </w:p>
    <w:p>
      <w:pPr>
        <w:ind w:left="1980" w:hanging="366"/>
        <w:spacing w:after="0"/>
        <w:tabs>
          <w:tab w:leader="none" w:pos="198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restoration costs.</w:t>
      </w:r>
    </w:p>
    <w:p>
      <w:pPr>
        <w:spacing w:after="0" w:line="277" w:lineRule="exact"/>
        <w:rPr>
          <w:sz w:val="20"/>
          <w:szCs w:val="20"/>
          <w:color w:val="auto"/>
        </w:rPr>
      </w:pPr>
    </w:p>
    <w:p>
      <w:pPr>
        <w:jc w:val="both"/>
        <w:ind w:left="1620"/>
        <w:spacing w:after="0" w:line="311" w:lineRule="auto"/>
        <w:rPr>
          <w:sz w:val="20"/>
          <w:szCs w:val="20"/>
          <w:color w:val="auto"/>
        </w:rPr>
      </w:pPr>
      <w:r>
        <w:rPr>
          <w:rFonts w:ascii="Arial" w:cs="Arial" w:eastAsia="Arial" w:hAnsi="Arial"/>
          <w:sz w:val="20"/>
          <w:szCs w:val="20"/>
          <w:color w:val="auto"/>
        </w:rPr>
        <w:t>Payments associated with short-term leases and leases of low-value assets are recognized a expense in profit or loss on a straight-line basis. Short-term leases are defined as leases with a l term of 12 months or less.</w:t>
      </w:r>
    </w:p>
    <w:p>
      <w:pPr>
        <w:spacing w:after="0" w:line="205" w:lineRule="exact"/>
        <w:rPr>
          <w:sz w:val="20"/>
          <w:szCs w:val="20"/>
          <w:color w:val="auto"/>
        </w:rPr>
      </w:pPr>
    </w:p>
    <w:p>
      <w:pPr>
        <w:ind w:left="1620"/>
        <w:spacing w:after="0"/>
        <w:rPr>
          <w:sz w:val="20"/>
          <w:szCs w:val="20"/>
          <w:color w:val="auto"/>
        </w:rPr>
      </w:pPr>
      <w:r>
        <w:rPr>
          <w:rFonts w:ascii="Arial" w:cs="Arial" w:eastAsia="Arial" w:hAnsi="Arial"/>
          <w:sz w:val="20"/>
          <w:szCs w:val="20"/>
          <w:b w:val="1"/>
          <w:bCs w:val="1"/>
          <w:i w:val="1"/>
          <w:iCs w:val="1"/>
          <w:color w:val="auto"/>
        </w:rPr>
        <w:t>Financial Instruments</w:t>
      </w:r>
    </w:p>
    <w:p>
      <w:pPr>
        <w:spacing w:after="0" w:line="279" w:lineRule="exact"/>
        <w:rPr>
          <w:sz w:val="20"/>
          <w:szCs w:val="20"/>
          <w:color w:val="auto"/>
        </w:rPr>
      </w:pPr>
    </w:p>
    <w:p>
      <w:pPr>
        <w:jc w:val="both"/>
        <w:ind w:left="1620"/>
        <w:spacing w:after="0" w:line="307" w:lineRule="auto"/>
        <w:rPr>
          <w:sz w:val="20"/>
          <w:szCs w:val="20"/>
          <w:color w:val="auto"/>
        </w:rPr>
      </w:pPr>
      <w:r>
        <w:rPr>
          <w:rFonts w:ascii="Arial" w:cs="Arial" w:eastAsia="Arial" w:hAnsi="Arial"/>
          <w:sz w:val="20"/>
          <w:szCs w:val="20"/>
          <w:color w:val="auto"/>
        </w:rPr>
        <w:t>Financial assets and liabilities are recognized when the Company becomes a party to the contra provisions of the instrument.</w:t>
      </w:r>
    </w:p>
    <w:p>
      <w:pPr>
        <w:spacing w:after="0" w:line="215" w:lineRule="exact"/>
        <w:rPr>
          <w:sz w:val="20"/>
          <w:szCs w:val="20"/>
          <w:color w:val="auto"/>
        </w:rPr>
      </w:pPr>
    </w:p>
    <w:p>
      <w:pPr>
        <w:jc w:val="both"/>
        <w:ind w:left="1620"/>
        <w:spacing w:after="0" w:line="311" w:lineRule="auto"/>
        <w:rPr>
          <w:sz w:val="20"/>
          <w:szCs w:val="20"/>
          <w:color w:val="auto"/>
        </w:rPr>
      </w:pPr>
      <w:r>
        <w:rPr>
          <w:rFonts w:ascii="Arial" w:cs="Arial" w:eastAsia="Arial" w:hAnsi="Arial"/>
          <w:sz w:val="20"/>
          <w:szCs w:val="20"/>
          <w:color w:val="auto"/>
        </w:rPr>
        <w:t>On initial recognition, financial assets are classified and measured at amortized cost, fair value thr profit or loss (“FVTPL”) or fair value through OCI, based on their contractual cash flow characteristic the business models under which they are held.</w:t>
      </w:r>
    </w:p>
    <w:p>
      <w:pPr>
        <w:spacing w:after="0" w:line="212" w:lineRule="exact"/>
        <w:rPr>
          <w:sz w:val="20"/>
          <w:szCs w:val="20"/>
          <w:color w:val="auto"/>
        </w:rPr>
      </w:pPr>
    </w:p>
    <w:p>
      <w:pPr>
        <w:jc w:val="both"/>
        <w:ind w:left="1620"/>
        <w:spacing w:after="0" w:line="313" w:lineRule="auto"/>
        <w:rPr>
          <w:sz w:val="20"/>
          <w:szCs w:val="20"/>
          <w:color w:val="auto"/>
        </w:rPr>
      </w:pPr>
      <w:r>
        <w:rPr>
          <w:rFonts w:ascii="Arial" w:cs="Arial" w:eastAsia="Arial" w:hAnsi="Arial"/>
          <w:sz w:val="20"/>
          <w:szCs w:val="20"/>
          <w:color w:val="auto"/>
        </w:rPr>
        <w:t>Financial assets are measured at amortized cost if they are held for the collection of contractual flows, where those cash flows solely represent payments of principal and interest, and if the Comp intent is to hold these financial assets to collect those cash flows. Financial liabilities are measur amortized cost unless they are required to be measured at FVTPL or are designated as FVTPL a Company’s election.</w:t>
      </w:r>
    </w:p>
    <w:p>
      <w:pPr>
        <w:spacing w:after="0" w:line="210" w:lineRule="exact"/>
        <w:rPr>
          <w:sz w:val="20"/>
          <w:szCs w:val="20"/>
          <w:color w:val="auto"/>
        </w:rPr>
      </w:pPr>
    </w:p>
    <w:p>
      <w:pPr>
        <w:jc w:val="both"/>
        <w:ind w:left="1620"/>
        <w:spacing w:after="0" w:line="311" w:lineRule="auto"/>
        <w:rPr>
          <w:sz w:val="20"/>
          <w:szCs w:val="20"/>
          <w:color w:val="auto"/>
        </w:rPr>
      </w:pPr>
      <w:r>
        <w:rPr>
          <w:rFonts w:ascii="Arial" w:cs="Arial" w:eastAsia="Arial" w:hAnsi="Arial"/>
          <w:sz w:val="20"/>
          <w:szCs w:val="20"/>
          <w:color w:val="auto"/>
        </w:rPr>
        <w:t>Financial assets are derecognized when the rights to receive cash flows from the assets have expire when they have been transferred and the Company has transferred substantially all of the risks rewards of ownership.</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6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12 / 40</w:t>
      </w:r>
    </w:p>
    <w:p>
      <w:pPr>
        <w:sectPr>
          <w:pgSz w:w="11900" w:h="16838" w:orient="portrait"/>
          <w:cols w:equalWidth="0" w:num="1">
            <w:col w:w="10460"/>
          </w:cols>
          <w:pgMar w:left="1440" w:top="1440" w:right="6" w:bottom="0" w:gutter="0" w:footer="0" w:header="0"/>
          <w:type w:val="continuous"/>
        </w:sectPr>
      </w:pPr>
    </w:p>
    <w:bookmarkStart w:id="396" w:name="page397"/>
    <w:bookmarkEnd w:id="396"/>
    <w:p>
      <w:pPr>
        <w:spacing w:after="0" w:line="2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1482090</wp:posOffset>
            </wp:positionH>
            <wp:positionV relativeFrom="page">
              <wp:posOffset>972185</wp:posOffset>
            </wp:positionV>
            <wp:extent cx="1676400" cy="1905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0">
                      <a:clrChange>
                        <a:clrFrom>
                          <a:srgbClr val="FFFFFF"/>
                        </a:clrFrom>
                        <a:clrTo>
                          <a:srgbClr val="FFFFFF">
                            <a:alpha val="0"/>
                          </a:srgbClr>
                        </a:clrTo>
                      </a:clrChange>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979170</wp:posOffset>
            </wp:positionV>
            <wp:extent cx="6764020" cy="1905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13 / 40</w:t>
      </w:r>
    </w:p>
    <w:p>
      <w:pPr>
        <w:sectPr>
          <w:pgSz w:w="11900" w:h="16838" w:orient="portrait"/>
          <w:cols w:equalWidth="0" w:num="1">
            <w:col w:w="9026"/>
          </w:cols>
          <w:pgMar w:left="1440" w:top="1440" w:right="1440" w:bottom="0" w:gutter="0" w:footer="0" w:header="0"/>
          <w:type w:val="continuous"/>
        </w:sectPr>
      </w:pPr>
    </w:p>
    <w:bookmarkStart w:id="397" w:name="page398"/>
    <w:bookmarkEnd w:id="3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07" w:lineRule="exact"/>
        <w:rPr>
          <w:sz w:val="20"/>
          <w:szCs w:val="20"/>
          <w:color w:val="auto"/>
        </w:rPr>
      </w:pPr>
    </w:p>
    <w:p>
      <w:pPr>
        <w:ind w:left="1620" w:right="2940" w:hanging="726"/>
        <w:spacing w:after="0" w:line="514" w:lineRule="auto"/>
        <w:tabs>
          <w:tab w:leader="none" w:pos="1620" w:val="left"/>
        </w:tabs>
        <w:numPr>
          <w:ilvl w:val="0"/>
          <w:numId w:val="141"/>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SUMMARY OF MATERIAL ACCOUNTING POLICIES </w:t>
      </w:r>
      <w:r>
        <w:rPr>
          <w:rFonts w:ascii="Arial" w:cs="Arial" w:eastAsia="Arial" w:hAnsi="Arial"/>
          <w:sz w:val="20"/>
          <w:szCs w:val="20"/>
          <w:i w:val="1"/>
          <w:iCs w:val="1"/>
          <w:color w:val="153A57"/>
        </w:rPr>
        <w:t>(continued)</w:t>
      </w:r>
      <w:r>
        <w:rPr>
          <w:rFonts w:ascii="Arial" w:cs="Arial" w:eastAsia="Arial" w:hAnsi="Arial"/>
          <w:sz w:val="20"/>
          <w:szCs w:val="20"/>
          <w:b w:val="1"/>
          <w:bCs w:val="1"/>
          <w:color w:val="153A57"/>
        </w:rPr>
        <w:t xml:space="preserve"> </w:t>
      </w:r>
      <w:r>
        <w:rPr>
          <w:rFonts w:ascii="Arial" w:cs="Arial" w:eastAsia="Arial" w:hAnsi="Arial"/>
          <w:sz w:val="20"/>
          <w:szCs w:val="20"/>
          <w:i w:val="1"/>
          <w:iCs w:val="1"/>
          <w:color w:val="000000"/>
        </w:rPr>
        <w:t>Derivative instruments</w:t>
      </w:r>
    </w:p>
    <w:p>
      <w:pPr>
        <w:spacing w:after="0" w:line="16" w:lineRule="exact"/>
        <w:rPr>
          <w:rFonts w:ascii="Arial" w:cs="Arial" w:eastAsia="Arial" w:hAnsi="Arial"/>
          <w:sz w:val="20"/>
          <w:szCs w:val="20"/>
          <w:b w:val="1"/>
          <w:bCs w:val="1"/>
          <w:color w:val="153A57"/>
        </w:rPr>
      </w:pPr>
    </w:p>
    <w:p>
      <w:pPr>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Derivative instruments, including embedded derivatives in executory contracts or financial lia contracts, are classified as FVTPL and are recorded on the balance sheet at fair value. Unrealized and losses on derivatives that are not designated as part of a hedging relationship are recognized in or loss. Fair values for derivative instruments are determined using inputs based on market conditio the reporting date or the settlement date of the derivative.</w:t>
      </w:r>
    </w:p>
    <w:p>
      <w:pPr>
        <w:spacing w:after="0" w:line="209" w:lineRule="exact"/>
        <w:rPr>
          <w:rFonts w:ascii="Arial" w:cs="Arial" w:eastAsia="Arial" w:hAnsi="Arial"/>
          <w:sz w:val="20"/>
          <w:szCs w:val="20"/>
          <w:b w:val="1"/>
          <w:bCs w:val="1"/>
          <w:color w:val="153A57"/>
        </w:rPr>
      </w:pPr>
    </w:p>
    <w:p>
      <w:pPr>
        <w:ind w:left="1620"/>
        <w:spacing w:after="0" w:line="307" w:lineRule="auto"/>
        <w:rPr>
          <w:rFonts w:ascii="Arial" w:cs="Arial" w:eastAsia="Arial" w:hAnsi="Arial"/>
          <w:sz w:val="20"/>
          <w:szCs w:val="20"/>
          <w:b w:val="1"/>
          <w:bCs w:val="1"/>
          <w:color w:val="153A57"/>
        </w:rPr>
      </w:pPr>
      <w:r>
        <w:rPr>
          <w:rFonts w:ascii="Arial" w:cs="Arial" w:eastAsia="Arial" w:hAnsi="Arial"/>
          <w:sz w:val="20"/>
          <w:szCs w:val="20"/>
          <w:color w:val="auto"/>
        </w:rPr>
        <w:t>Embedded derivatives in non-derivative contracts are recognized separately unless they are clo related to the host contract.</w:t>
      </w:r>
    </w:p>
    <w:p>
      <w:pPr>
        <w:spacing w:after="0" w:line="208"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i w:val="1"/>
          <w:iCs w:val="1"/>
          <w:color w:val="auto"/>
        </w:rPr>
        <w:t>Impairment of financial assets</w:t>
      </w:r>
    </w:p>
    <w:p>
      <w:pPr>
        <w:spacing w:after="0" w:line="278" w:lineRule="exact"/>
        <w:rPr>
          <w:rFonts w:ascii="Arial" w:cs="Arial" w:eastAsia="Arial" w:hAnsi="Arial"/>
          <w:sz w:val="20"/>
          <w:szCs w:val="20"/>
          <w:b w:val="1"/>
          <w:bCs w:val="1"/>
          <w:color w:val="153A57"/>
        </w:rPr>
      </w:pPr>
    </w:p>
    <w:p>
      <w:pPr>
        <w:jc w:val="both"/>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The Company assesses the expected credit losses associated with its financial assets carrie amortized cost on a forward-looking basis. The impairment methodology applied depends on wh there has been a significant increase in credit risk since initial recognition.</w:t>
      </w:r>
    </w:p>
    <w:p>
      <w:pPr>
        <w:spacing w:after="0" w:line="204"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Borrowing Costs</w:t>
      </w:r>
    </w:p>
    <w:p>
      <w:pPr>
        <w:spacing w:after="0" w:line="278" w:lineRule="exact"/>
        <w:rPr>
          <w:rFonts w:ascii="Arial" w:cs="Arial" w:eastAsia="Arial" w:hAnsi="Arial"/>
          <w:sz w:val="20"/>
          <w:szCs w:val="20"/>
          <w:b w:val="1"/>
          <w:bCs w:val="1"/>
          <w:color w:val="153A57"/>
        </w:rPr>
      </w:pPr>
    </w:p>
    <w:p>
      <w:pPr>
        <w:jc w:val="both"/>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Borrowing costs directly attributable to the acquisition, construction, or production of assets that req substantial period of time to prepare for their intended use or sale are capitalized as part of the co those assets. Capitalization of borrowing costs begins when borrowings are made, and activ commence to prepare the asset for its intended use. Capitalization ends when substantially all acti necessary to prepare the qualifying asset for its intended use are complete.</w:t>
      </w:r>
    </w:p>
    <w:p>
      <w:pPr>
        <w:spacing w:after="0" w:line="209" w:lineRule="exact"/>
        <w:rPr>
          <w:rFonts w:ascii="Arial" w:cs="Arial" w:eastAsia="Arial" w:hAnsi="Arial"/>
          <w:sz w:val="20"/>
          <w:szCs w:val="20"/>
          <w:b w:val="1"/>
          <w:bCs w:val="1"/>
          <w:color w:val="153A57"/>
        </w:rPr>
      </w:pPr>
    </w:p>
    <w:p>
      <w:pPr>
        <w:jc w:val="both"/>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When proceeds from project-specific borrowings are temporarily invested, borrowing costs are capit net of any investment income earned. Capitalization of borrowing costs is suspended during exte periods when active development is interrupted.</w:t>
      </w:r>
    </w:p>
    <w:p>
      <w:pPr>
        <w:spacing w:after="0" w:line="204"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Income Taxes</w:t>
      </w:r>
    </w:p>
    <w:p>
      <w:pPr>
        <w:spacing w:after="0" w:line="278" w:lineRule="exact"/>
        <w:rPr>
          <w:rFonts w:ascii="Arial" w:cs="Arial" w:eastAsia="Arial" w:hAnsi="Arial"/>
          <w:sz w:val="20"/>
          <w:szCs w:val="20"/>
          <w:b w:val="1"/>
          <w:bCs w:val="1"/>
          <w:color w:val="153A57"/>
        </w:rPr>
      </w:pPr>
    </w:p>
    <w:p>
      <w:pPr>
        <w:jc w:val="both"/>
        <w:ind w:left="1620"/>
        <w:spacing w:after="0" w:line="312" w:lineRule="auto"/>
        <w:rPr>
          <w:rFonts w:ascii="Arial" w:cs="Arial" w:eastAsia="Arial" w:hAnsi="Arial"/>
          <w:sz w:val="20"/>
          <w:szCs w:val="20"/>
          <w:b w:val="1"/>
          <w:bCs w:val="1"/>
          <w:color w:val="153A57"/>
        </w:rPr>
      </w:pPr>
      <w:r>
        <w:rPr>
          <w:rFonts w:ascii="Arial" w:cs="Arial" w:eastAsia="Arial" w:hAnsi="Arial"/>
          <w:sz w:val="20"/>
          <w:szCs w:val="20"/>
          <w:color w:val="auto"/>
        </w:rPr>
        <w:t>Income tax expense comprises current and deferred tax. Income tax is recognized in profit or loss, e to the extent that it relates to items recognized directly in equity. Current tax expense is the expecte payable on taxable income for the year, using tax rates enacted or substantively enacted at the p end, adjusted for amendments to tax payable related to prior years.</w:t>
      </w:r>
    </w:p>
    <w:p>
      <w:pPr>
        <w:spacing w:after="0" w:line="211" w:lineRule="exact"/>
        <w:rPr>
          <w:rFonts w:ascii="Arial" w:cs="Arial" w:eastAsia="Arial" w:hAnsi="Arial"/>
          <w:sz w:val="20"/>
          <w:szCs w:val="20"/>
          <w:b w:val="1"/>
          <w:bCs w:val="1"/>
          <w:color w:val="153A57"/>
        </w:rPr>
      </w:pPr>
    </w:p>
    <w:p>
      <w:pPr>
        <w:ind w:left="1620"/>
        <w:spacing w:after="0" w:line="312" w:lineRule="auto"/>
        <w:rPr>
          <w:rFonts w:ascii="Arial" w:cs="Arial" w:eastAsia="Arial" w:hAnsi="Arial"/>
          <w:sz w:val="20"/>
          <w:szCs w:val="20"/>
          <w:b w:val="1"/>
          <w:bCs w:val="1"/>
          <w:color w:val="153A57"/>
        </w:rPr>
      </w:pPr>
      <w:r>
        <w:rPr>
          <w:rFonts w:ascii="Arial" w:cs="Arial" w:eastAsia="Arial" w:hAnsi="Arial"/>
          <w:sz w:val="20"/>
          <w:szCs w:val="20"/>
          <w:color w:val="auto"/>
        </w:rPr>
        <w:t>Deferred tax is recorded using the liability method, providing for temporary differences between carrying amounts of assets and liabilities for financial reporting purposes and the amounts use taxation purposes. No deferred tax is provided for the initial recognition of assets or liabilities that neither accounting nor taxable profit or loss, unless arising in a business combination, nor for temp</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5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14 / 40</w:t>
      </w:r>
    </w:p>
    <w:p>
      <w:pPr>
        <w:sectPr>
          <w:pgSz w:w="11900" w:h="16838" w:orient="portrait"/>
          <w:cols w:equalWidth="0" w:num="1">
            <w:col w:w="10460"/>
          </w:cols>
          <w:pgMar w:left="1440" w:top="1440" w:right="6" w:bottom="0" w:gutter="0" w:footer="0" w:header="0"/>
          <w:type w:val="continuous"/>
        </w:sectPr>
      </w:pPr>
    </w:p>
    <w:bookmarkStart w:id="398" w:name="page399"/>
    <w:bookmarkEnd w:id="398"/>
    <w:p>
      <w:pPr>
        <w:jc w:val="both"/>
        <w:ind w:left="1620"/>
        <w:spacing w:after="0" w:line="312" w:lineRule="auto"/>
        <w:rPr>
          <w:sz w:val="20"/>
          <w:szCs w:val="20"/>
          <w:color w:val="auto"/>
        </w:rPr>
      </w:pPr>
      <w:r>
        <w:rPr>
          <w:rFonts w:ascii="Arial" w:cs="Arial" w:eastAsia="Arial" w:hAnsi="Arial"/>
          <w:sz w:val="20"/>
          <w:szCs w:val="20"/>
          <w:color w:val="auto"/>
        </w:rPr>
        <w:t>differences relating to investments in subsidiaries, to the extent that they are not probable to rever the foreseeable future. The amount of deferred tax provided is based on the expected mann realization or settlement of the carrying amounts of assets and liabilities, using tax rates enacte substantively enacted at the reporting date.</w:t>
      </w:r>
    </w:p>
    <w:p>
      <w:pPr>
        <w:spacing w:after="0" w:line="212" w:lineRule="exact"/>
        <w:rPr>
          <w:sz w:val="20"/>
          <w:szCs w:val="20"/>
          <w:color w:val="auto"/>
        </w:rPr>
      </w:pPr>
    </w:p>
    <w:p>
      <w:pPr>
        <w:jc w:val="both"/>
        <w:ind w:left="1620"/>
        <w:spacing w:after="0" w:line="311" w:lineRule="auto"/>
        <w:rPr>
          <w:sz w:val="20"/>
          <w:szCs w:val="20"/>
          <w:color w:val="auto"/>
        </w:rPr>
      </w:pPr>
      <w:r>
        <w:rPr>
          <w:rFonts w:ascii="Arial" w:cs="Arial" w:eastAsia="Arial" w:hAnsi="Arial"/>
          <w:sz w:val="20"/>
          <w:szCs w:val="20"/>
          <w:color w:val="auto"/>
        </w:rPr>
        <w:t>A deferred tax asset is recognized only to the extent that it is probable that future taxable profits w available against which the asset can be utilized. If it is not probable that a deferred tax asset w recovered, it is not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235585</wp:posOffset>
            </wp:positionV>
            <wp:extent cx="1676400" cy="1905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2">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15 / 40</w:t>
      </w:r>
    </w:p>
    <w:p>
      <w:pPr>
        <w:sectPr>
          <w:pgSz w:w="11900" w:h="16838" w:orient="portrait"/>
          <w:cols w:equalWidth="0" w:num="1">
            <w:col w:w="10460"/>
          </w:cols>
          <w:pgMar w:left="1440" w:top="1172" w:right="6" w:bottom="0" w:gutter="0" w:footer="0" w:header="0"/>
          <w:type w:val="continuous"/>
        </w:sectPr>
      </w:pPr>
    </w:p>
    <w:bookmarkStart w:id="399" w:name="page400"/>
    <w:bookmarkEnd w:id="3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200" w:lineRule="exact"/>
        <w:rPr>
          <w:sz w:val="20"/>
          <w:szCs w:val="20"/>
          <w:color w:val="auto"/>
        </w:rPr>
      </w:pPr>
    </w:p>
    <w:p>
      <w:pPr>
        <w:spacing w:after="0" w:line="300" w:lineRule="exact"/>
        <w:rPr>
          <w:sz w:val="20"/>
          <w:szCs w:val="20"/>
          <w:color w:val="auto"/>
        </w:rPr>
      </w:pPr>
    </w:p>
    <w:p>
      <w:pPr>
        <w:ind w:left="1620" w:hanging="726"/>
        <w:spacing w:after="0"/>
        <w:tabs>
          <w:tab w:leader="none" w:pos="1620" w:val="left"/>
        </w:tabs>
        <w:numPr>
          <w:ilvl w:val="0"/>
          <w:numId w:val="142"/>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SUMMARY OF MATERIAL ACCOUNTING POLICIES </w:t>
      </w:r>
      <w:r>
        <w:rPr>
          <w:rFonts w:ascii="Arial" w:cs="Arial" w:eastAsia="Arial" w:hAnsi="Arial"/>
          <w:sz w:val="20"/>
          <w:szCs w:val="20"/>
          <w:i w:val="1"/>
          <w:iCs w:val="1"/>
          <w:color w:val="153A57"/>
        </w:rPr>
        <w:t>(continued)</w:t>
      </w:r>
    </w:p>
    <w:p>
      <w:pPr>
        <w:spacing w:after="0" w:line="270"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Share Capital</w:t>
      </w:r>
    </w:p>
    <w:p>
      <w:pPr>
        <w:spacing w:after="0" w:line="278" w:lineRule="exact"/>
        <w:rPr>
          <w:rFonts w:ascii="Arial" w:cs="Arial" w:eastAsia="Arial" w:hAnsi="Arial"/>
          <w:sz w:val="20"/>
          <w:szCs w:val="20"/>
          <w:b w:val="1"/>
          <w:bCs w:val="1"/>
          <w:color w:val="153A57"/>
        </w:rPr>
      </w:pPr>
    </w:p>
    <w:p>
      <w:pPr>
        <w:ind w:left="1620" w:right="40"/>
        <w:spacing w:after="0" w:line="307" w:lineRule="auto"/>
        <w:rPr>
          <w:rFonts w:ascii="Arial" w:cs="Arial" w:eastAsia="Arial" w:hAnsi="Arial"/>
          <w:sz w:val="20"/>
          <w:szCs w:val="20"/>
          <w:b w:val="1"/>
          <w:bCs w:val="1"/>
          <w:color w:val="153A57"/>
        </w:rPr>
      </w:pPr>
      <w:r>
        <w:rPr>
          <w:rFonts w:ascii="Arial" w:cs="Arial" w:eastAsia="Arial" w:hAnsi="Arial"/>
          <w:sz w:val="20"/>
          <w:szCs w:val="20"/>
          <w:color w:val="auto"/>
        </w:rPr>
        <w:t>Common shares are classified as equity. Incremental costs directly attributable to the issuance of s are recognized as a deduction from equity (Note 14).</w:t>
      </w:r>
    </w:p>
    <w:p>
      <w:pPr>
        <w:spacing w:after="0" w:line="208"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Earnings (loss) per Share</w:t>
      </w:r>
    </w:p>
    <w:p>
      <w:pPr>
        <w:spacing w:after="0" w:line="278" w:lineRule="exact"/>
        <w:rPr>
          <w:rFonts w:ascii="Arial" w:cs="Arial" w:eastAsia="Arial" w:hAnsi="Arial"/>
          <w:sz w:val="20"/>
          <w:szCs w:val="20"/>
          <w:b w:val="1"/>
          <w:bCs w:val="1"/>
          <w:color w:val="153A57"/>
        </w:rPr>
      </w:pPr>
    </w:p>
    <w:p>
      <w:pPr>
        <w:jc w:val="both"/>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Basic earnings (loss) per share is computed by dividing the net earnings or loss attributabl shareholders of the Company by the weighted average number of common shares outstanding durin reporting period.</w:t>
      </w:r>
    </w:p>
    <w:p>
      <w:pPr>
        <w:spacing w:after="0" w:line="211" w:lineRule="exact"/>
        <w:rPr>
          <w:rFonts w:ascii="Arial" w:cs="Arial" w:eastAsia="Arial" w:hAnsi="Arial"/>
          <w:sz w:val="20"/>
          <w:szCs w:val="20"/>
          <w:b w:val="1"/>
          <w:bCs w:val="1"/>
          <w:color w:val="153A57"/>
        </w:rPr>
      </w:pPr>
    </w:p>
    <w:p>
      <w:pPr>
        <w:jc w:val="both"/>
        <w:ind w:left="1620" w:right="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Diluted earnings (loss) per share is calculated based on the weighted average number of common s outstanding during the period, plus the effects of dilutive common share equivalents. The dilutive eff outstanding equity awards and warrants is calculated using the treasury stock method.</w:t>
      </w:r>
    </w:p>
    <w:p>
      <w:pPr>
        <w:spacing w:after="0" w:line="211" w:lineRule="exact"/>
        <w:rPr>
          <w:rFonts w:ascii="Arial" w:cs="Arial" w:eastAsia="Arial" w:hAnsi="Arial"/>
          <w:sz w:val="20"/>
          <w:szCs w:val="20"/>
          <w:b w:val="1"/>
          <w:bCs w:val="1"/>
          <w:color w:val="153A57"/>
        </w:rPr>
      </w:pPr>
    </w:p>
    <w:p>
      <w:pPr>
        <w:jc w:val="both"/>
        <w:ind w:left="1620"/>
        <w:spacing w:after="0" w:line="312" w:lineRule="auto"/>
        <w:rPr>
          <w:rFonts w:ascii="Arial" w:cs="Arial" w:eastAsia="Arial" w:hAnsi="Arial"/>
          <w:sz w:val="20"/>
          <w:szCs w:val="20"/>
          <w:b w:val="1"/>
          <w:bCs w:val="1"/>
          <w:color w:val="153A57"/>
        </w:rPr>
      </w:pPr>
      <w:r>
        <w:rPr>
          <w:rFonts w:ascii="Arial" w:cs="Arial" w:eastAsia="Arial" w:hAnsi="Arial"/>
          <w:sz w:val="20"/>
          <w:szCs w:val="20"/>
          <w:color w:val="auto"/>
        </w:rPr>
        <w:t>This method assumes that all common share equivalents are exercised at the beginning of the perio at the time of issuance, if later), and that the funds obtained from such exercises are used to purc common shares of the Company at the average trading price during the period, but only if they dilutive.</w:t>
      </w:r>
    </w:p>
    <w:p>
      <w:pPr>
        <w:spacing w:after="0" w:line="204"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Equity-Based Compensation</w:t>
      </w:r>
    </w:p>
    <w:p>
      <w:pPr>
        <w:spacing w:after="0" w:line="278" w:lineRule="exact"/>
        <w:rPr>
          <w:rFonts w:ascii="Arial" w:cs="Arial" w:eastAsia="Arial" w:hAnsi="Arial"/>
          <w:sz w:val="20"/>
          <w:szCs w:val="20"/>
          <w:b w:val="1"/>
          <w:bCs w:val="1"/>
          <w:color w:val="153A57"/>
        </w:rPr>
      </w:pPr>
    </w:p>
    <w:p>
      <w:pPr>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The Company’s equity incentive plan permits the grant of restricted share units, performance share deferred share units, and stock options. The cost of equity-settled payment arrangements is reco based on the estimated fair value at the grant date and charged to the statement of comprehe income (loss) over the vesting period. Each tranche in an award is considered a separate award wi own vesting period and grant date fair value.</w:t>
      </w:r>
    </w:p>
    <w:p>
      <w:pPr>
        <w:spacing w:after="0" w:line="209" w:lineRule="exact"/>
        <w:rPr>
          <w:rFonts w:ascii="Arial" w:cs="Arial" w:eastAsia="Arial" w:hAnsi="Arial"/>
          <w:sz w:val="20"/>
          <w:szCs w:val="20"/>
          <w:b w:val="1"/>
          <w:bCs w:val="1"/>
          <w:color w:val="153A57"/>
        </w:rPr>
      </w:pPr>
    </w:p>
    <w:p>
      <w:pPr>
        <w:jc w:val="both"/>
        <w:ind w:left="1620" w:right="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The fair value of each tranche is measured at the grant date using the appropriate pricing m including the Black-Scholes option pricing model for stock options and the Monte Carlo simul methodology for performance share units.</w:t>
      </w:r>
    </w:p>
    <w:p>
      <w:pPr>
        <w:spacing w:after="0" w:line="211" w:lineRule="exact"/>
        <w:rPr>
          <w:rFonts w:ascii="Arial" w:cs="Arial" w:eastAsia="Arial" w:hAnsi="Arial"/>
          <w:sz w:val="20"/>
          <w:szCs w:val="20"/>
          <w:b w:val="1"/>
          <w:bCs w:val="1"/>
          <w:color w:val="153A57"/>
        </w:rPr>
      </w:pPr>
    </w:p>
    <w:p>
      <w:pPr>
        <w:jc w:val="both"/>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Compensation expense is recognized over the vesting period of each tranche based on the numb awards expected to vest, with an increase in contributed surplus. The number of awards expected to is reviewed at least annually, with any adjustments recognized immediately.</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16 / 40</w:t>
      </w:r>
    </w:p>
    <w:p>
      <w:pPr>
        <w:sectPr>
          <w:pgSz w:w="11900" w:h="16838" w:orient="portrait"/>
          <w:cols w:equalWidth="0" w:num="1">
            <w:col w:w="10460"/>
          </w:cols>
          <w:pgMar w:left="1440" w:top="1440" w:right="6" w:bottom="0" w:gutter="0" w:footer="0" w:header="0"/>
          <w:type w:val="continuous"/>
        </w:sectPr>
      </w:pPr>
    </w:p>
    <w:bookmarkStart w:id="400" w:name="page401"/>
    <w:bookmarkEnd w:id="400"/>
    <w:p>
      <w:pPr>
        <w:jc w:val="both"/>
        <w:ind w:left="1620"/>
        <w:spacing w:after="0" w:line="332" w:lineRule="auto"/>
        <w:rPr>
          <w:sz w:val="20"/>
          <w:szCs w:val="20"/>
          <w:color w:val="auto"/>
        </w:rPr>
      </w:pPr>
      <w:r>
        <w:rPr>
          <w:rFonts w:ascii="Arial" w:cs="Arial" w:eastAsia="Arial" w:hAnsi="Arial"/>
          <w:sz w:val="19"/>
          <w:szCs w:val="19"/>
          <w:color w:val="auto"/>
        </w:rPr>
        <w:t>When equity instruments are granted to non-employees, they are recorded at the fair value of the g or services received in the statement of comprehensive income (loss), unless the grant relates t issuance of equity instruments. Amounts related to the issuance of shares are recorded as a reducti share capital. When the fair value of goods or services received in exchange for the share-b payment cannot be reliably estimated, the fair value is determined using an appropriate valuation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226695</wp:posOffset>
            </wp:positionV>
            <wp:extent cx="1676400" cy="1905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4">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17 / 40</w:t>
      </w:r>
    </w:p>
    <w:p>
      <w:pPr>
        <w:sectPr>
          <w:pgSz w:w="11900" w:h="16838" w:orient="portrait"/>
          <w:cols w:equalWidth="0" w:num="1">
            <w:col w:w="10460"/>
          </w:cols>
          <w:pgMar w:left="1440" w:top="1172" w:right="6" w:bottom="0" w:gutter="0" w:footer="0" w:header="0"/>
          <w:type w:val="continuous"/>
        </w:sectPr>
      </w:pPr>
    </w:p>
    <w:bookmarkStart w:id="401" w:name="page402"/>
    <w:bookmarkEnd w:id="4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43" w:lineRule="exact"/>
        <w:rPr>
          <w:sz w:val="20"/>
          <w:szCs w:val="20"/>
          <w:color w:val="auto"/>
        </w:rPr>
      </w:pPr>
    </w:p>
    <w:p>
      <w:pPr>
        <w:ind w:left="1620" w:hanging="726"/>
        <w:spacing w:after="0"/>
        <w:tabs>
          <w:tab w:leader="none" w:pos="1620" w:val="left"/>
        </w:tabs>
        <w:numPr>
          <w:ilvl w:val="0"/>
          <w:numId w:val="143"/>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SUMMARY OF MATERIAL ACCOUNTING POLICIES </w:t>
      </w:r>
      <w:r>
        <w:rPr>
          <w:rFonts w:ascii="Arial" w:cs="Arial" w:eastAsia="Arial" w:hAnsi="Arial"/>
          <w:sz w:val="20"/>
          <w:szCs w:val="20"/>
          <w:i w:val="1"/>
          <w:iCs w:val="1"/>
          <w:color w:val="153A57"/>
        </w:rPr>
        <w:t>(continued)</w:t>
      </w:r>
    </w:p>
    <w:p>
      <w:pPr>
        <w:spacing w:after="0" w:line="293" w:lineRule="exact"/>
        <w:rPr>
          <w:rFonts w:ascii="Arial" w:cs="Arial" w:eastAsia="Arial" w:hAnsi="Arial"/>
          <w:sz w:val="20"/>
          <w:szCs w:val="20"/>
          <w:b w:val="1"/>
          <w:bCs w:val="1"/>
          <w:color w:val="153A57"/>
        </w:rPr>
      </w:pPr>
    </w:p>
    <w:p>
      <w:pPr>
        <w:ind w:left="1620" w:right="3220"/>
        <w:spacing w:after="0" w:line="551" w:lineRule="auto"/>
        <w:rPr>
          <w:rFonts w:ascii="Arial" w:cs="Arial" w:eastAsia="Arial" w:hAnsi="Arial"/>
          <w:sz w:val="20"/>
          <w:szCs w:val="20"/>
          <w:b w:val="1"/>
          <w:bCs w:val="1"/>
          <w:color w:val="153A57"/>
        </w:rPr>
      </w:pPr>
      <w:r>
        <w:rPr>
          <w:rFonts w:ascii="Arial" w:cs="Arial" w:eastAsia="Arial" w:hAnsi="Arial"/>
          <w:sz w:val="19"/>
          <w:szCs w:val="19"/>
          <w:b w:val="1"/>
          <w:bCs w:val="1"/>
          <w:color w:val="auto"/>
        </w:rPr>
        <w:t xml:space="preserve">Estimation Uncertainty and Accounting policy judgments </w:t>
      </w:r>
      <w:r>
        <w:rPr>
          <w:rFonts w:ascii="Arial" w:cs="Arial" w:eastAsia="Arial" w:hAnsi="Arial"/>
          <w:sz w:val="19"/>
          <w:szCs w:val="19"/>
          <w:b w:val="1"/>
          <w:bCs w:val="1"/>
          <w:i w:val="1"/>
          <w:iCs w:val="1"/>
          <w:color w:val="auto"/>
        </w:rPr>
        <w:t>Impairment of investments in associates and joint ventures</w:t>
      </w:r>
    </w:p>
    <w:p>
      <w:pPr>
        <w:jc w:val="both"/>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The application of the Company’s accounting policy for impairment assessment of its investmen associates and joint ventures requires significant judgment to determine whether objective eviden impairment exists. The investment in Cauchari-Olaroz includes the Company’s equity-accou investments in associates, Minera Exar and Exar Capital, which are equity investees holding intere the underlying Cauchari-Olaroz project. The Company’s interest in Sal de la Puna is considered a venture and is accounted for using the equity method.</w:t>
      </w:r>
    </w:p>
    <w:p>
      <w:pPr>
        <w:spacing w:after="0" w:line="211" w:lineRule="exact"/>
        <w:rPr>
          <w:rFonts w:ascii="Arial" w:cs="Arial" w:eastAsia="Arial" w:hAnsi="Arial"/>
          <w:sz w:val="20"/>
          <w:szCs w:val="20"/>
          <w:b w:val="1"/>
          <w:bCs w:val="1"/>
          <w:color w:val="153A57"/>
        </w:rPr>
      </w:pPr>
    </w:p>
    <w:p>
      <w:pPr>
        <w:jc w:val="both"/>
        <w:ind w:left="1620"/>
        <w:spacing w:after="0" w:line="314" w:lineRule="auto"/>
        <w:rPr>
          <w:rFonts w:ascii="Arial" w:cs="Arial" w:eastAsia="Arial" w:hAnsi="Arial"/>
          <w:sz w:val="20"/>
          <w:szCs w:val="20"/>
          <w:b w:val="1"/>
          <w:bCs w:val="1"/>
          <w:color w:val="153A57"/>
        </w:rPr>
      </w:pPr>
      <w:r>
        <w:rPr>
          <w:rFonts w:ascii="Arial" w:cs="Arial" w:eastAsia="Arial" w:hAnsi="Arial"/>
          <w:sz w:val="20"/>
          <w:szCs w:val="20"/>
          <w:color w:val="auto"/>
        </w:rPr>
        <w:t>Management’s assessment of whether objective evidence of impairment exists considers whether events have impacted estimated future cash flows (loss events) or if there is any information rega significant changes with an adverse effect on the investments in associates and joint ventures. T considerations include (i) significant financial difficulties of the associates and joint ventures; (ii) a br of contract, such as default or delinquency in payments by the associates and joint ventures; (iii) cha in the development plan or strategy for the underlying Cauchari-Olaroz or Sal de la Puna; or (iv) cha in significant assumptions that drive the valuation of the underlying Cauchari-Olaroz or Sal de la P including forecasted commodity prices, reserve and resource estimates, and capital expend requirements.</w:t>
      </w:r>
    </w:p>
    <w:p>
      <w:pPr>
        <w:spacing w:after="0" w:line="208" w:lineRule="exact"/>
        <w:rPr>
          <w:rFonts w:ascii="Arial" w:cs="Arial" w:eastAsia="Arial" w:hAnsi="Arial"/>
          <w:sz w:val="20"/>
          <w:szCs w:val="20"/>
          <w:b w:val="1"/>
          <w:bCs w:val="1"/>
          <w:color w:val="153A57"/>
        </w:rPr>
      </w:pPr>
    </w:p>
    <w:p>
      <w:pPr>
        <w:ind w:left="1620" w:right="20"/>
        <w:spacing w:after="0" w:line="307" w:lineRule="auto"/>
        <w:rPr>
          <w:rFonts w:ascii="Arial" w:cs="Arial" w:eastAsia="Arial" w:hAnsi="Arial"/>
          <w:sz w:val="20"/>
          <w:szCs w:val="20"/>
          <w:b w:val="1"/>
          <w:bCs w:val="1"/>
          <w:color w:val="153A57"/>
        </w:rPr>
      </w:pPr>
      <w:r>
        <w:rPr>
          <w:rFonts w:ascii="Arial" w:cs="Arial" w:eastAsia="Arial" w:hAnsi="Arial"/>
          <w:sz w:val="20"/>
          <w:szCs w:val="20"/>
          <w:color w:val="auto"/>
        </w:rPr>
        <w:t>Management has performed an assessment and concluded that no objective evidence of impair exists as of December 31, 2025.</w:t>
      </w:r>
    </w:p>
    <w:p>
      <w:pPr>
        <w:spacing w:after="0" w:line="208"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Impairment of Exploration and Evaluation Assets</w:t>
      </w:r>
    </w:p>
    <w:p>
      <w:pPr>
        <w:spacing w:after="0" w:line="278" w:lineRule="exact"/>
        <w:rPr>
          <w:rFonts w:ascii="Arial" w:cs="Arial" w:eastAsia="Arial" w:hAnsi="Arial"/>
          <w:sz w:val="20"/>
          <w:szCs w:val="20"/>
          <w:b w:val="1"/>
          <w:bCs w:val="1"/>
          <w:color w:val="153A57"/>
        </w:rPr>
      </w:pPr>
    </w:p>
    <w:p>
      <w:pPr>
        <w:jc w:val="both"/>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The application of the Company’s accounting policy for impairment of exploration and evaluation a requires judgment to determine whether indicators of impairment exist, including information such a period for which the Company has the right to explore including expected renewals, whether substa expenditures on further exploration and evaluation of resource properties are budgeted and evaluati the results of exploration and evaluation activities up to the reporting date. Management has perfo an impairment indicator assessment on the Company’s exploration and evaluation assets and concluded that no impairment indicators exist as of December 31, 2025.</w:t>
      </w:r>
    </w:p>
    <w:p>
      <w:pPr>
        <w:spacing w:after="0" w:line="206"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Accounting for Joint Arrangements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18 / 40</w:t>
      </w:r>
    </w:p>
    <w:p>
      <w:pPr>
        <w:sectPr>
          <w:pgSz w:w="11900" w:h="16838" w:orient="portrait"/>
          <w:cols w:equalWidth="0" w:num="1">
            <w:col w:w="10460"/>
          </w:cols>
          <w:pgMar w:left="1440" w:top="1440" w:right="6" w:bottom="0" w:gutter="0" w:footer="0" w:header="0"/>
          <w:type w:val="continuous"/>
        </w:sectPr>
      </w:pPr>
    </w:p>
    <w:bookmarkStart w:id="402" w:name="page403"/>
    <w:bookmarkEnd w:id="402"/>
    <w:p>
      <w:pPr>
        <w:jc w:val="both"/>
        <w:ind w:left="1620"/>
        <w:spacing w:after="0" w:line="333" w:lineRule="auto"/>
        <w:rPr>
          <w:sz w:val="20"/>
          <w:szCs w:val="20"/>
          <w:color w:val="auto"/>
        </w:rPr>
      </w:pPr>
      <w:r>
        <w:rPr>
          <w:rFonts w:ascii="Arial" w:cs="Arial" w:eastAsia="Arial" w:hAnsi="Arial"/>
          <w:sz w:val="19"/>
          <w:szCs w:val="19"/>
          <w:color w:val="auto"/>
        </w:rPr>
        <w:t>A joint arrangement is defined as an arrangement over which two or more parties have joint control, is the contractually agreed sharing of control. Joint control exists only when decisions about the rel activities (those that significantly affect the returns of the arrangement) require unanimous consent o parties sharing control. There are two types of joint arrangements: joint operations and joint ventures</w:t>
      </w:r>
    </w:p>
    <w:p>
      <w:pPr>
        <w:spacing w:after="0" w:line="195" w:lineRule="exact"/>
        <w:rPr>
          <w:sz w:val="20"/>
          <w:szCs w:val="20"/>
          <w:color w:val="auto"/>
        </w:rPr>
      </w:pPr>
    </w:p>
    <w:p>
      <w:pPr>
        <w:jc w:val="both"/>
        <w:ind w:left="1620"/>
        <w:spacing w:after="0" w:line="313" w:lineRule="auto"/>
        <w:rPr>
          <w:sz w:val="20"/>
          <w:szCs w:val="20"/>
          <w:color w:val="auto"/>
        </w:rPr>
      </w:pPr>
      <w:r>
        <w:rPr>
          <w:rFonts w:ascii="Arial" w:cs="Arial" w:eastAsia="Arial" w:hAnsi="Arial"/>
          <w:sz w:val="20"/>
          <w:szCs w:val="20"/>
          <w:color w:val="auto"/>
        </w:rPr>
        <w:t>A joint operation is a joint arrangement where the parties with joint control have rights to the assets are responsible for funding the liabilities related to the arrangement. The Company recognizes its sh the assets, liabilities, revenues, and expenses of a joint operation. A joint venture is a joint arrange where the parties with joint control have rights to the net assets of the arrangement. Investments in ventures are accounted for using the equity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234315</wp:posOffset>
            </wp:positionV>
            <wp:extent cx="1676400" cy="1905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6">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19 / 40</w:t>
      </w:r>
    </w:p>
    <w:p>
      <w:pPr>
        <w:sectPr>
          <w:pgSz w:w="11900" w:h="16838" w:orient="portrait"/>
          <w:cols w:equalWidth="0" w:num="1">
            <w:col w:w="10460"/>
          </w:cols>
          <w:pgMar w:left="1440" w:top="1172" w:right="6" w:bottom="0" w:gutter="0" w:footer="0" w:header="0"/>
          <w:type w:val="continuous"/>
        </w:sectPr>
      </w:pPr>
    </w:p>
    <w:bookmarkStart w:id="403" w:name="page404"/>
    <w:bookmarkEnd w:id="4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00" w:lineRule="exact"/>
        <w:rPr>
          <w:sz w:val="20"/>
          <w:szCs w:val="20"/>
          <w:color w:val="auto"/>
        </w:rPr>
      </w:pPr>
    </w:p>
    <w:p>
      <w:pPr>
        <w:ind w:left="1620" w:hanging="726"/>
        <w:spacing w:after="0"/>
        <w:tabs>
          <w:tab w:leader="none" w:pos="1620" w:val="left"/>
        </w:tabs>
        <w:numPr>
          <w:ilvl w:val="0"/>
          <w:numId w:val="144"/>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SUMMARY OF MATERIAL ACCOUNTING POLICIES </w:t>
      </w:r>
      <w:r>
        <w:rPr>
          <w:rFonts w:ascii="Arial" w:cs="Arial" w:eastAsia="Arial" w:hAnsi="Arial"/>
          <w:sz w:val="20"/>
          <w:szCs w:val="20"/>
          <w:i w:val="1"/>
          <w:iCs w:val="1"/>
          <w:color w:val="153A57"/>
        </w:rPr>
        <w:t>(continued)</w:t>
      </w:r>
    </w:p>
    <w:p>
      <w:pPr>
        <w:spacing w:after="0" w:line="277" w:lineRule="exact"/>
        <w:rPr>
          <w:rFonts w:ascii="Arial" w:cs="Arial" w:eastAsia="Arial" w:hAnsi="Arial"/>
          <w:sz w:val="20"/>
          <w:szCs w:val="20"/>
          <w:b w:val="1"/>
          <w:bCs w:val="1"/>
          <w:color w:val="153A57"/>
        </w:rPr>
      </w:pPr>
    </w:p>
    <w:p>
      <w:pPr>
        <w:ind w:left="1620" w:right="20"/>
        <w:spacing w:after="0" w:line="307" w:lineRule="auto"/>
        <w:rPr>
          <w:rFonts w:ascii="Arial" w:cs="Arial" w:eastAsia="Arial" w:hAnsi="Arial"/>
          <w:sz w:val="20"/>
          <w:szCs w:val="20"/>
          <w:b w:val="1"/>
          <w:bCs w:val="1"/>
          <w:color w:val="153A57"/>
        </w:rPr>
      </w:pPr>
      <w:r>
        <w:rPr>
          <w:rFonts w:ascii="Arial" w:cs="Arial" w:eastAsia="Arial" w:hAnsi="Arial"/>
          <w:sz w:val="20"/>
          <w:szCs w:val="20"/>
          <w:color w:val="auto"/>
        </w:rPr>
        <w:t>The Company’s 65% ownership interest in Sal de la Puna is considered to be a joint venture accounted for using the equity method (Note 6).</w:t>
      </w:r>
    </w:p>
    <w:p>
      <w:pPr>
        <w:spacing w:after="0" w:line="208"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Fair value of derivatives</w:t>
      </w:r>
    </w:p>
    <w:p>
      <w:pPr>
        <w:spacing w:after="0" w:line="278" w:lineRule="exact"/>
        <w:rPr>
          <w:rFonts w:ascii="Arial" w:cs="Arial" w:eastAsia="Arial" w:hAnsi="Arial"/>
          <w:sz w:val="20"/>
          <w:szCs w:val="20"/>
          <w:b w:val="1"/>
          <w:bCs w:val="1"/>
          <w:color w:val="153A57"/>
        </w:rPr>
      </w:pPr>
    </w:p>
    <w:p>
      <w:pPr>
        <w:jc w:val="both"/>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The fair values of financial instruments that are not traded in an active market are determined u valuation techniques. The valuation of the convertible notes embedded derivative liability req management to make significant estimates. Management exercises judgment in selecting the appro valuation method and in making estimates of specific model inputs based on conditions existing a reporting date.</w:t>
      </w:r>
    </w:p>
    <w:p>
      <w:pPr>
        <w:spacing w:after="0" w:line="209" w:lineRule="exact"/>
        <w:rPr>
          <w:rFonts w:ascii="Arial" w:cs="Arial" w:eastAsia="Arial" w:hAnsi="Arial"/>
          <w:sz w:val="20"/>
          <w:szCs w:val="20"/>
          <w:b w:val="1"/>
          <w:bCs w:val="1"/>
          <w:color w:val="153A57"/>
        </w:rPr>
      </w:pPr>
    </w:p>
    <w:p>
      <w:pPr>
        <w:jc w:val="both"/>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The valuation of the convertible note embedded derivatives was performed using a partial differe equation method with Monte Carlo simulation, which required significant assumptions, including exp volatility of traded instruments, credit spreads, and estimates related to other inputs.</w:t>
      </w:r>
    </w:p>
    <w:p>
      <w:pPr>
        <w:spacing w:after="0" w:line="211" w:lineRule="exact"/>
        <w:rPr>
          <w:rFonts w:ascii="Arial" w:cs="Arial" w:eastAsia="Arial" w:hAnsi="Arial"/>
          <w:sz w:val="20"/>
          <w:szCs w:val="20"/>
          <w:b w:val="1"/>
          <w:bCs w:val="1"/>
          <w:color w:val="153A57"/>
        </w:rPr>
      </w:pPr>
    </w:p>
    <w:p>
      <w:pPr>
        <w:ind w:left="1620"/>
        <w:spacing w:after="0" w:line="307" w:lineRule="auto"/>
        <w:rPr>
          <w:rFonts w:ascii="Arial" w:cs="Arial" w:eastAsia="Arial" w:hAnsi="Arial"/>
          <w:sz w:val="20"/>
          <w:szCs w:val="20"/>
          <w:b w:val="1"/>
          <w:bCs w:val="1"/>
          <w:color w:val="153A57"/>
        </w:rPr>
      </w:pPr>
      <w:r>
        <w:rPr>
          <w:rFonts w:ascii="Arial" w:cs="Arial" w:eastAsia="Arial" w:hAnsi="Arial"/>
          <w:sz w:val="20"/>
          <w:szCs w:val="20"/>
          <w:color w:val="auto"/>
        </w:rPr>
        <w:t>Refer to Note 13 for further details on the methods and assumptions used in the measurement o convertible note embedded derivatives.</w:t>
      </w:r>
    </w:p>
    <w:p>
      <w:pPr>
        <w:spacing w:after="0" w:line="208"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Determination of Commercial Production for the Cauchari Olaroz project</w:t>
      </w:r>
    </w:p>
    <w:p>
      <w:pPr>
        <w:spacing w:after="0" w:line="278" w:lineRule="exact"/>
        <w:rPr>
          <w:rFonts w:ascii="Arial" w:cs="Arial" w:eastAsia="Arial" w:hAnsi="Arial"/>
          <w:sz w:val="20"/>
          <w:szCs w:val="20"/>
          <w:b w:val="1"/>
          <w:bCs w:val="1"/>
          <w:color w:val="153A57"/>
        </w:rPr>
      </w:pPr>
    </w:p>
    <w:p>
      <w:pPr>
        <w:jc w:val="both"/>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Judgment is a requirement in determining whether a project’s assets are available for use (referred “commercial production”). In making this determination, management considers specific facts circumstances, including, but not limited to, whether the product produced by the plant is saleable completion of a reasonable commissioning period, and the achievement of consistent operating resu a predetermined level of design capacity for a reasonable period of time.</w:t>
      </w:r>
    </w:p>
    <w:p>
      <w:pPr>
        <w:spacing w:after="0" w:line="209" w:lineRule="exact"/>
        <w:rPr>
          <w:rFonts w:ascii="Arial" w:cs="Arial" w:eastAsia="Arial" w:hAnsi="Arial"/>
          <w:sz w:val="20"/>
          <w:szCs w:val="20"/>
          <w:b w:val="1"/>
          <w:bCs w:val="1"/>
          <w:color w:val="153A57"/>
        </w:rPr>
      </w:pPr>
    </w:p>
    <w:p>
      <w:pPr>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Minera Exar determined that commercial production was achieved at the Cauchari-Olaroz project October 1, 2024. As a result, the project’s assets were considered ready for their intended use, depreciation of these assets commenced on October 1, 2024.</w:t>
      </w:r>
    </w:p>
    <w:p>
      <w:pPr>
        <w:spacing w:after="0" w:line="204"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New IFRS Pronouncements</w:t>
      </w:r>
    </w:p>
    <w:p>
      <w:pPr>
        <w:spacing w:after="0" w:line="271"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IFRS 18 Presentation and Disclosure in Financial Statements</w:t>
      </w:r>
    </w:p>
    <w:p>
      <w:pPr>
        <w:spacing w:after="0" w:line="278" w:lineRule="exact"/>
        <w:rPr>
          <w:rFonts w:ascii="Arial" w:cs="Arial" w:eastAsia="Arial" w:hAnsi="Arial"/>
          <w:sz w:val="20"/>
          <w:szCs w:val="20"/>
          <w:b w:val="1"/>
          <w:bCs w:val="1"/>
          <w:color w:val="153A57"/>
        </w:rPr>
      </w:pPr>
    </w:p>
    <w:p>
      <w:pPr>
        <w:jc w:val="both"/>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 xml:space="preserve">In April 2024, the IASB issued IFRS 18, </w:t>
      </w:r>
      <w:r>
        <w:rPr>
          <w:rFonts w:ascii="Arial" w:cs="Arial" w:eastAsia="Arial" w:hAnsi="Arial"/>
          <w:sz w:val="20"/>
          <w:szCs w:val="20"/>
          <w:i w:val="1"/>
          <w:iCs w:val="1"/>
          <w:color w:val="auto"/>
        </w:rPr>
        <w:t>Presentation and Disclosure in Financial Statements</w:t>
      </w:r>
      <w:r>
        <w:rPr>
          <w:rFonts w:ascii="Arial" w:cs="Arial" w:eastAsia="Arial" w:hAnsi="Arial"/>
          <w:sz w:val="20"/>
          <w:szCs w:val="20"/>
          <w:color w:val="auto"/>
        </w:rPr>
        <w:t xml:space="preserve"> whic replace IAS 1, </w:t>
      </w:r>
      <w:r>
        <w:rPr>
          <w:rFonts w:ascii="Arial" w:cs="Arial" w:eastAsia="Arial" w:hAnsi="Arial"/>
          <w:sz w:val="20"/>
          <w:szCs w:val="20"/>
          <w:i w:val="1"/>
          <w:iCs w:val="1"/>
          <w:color w:val="auto"/>
        </w:rPr>
        <w:t>Presentation of Financial Statements</w:t>
      </w:r>
      <w:r>
        <w:rPr>
          <w:rFonts w:ascii="Arial" w:cs="Arial" w:eastAsia="Arial" w:hAnsi="Arial"/>
          <w:sz w:val="20"/>
          <w:szCs w:val="20"/>
          <w:color w:val="auto"/>
        </w:rPr>
        <w:t>. IFRS 18 introduces new requirements presentation within the statement of profit or loss, including specified totals and subtotals.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20 / 40</w:t>
      </w:r>
    </w:p>
    <w:p>
      <w:pPr>
        <w:sectPr>
          <w:pgSz w:w="11900" w:h="16838" w:orient="portrait"/>
          <w:cols w:equalWidth="0" w:num="1">
            <w:col w:w="10460"/>
          </w:cols>
          <w:pgMar w:left="1440" w:top="1440" w:right="6" w:bottom="0" w:gutter="0" w:footer="0" w:header="0"/>
          <w:type w:val="continuous"/>
        </w:sectPr>
      </w:pPr>
    </w:p>
    <w:bookmarkStart w:id="404" w:name="page405"/>
    <w:bookmarkEnd w:id="404"/>
    <w:p>
      <w:pPr>
        <w:ind w:left="1620" w:right="20"/>
        <w:spacing w:after="0" w:line="311" w:lineRule="auto"/>
        <w:rPr>
          <w:sz w:val="20"/>
          <w:szCs w:val="20"/>
          <w:color w:val="auto"/>
        </w:rPr>
      </w:pPr>
      <w:r>
        <w:rPr>
          <w:rFonts w:ascii="Arial" w:cs="Arial" w:eastAsia="Arial" w:hAnsi="Arial"/>
          <w:sz w:val="20"/>
          <w:szCs w:val="20"/>
          <w:color w:val="auto"/>
        </w:rPr>
        <w:t>It also requires disclosure of management-defined performance measures and includes requirements for aggregation and disaggregation of financial information based on the identified ‘rol the primary financial statements and the notes.</w:t>
      </w:r>
    </w:p>
    <w:p>
      <w:pPr>
        <w:spacing w:after="0" w:line="212" w:lineRule="exact"/>
        <w:rPr>
          <w:sz w:val="20"/>
          <w:szCs w:val="20"/>
          <w:color w:val="auto"/>
        </w:rPr>
      </w:pPr>
    </w:p>
    <w:p>
      <w:pPr>
        <w:jc w:val="both"/>
        <w:ind w:left="1620"/>
        <w:spacing w:after="0" w:line="311" w:lineRule="auto"/>
        <w:rPr>
          <w:sz w:val="20"/>
          <w:szCs w:val="20"/>
          <w:color w:val="auto"/>
        </w:rPr>
      </w:pPr>
      <w:r>
        <w:rPr>
          <w:rFonts w:ascii="Arial" w:cs="Arial" w:eastAsia="Arial" w:hAnsi="Arial"/>
          <w:sz w:val="20"/>
          <w:szCs w:val="20"/>
          <w:color w:val="auto"/>
        </w:rPr>
        <w:t>In addition, there are consequential amendments to other accounting standards; some requirem previously included in IAS 1 have been moved to IAS 8 and limited amendments have been made t 7 and IAS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235585</wp:posOffset>
            </wp:positionV>
            <wp:extent cx="1676400" cy="1905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8">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21 / 40</w:t>
      </w:r>
    </w:p>
    <w:p>
      <w:pPr>
        <w:sectPr>
          <w:pgSz w:w="11900" w:h="16838" w:orient="portrait"/>
          <w:cols w:equalWidth="0" w:num="1">
            <w:col w:w="10460"/>
          </w:cols>
          <w:pgMar w:left="1440" w:top="1172" w:right="6" w:bottom="0" w:gutter="0" w:footer="0" w:header="0"/>
          <w:type w:val="continuous"/>
        </w:sectPr>
      </w:pPr>
    </w:p>
    <w:bookmarkStart w:id="405" w:name="page406"/>
    <w:bookmarkEnd w:id="4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00" w:lineRule="exact"/>
        <w:rPr>
          <w:sz w:val="20"/>
          <w:szCs w:val="20"/>
          <w:color w:val="auto"/>
        </w:rPr>
      </w:pPr>
    </w:p>
    <w:p>
      <w:pPr>
        <w:ind w:left="1620" w:hanging="726"/>
        <w:spacing w:after="0"/>
        <w:tabs>
          <w:tab w:leader="none" w:pos="1620" w:val="left"/>
        </w:tabs>
        <w:numPr>
          <w:ilvl w:val="0"/>
          <w:numId w:val="145"/>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SUMMARY OF MATERIAL ACCOUNTING POLICIES </w:t>
      </w:r>
      <w:r>
        <w:rPr>
          <w:rFonts w:ascii="Arial" w:cs="Arial" w:eastAsia="Arial" w:hAnsi="Arial"/>
          <w:sz w:val="20"/>
          <w:szCs w:val="20"/>
          <w:i w:val="1"/>
          <w:iCs w:val="1"/>
          <w:color w:val="153A57"/>
        </w:rPr>
        <w:t>(continued)</w:t>
      </w:r>
    </w:p>
    <w:p>
      <w:pPr>
        <w:spacing w:after="0" w:line="277" w:lineRule="exact"/>
        <w:rPr>
          <w:rFonts w:ascii="Arial" w:cs="Arial" w:eastAsia="Arial" w:hAnsi="Arial"/>
          <w:sz w:val="20"/>
          <w:szCs w:val="20"/>
          <w:b w:val="1"/>
          <w:bCs w:val="1"/>
          <w:color w:val="153A57"/>
        </w:rPr>
      </w:pPr>
    </w:p>
    <w:p>
      <w:pPr>
        <w:jc w:val="both"/>
        <w:ind w:left="1620"/>
        <w:spacing w:after="0" w:line="312" w:lineRule="auto"/>
        <w:rPr>
          <w:rFonts w:ascii="Arial" w:cs="Arial" w:eastAsia="Arial" w:hAnsi="Arial"/>
          <w:sz w:val="20"/>
          <w:szCs w:val="20"/>
          <w:b w:val="1"/>
          <w:bCs w:val="1"/>
          <w:color w:val="153A57"/>
        </w:rPr>
      </w:pPr>
      <w:r>
        <w:rPr>
          <w:rFonts w:ascii="Arial" w:cs="Arial" w:eastAsia="Arial" w:hAnsi="Arial"/>
          <w:sz w:val="20"/>
          <w:szCs w:val="20"/>
          <w:color w:val="auto"/>
        </w:rPr>
        <w:t>IFRS 18 is effective for the reporting period beginning on or after January 1, 2027, with early applic permitted. Retrospective application is required in both annual and interim financial statements. Company is currently assessing the impact of this standard on its financial statements and has no applied it.</w:t>
      </w:r>
    </w:p>
    <w:p>
      <w:pPr>
        <w:spacing w:after="0" w:line="211" w:lineRule="exact"/>
        <w:rPr>
          <w:rFonts w:ascii="Arial" w:cs="Arial" w:eastAsia="Arial" w:hAnsi="Arial"/>
          <w:sz w:val="20"/>
          <w:szCs w:val="20"/>
          <w:b w:val="1"/>
          <w:bCs w:val="1"/>
          <w:color w:val="153A57"/>
        </w:rPr>
      </w:pPr>
    </w:p>
    <w:p>
      <w:pPr>
        <w:ind w:left="1620" w:right="60"/>
        <w:spacing w:after="0" w:line="307" w:lineRule="auto"/>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Amendments to IFRS 9 and IFRS 7 – Amendments to the Classification and Measureme Financials Instruments</w:t>
      </w:r>
    </w:p>
    <w:p>
      <w:pPr>
        <w:spacing w:after="0" w:line="215" w:lineRule="exact"/>
        <w:rPr>
          <w:rFonts w:ascii="Arial" w:cs="Arial" w:eastAsia="Arial" w:hAnsi="Arial"/>
          <w:sz w:val="20"/>
          <w:szCs w:val="20"/>
          <w:b w:val="1"/>
          <w:bCs w:val="1"/>
          <w:color w:val="153A57"/>
        </w:rPr>
      </w:pPr>
    </w:p>
    <w:p>
      <w:pPr>
        <w:jc w:val="both"/>
        <w:ind w:left="1620"/>
        <w:spacing w:after="0" w:line="314" w:lineRule="auto"/>
        <w:rPr>
          <w:rFonts w:ascii="Arial" w:cs="Arial" w:eastAsia="Arial" w:hAnsi="Arial"/>
          <w:sz w:val="20"/>
          <w:szCs w:val="20"/>
          <w:b w:val="1"/>
          <w:bCs w:val="1"/>
          <w:color w:val="153A57"/>
        </w:rPr>
      </w:pPr>
      <w:r>
        <w:rPr>
          <w:rFonts w:ascii="Arial" w:cs="Arial" w:eastAsia="Arial" w:hAnsi="Arial"/>
          <w:sz w:val="20"/>
          <w:szCs w:val="20"/>
          <w:color w:val="auto"/>
        </w:rPr>
        <w:t xml:space="preserve">In May 2024, the IASB issued amendments to IFRS 9 and IFRS 7, </w:t>
      </w:r>
      <w:r>
        <w:rPr>
          <w:rFonts w:ascii="Arial" w:cs="Arial" w:eastAsia="Arial" w:hAnsi="Arial"/>
          <w:sz w:val="20"/>
          <w:szCs w:val="20"/>
          <w:i w:val="1"/>
          <w:iCs w:val="1"/>
          <w:color w:val="auto"/>
        </w:rPr>
        <w:t>Amendments to the Classificatio</w:t>
      </w:r>
      <w:r>
        <w:rPr>
          <w:rFonts w:ascii="Arial" w:cs="Arial" w:eastAsia="Arial" w:hAnsi="Arial"/>
          <w:sz w:val="20"/>
          <w:szCs w:val="20"/>
          <w:color w:val="auto"/>
        </w:rPr>
        <w:t xml:space="preserve"> </w:t>
      </w:r>
      <w:r>
        <w:rPr>
          <w:rFonts w:ascii="Arial" w:cs="Arial" w:eastAsia="Arial" w:hAnsi="Arial"/>
          <w:sz w:val="20"/>
          <w:szCs w:val="20"/>
          <w:i w:val="1"/>
          <w:iCs w:val="1"/>
          <w:color w:val="auto"/>
        </w:rPr>
        <w:t>Measurement of Financials Instruments</w:t>
      </w:r>
      <w:r>
        <w:rPr>
          <w:rFonts w:ascii="Arial" w:cs="Arial" w:eastAsia="Arial" w:hAnsi="Arial"/>
          <w:sz w:val="20"/>
          <w:szCs w:val="20"/>
          <w:color w:val="auto"/>
        </w:rPr>
        <w:t>. These amendments updated classification and measure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requirements in IFRS 9 </w:t>
      </w:r>
      <w:r>
        <w:rPr>
          <w:rFonts w:ascii="Arial" w:cs="Arial" w:eastAsia="Arial" w:hAnsi="Arial"/>
          <w:sz w:val="20"/>
          <w:szCs w:val="20"/>
          <w:i w:val="1"/>
          <w:iCs w:val="1"/>
          <w:color w:val="auto"/>
        </w:rPr>
        <w:t>Financial Instruments</w:t>
      </w:r>
      <w:r>
        <w:rPr>
          <w:rFonts w:ascii="Arial" w:cs="Arial" w:eastAsia="Arial" w:hAnsi="Arial"/>
          <w:sz w:val="20"/>
          <w:szCs w:val="20"/>
          <w:color w:val="auto"/>
        </w:rPr>
        <w:t xml:space="preserve"> and related disclosure requirements in IFRS 7 </w:t>
      </w:r>
      <w:r>
        <w:rPr>
          <w:rFonts w:ascii="Arial" w:cs="Arial" w:eastAsia="Arial" w:hAnsi="Arial"/>
          <w:sz w:val="20"/>
          <w:szCs w:val="20"/>
          <w:i w:val="1"/>
          <w:iCs w:val="1"/>
          <w:color w:val="auto"/>
        </w:rPr>
        <w:t>Fina</w:t>
      </w:r>
      <w:r>
        <w:rPr>
          <w:rFonts w:ascii="Arial" w:cs="Arial" w:eastAsia="Arial" w:hAnsi="Arial"/>
          <w:sz w:val="20"/>
          <w:szCs w:val="20"/>
          <w:color w:val="auto"/>
        </w:rPr>
        <w:t xml:space="preserve"> </w:t>
      </w:r>
      <w:r>
        <w:rPr>
          <w:rFonts w:ascii="Arial" w:cs="Arial" w:eastAsia="Arial" w:hAnsi="Arial"/>
          <w:sz w:val="20"/>
          <w:szCs w:val="20"/>
          <w:i w:val="1"/>
          <w:iCs w:val="1"/>
          <w:color w:val="auto"/>
        </w:rPr>
        <w:t>Instruments: Disclosures</w:t>
      </w:r>
      <w:r>
        <w:rPr>
          <w:rFonts w:ascii="Arial" w:cs="Arial" w:eastAsia="Arial" w:hAnsi="Arial"/>
          <w:sz w:val="20"/>
          <w:szCs w:val="20"/>
          <w:color w:val="auto"/>
        </w:rPr>
        <w:t>. The IASB clarified the recognition and derecognition date of certain fina</w:t>
      </w:r>
      <w:r>
        <w:rPr>
          <w:rFonts w:ascii="Arial" w:cs="Arial" w:eastAsia="Arial" w:hAnsi="Arial"/>
          <w:sz w:val="20"/>
          <w:szCs w:val="20"/>
          <w:i w:val="1"/>
          <w:iCs w:val="1"/>
          <w:color w:val="auto"/>
        </w:rPr>
        <w:t xml:space="preserve"> </w:t>
      </w:r>
      <w:r>
        <w:rPr>
          <w:rFonts w:ascii="Arial" w:cs="Arial" w:eastAsia="Arial" w:hAnsi="Arial"/>
          <w:sz w:val="20"/>
          <w:szCs w:val="20"/>
          <w:color w:val="auto"/>
        </w:rPr>
        <w:t>assets and liabilities, and amended the requirements related to settling financial liabilities usin electronic payment system. It also clarified how to assess the contractual cash flow characteristi financial assets in determining whether they meet the solely payments of principal and interest crite including financial assets that have environmental, social and corporate governance (ESG)-li features and other similar contingent features.</w:t>
      </w:r>
    </w:p>
    <w:p>
      <w:pPr>
        <w:spacing w:after="0" w:line="208" w:lineRule="exact"/>
        <w:rPr>
          <w:rFonts w:ascii="Arial" w:cs="Arial" w:eastAsia="Arial" w:hAnsi="Arial"/>
          <w:sz w:val="20"/>
          <w:szCs w:val="20"/>
          <w:b w:val="1"/>
          <w:bCs w:val="1"/>
          <w:color w:val="153A57"/>
        </w:rPr>
      </w:pPr>
    </w:p>
    <w:p>
      <w:pPr>
        <w:jc w:val="both"/>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These amendments require additional disclosures for financial instruments with contingent features do not relate directly to basic lending risks and costs and amended disclosures relating to e instruments designated at fair value through other comprehensive income.</w:t>
      </w:r>
    </w:p>
    <w:p>
      <w:pPr>
        <w:spacing w:after="0" w:line="211" w:lineRule="exact"/>
        <w:rPr>
          <w:rFonts w:ascii="Arial" w:cs="Arial" w:eastAsia="Arial" w:hAnsi="Arial"/>
          <w:sz w:val="20"/>
          <w:szCs w:val="20"/>
          <w:b w:val="1"/>
          <w:bCs w:val="1"/>
          <w:color w:val="153A57"/>
        </w:rPr>
      </w:pPr>
    </w:p>
    <w:p>
      <w:pPr>
        <w:jc w:val="both"/>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The amendments are effective for annual periods beginning on or after January 1, 2026. Manage has assessed the impact of these amendments and does not expect their adoption to have a ma effect on the Company's consolidated financial statements.</w:t>
      </w:r>
    </w:p>
    <w:p>
      <w:pPr>
        <w:spacing w:after="0" w:line="248" w:lineRule="exact"/>
        <w:rPr>
          <w:rFonts w:ascii="Arial" w:cs="Arial" w:eastAsia="Arial" w:hAnsi="Arial"/>
          <w:sz w:val="20"/>
          <w:szCs w:val="20"/>
          <w:b w:val="1"/>
          <w:bCs w:val="1"/>
          <w:color w:val="153A57"/>
        </w:rPr>
      </w:pPr>
    </w:p>
    <w:p>
      <w:pPr>
        <w:ind w:left="1620" w:hanging="726"/>
        <w:spacing w:after="0"/>
        <w:tabs>
          <w:tab w:leader="none" w:pos="1620" w:val="left"/>
        </w:tabs>
        <w:numPr>
          <w:ilvl w:val="0"/>
          <w:numId w:val="145"/>
        </w:numPr>
        <w:rPr>
          <w:rFonts w:ascii="Arial" w:cs="Arial" w:eastAsia="Arial" w:hAnsi="Arial"/>
          <w:sz w:val="20"/>
          <w:szCs w:val="20"/>
          <w:b w:val="1"/>
          <w:bCs w:val="1"/>
          <w:color w:val="153A57"/>
        </w:rPr>
      </w:pPr>
      <w:r>
        <w:rPr>
          <w:rFonts w:ascii="Arial" w:cs="Arial" w:eastAsia="Arial" w:hAnsi="Arial"/>
          <w:sz w:val="20"/>
          <w:szCs w:val="20"/>
          <w:b w:val="1"/>
          <w:bCs w:val="1"/>
          <w:color w:val="153A57"/>
        </w:rPr>
        <w:t>DISTRIBUTED OPERATIONS</w:t>
      </w:r>
    </w:p>
    <w:p>
      <w:pPr>
        <w:spacing w:after="0" w:line="293" w:lineRule="exact"/>
        <w:rPr>
          <w:rFonts w:ascii="Arial" w:cs="Arial" w:eastAsia="Arial" w:hAnsi="Arial"/>
          <w:sz w:val="20"/>
          <w:szCs w:val="20"/>
          <w:b w:val="1"/>
          <w:bCs w:val="1"/>
          <w:color w:val="153A57"/>
        </w:rPr>
      </w:pPr>
    </w:p>
    <w:p>
      <w:pPr>
        <w:jc w:val="both"/>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On July 31, 2023, at the annual, general and special meeting of the Company, the Compa shareholders approved the separation of the Company into Lithium Argentina and a new Lit Americas Corp. (“Lithium Americas (NewCo)”), pursuant to a statutory plan of arrangement “Separation”). The Separation was completed on October 3, 2023, pursuant to a final order dated A 4, 2023, from the Supreme Court of British Columbia approving the plan of arrangement. As a res the transaction, on October 3, 2023, the Company transferred its North American business, inclu among other assets, the Thacker Pass Project (“Thacker Pass”) and $275,499 of cash to Lit Americas (NewCo).</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22 / 40</w:t>
      </w:r>
    </w:p>
    <w:p>
      <w:pPr>
        <w:sectPr>
          <w:pgSz w:w="11900" w:h="16838" w:orient="portrait"/>
          <w:cols w:equalWidth="0" w:num="1">
            <w:col w:w="10460"/>
          </w:cols>
          <w:pgMar w:left="1440" w:top="1440" w:right="6" w:bottom="0" w:gutter="0" w:footer="0" w:header="0"/>
          <w:type w:val="continuous"/>
        </w:sectPr>
      </w:pPr>
    </w:p>
    <w:bookmarkStart w:id="406" w:name="page407"/>
    <w:bookmarkEnd w:id="406"/>
    <w:p>
      <w:pPr>
        <w:jc w:val="both"/>
        <w:ind w:left="1620"/>
        <w:spacing w:after="0" w:line="313" w:lineRule="auto"/>
        <w:rPr>
          <w:sz w:val="20"/>
          <w:szCs w:val="20"/>
          <w:color w:val="auto"/>
        </w:rPr>
      </w:pPr>
      <w:r>
        <w:rPr>
          <w:rFonts w:ascii="Arial" w:cs="Arial" w:eastAsia="Arial" w:hAnsi="Arial"/>
          <w:sz w:val="20"/>
          <w:szCs w:val="20"/>
          <w:color w:val="auto"/>
        </w:rPr>
        <w:t>Pursuant to the plan of arrangement, each shareholder received one common share of Lithium Arge and one common share of Lithium Americas (NewCo) in exchange for each common share o Company previously held. As part of the approval of the Separation, the Company’s shareholders approved amendments to the equity incentive plan, allowing holders of restricted share u performance share units and deferred share units to receive, upon Separation, one similar instrume each of Lithium Argentina (subject to adjustment) and Lithium Americas (NewCo). The Company h further interest in Lithium Americas (NewCo) subsequent to the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236855</wp:posOffset>
            </wp:positionV>
            <wp:extent cx="1676400" cy="1905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0">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23 / 40</w:t>
      </w:r>
    </w:p>
    <w:p>
      <w:pPr>
        <w:sectPr>
          <w:pgSz w:w="11900" w:h="16838" w:orient="portrait"/>
          <w:cols w:equalWidth="0" w:num="1">
            <w:col w:w="10460"/>
          </w:cols>
          <w:pgMar w:left="1440" w:top="1172" w:right="6" w:bottom="0" w:gutter="0" w:footer="0" w:header="0"/>
          <w:type w:val="continuous"/>
        </w:sectPr>
      </w:pPr>
    </w:p>
    <w:bookmarkStart w:id="407" w:name="page408"/>
    <w:bookmarkEnd w:id="4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43" w:lineRule="exact"/>
        <w:rPr>
          <w:sz w:val="20"/>
          <w:szCs w:val="20"/>
          <w:color w:val="auto"/>
        </w:rPr>
      </w:pPr>
    </w:p>
    <w:p>
      <w:pPr>
        <w:ind w:left="1620" w:hanging="726"/>
        <w:spacing w:after="0"/>
        <w:tabs>
          <w:tab w:leader="none" w:pos="1620" w:val="left"/>
        </w:tabs>
        <w:numPr>
          <w:ilvl w:val="0"/>
          <w:numId w:val="146"/>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DISTRIBUTED OPERATIONS </w:t>
      </w:r>
      <w:r>
        <w:rPr>
          <w:rFonts w:ascii="Arial" w:cs="Arial" w:eastAsia="Arial" w:hAnsi="Arial"/>
          <w:sz w:val="20"/>
          <w:szCs w:val="20"/>
          <w:i w:val="1"/>
          <w:iCs w:val="1"/>
          <w:color w:val="153A57"/>
        </w:rPr>
        <w:t>(continued)</w:t>
      </w:r>
    </w:p>
    <w:p>
      <w:pPr>
        <w:spacing w:after="0" w:line="293" w:lineRule="exact"/>
        <w:rPr>
          <w:rFonts w:ascii="Arial" w:cs="Arial" w:eastAsia="Arial" w:hAnsi="Arial"/>
          <w:sz w:val="20"/>
          <w:szCs w:val="20"/>
          <w:b w:val="1"/>
          <w:bCs w:val="1"/>
          <w:color w:val="153A57"/>
        </w:rPr>
      </w:pPr>
    </w:p>
    <w:p>
      <w:pPr>
        <w:jc w:val="both"/>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The distributed operations were presented and accounted for using IFRS 5, Non-Current Assets He Sale and Discontinued Operations, and IFRIC 17, Distribution of Assets to Owners. Under this guid a dividend was recognized in deficit, measured at the fair value of the net assets distributed, w corresponding dividend payable. The dividend payable was then settled through the distribution of th assets. The fair value of the net assets distributed was $1,680,501, determined based on the share of Lithium Americas (Newco) on October 4, 2023.</w:t>
      </w:r>
    </w:p>
    <w:p>
      <w:pPr>
        <w:spacing w:after="0" w:line="211" w:lineRule="exact"/>
        <w:rPr>
          <w:rFonts w:ascii="Arial" w:cs="Arial" w:eastAsia="Arial" w:hAnsi="Arial"/>
          <w:sz w:val="20"/>
          <w:szCs w:val="20"/>
          <w:b w:val="1"/>
          <w:bCs w:val="1"/>
          <w:color w:val="153A57"/>
        </w:rPr>
      </w:pPr>
    </w:p>
    <w:p>
      <w:pPr>
        <w:jc w:val="both"/>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The difference of $1,267,552 between the fair value of the dividend and the carrying value of th assets was recognized as a gain on distribution of assets within discontinued operations during the ended December 31, 2023.</w:t>
      </w:r>
    </w:p>
    <w:p>
      <w:pPr>
        <w:spacing w:after="0" w:line="211" w:lineRule="exact"/>
        <w:rPr>
          <w:rFonts w:ascii="Arial" w:cs="Arial" w:eastAsia="Arial" w:hAnsi="Arial"/>
          <w:sz w:val="20"/>
          <w:szCs w:val="20"/>
          <w:b w:val="1"/>
          <w:bCs w:val="1"/>
          <w:color w:val="153A57"/>
        </w:rPr>
      </w:pPr>
    </w:p>
    <w:p>
      <w:pPr>
        <w:ind w:left="1620"/>
        <w:spacing w:after="0" w:line="307" w:lineRule="auto"/>
        <w:rPr>
          <w:rFonts w:ascii="Arial" w:cs="Arial" w:eastAsia="Arial" w:hAnsi="Arial"/>
          <w:sz w:val="20"/>
          <w:szCs w:val="20"/>
          <w:b w:val="1"/>
          <w:bCs w:val="1"/>
          <w:color w:val="153A57"/>
        </w:rPr>
      </w:pPr>
      <w:r>
        <w:rPr>
          <w:rFonts w:ascii="Arial" w:cs="Arial" w:eastAsia="Arial" w:hAnsi="Arial"/>
          <w:sz w:val="20"/>
          <w:szCs w:val="20"/>
          <w:color w:val="auto"/>
        </w:rPr>
        <w:t>As at October 3, 2023, the carrying value of Lithium Americas (NewCo) which was distributed comp the following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4445</wp:posOffset>
            </wp:positionV>
            <wp:extent cx="5621020" cy="21653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2">
                      <a:extLst>
                        <a:ext uri="{28A0092B-C50C-407E-A947-70E740481C1C}"/>
                      </a:extLst>
                    </a:blip>
                    <a:srcRect/>
                    <a:stretch>
                      <a:fillRect/>
                    </a:stretch>
                  </pic:blipFill>
                  <pic:spPr bwMode="auto">
                    <a:xfrm>
                      <a:off x="0" y="0"/>
                      <a:ext cx="5621020" cy="216535"/>
                    </a:xfrm>
                    <a:prstGeom prst="rect">
                      <a:avLst/>
                    </a:prstGeom>
                    <a:noFill/>
                  </pic:spPr>
                </pic:pic>
              </a:graphicData>
            </a:graphic>
          </wp:anchor>
        </w:drawing>
      </w:r>
    </w:p>
    <w:p>
      <w:pPr>
        <w:spacing w:after="0" w:line="371"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9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920" w:type="dxa"/>
            <w:vAlign w:val="bottom"/>
          </w:tcPr>
          <w:p>
            <w:pPr>
              <w:spacing w:after="0"/>
              <w:rPr>
                <w:sz w:val="18"/>
                <w:szCs w:val="18"/>
                <w:color w:val="auto"/>
              </w:rPr>
            </w:pPr>
          </w:p>
        </w:tc>
      </w:tr>
      <w:tr>
        <w:trPr>
          <w:trHeight w:val="306"/>
        </w:trPr>
        <w:tc>
          <w:tcPr>
            <w:tcW w:w="5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92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314"/>
        </w:trPr>
        <w:tc>
          <w:tcPr>
            <w:tcW w:w="5920" w:type="dxa"/>
            <w:vAlign w:val="bottom"/>
          </w:tcPr>
          <w:p>
            <w:pPr>
              <w:spacing w:after="0"/>
              <w:rPr>
                <w:sz w:val="20"/>
                <w:szCs w:val="20"/>
                <w:color w:val="auto"/>
              </w:rPr>
            </w:pPr>
            <w:r>
              <w:rPr>
                <w:rFonts w:ascii="Arial" w:cs="Arial" w:eastAsia="Arial" w:hAnsi="Arial"/>
                <w:sz w:val="18"/>
                <w:szCs w:val="18"/>
                <w:color w:val="auto"/>
              </w:rPr>
              <w:t>Receivables, prepaids and deposits</w:t>
            </w:r>
          </w:p>
        </w:tc>
        <w:tc>
          <w:tcPr>
            <w:tcW w:w="2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4"/>
        </w:trPr>
        <w:tc>
          <w:tcPr>
            <w:tcW w:w="59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9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94"/>
        </w:trPr>
        <w:tc>
          <w:tcPr>
            <w:tcW w:w="5920" w:type="dxa"/>
            <w:vAlign w:val="bottom"/>
          </w:tcPr>
          <w:p>
            <w:pPr>
              <w:spacing w:after="0"/>
              <w:rPr>
                <w:sz w:val="20"/>
                <w:szCs w:val="20"/>
                <w:color w:val="auto"/>
              </w:rPr>
            </w:pPr>
            <w:r>
              <w:rPr>
                <w:rFonts w:ascii="Arial" w:cs="Arial" w:eastAsia="Arial" w:hAnsi="Arial"/>
                <w:sz w:val="18"/>
                <w:szCs w:val="18"/>
                <w:color w:val="auto"/>
              </w:rPr>
              <w:t>Exploration and evaluation assets</w:t>
            </w:r>
          </w:p>
        </w:tc>
        <w:tc>
          <w:tcPr>
            <w:tcW w:w="2920" w:type="dxa"/>
            <w:vAlign w:val="bottom"/>
          </w:tcPr>
          <w:p>
            <w:pPr>
              <w:spacing w:after="0"/>
              <w:rPr>
                <w:sz w:val="24"/>
                <w:szCs w:val="24"/>
                <w:color w:val="auto"/>
              </w:rPr>
            </w:pPr>
          </w:p>
        </w:tc>
      </w:tr>
      <w:tr>
        <w:trPr>
          <w:trHeight w:val="334"/>
        </w:trPr>
        <w:tc>
          <w:tcPr>
            <w:tcW w:w="5920" w:type="dxa"/>
            <w:vAlign w:val="bottom"/>
          </w:tcPr>
          <w:p>
            <w:pPr>
              <w:spacing w:after="0"/>
              <w:rPr>
                <w:sz w:val="20"/>
                <w:szCs w:val="20"/>
                <w:color w:val="auto"/>
              </w:rPr>
            </w:pPr>
            <w:r>
              <w:rPr>
                <w:rFonts w:ascii="Arial" w:cs="Arial" w:eastAsia="Arial" w:hAnsi="Arial"/>
                <w:sz w:val="18"/>
                <w:szCs w:val="18"/>
                <w:color w:val="auto"/>
              </w:rPr>
              <w:t>Investment in Green Technology Metals</w:t>
            </w:r>
          </w:p>
        </w:tc>
        <w:tc>
          <w:tcPr>
            <w:tcW w:w="2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4"/>
        </w:trPr>
        <w:tc>
          <w:tcPr>
            <w:tcW w:w="5920" w:type="dxa"/>
            <w:vAlign w:val="bottom"/>
          </w:tcPr>
          <w:p>
            <w:pPr>
              <w:spacing w:after="0"/>
              <w:rPr>
                <w:sz w:val="20"/>
                <w:szCs w:val="20"/>
                <w:color w:val="auto"/>
              </w:rPr>
            </w:pPr>
            <w:r>
              <w:rPr>
                <w:rFonts w:ascii="Arial" w:cs="Arial" w:eastAsia="Arial" w:hAnsi="Arial"/>
                <w:sz w:val="18"/>
                <w:szCs w:val="18"/>
                <w:color w:val="auto"/>
              </w:rPr>
              <w:t>Investment in Ascend Elements</w:t>
            </w:r>
          </w:p>
        </w:tc>
        <w:tc>
          <w:tcPr>
            <w:tcW w:w="2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33"/>
        </w:trPr>
        <w:tc>
          <w:tcPr>
            <w:tcW w:w="5920" w:type="dxa"/>
            <w:vAlign w:val="bottom"/>
          </w:tcPr>
          <w:p>
            <w:pPr>
              <w:spacing w:after="0"/>
              <w:rPr>
                <w:sz w:val="20"/>
                <w:szCs w:val="20"/>
                <w:color w:val="auto"/>
              </w:rPr>
            </w:pPr>
            <w:r>
              <w:rPr>
                <w:rFonts w:ascii="Arial" w:cs="Arial" w:eastAsia="Arial" w:hAnsi="Arial"/>
                <w:sz w:val="18"/>
                <w:szCs w:val="18"/>
                <w:b w:val="1"/>
                <w:bCs w:val="1"/>
                <w:color w:val="auto"/>
              </w:rPr>
              <w:t>Assets distributed upon separation</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436,</w:t>
            </w:r>
          </w:p>
        </w:tc>
      </w:tr>
      <w:tr>
        <w:trPr>
          <w:trHeight w:val="582"/>
        </w:trPr>
        <w:tc>
          <w:tcPr>
            <w:tcW w:w="59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920" w:type="dxa"/>
            <w:vAlign w:val="bottom"/>
          </w:tcPr>
          <w:p>
            <w:pPr>
              <w:spacing w:after="0"/>
              <w:rPr>
                <w:sz w:val="24"/>
                <w:szCs w:val="24"/>
                <w:color w:val="auto"/>
              </w:rPr>
            </w:pPr>
          </w:p>
        </w:tc>
      </w:tr>
      <w:tr>
        <w:trPr>
          <w:trHeight w:val="306"/>
        </w:trPr>
        <w:tc>
          <w:tcPr>
            <w:tcW w:w="592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4"/>
        </w:trPr>
        <w:tc>
          <w:tcPr>
            <w:tcW w:w="5920" w:type="dxa"/>
            <w:vAlign w:val="bottom"/>
          </w:tcPr>
          <w:p>
            <w:pPr>
              <w:spacing w:after="0"/>
              <w:rPr>
                <w:sz w:val="20"/>
                <w:szCs w:val="20"/>
                <w:color w:val="auto"/>
              </w:rPr>
            </w:pPr>
            <w:r>
              <w:rPr>
                <w:rFonts w:ascii="Arial" w:cs="Arial" w:eastAsia="Arial" w:hAnsi="Arial"/>
                <w:sz w:val="18"/>
                <w:szCs w:val="18"/>
                <w:color w:val="auto"/>
              </w:rPr>
              <w:t>Current portion of long-term liabilities</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4"/>
        </w:trPr>
        <w:tc>
          <w:tcPr>
            <w:tcW w:w="5920" w:type="dxa"/>
            <w:vAlign w:val="bottom"/>
          </w:tcPr>
          <w:p>
            <w:pPr>
              <w:spacing w:after="0"/>
              <w:rPr>
                <w:sz w:val="20"/>
                <w:szCs w:val="20"/>
                <w:color w:val="auto"/>
              </w:rPr>
            </w:pPr>
            <w:r>
              <w:rPr>
                <w:rFonts w:ascii="Arial" w:cs="Arial" w:eastAsia="Arial" w:hAnsi="Arial"/>
                <w:sz w:val="18"/>
                <w:szCs w:val="18"/>
                <w:color w:val="auto"/>
              </w:rPr>
              <w:t>GM transaction derivative liability</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4"/>
        </w:trPr>
        <w:tc>
          <w:tcPr>
            <w:tcW w:w="5920" w:type="dxa"/>
            <w:vAlign w:val="bottom"/>
          </w:tcPr>
          <w:p>
            <w:pPr>
              <w:spacing w:after="0"/>
              <w:rPr>
                <w:sz w:val="20"/>
                <w:szCs w:val="20"/>
                <w:color w:val="auto"/>
              </w:rPr>
            </w:pPr>
            <w:r>
              <w:rPr>
                <w:rFonts w:ascii="Arial" w:cs="Arial" w:eastAsia="Arial" w:hAnsi="Arial"/>
                <w:sz w:val="18"/>
                <w:szCs w:val="18"/>
                <w:color w:val="auto"/>
              </w:rPr>
              <w:t>Decommissioning provision</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4"/>
        </w:trPr>
        <w:tc>
          <w:tcPr>
            <w:tcW w:w="5920" w:type="dxa"/>
            <w:vAlign w:val="bottom"/>
          </w:tcPr>
          <w:p>
            <w:pPr>
              <w:spacing w:after="0"/>
              <w:rPr>
                <w:sz w:val="20"/>
                <w:szCs w:val="20"/>
                <w:color w:val="auto"/>
              </w:rPr>
            </w:pPr>
            <w:r>
              <w:rPr>
                <w:rFonts w:ascii="Arial" w:cs="Arial" w:eastAsia="Arial" w:hAnsi="Arial"/>
                <w:sz w:val="18"/>
                <w:szCs w:val="18"/>
                <w:color w:val="auto"/>
              </w:rPr>
              <w:t>Other liabilities</w:t>
            </w:r>
          </w:p>
        </w:tc>
        <w:tc>
          <w:tcPr>
            <w:tcW w:w="2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33"/>
        </w:trPr>
        <w:tc>
          <w:tcPr>
            <w:tcW w:w="5920" w:type="dxa"/>
            <w:vAlign w:val="bottom"/>
          </w:tcPr>
          <w:p>
            <w:pPr>
              <w:spacing w:after="0"/>
              <w:rPr>
                <w:sz w:val="20"/>
                <w:szCs w:val="20"/>
                <w:color w:val="auto"/>
              </w:rPr>
            </w:pPr>
            <w:r>
              <w:rPr>
                <w:rFonts w:ascii="Arial" w:cs="Arial" w:eastAsia="Arial" w:hAnsi="Arial"/>
                <w:sz w:val="18"/>
                <w:szCs w:val="18"/>
                <w:b w:val="1"/>
                <w:bCs w:val="1"/>
                <w:color w:val="auto"/>
              </w:rPr>
              <w:t>Liabilities distributed upon separation</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620"/>
        </w:trPr>
        <w:tc>
          <w:tcPr>
            <w:tcW w:w="5920" w:type="dxa"/>
            <w:vAlign w:val="bottom"/>
          </w:tcPr>
          <w:p>
            <w:pPr>
              <w:spacing w:after="0"/>
              <w:rPr>
                <w:sz w:val="20"/>
                <w:szCs w:val="20"/>
                <w:color w:val="auto"/>
              </w:rPr>
            </w:pPr>
            <w:r>
              <w:rPr>
                <w:rFonts w:ascii="Arial" w:cs="Arial" w:eastAsia="Arial" w:hAnsi="Arial"/>
                <w:sz w:val="18"/>
                <w:szCs w:val="18"/>
                <w:b w:val="1"/>
                <w:bCs w:val="1"/>
                <w:color w:val="auto"/>
              </w:rPr>
              <w:t>Net assets distributed upon separation</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412,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-2150110</wp:posOffset>
            </wp:positionV>
            <wp:extent cx="5621020" cy="635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3">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-1944370</wp:posOffset>
            </wp:positionV>
            <wp:extent cx="5621020" cy="635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4">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-576580</wp:posOffset>
            </wp:positionV>
            <wp:extent cx="5621020" cy="635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5">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-370205</wp:posOffset>
            </wp:positionV>
            <wp:extent cx="5621020" cy="635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6">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-182245</wp:posOffset>
            </wp:positionV>
            <wp:extent cx="5621020" cy="635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7">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22860</wp:posOffset>
            </wp:positionV>
            <wp:extent cx="5621020" cy="635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8">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24 / 40</w:t>
      </w:r>
    </w:p>
    <w:p>
      <w:pPr>
        <w:sectPr>
          <w:pgSz w:w="11900" w:h="16838" w:orient="portrait"/>
          <w:cols w:equalWidth="0" w:num="1">
            <w:col w:w="10460"/>
          </w:cols>
          <w:pgMar w:left="1440" w:top="1440" w:right="6" w:bottom="0" w:gutter="0" w:footer="0" w:header="0"/>
          <w:type w:val="continuous"/>
        </w:sectPr>
      </w:pPr>
    </w:p>
    <w:bookmarkStart w:id="408" w:name="page409"/>
    <w:bookmarkEnd w:id="408"/>
    <w:p>
      <w:pPr>
        <w:spacing w:after="0" w:line="2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1482090</wp:posOffset>
            </wp:positionH>
            <wp:positionV relativeFrom="page">
              <wp:posOffset>972185</wp:posOffset>
            </wp:positionV>
            <wp:extent cx="1676400" cy="1905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9">
                      <a:clrChange>
                        <a:clrFrom>
                          <a:srgbClr val="FFFFFF"/>
                        </a:clrFrom>
                        <a:clrTo>
                          <a:srgbClr val="FFFFFF">
                            <a:alpha val="0"/>
                          </a:srgbClr>
                        </a:clrTo>
                      </a:clrChange>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979170</wp:posOffset>
            </wp:positionV>
            <wp:extent cx="6764020" cy="1905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25 / 40</w:t>
      </w:r>
    </w:p>
    <w:p>
      <w:pPr>
        <w:sectPr>
          <w:pgSz w:w="11900" w:h="16838" w:orient="portrait"/>
          <w:cols w:equalWidth="0" w:num="1">
            <w:col w:w="9026"/>
          </w:cols>
          <w:pgMar w:left="1440" w:top="1440" w:right="1440" w:bottom="0" w:gutter="0" w:footer="0" w:header="0"/>
          <w:type w:val="continuous"/>
        </w:sectPr>
      </w:pPr>
    </w:p>
    <w:bookmarkStart w:id="409" w:name="page410"/>
    <w:bookmarkEnd w:id="4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00" w:lineRule="exact"/>
        <w:rPr>
          <w:sz w:val="20"/>
          <w:szCs w:val="20"/>
          <w:color w:val="auto"/>
        </w:rPr>
      </w:pPr>
    </w:p>
    <w:p>
      <w:pPr>
        <w:ind w:left="1620" w:hanging="726"/>
        <w:spacing w:after="0"/>
        <w:tabs>
          <w:tab w:leader="none" w:pos="1620" w:val="left"/>
        </w:tabs>
        <w:numPr>
          <w:ilvl w:val="0"/>
          <w:numId w:val="147"/>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DISTRIBUTED OPERATIONS </w:t>
      </w:r>
      <w:r>
        <w:rPr>
          <w:rFonts w:ascii="Arial" w:cs="Arial" w:eastAsia="Arial" w:hAnsi="Arial"/>
          <w:sz w:val="20"/>
          <w:szCs w:val="20"/>
          <w:i w:val="1"/>
          <w:iCs w:val="1"/>
          <w:color w:val="153A57"/>
        </w:rPr>
        <w:t>(continued)</w:t>
      </w:r>
    </w:p>
    <w:p>
      <w:pPr>
        <w:spacing w:after="0" w:line="277" w:lineRule="exact"/>
        <w:rPr>
          <w:rFonts w:ascii="Arial" w:cs="Arial" w:eastAsia="Arial" w:hAnsi="Arial"/>
          <w:sz w:val="20"/>
          <w:szCs w:val="20"/>
          <w:b w:val="1"/>
          <w:bCs w:val="1"/>
          <w:color w:val="153A57"/>
        </w:rPr>
      </w:pPr>
    </w:p>
    <w:p>
      <w:pPr>
        <w:ind w:left="1620"/>
        <w:spacing w:after="0" w:line="307" w:lineRule="auto"/>
        <w:rPr>
          <w:rFonts w:ascii="Arial" w:cs="Arial" w:eastAsia="Arial" w:hAnsi="Arial"/>
          <w:sz w:val="20"/>
          <w:szCs w:val="20"/>
          <w:b w:val="1"/>
          <w:bCs w:val="1"/>
          <w:color w:val="153A57"/>
        </w:rPr>
      </w:pPr>
      <w:r>
        <w:rPr>
          <w:rFonts w:ascii="Arial" w:cs="Arial" w:eastAsia="Arial" w:hAnsi="Arial"/>
          <w:sz w:val="20"/>
          <w:szCs w:val="20"/>
          <w:color w:val="auto"/>
        </w:rPr>
        <w:t>The results and cash flows of Lithium Americas (NewCo) presented as discontinued operations ar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196215</wp:posOffset>
            </wp:positionV>
            <wp:extent cx="5621020" cy="2857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1">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37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96"/>
        </w:trPr>
        <w:tc>
          <w:tcPr>
            <w:tcW w:w="53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2025</w:t>
            </w:r>
          </w:p>
        </w:tc>
        <w:tc>
          <w:tcPr>
            <w:tcW w:w="15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36"/>
        </w:trPr>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Pr>
          <w:p>
            <w:pPr>
              <w:spacing w:after="0"/>
              <w:rPr>
                <w:sz w:val="21"/>
                <w:szCs w:val="21"/>
                <w:color w:val="auto"/>
              </w:rPr>
            </w:pPr>
          </w:p>
        </w:tc>
        <w:tc>
          <w:tcPr>
            <w:tcW w:w="1240" w:type="dxa"/>
            <w:vAlign w:val="bottom"/>
            <w:gridSpan w:val="2"/>
            <w:shd w:val="clear" w:color="auto" w:fill="D9D9D9"/>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9D9D9"/>
          </w:tcPr>
          <w:p>
            <w:pPr>
              <w:spacing w:after="0"/>
              <w:rPr>
                <w:sz w:val="21"/>
                <w:szCs w:val="21"/>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53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shd w:val="clear" w:color="auto" w:fill="D9D9D9"/>
          </w:tcPr>
          <w:p>
            <w:pPr>
              <w:spacing w:after="0"/>
              <w:rPr>
                <w:sz w:val="24"/>
                <w:szCs w:val="24"/>
                <w:color w:val="auto"/>
              </w:rPr>
            </w:pPr>
          </w:p>
        </w:tc>
        <w:tc>
          <w:tcPr>
            <w:tcW w:w="116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5320" w:type="dxa"/>
            <w:vAlign w:val="bottom"/>
          </w:tcPr>
          <w:p>
            <w:pPr>
              <w:spacing w:after="0"/>
              <w:rPr>
                <w:sz w:val="3"/>
                <w:szCs w:val="3"/>
                <w:color w:val="auto"/>
              </w:rPr>
            </w:pPr>
          </w:p>
        </w:tc>
        <w:tc>
          <w:tcPr>
            <w:tcW w:w="80" w:type="dxa"/>
            <w:vAlign w:val="bottom"/>
            <w:shd w:val="clear" w:color="auto" w:fill="D9D9D9"/>
          </w:tcPr>
          <w:p>
            <w:pPr>
              <w:spacing w:after="0"/>
              <w:rPr>
                <w:sz w:val="3"/>
                <w:szCs w:val="3"/>
                <w:color w:val="auto"/>
              </w:rPr>
            </w:pPr>
          </w:p>
        </w:tc>
        <w:tc>
          <w:tcPr>
            <w:tcW w:w="1160" w:type="dxa"/>
            <w:vAlign w:val="bottom"/>
            <w:shd w:val="clear" w:color="auto" w:fill="D9D9D9"/>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8"/>
        </w:trPr>
        <w:tc>
          <w:tcPr>
            <w:tcW w:w="5320" w:type="dxa"/>
            <w:vAlign w:val="bottom"/>
          </w:tcPr>
          <w:p>
            <w:pPr>
              <w:spacing w:after="0"/>
              <w:rPr>
                <w:sz w:val="20"/>
                <w:szCs w:val="20"/>
                <w:color w:val="auto"/>
              </w:rPr>
            </w:pPr>
            <w:r>
              <w:rPr>
                <w:rFonts w:ascii="Arial" w:cs="Arial" w:eastAsia="Arial" w:hAnsi="Arial"/>
                <w:sz w:val="18"/>
                <w:szCs w:val="18"/>
                <w:color w:val="auto"/>
              </w:rPr>
              <w:t>Exploration and evaluation expenditures</w:t>
            </w:r>
          </w:p>
        </w:tc>
        <w:tc>
          <w:tcPr>
            <w:tcW w:w="80" w:type="dxa"/>
            <w:vAlign w:val="bottom"/>
            <w:shd w:val="clear" w:color="auto" w:fill="D9D9D9"/>
          </w:tcPr>
          <w:p>
            <w:pPr>
              <w:spacing w:after="0"/>
              <w:rPr>
                <w:sz w:val="24"/>
                <w:szCs w:val="24"/>
                <w:color w:val="auto"/>
              </w:rPr>
            </w:pPr>
          </w:p>
        </w:tc>
        <w:tc>
          <w:tcPr>
            <w:tcW w:w="11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24"/>
                <w:szCs w:val="24"/>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4"/>
        </w:trPr>
        <w:tc>
          <w:tcPr>
            <w:tcW w:w="5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D9D9D9"/>
          </w:tcPr>
          <w:p>
            <w:pPr>
              <w:spacing w:after="0"/>
              <w:rPr>
                <w:sz w:val="24"/>
                <w:szCs w:val="24"/>
                <w:color w:val="auto"/>
              </w:rPr>
            </w:pPr>
          </w:p>
        </w:tc>
        <w:tc>
          <w:tcPr>
            <w:tcW w:w="11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24"/>
                <w:szCs w:val="24"/>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5320" w:type="dxa"/>
            <w:vAlign w:val="bottom"/>
          </w:tcPr>
          <w:p>
            <w:pPr>
              <w:spacing w:after="0"/>
              <w:rPr>
                <w:sz w:val="20"/>
                <w:szCs w:val="20"/>
                <w:color w:val="auto"/>
              </w:rPr>
            </w:pPr>
            <w:r>
              <w:rPr>
                <w:rFonts w:ascii="Arial" w:cs="Arial" w:eastAsia="Arial" w:hAnsi="Arial"/>
                <w:sz w:val="18"/>
                <w:szCs w:val="18"/>
                <w:color w:val="auto"/>
              </w:rPr>
              <w:t>Equity compensation</w:t>
            </w:r>
          </w:p>
        </w:tc>
        <w:tc>
          <w:tcPr>
            <w:tcW w:w="80" w:type="dxa"/>
            <w:vAlign w:val="bottom"/>
            <w:shd w:val="clear" w:color="auto" w:fill="D9D9D9"/>
          </w:tcPr>
          <w:p>
            <w:pPr>
              <w:spacing w:after="0"/>
              <w:rPr>
                <w:sz w:val="24"/>
                <w:szCs w:val="24"/>
                <w:color w:val="auto"/>
              </w:rPr>
            </w:pPr>
          </w:p>
        </w:tc>
        <w:tc>
          <w:tcPr>
            <w:tcW w:w="11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24"/>
                <w:szCs w:val="24"/>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6"/>
        </w:trPr>
        <w:tc>
          <w:tcPr>
            <w:tcW w:w="5320" w:type="dxa"/>
            <w:vAlign w:val="bottom"/>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1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24"/>
                <w:szCs w:val="24"/>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55"/>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OTHER ITEMS</w:t>
            </w:r>
          </w:p>
        </w:tc>
        <w:tc>
          <w:tcPr>
            <w:tcW w:w="80" w:type="dxa"/>
            <w:vAlign w:val="bottom"/>
            <w:shd w:val="clear" w:color="auto" w:fill="D9D9D9"/>
          </w:tcPr>
          <w:p>
            <w:pPr>
              <w:spacing w:after="0"/>
              <w:rPr>
                <w:sz w:val="4"/>
                <w:szCs w:val="4"/>
                <w:color w:val="auto"/>
              </w:rPr>
            </w:pPr>
          </w:p>
        </w:tc>
        <w:tc>
          <w:tcPr>
            <w:tcW w:w="116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1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20" w:type="dxa"/>
            <w:vAlign w:val="bottom"/>
            <w:vMerge w:val="continue"/>
          </w:tcPr>
          <w:p>
            <w:pPr>
              <w:spacing w:after="0"/>
              <w:rPr>
                <w:sz w:val="21"/>
                <w:szCs w:val="21"/>
                <w:color w:val="auto"/>
              </w:rPr>
            </w:pPr>
          </w:p>
        </w:tc>
        <w:tc>
          <w:tcPr>
            <w:tcW w:w="80" w:type="dxa"/>
            <w:vAlign w:val="bottom"/>
            <w:shd w:val="clear" w:color="auto" w:fill="D9D9D9"/>
          </w:tcPr>
          <w:p>
            <w:pPr>
              <w:spacing w:after="0"/>
              <w:rPr>
                <w:sz w:val="21"/>
                <w:szCs w:val="21"/>
                <w:color w:val="auto"/>
              </w:rPr>
            </w:pPr>
          </w:p>
        </w:tc>
        <w:tc>
          <w:tcPr>
            <w:tcW w:w="1160" w:type="dxa"/>
            <w:vAlign w:val="bottom"/>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5320" w:type="dxa"/>
            <w:vAlign w:val="bottom"/>
            <w:vMerge w:val="restart"/>
          </w:tcPr>
          <w:p>
            <w:pPr>
              <w:spacing w:after="0"/>
              <w:rPr>
                <w:sz w:val="20"/>
                <w:szCs w:val="20"/>
                <w:color w:val="auto"/>
              </w:rPr>
            </w:pPr>
            <w:r>
              <w:rPr>
                <w:rFonts w:ascii="Arial" w:cs="Arial" w:eastAsia="Arial" w:hAnsi="Arial"/>
                <w:sz w:val="18"/>
                <w:szCs w:val="18"/>
                <w:color w:val="auto"/>
              </w:rPr>
              <w:t>Transaction costs</w:t>
            </w:r>
          </w:p>
        </w:tc>
        <w:tc>
          <w:tcPr>
            <w:tcW w:w="1240" w:type="dxa"/>
            <w:vAlign w:val="bottom"/>
            <w:gridSpan w:val="2"/>
            <w:shd w:val="clear" w:color="auto" w:fill="D9D9D9"/>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44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278"/>
        </w:trPr>
        <w:tc>
          <w:tcPr>
            <w:tcW w:w="5320" w:type="dxa"/>
            <w:vAlign w:val="bottom"/>
            <w:vMerge w:val="continue"/>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1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24"/>
                <w:szCs w:val="24"/>
                <w:color w:val="auto"/>
              </w:rPr>
            </w:pPr>
          </w:p>
        </w:tc>
        <w:tc>
          <w:tcPr>
            <w:tcW w:w="144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320" w:type="dxa"/>
            <w:vAlign w:val="bottom"/>
          </w:tcPr>
          <w:p>
            <w:pPr>
              <w:spacing w:after="0"/>
              <w:rPr>
                <w:sz w:val="20"/>
                <w:szCs w:val="20"/>
                <w:color w:val="auto"/>
              </w:rPr>
            </w:pPr>
            <w:r>
              <w:rPr>
                <w:rFonts w:ascii="Arial" w:cs="Arial" w:eastAsia="Arial" w:hAnsi="Arial"/>
                <w:sz w:val="18"/>
                <w:szCs w:val="18"/>
                <w:color w:val="auto"/>
              </w:rPr>
              <w:t>Gain on financial instruments measured at fair value</w:t>
            </w:r>
          </w:p>
        </w:tc>
        <w:tc>
          <w:tcPr>
            <w:tcW w:w="80" w:type="dxa"/>
            <w:vAlign w:val="bottom"/>
            <w:shd w:val="clear" w:color="auto" w:fill="D9D9D9"/>
          </w:tcPr>
          <w:p>
            <w:pPr>
              <w:spacing w:after="0"/>
              <w:rPr>
                <w:sz w:val="24"/>
                <w:szCs w:val="24"/>
                <w:color w:val="auto"/>
              </w:rPr>
            </w:pPr>
          </w:p>
        </w:tc>
        <w:tc>
          <w:tcPr>
            <w:tcW w:w="11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24"/>
                <w:szCs w:val="24"/>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6"/>
        </w:trPr>
        <w:tc>
          <w:tcPr>
            <w:tcW w:w="5320" w:type="dxa"/>
            <w:vAlign w:val="bottom"/>
          </w:tcPr>
          <w:p>
            <w:pPr>
              <w:spacing w:after="0"/>
              <w:rPr>
                <w:sz w:val="3"/>
                <w:szCs w:val="3"/>
                <w:color w:val="auto"/>
              </w:rPr>
            </w:pPr>
          </w:p>
        </w:tc>
        <w:tc>
          <w:tcPr>
            <w:tcW w:w="80" w:type="dxa"/>
            <w:vAlign w:val="bottom"/>
            <w:shd w:val="clear" w:color="auto" w:fill="D9D9D9"/>
          </w:tcPr>
          <w:p>
            <w:pPr>
              <w:spacing w:after="0"/>
              <w:rPr>
                <w:sz w:val="3"/>
                <w:szCs w:val="3"/>
                <w:color w:val="auto"/>
              </w:rPr>
            </w:pPr>
          </w:p>
        </w:tc>
        <w:tc>
          <w:tcPr>
            <w:tcW w:w="1160" w:type="dxa"/>
            <w:vAlign w:val="bottom"/>
            <w:shd w:val="clear" w:color="auto" w:fill="D9D9D9"/>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8"/>
        </w:trPr>
        <w:tc>
          <w:tcPr>
            <w:tcW w:w="5320" w:type="dxa"/>
            <w:vAlign w:val="bottom"/>
          </w:tcPr>
          <w:p>
            <w:pPr>
              <w:spacing w:after="0"/>
              <w:rPr>
                <w:sz w:val="20"/>
                <w:szCs w:val="20"/>
                <w:color w:val="auto"/>
              </w:rPr>
            </w:pPr>
            <w:r>
              <w:rPr>
                <w:rFonts w:ascii="Arial" w:cs="Arial" w:eastAsia="Arial" w:hAnsi="Arial"/>
                <w:sz w:val="18"/>
                <w:szCs w:val="18"/>
                <w:color w:val="auto"/>
              </w:rPr>
              <w:t>Finance costs</w:t>
            </w:r>
          </w:p>
        </w:tc>
        <w:tc>
          <w:tcPr>
            <w:tcW w:w="80" w:type="dxa"/>
            <w:vAlign w:val="bottom"/>
            <w:shd w:val="clear" w:color="auto" w:fill="D9D9D9"/>
          </w:tcPr>
          <w:p>
            <w:pPr>
              <w:spacing w:after="0"/>
              <w:rPr>
                <w:sz w:val="24"/>
                <w:szCs w:val="24"/>
                <w:color w:val="auto"/>
              </w:rPr>
            </w:pPr>
          </w:p>
        </w:tc>
        <w:tc>
          <w:tcPr>
            <w:tcW w:w="11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24"/>
                <w:szCs w:val="24"/>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320" w:type="dxa"/>
            <w:vAlign w:val="bottom"/>
          </w:tcPr>
          <w:p>
            <w:pPr>
              <w:spacing w:after="0"/>
              <w:rPr>
                <w:sz w:val="20"/>
                <w:szCs w:val="20"/>
                <w:color w:val="auto"/>
              </w:rPr>
            </w:pPr>
            <w:r>
              <w:rPr>
                <w:rFonts w:ascii="Arial" w:cs="Arial" w:eastAsia="Arial" w:hAnsi="Arial"/>
                <w:sz w:val="18"/>
                <w:szCs w:val="18"/>
                <w:color w:val="auto"/>
              </w:rPr>
              <w:t>Other loss</w:t>
            </w:r>
          </w:p>
        </w:tc>
        <w:tc>
          <w:tcPr>
            <w:tcW w:w="80" w:type="dxa"/>
            <w:vAlign w:val="bottom"/>
            <w:shd w:val="clear" w:color="auto" w:fill="D9D9D9"/>
          </w:tcPr>
          <w:p>
            <w:pPr>
              <w:spacing w:after="0"/>
              <w:rPr>
                <w:sz w:val="24"/>
                <w:szCs w:val="24"/>
                <w:color w:val="auto"/>
              </w:rPr>
            </w:pPr>
          </w:p>
        </w:tc>
        <w:tc>
          <w:tcPr>
            <w:tcW w:w="11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24"/>
                <w:szCs w:val="24"/>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5320" w:type="dxa"/>
            <w:vAlign w:val="bottom"/>
            <w:vMerge w:val="restart"/>
          </w:tcPr>
          <w:p>
            <w:pPr>
              <w:spacing w:after="0"/>
              <w:rPr>
                <w:sz w:val="20"/>
                <w:szCs w:val="20"/>
                <w:color w:val="auto"/>
              </w:rPr>
            </w:pPr>
            <w:r>
              <w:rPr>
                <w:rFonts w:ascii="Arial" w:cs="Arial" w:eastAsia="Arial" w:hAnsi="Arial"/>
                <w:sz w:val="18"/>
                <w:szCs w:val="18"/>
                <w:color w:val="auto"/>
              </w:rPr>
              <w:t>Gain on distribution of assets upon separation</w:t>
            </w:r>
          </w:p>
        </w:tc>
        <w:tc>
          <w:tcPr>
            <w:tcW w:w="80" w:type="dxa"/>
            <w:vAlign w:val="bottom"/>
            <w:shd w:val="clear" w:color="auto" w:fill="D9D9D9"/>
          </w:tcPr>
          <w:p>
            <w:pPr>
              <w:spacing w:after="0"/>
              <w:rPr>
                <w:sz w:val="3"/>
                <w:szCs w:val="3"/>
                <w:color w:val="auto"/>
              </w:rPr>
            </w:pPr>
          </w:p>
        </w:tc>
        <w:tc>
          <w:tcPr>
            <w:tcW w:w="1160" w:type="dxa"/>
            <w:vAlign w:val="bottom"/>
            <w:shd w:val="clear" w:color="auto" w:fill="D9D9D9"/>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440" w:type="dxa"/>
            <w:vAlign w:val="bottom"/>
          </w:tcPr>
          <w:p>
            <w:pPr>
              <w:spacing w:after="0"/>
              <w:rPr>
                <w:sz w:val="3"/>
                <w:szCs w:val="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line="20" w:lineRule="exact"/>
              <w:rPr>
                <w:sz w:val="1"/>
                <w:szCs w:val="1"/>
                <w:color w:val="auto"/>
              </w:rPr>
            </w:pPr>
          </w:p>
        </w:tc>
      </w:tr>
      <w:tr>
        <w:trPr>
          <w:trHeight w:val="288"/>
        </w:trPr>
        <w:tc>
          <w:tcPr>
            <w:tcW w:w="5320" w:type="dxa"/>
            <w:vAlign w:val="bottom"/>
            <w:vMerge w:val="continue"/>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16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5320" w:type="dxa"/>
            <w:vAlign w:val="bottom"/>
          </w:tcPr>
          <w:p>
            <w:pPr>
              <w:spacing w:after="0"/>
              <w:rPr>
                <w:sz w:val="3"/>
                <w:szCs w:val="3"/>
                <w:color w:val="auto"/>
              </w:rPr>
            </w:pPr>
          </w:p>
        </w:tc>
        <w:tc>
          <w:tcPr>
            <w:tcW w:w="1240" w:type="dxa"/>
            <w:vAlign w:val="bottom"/>
            <w:gridSpan w:val="2"/>
            <w:shd w:val="clear" w:color="auto" w:fill="D9D9D9"/>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44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line="20" w:lineRule="exact"/>
              <w:rPr>
                <w:sz w:val="1"/>
                <w:szCs w:val="1"/>
                <w:color w:val="auto"/>
              </w:rPr>
            </w:pPr>
          </w:p>
        </w:tc>
      </w:tr>
      <w:tr>
        <w:trPr>
          <w:trHeight w:val="270"/>
        </w:trPr>
        <w:tc>
          <w:tcPr>
            <w:tcW w:w="5320" w:type="dxa"/>
            <w:vAlign w:val="bottom"/>
          </w:tcPr>
          <w:p>
            <w:pPr>
              <w:spacing w:after="0"/>
              <w:rPr>
                <w:sz w:val="23"/>
                <w:szCs w:val="23"/>
                <w:color w:val="auto"/>
              </w:rPr>
            </w:pPr>
          </w:p>
        </w:tc>
        <w:tc>
          <w:tcPr>
            <w:tcW w:w="80" w:type="dxa"/>
            <w:vAlign w:val="bottom"/>
            <w:shd w:val="clear" w:color="auto" w:fill="D9D9D9"/>
          </w:tcPr>
          <w:p>
            <w:pPr>
              <w:spacing w:after="0"/>
              <w:rPr>
                <w:sz w:val="23"/>
                <w:szCs w:val="23"/>
                <w:color w:val="auto"/>
              </w:rPr>
            </w:pPr>
          </w:p>
        </w:tc>
        <w:tc>
          <w:tcPr>
            <w:tcW w:w="11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23"/>
                <w:szCs w:val="23"/>
                <w:color w:val="auto"/>
              </w:rPr>
            </w:pPr>
          </w:p>
        </w:tc>
        <w:tc>
          <w:tcPr>
            <w:tcW w:w="1440" w:type="dxa"/>
            <w:vAlign w:val="bottom"/>
            <w:vMerge w:val="continue"/>
          </w:tcPr>
          <w:p>
            <w:pPr>
              <w:spacing w:after="0"/>
              <w:rPr>
                <w:sz w:val="23"/>
                <w:szCs w:val="23"/>
                <w:color w:val="auto"/>
              </w:rPr>
            </w:pP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55"/>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INCOME FROM DISCONTINUED OPERATIONS</w:t>
            </w:r>
          </w:p>
        </w:tc>
        <w:tc>
          <w:tcPr>
            <w:tcW w:w="80" w:type="dxa"/>
            <w:vAlign w:val="bottom"/>
            <w:shd w:val="clear" w:color="auto" w:fill="D9D9D9"/>
          </w:tcPr>
          <w:p>
            <w:pPr>
              <w:spacing w:after="0"/>
              <w:rPr>
                <w:sz w:val="4"/>
                <w:szCs w:val="4"/>
                <w:color w:val="auto"/>
              </w:rPr>
            </w:pPr>
          </w:p>
        </w:tc>
        <w:tc>
          <w:tcPr>
            <w:tcW w:w="116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14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1,270,</w:t>
            </w:r>
          </w:p>
        </w:tc>
        <w:tc>
          <w:tcPr>
            <w:tcW w:w="0" w:type="dxa"/>
            <w:vAlign w:val="bottom"/>
          </w:tcPr>
          <w:p>
            <w:pPr>
              <w:spacing w:after="0"/>
              <w:rPr>
                <w:sz w:val="1"/>
                <w:szCs w:val="1"/>
                <w:color w:val="auto"/>
              </w:rPr>
            </w:pPr>
          </w:p>
        </w:tc>
      </w:tr>
      <w:tr>
        <w:trPr>
          <w:trHeight w:val="286"/>
        </w:trPr>
        <w:tc>
          <w:tcPr>
            <w:tcW w:w="5320" w:type="dxa"/>
            <w:vAlign w:val="bottom"/>
            <w:vMerge w:val="continue"/>
          </w:tcPr>
          <w:p>
            <w:pPr>
              <w:spacing w:after="0"/>
              <w:rPr>
                <w:sz w:val="24"/>
                <w:szCs w:val="24"/>
                <w:color w:val="auto"/>
              </w:rPr>
            </w:pPr>
          </w:p>
        </w:tc>
        <w:tc>
          <w:tcPr>
            <w:tcW w:w="1240" w:type="dxa"/>
            <w:vAlign w:val="bottom"/>
            <w:gridSpan w:val="2"/>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44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320" w:type="dxa"/>
            <w:vAlign w:val="bottom"/>
            <w:vMerge w:val="continue"/>
          </w:tcPr>
          <w:p>
            <w:pPr>
              <w:spacing w:after="0"/>
              <w:rPr>
                <w:sz w:val="24"/>
                <w:szCs w:val="24"/>
                <w:color w:val="auto"/>
              </w:rPr>
            </w:pPr>
          </w:p>
        </w:tc>
        <w:tc>
          <w:tcPr>
            <w:tcW w:w="80" w:type="dxa"/>
            <w:vAlign w:val="bottom"/>
            <w:tcBorders>
              <w:bottom w:val="single" w:sz="8" w:color="D9D9D9"/>
            </w:tcBorders>
            <w:shd w:val="clear" w:color="auto" w:fill="D9D9D9"/>
          </w:tcPr>
          <w:p>
            <w:pPr>
              <w:spacing w:after="0"/>
              <w:rPr>
                <w:sz w:val="24"/>
                <w:szCs w:val="24"/>
                <w:color w:val="auto"/>
              </w:rPr>
            </w:pPr>
          </w:p>
        </w:tc>
        <w:tc>
          <w:tcPr>
            <w:tcW w:w="116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9D9D9"/>
            </w:tcBorders>
            <w:shd w:val="clear" w:color="auto" w:fill="D9D9D9"/>
          </w:tcPr>
          <w:p>
            <w:pPr>
              <w:spacing w:after="0"/>
              <w:rPr>
                <w:sz w:val="24"/>
                <w:szCs w:val="24"/>
                <w:color w:val="auto"/>
              </w:rPr>
            </w:pPr>
          </w:p>
        </w:tc>
        <w:tc>
          <w:tcPr>
            <w:tcW w:w="144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27"/>
        </w:trPr>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96"/>
        </w:trPr>
        <w:tc>
          <w:tcPr>
            <w:tcW w:w="53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2025</w:t>
            </w:r>
          </w:p>
        </w:tc>
        <w:tc>
          <w:tcPr>
            <w:tcW w:w="15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36"/>
        </w:trPr>
        <w:tc>
          <w:tcPr>
            <w:tcW w:w="532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154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Pr>
          <w:p>
            <w:pPr>
              <w:spacing w:after="0"/>
              <w:rPr>
                <w:sz w:val="21"/>
                <w:szCs w:val="21"/>
                <w:color w:val="auto"/>
              </w:rPr>
            </w:pPr>
          </w:p>
        </w:tc>
        <w:tc>
          <w:tcPr>
            <w:tcW w:w="1240" w:type="dxa"/>
            <w:vAlign w:val="bottom"/>
            <w:gridSpan w:val="2"/>
            <w:shd w:val="clear" w:color="auto" w:fill="D9D9D9"/>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9D9D9"/>
          </w:tcPr>
          <w:p>
            <w:pPr>
              <w:spacing w:after="0"/>
              <w:rPr>
                <w:sz w:val="21"/>
                <w:szCs w:val="21"/>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5320" w:type="dxa"/>
            <w:vAlign w:val="bottom"/>
            <w:vMerge w:val="restart"/>
          </w:tcPr>
          <w:p>
            <w:pPr>
              <w:spacing w:after="0"/>
              <w:rPr>
                <w:sz w:val="20"/>
                <w:szCs w:val="20"/>
                <w:color w:val="auto"/>
              </w:rPr>
            </w:pPr>
            <w:r>
              <w:rPr>
                <w:rFonts w:ascii="Arial" w:cs="Arial" w:eastAsia="Arial" w:hAnsi="Arial"/>
                <w:sz w:val="18"/>
                <w:szCs w:val="18"/>
                <w:color w:val="auto"/>
              </w:rPr>
              <w:t>Cash used in operating activities of discontinued operations</w:t>
            </w:r>
          </w:p>
        </w:tc>
        <w:tc>
          <w:tcPr>
            <w:tcW w:w="1240" w:type="dxa"/>
            <w:vAlign w:val="bottom"/>
            <w:gridSpan w:val="2"/>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144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8"/>
        </w:trPr>
        <w:tc>
          <w:tcPr>
            <w:tcW w:w="5320" w:type="dxa"/>
            <w:vAlign w:val="bottom"/>
            <w:vMerge w:val="continue"/>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1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24"/>
                <w:szCs w:val="24"/>
                <w:color w:val="auto"/>
              </w:rPr>
            </w:pPr>
          </w:p>
        </w:tc>
        <w:tc>
          <w:tcPr>
            <w:tcW w:w="144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5320" w:type="dxa"/>
            <w:vAlign w:val="bottom"/>
          </w:tcPr>
          <w:p>
            <w:pPr>
              <w:spacing w:after="0"/>
              <w:rPr>
                <w:sz w:val="3"/>
                <w:szCs w:val="3"/>
                <w:color w:val="auto"/>
              </w:rPr>
            </w:pPr>
          </w:p>
        </w:tc>
        <w:tc>
          <w:tcPr>
            <w:tcW w:w="80" w:type="dxa"/>
            <w:vAlign w:val="bottom"/>
            <w:shd w:val="clear" w:color="auto" w:fill="D9D9D9"/>
          </w:tcPr>
          <w:p>
            <w:pPr>
              <w:spacing w:after="0"/>
              <w:rPr>
                <w:sz w:val="3"/>
                <w:szCs w:val="3"/>
                <w:color w:val="auto"/>
              </w:rPr>
            </w:pPr>
          </w:p>
        </w:tc>
        <w:tc>
          <w:tcPr>
            <w:tcW w:w="1160" w:type="dxa"/>
            <w:vAlign w:val="bottom"/>
            <w:shd w:val="clear" w:color="auto" w:fill="D9D9D9"/>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8"/>
        </w:trPr>
        <w:tc>
          <w:tcPr>
            <w:tcW w:w="5320" w:type="dxa"/>
            <w:vAlign w:val="bottom"/>
          </w:tcPr>
          <w:p>
            <w:pPr>
              <w:spacing w:after="0"/>
              <w:rPr>
                <w:sz w:val="20"/>
                <w:szCs w:val="20"/>
                <w:color w:val="auto"/>
              </w:rPr>
            </w:pPr>
            <w:r>
              <w:rPr>
                <w:rFonts w:ascii="Arial" w:cs="Arial" w:eastAsia="Arial" w:hAnsi="Arial"/>
                <w:sz w:val="18"/>
                <w:szCs w:val="18"/>
                <w:color w:val="auto"/>
              </w:rPr>
              <w:t>Cash used in investing activities of discontinued operations</w:t>
            </w:r>
          </w:p>
        </w:tc>
        <w:tc>
          <w:tcPr>
            <w:tcW w:w="80" w:type="dxa"/>
            <w:vAlign w:val="bottom"/>
            <w:shd w:val="clear" w:color="auto" w:fill="D9D9D9"/>
          </w:tcPr>
          <w:p>
            <w:pPr>
              <w:spacing w:after="0"/>
              <w:rPr>
                <w:sz w:val="24"/>
                <w:szCs w:val="24"/>
                <w:color w:val="auto"/>
              </w:rPr>
            </w:pPr>
          </w:p>
        </w:tc>
        <w:tc>
          <w:tcPr>
            <w:tcW w:w="11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24"/>
                <w:szCs w:val="24"/>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14"/>
        </w:trPr>
        <w:tc>
          <w:tcPr>
            <w:tcW w:w="5320" w:type="dxa"/>
            <w:vAlign w:val="bottom"/>
          </w:tcPr>
          <w:p>
            <w:pPr>
              <w:spacing w:after="0"/>
              <w:rPr>
                <w:sz w:val="20"/>
                <w:szCs w:val="20"/>
                <w:color w:val="auto"/>
              </w:rPr>
            </w:pPr>
            <w:r>
              <w:rPr>
                <w:rFonts w:ascii="Arial" w:cs="Arial" w:eastAsia="Arial" w:hAnsi="Arial"/>
                <w:sz w:val="18"/>
                <w:szCs w:val="18"/>
                <w:color w:val="auto"/>
              </w:rPr>
              <w:t>Cash provided by financing activities of discontinued operations</w:t>
            </w:r>
          </w:p>
        </w:tc>
        <w:tc>
          <w:tcPr>
            <w:tcW w:w="80" w:type="dxa"/>
            <w:vAlign w:val="bottom"/>
            <w:shd w:val="clear" w:color="auto" w:fill="D9D9D9"/>
          </w:tcPr>
          <w:p>
            <w:pPr>
              <w:spacing w:after="0"/>
              <w:rPr>
                <w:sz w:val="24"/>
                <w:szCs w:val="24"/>
                <w:color w:val="auto"/>
              </w:rPr>
            </w:pPr>
          </w:p>
        </w:tc>
        <w:tc>
          <w:tcPr>
            <w:tcW w:w="11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24"/>
                <w:szCs w:val="24"/>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46"/>
        </w:trPr>
        <w:tc>
          <w:tcPr>
            <w:tcW w:w="5320" w:type="dxa"/>
            <w:vAlign w:val="bottom"/>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116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1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4403090</wp:posOffset>
            </wp:positionH>
            <wp:positionV relativeFrom="paragraph">
              <wp:posOffset>-4550410</wp:posOffset>
            </wp:positionV>
            <wp:extent cx="2242185" cy="635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2">
                      <a:extLst>
                        <a:ext uri="{28A0092B-C50C-407E-A947-70E740481C1C}"/>
                      </a:extLst>
                    </a:blip>
                    <a:srcRect/>
                    <a:stretch>
                      <a:fillRect/>
                    </a:stretch>
                  </pic:blipFill>
                  <pic:spPr bwMode="auto">
                    <a:xfrm>
                      <a:off x="0" y="0"/>
                      <a:ext cx="2242185"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-4180840</wp:posOffset>
            </wp:positionV>
            <wp:extent cx="5621020" cy="635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3">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-3394075</wp:posOffset>
            </wp:positionV>
            <wp:extent cx="2242185" cy="635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4">
                      <a:extLst>
                        <a:ext uri="{28A0092B-C50C-407E-A947-70E740481C1C}"/>
                      </a:extLst>
                    </a:blip>
                    <a:srcRect/>
                    <a:stretch>
                      <a:fillRect/>
                    </a:stretch>
                  </pic:blipFill>
                  <pic:spPr bwMode="auto">
                    <a:xfrm>
                      <a:off x="0" y="0"/>
                      <a:ext cx="2242185" cy="6350"/>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-3187700</wp:posOffset>
            </wp:positionV>
            <wp:extent cx="2242185" cy="635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5">
                      <a:extLst>
                        <a:ext uri="{28A0092B-C50C-407E-A947-70E740481C1C}"/>
                      </a:extLst>
                    </a:blip>
                    <a:srcRect/>
                    <a:stretch>
                      <a:fillRect/>
                    </a:stretch>
                  </pic:blipFill>
                  <pic:spPr bwMode="auto">
                    <a:xfrm>
                      <a:off x="0" y="0"/>
                      <a:ext cx="2242185" cy="6350"/>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-2001520</wp:posOffset>
            </wp:positionV>
            <wp:extent cx="2242185" cy="635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6">
                      <a:extLst>
                        <a:ext uri="{28A0092B-C50C-407E-A947-70E740481C1C}"/>
                      </a:extLst>
                    </a:blip>
                    <a:srcRect/>
                    <a:stretch>
                      <a:fillRect/>
                    </a:stretch>
                  </pic:blipFill>
                  <pic:spPr bwMode="auto">
                    <a:xfrm>
                      <a:off x="0" y="0"/>
                      <a:ext cx="2242185" cy="6350"/>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-1795780</wp:posOffset>
            </wp:positionV>
            <wp:extent cx="2242185" cy="635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7">
                      <a:extLst>
                        <a:ext uri="{28A0092B-C50C-407E-A947-70E740481C1C}"/>
                      </a:extLst>
                    </a:blip>
                    <a:srcRect/>
                    <a:stretch>
                      <a:fillRect/>
                    </a:stretch>
                  </pic:blipFill>
                  <pic:spPr bwMode="auto">
                    <a:xfrm>
                      <a:off x="0" y="0"/>
                      <a:ext cx="2242185"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-1407795</wp:posOffset>
            </wp:positionV>
            <wp:extent cx="5621020" cy="63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8">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-1190625</wp:posOffset>
            </wp:positionV>
            <wp:extent cx="5621020" cy="21653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9">
                      <a:extLst>
                        <a:ext uri="{28A0092B-C50C-407E-A947-70E740481C1C}"/>
                      </a:extLst>
                    </a:blip>
                    <a:srcRect/>
                    <a:stretch>
                      <a:fillRect/>
                    </a:stretch>
                  </pic:blipFill>
                  <pic:spPr bwMode="auto">
                    <a:xfrm>
                      <a:off x="0" y="0"/>
                      <a:ext cx="5621020" cy="216535"/>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-610870</wp:posOffset>
            </wp:positionV>
            <wp:extent cx="5621020" cy="635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0">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-5715</wp:posOffset>
            </wp:positionV>
            <wp:extent cx="5621020" cy="635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1">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342" w:lineRule="exact"/>
        <w:rPr>
          <w:sz w:val="20"/>
          <w:szCs w:val="20"/>
          <w:color w:val="auto"/>
        </w:rPr>
      </w:pPr>
    </w:p>
    <w:p>
      <w:pPr>
        <w:ind w:left="1620" w:right="5700" w:hanging="726"/>
        <w:spacing w:after="0" w:line="563" w:lineRule="auto"/>
        <w:tabs>
          <w:tab w:leader="none" w:pos="1620" w:val="left"/>
        </w:tabs>
        <w:numPr>
          <w:ilvl w:val="0"/>
          <w:numId w:val="148"/>
        </w:numPr>
        <w:rPr>
          <w:rFonts w:ascii="Arial" w:cs="Arial" w:eastAsia="Arial" w:hAnsi="Arial"/>
          <w:sz w:val="19"/>
          <w:szCs w:val="19"/>
          <w:b w:val="1"/>
          <w:bCs w:val="1"/>
          <w:color w:val="153A57"/>
        </w:rPr>
      </w:pPr>
      <w:r>
        <w:rPr>
          <w:rFonts w:ascii="Arial" w:cs="Arial" w:eastAsia="Arial" w:hAnsi="Arial"/>
          <w:sz w:val="19"/>
          <w:szCs w:val="19"/>
          <w:b w:val="1"/>
          <w:bCs w:val="1"/>
          <w:color w:val="153A57"/>
        </w:rPr>
        <w:t xml:space="preserve">CASH AND CASH EQUIVALENTS </w:t>
      </w:r>
      <w:r>
        <w:rPr>
          <w:rFonts w:ascii="Arial" w:cs="Arial" w:eastAsia="Arial" w:hAnsi="Arial"/>
          <w:sz w:val="19"/>
          <w:szCs w:val="19"/>
          <w:b w:val="1"/>
          <w:bCs w:val="1"/>
          <w:i w:val="1"/>
          <w:iCs w:val="1"/>
          <w:color w:val="000000"/>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49530</wp:posOffset>
            </wp:positionV>
            <wp:extent cx="5621020" cy="2857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2">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58" w:lineRule="exact"/>
        <w:rPr>
          <w:sz w:val="20"/>
          <w:szCs w:val="20"/>
          <w:color w:val="auto"/>
        </w:rPr>
      </w:pPr>
    </w:p>
    <w:tbl>
      <w:tblPr>
        <w:tblLayout w:type="fixed"/>
        <w:tblInd w:w="1620" w:type="dxa"/>
        <w:tblCellMar>
          <w:top w:w="0" w:type="dxa"/>
          <w:left w:w="0" w:type="dxa"/>
          <w:bottom w:w="0" w:type="dxa"/>
          <w:right w:w="0" w:type="dxa"/>
        </w:tblCellMar>
      </w:tblPr>
      <w:tr>
        <w:trPr>
          <w:trHeight w:val="295"/>
        </w:trPr>
        <w:tc>
          <w:tcPr>
            <w:tcW w:w="5080" w:type="dxa"/>
            <w:vAlign w:val="bottom"/>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940" w:type="dxa"/>
            <w:vAlign w:val="bottom"/>
            <w:shd w:val="clear" w:color="auto" w:fill="DDDDDD"/>
          </w:tcPr>
          <w:p>
            <w:pPr>
              <w:jc w:val="right"/>
              <w:ind w:right="30"/>
              <w:spacing w:after="0"/>
              <w:rPr>
                <w:sz w:val="20"/>
                <w:szCs w:val="20"/>
                <w:color w:val="auto"/>
              </w:rPr>
            </w:pPr>
            <w:r>
              <w:rPr>
                <w:rFonts w:ascii="Arial" w:cs="Arial" w:eastAsia="Arial" w:hAnsi="Arial"/>
                <w:sz w:val="18"/>
                <w:szCs w:val="18"/>
                <w:b w:val="1"/>
                <w:bCs w:val="1"/>
                <w:color w:val="auto"/>
              </w:rPr>
              <w:t>December 31, 2025</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December 31, 2</w:t>
            </w:r>
          </w:p>
        </w:tc>
      </w:tr>
      <w:tr>
        <w:trPr>
          <w:trHeight w:val="36"/>
        </w:trPr>
        <w:tc>
          <w:tcPr>
            <w:tcW w:w="5080" w:type="dxa"/>
            <w:vAlign w:val="bottom"/>
          </w:tcPr>
          <w:p>
            <w:pPr>
              <w:spacing w:after="0"/>
              <w:rPr>
                <w:sz w:val="3"/>
                <w:szCs w:val="3"/>
                <w:color w:val="auto"/>
              </w:rPr>
            </w:pPr>
          </w:p>
        </w:tc>
        <w:tc>
          <w:tcPr>
            <w:tcW w:w="80" w:type="dxa"/>
            <w:vAlign w:val="bottom"/>
            <w:shd w:val="clear" w:color="auto" w:fill="DDDDDD"/>
          </w:tcPr>
          <w:p>
            <w:pPr>
              <w:spacing w:after="0"/>
              <w:rPr>
                <w:sz w:val="3"/>
                <w:szCs w:val="3"/>
                <w:color w:val="auto"/>
              </w:rPr>
            </w:pPr>
          </w:p>
        </w:tc>
        <w:tc>
          <w:tcPr>
            <w:tcW w:w="1940" w:type="dxa"/>
            <w:vAlign w:val="bottom"/>
            <w:shd w:val="clear" w:color="auto" w:fill="DDDDDD"/>
          </w:tcPr>
          <w:p>
            <w:pPr>
              <w:spacing w:after="0"/>
              <w:rPr>
                <w:sz w:val="3"/>
                <w:szCs w:val="3"/>
                <w:color w:val="auto"/>
              </w:rPr>
            </w:pPr>
          </w:p>
        </w:tc>
        <w:tc>
          <w:tcPr>
            <w:tcW w:w="1740" w:type="dxa"/>
            <w:vAlign w:val="bottom"/>
          </w:tcPr>
          <w:p>
            <w:pPr>
              <w:spacing w:after="0"/>
              <w:rPr>
                <w:sz w:val="3"/>
                <w:szCs w:val="3"/>
                <w:color w:val="auto"/>
              </w:rPr>
            </w:pPr>
          </w:p>
        </w:tc>
      </w:tr>
      <w:tr>
        <w:trPr>
          <w:trHeight w:val="250"/>
        </w:trPr>
        <w:tc>
          <w:tcPr>
            <w:tcW w:w="5080" w:type="dxa"/>
            <w:vAlign w:val="bottom"/>
          </w:tcPr>
          <w:p>
            <w:pPr>
              <w:spacing w:after="0"/>
              <w:rPr>
                <w:sz w:val="21"/>
                <w:szCs w:val="21"/>
                <w:color w:val="auto"/>
              </w:rPr>
            </w:pPr>
          </w:p>
        </w:tc>
        <w:tc>
          <w:tcPr>
            <w:tcW w:w="2020" w:type="dxa"/>
            <w:vAlign w:val="bottom"/>
            <w:gridSpan w:val="2"/>
            <w:shd w:val="clear" w:color="auto" w:fill="DDDDDD"/>
          </w:tcPr>
          <w:p>
            <w:pPr>
              <w:jc w:val="right"/>
              <w:ind w:right="30"/>
              <w:spacing w:after="0"/>
              <w:rPr>
                <w:sz w:val="20"/>
                <w:szCs w:val="20"/>
                <w:color w:val="auto"/>
              </w:rPr>
            </w:pPr>
            <w:r>
              <w:rPr>
                <w:rFonts w:ascii="Arial" w:cs="Arial" w:eastAsia="Arial" w:hAnsi="Arial"/>
                <w:sz w:val="18"/>
                <w:szCs w:val="18"/>
                <w:b w:val="1"/>
                <w:bCs w:val="1"/>
                <w:color w:val="auto"/>
              </w:rPr>
              <w:t>$</w:t>
            </w:r>
          </w:p>
        </w:tc>
        <w:tc>
          <w:tcPr>
            <w:tcW w:w="1740" w:type="dxa"/>
            <w:vAlign w:val="bottom"/>
          </w:tcPr>
          <w:p>
            <w:pPr>
              <w:spacing w:after="0"/>
              <w:rPr>
                <w:sz w:val="21"/>
                <w:szCs w:val="21"/>
                <w:color w:val="auto"/>
              </w:rPr>
            </w:pPr>
          </w:p>
        </w:tc>
      </w:tr>
      <w:tr>
        <w:trPr>
          <w:trHeight w:val="46"/>
        </w:trPr>
        <w:tc>
          <w:tcPr>
            <w:tcW w:w="5080" w:type="dxa"/>
            <w:vAlign w:val="bottom"/>
          </w:tcPr>
          <w:p>
            <w:pPr>
              <w:spacing w:after="0"/>
              <w:rPr>
                <w:sz w:val="4"/>
                <w:szCs w:val="4"/>
                <w:color w:val="auto"/>
              </w:rPr>
            </w:pPr>
          </w:p>
        </w:tc>
        <w:tc>
          <w:tcPr>
            <w:tcW w:w="80" w:type="dxa"/>
            <w:vAlign w:val="bottom"/>
            <w:shd w:val="clear" w:color="auto" w:fill="DDDDDD"/>
          </w:tcPr>
          <w:p>
            <w:pPr>
              <w:spacing w:after="0"/>
              <w:rPr>
                <w:sz w:val="4"/>
                <w:szCs w:val="4"/>
                <w:color w:val="auto"/>
              </w:rPr>
            </w:pPr>
          </w:p>
        </w:tc>
        <w:tc>
          <w:tcPr>
            <w:tcW w:w="1940" w:type="dxa"/>
            <w:vAlign w:val="bottom"/>
            <w:shd w:val="clear" w:color="auto" w:fill="DDDDDD"/>
          </w:tcPr>
          <w:p>
            <w:pPr>
              <w:spacing w:after="0"/>
              <w:rPr>
                <w:sz w:val="4"/>
                <w:szCs w:val="4"/>
                <w:color w:val="auto"/>
              </w:rPr>
            </w:pPr>
          </w:p>
        </w:tc>
        <w:tc>
          <w:tcPr>
            <w:tcW w:w="1740" w:type="dxa"/>
            <w:vAlign w:val="bottom"/>
          </w:tcPr>
          <w:p>
            <w:pPr>
              <w:spacing w:after="0"/>
              <w:rPr>
                <w:sz w:val="4"/>
                <w:szCs w:val="4"/>
                <w:color w:val="auto"/>
              </w:rPr>
            </w:pPr>
          </w:p>
        </w:tc>
      </w:tr>
      <w:tr>
        <w:trPr>
          <w:trHeight w:val="278"/>
        </w:trPr>
        <w:tc>
          <w:tcPr>
            <w:tcW w:w="5080" w:type="dxa"/>
            <w:vAlign w:val="bottom"/>
          </w:tcPr>
          <w:p>
            <w:pPr>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DDDDDD"/>
          </w:tcPr>
          <w:p>
            <w:pPr>
              <w:spacing w:after="0"/>
              <w:rPr>
                <w:sz w:val="24"/>
                <w:szCs w:val="24"/>
                <w:color w:val="auto"/>
              </w:rPr>
            </w:pPr>
          </w:p>
        </w:tc>
        <w:tc>
          <w:tcPr>
            <w:tcW w:w="19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6,587</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6"/>
        </w:trPr>
        <w:tc>
          <w:tcPr>
            <w:tcW w:w="5080" w:type="dxa"/>
            <w:vAlign w:val="bottom"/>
          </w:tcPr>
          <w:p>
            <w:pPr>
              <w:spacing w:after="0"/>
              <w:rPr>
                <w:sz w:val="3"/>
                <w:szCs w:val="3"/>
                <w:color w:val="auto"/>
              </w:rPr>
            </w:pPr>
          </w:p>
        </w:tc>
        <w:tc>
          <w:tcPr>
            <w:tcW w:w="80" w:type="dxa"/>
            <w:vAlign w:val="bottom"/>
            <w:shd w:val="clear" w:color="auto" w:fill="DDDDDD"/>
          </w:tcPr>
          <w:p>
            <w:pPr>
              <w:spacing w:after="0"/>
              <w:rPr>
                <w:sz w:val="3"/>
                <w:szCs w:val="3"/>
                <w:color w:val="auto"/>
              </w:rPr>
            </w:pPr>
          </w:p>
        </w:tc>
        <w:tc>
          <w:tcPr>
            <w:tcW w:w="1940" w:type="dxa"/>
            <w:vAlign w:val="bottom"/>
            <w:shd w:val="clear" w:color="auto" w:fill="DDDDDD"/>
          </w:tcPr>
          <w:p>
            <w:pPr>
              <w:spacing w:after="0"/>
              <w:rPr>
                <w:sz w:val="3"/>
                <w:szCs w:val="3"/>
                <w:color w:val="auto"/>
              </w:rPr>
            </w:pPr>
          </w:p>
        </w:tc>
        <w:tc>
          <w:tcPr>
            <w:tcW w:w="1740" w:type="dxa"/>
            <w:vAlign w:val="bottom"/>
          </w:tcPr>
          <w:p>
            <w:pPr>
              <w:spacing w:after="0"/>
              <w:rPr>
                <w:sz w:val="3"/>
                <w:szCs w:val="3"/>
                <w:color w:val="auto"/>
              </w:rPr>
            </w:pPr>
          </w:p>
        </w:tc>
      </w:tr>
      <w:tr>
        <w:trPr>
          <w:trHeight w:val="278"/>
        </w:trPr>
        <w:tc>
          <w:tcPr>
            <w:tcW w:w="5080" w:type="dxa"/>
            <w:vAlign w:val="bottom"/>
          </w:tcPr>
          <w:p>
            <w:pPr>
              <w:spacing w:after="0"/>
              <w:rPr>
                <w:sz w:val="20"/>
                <w:szCs w:val="20"/>
                <w:color w:val="auto"/>
              </w:rPr>
            </w:pPr>
            <w:r>
              <w:rPr>
                <w:rFonts w:ascii="Arial" w:cs="Arial" w:eastAsia="Arial" w:hAnsi="Arial"/>
                <w:sz w:val="18"/>
                <w:szCs w:val="18"/>
                <w:color w:val="auto"/>
              </w:rPr>
              <w:t>Cash equivalents</w:t>
            </w:r>
          </w:p>
        </w:tc>
        <w:tc>
          <w:tcPr>
            <w:tcW w:w="80" w:type="dxa"/>
            <w:vAlign w:val="bottom"/>
            <w:shd w:val="clear" w:color="auto" w:fill="DDDDDD"/>
          </w:tcPr>
          <w:p>
            <w:pPr>
              <w:spacing w:after="0"/>
              <w:rPr>
                <w:sz w:val="24"/>
                <w:szCs w:val="24"/>
                <w:color w:val="auto"/>
              </w:rPr>
            </w:pPr>
          </w:p>
        </w:tc>
        <w:tc>
          <w:tcPr>
            <w:tcW w:w="19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54,547</w:t>
            </w:r>
          </w:p>
        </w:tc>
        <w:tc>
          <w:tcPr>
            <w:tcW w:w="17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6"/>
        </w:trPr>
        <w:tc>
          <w:tcPr>
            <w:tcW w:w="5080" w:type="dxa"/>
            <w:vAlign w:val="bottom"/>
          </w:tcPr>
          <w:p>
            <w:pPr>
              <w:spacing w:after="0"/>
              <w:rPr>
                <w:sz w:val="4"/>
                <w:szCs w:val="4"/>
                <w:color w:val="auto"/>
              </w:rPr>
            </w:pPr>
          </w:p>
        </w:tc>
        <w:tc>
          <w:tcPr>
            <w:tcW w:w="80" w:type="dxa"/>
            <w:vAlign w:val="bottom"/>
            <w:shd w:val="clear" w:color="auto" w:fill="DDDDDD"/>
          </w:tcPr>
          <w:p>
            <w:pPr>
              <w:spacing w:after="0"/>
              <w:rPr>
                <w:sz w:val="4"/>
                <w:szCs w:val="4"/>
                <w:color w:val="auto"/>
              </w:rPr>
            </w:pPr>
          </w:p>
        </w:tc>
        <w:tc>
          <w:tcPr>
            <w:tcW w:w="1940" w:type="dxa"/>
            <w:vAlign w:val="bottom"/>
            <w:shd w:val="clear" w:color="auto" w:fill="DDDDDD"/>
          </w:tcPr>
          <w:p>
            <w:pPr>
              <w:spacing w:after="0"/>
              <w:rPr>
                <w:sz w:val="4"/>
                <w:szCs w:val="4"/>
                <w:color w:val="auto"/>
              </w:rPr>
            </w:pPr>
          </w:p>
        </w:tc>
        <w:tc>
          <w:tcPr>
            <w:tcW w:w="174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-411480</wp:posOffset>
            </wp:positionV>
            <wp:extent cx="5621020" cy="635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3">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-5715</wp:posOffset>
            </wp:positionV>
            <wp:extent cx="5621020" cy="635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4">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7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26 / 40</w:t>
      </w:r>
    </w:p>
    <w:p>
      <w:pPr>
        <w:sectPr>
          <w:pgSz w:w="11900" w:h="16838" w:orient="portrait"/>
          <w:cols w:equalWidth="0" w:num="1">
            <w:col w:w="10460"/>
          </w:cols>
          <w:pgMar w:left="1440" w:top="1440" w:right="6" w:bottom="0" w:gutter="0" w:footer="0" w:header="0"/>
          <w:type w:val="continuous"/>
        </w:sectPr>
      </w:pPr>
    </w:p>
    <w:bookmarkStart w:id="410" w:name="page411"/>
    <w:bookmarkEnd w:id="410"/>
    <w:tbl>
      <w:tblPr>
        <w:tblLayout w:type="fixed"/>
        <w:tblInd w:w="1620" w:type="dxa"/>
        <w:tblCellMar>
          <w:top w:w="0" w:type="dxa"/>
          <w:left w:w="0" w:type="dxa"/>
          <w:bottom w:w="0" w:type="dxa"/>
          <w:right w:w="0" w:type="dxa"/>
        </w:tblCellMar>
      </w:tblPr>
      <w:tr>
        <w:trPr>
          <w:trHeight w:val="304"/>
        </w:trPr>
        <w:tc>
          <w:tcPr>
            <w:tcW w:w="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8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61,134</w:t>
            </w:r>
          </w:p>
        </w:tc>
        <w:tc>
          <w:tcPr>
            <w:tcW w:w="100" w:type="dxa"/>
            <w:vAlign w:val="bottom"/>
            <w:tcBorders>
              <w:bottom w:val="single" w:sz="8" w:color="DDDDDD"/>
            </w:tcBorders>
            <w:shd w:val="clear" w:color="auto" w:fill="DDDDDD"/>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85,</w:t>
            </w:r>
          </w:p>
        </w:tc>
      </w:tr>
      <w:tr>
        <w:trPr>
          <w:trHeight w:val="591"/>
        </w:trPr>
        <w:tc>
          <w:tcPr>
            <w:tcW w:w="960" w:type="dxa"/>
            <w:vAlign w:val="bottom"/>
          </w:tcPr>
          <w:p>
            <w:pPr>
              <w:spacing w:after="0"/>
              <w:rPr>
                <w:sz w:val="20"/>
                <w:szCs w:val="20"/>
                <w:color w:val="auto"/>
              </w:rPr>
            </w:pPr>
            <w:r>
              <w:rPr>
                <w:rFonts w:ascii="Arial" w:cs="Arial" w:eastAsia="Arial" w:hAnsi="Arial"/>
                <w:sz w:val="20"/>
                <w:szCs w:val="20"/>
                <w:color w:val="auto"/>
              </w:rPr>
              <w:t>As</w:t>
            </w:r>
          </w:p>
        </w:tc>
        <w:tc>
          <w:tcPr>
            <w:tcW w:w="1620" w:type="dxa"/>
            <w:vAlign w:val="bottom"/>
          </w:tcPr>
          <w:p>
            <w:pPr>
              <w:ind w:left="720"/>
              <w:spacing w:after="0"/>
              <w:rPr>
                <w:sz w:val="20"/>
                <w:szCs w:val="20"/>
                <w:color w:val="auto"/>
              </w:rPr>
            </w:pPr>
            <w:r>
              <w:rPr>
                <w:rFonts w:ascii="Arial" w:cs="Arial" w:eastAsia="Arial" w:hAnsi="Arial"/>
                <w:sz w:val="20"/>
                <w:szCs w:val="20"/>
                <w:color w:val="auto"/>
              </w:rPr>
              <w:t>at</w:t>
            </w:r>
          </w:p>
        </w:tc>
        <w:tc>
          <w:tcPr>
            <w:tcW w:w="2500" w:type="dxa"/>
            <w:vAlign w:val="bottom"/>
          </w:tcPr>
          <w:p>
            <w:pPr>
              <w:ind w:left="720"/>
              <w:spacing w:after="0"/>
              <w:rPr>
                <w:sz w:val="20"/>
                <w:szCs w:val="20"/>
                <w:color w:val="auto"/>
              </w:rPr>
            </w:pPr>
            <w:r>
              <w:rPr>
                <w:rFonts w:ascii="Arial" w:cs="Arial" w:eastAsia="Arial" w:hAnsi="Arial"/>
                <w:sz w:val="20"/>
                <w:szCs w:val="20"/>
                <w:color w:val="auto"/>
              </w:rPr>
              <w:t>December</w:t>
            </w:r>
          </w:p>
        </w:tc>
        <w:tc>
          <w:tcPr>
            <w:tcW w:w="1920" w:type="dxa"/>
            <w:vAlign w:val="bottom"/>
            <w:gridSpan w:val="2"/>
          </w:tcPr>
          <w:p>
            <w:pPr>
              <w:jc w:val="right"/>
              <w:ind w:right="970"/>
              <w:spacing w:after="0"/>
              <w:rPr>
                <w:sz w:val="20"/>
                <w:szCs w:val="20"/>
                <w:color w:val="auto"/>
              </w:rPr>
            </w:pPr>
            <w:r>
              <w:rPr>
                <w:rFonts w:ascii="Arial" w:cs="Arial" w:eastAsia="Arial" w:hAnsi="Arial"/>
                <w:sz w:val="20"/>
                <w:szCs w:val="20"/>
                <w:color w:val="auto"/>
              </w:rPr>
              <w:t>31,</w:t>
            </w:r>
          </w:p>
        </w:tc>
        <w:tc>
          <w:tcPr>
            <w:tcW w:w="1840" w:type="dxa"/>
            <w:vAlign w:val="bottom"/>
            <w:gridSpan w:val="2"/>
          </w:tcPr>
          <w:p>
            <w:pPr>
              <w:jc w:val="right"/>
              <w:ind w:right="850"/>
              <w:spacing w:after="0"/>
              <w:rPr>
                <w:sz w:val="20"/>
                <w:szCs w:val="20"/>
                <w:color w:val="auto"/>
              </w:rPr>
            </w:pPr>
            <w:r>
              <w:rPr>
                <w:rFonts w:ascii="Arial" w:cs="Arial" w:eastAsia="Arial" w:hAnsi="Arial"/>
                <w:sz w:val="20"/>
                <w:szCs w:val="20"/>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-381000</wp:posOffset>
            </wp:positionV>
            <wp:extent cx="5621020" cy="635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5">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59" w:lineRule="exact"/>
        <w:rPr>
          <w:sz w:val="20"/>
          <w:szCs w:val="20"/>
          <w:color w:val="auto"/>
        </w:rPr>
      </w:pPr>
    </w:p>
    <w:p>
      <w:pPr>
        <w:jc w:val="both"/>
        <w:ind w:left="1620"/>
        <w:spacing w:after="0" w:line="312" w:lineRule="auto"/>
        <w:rPr>
          <w:sz w:val="20"/>
          <w:szCs w:val="20"/>
          <w:color w:val="auto"/>
        </w:rPr>
      </w:pPr>
      <w:r>
        <w:rPr>
          <w:rFonts w:ascii="Arial" w:cs="Arial" w:eastAsia="Arial" w:hAnsi="Arial"/>
          <w:sz w:val="20"/>
          <w:szCs w:val="20"/>
          <w:color w:val="auto"/>
        </w:rPr>
        <w:t>$65 of cash and cash equivalents was held in Canadian dollars (December 31, 2024 – $156), $59,1 US dollars (December 31, 2024 – $85,289), $1,872 were held in Argentine Pesos (December 31, 20 $98), and $45 in Swiss Francs (December 31, 2024 - $Nil). During the year ended December 31, 2 cash and cash equivalents generated an interest income of $2,841 (2024 – $4,217).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235585</wp:posOffset>
            </wp:positionV>
            <wp:extent cx="1676400" cy="1905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6">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33"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27 / 40</w:t>
      </w:r>
    </w:p>
    <w:p>
      <w:pPr>
        <w:sectPr>
          <w:pgSz w:w="11900" w:h="16838" w:orient="portrait"/>
          <w:cols w:equalWidth="0" w:num="1">
            <w:col w:w="10460"/>
          </w:cols>
          <w:pgMar w:left="1440" w:top="1133" w:right="6" w:bottom="0" w:gutter="0" w:footer="0" w:header="0"/>
          <w:type w:val="continuous"/>
        </w:sectPr>
      </w:pPr>
    </w:p>
    <w:bookmarkStart w:id="411" w:name="page412"/>
    <w:bookmarkEnd w:id="4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43" w:lineRule="exact"/>
        <w:rPr>
          <w:sz w:val="20"/>
          <w:szCs w:val="20"/>
          <w:color w:val="auto"/>
        </w:rPr>
      </w:pPr>
    </w:p>
    <w:p>
      <w:pPr>
        <w:ind w:left="1620" w:hanging="726"/>
        <w:spacing w:after="0"/>
        <w:tabs>
          <w:tab w:leader="none" w:pos="1620" w:val="left"/>
        </w:tabs>
        <w:numPr>
          <w:ilvl w:val="0"/>
          <w:numId w:val="149"/>
        </w:numPr>
        <w:rPr>
          <w:rFonts w:ascii="Arial" w:cs="Arial" w:eastAsia="Arial" w:hAnsi="Arial"/>
          <w:sz w:val="20"/>
          <w:szCs w:val="20"/>
          <w:b w:val="1"/>
          <w:bCs w:val="1"/>
          <w:color w:val="153A57"/>
        </w:rPr>
      </w:pPr>
      <w:r>
        <w:rPr>
          <w:rFonts w:ascii="Arial" w:cs="Arial" w:eastAsia="Arial" w:hAnsi="Arial"/>
          <w:sz w:val="20"/>
          <w:szCs w:val="20"/>
          <w:b w:val="1"/>
          <w:bCs w:val="1"/>
          <w:color w:val="153A57"/>
        </w:rPr>
        <w:t>INVESTMENT IN SAL DE LA PUNA JOINT VENTURE</w:t>
      </w:r>
    </w:p>
    <w:p>
      <w:pPr>
        <w:spacing w:after="0" w:line="293" w:lineRule="exact"/>
        <w:rPr>
          <w:rFonts w:ascii="Arial" w:cs="Arial" w:eastAsia="Arial" w:hAnsi="Arial"/>
          <w:sz w:val="20"/>
          <w:szCs w:val="20"/>
          <w:b w:val="1"/>
          <w:bCs w:val="1"/>
          <w:color w:val="153A57"/>
        </w:rPr>
      </w:pPr>
    </w:p>
    <w:p>
      <w:pPr>
        <w:ind w:left="1620"/>
        <w:spacing w:after="0" w:line="312" w:lineRule="auto"/>
        <w:rPr>
          <w:rFonts w:ascii="Arial" w:cs="Arial" w:eastAsia="Arial" w:hAnsi="Arial"/>
          <w:sz w:val="20"/>
          <w:szCs w:val="20"/>
          <w:b w:val="1"/>
          <w:bCs w:val="1"/>
          <w:color w:val="153A57"/>
        </w:rPr>
      </w:pPr>
      <w:r>
        <w:rPr>
          <w:rFonts w:ascii="Arial" w:cs="Arial" w:eastAsia="Arial" w:hAnsi="Arial"/>
          <w:sz w:val="20"/>
          <w:szCs w:val="20"/>
          <w:color w:val="auto"/>
        </w:rPr>
        <w:t>On April 20, 2023, the Company completed the acquisition of Arena Minerals that owns 65% of Sal Puna through a joint venture interest in Sal de la Puna Holdings S.a.r.l, the 100% owner of Arge entity, Puna Argentina S.A.U. (“PASA”), the owner of the claims forming part of the Sal del la Project.</w:t>
      </w:r>
    </w:p>
    <w:p>
      <w:pPr>
        <w:spacing w:after="0" w:line="313" w:lineRule="exact"/>
        <w:rPr>
          <w:sz w:val="20"/>
          <w:szCs w:val="20"/>
          <w:color w:val="auto"/>
        </w:rPr>
      </w:pPr>
    </w:p>
    <w:p>
      <w:pPr>
        <w:jc w:val="both"/>
        <w:ind w:left="1620"/>
        <w:spacing w:after="0" w:line="312" w:lineRule="auto"/>
        <w:rPr>
          <w:sz w:val="20"/>
          <w:szCs w:val="20"/>
          <w:color w:val="auto"/>
        </w:rPr>
      </w:pPr>
      <w:r>
        <w:rPr>
          <w:rFonts w:ascii="Arial" w:cs="Arial" w:eastAsia="Arial" w:hAnsi="Arial"/>
          <w:sz w:val="20"/>
          <w:szCs w:val="20"/>
          <w:color w:val="auto"/>
        </w:rPr>
        <w:t>The remaining 35% of Sal de la Puna Holdings S.a.r.l. is owned by joint venture partner Ganfeng Energy Technology Development (Suzhou) Co., Ltd. Therefore, after the acquisition of Arena Min the Company holds a 65% ownership interest in the Sal de la Puna Project covering approxim 13,852 hectares of the Pastos Grandes Basin.</w:t>
      </w:r>
    </w:p>
    <w:p>
      <w:pPr>
        <w:spacing w:after="0" w:line="205" w:lineRule="exact"/>
        <w:rPr>
          <w:sz w:val="20"/>
          <w:szCs w:val="20"/>
          <w:color w:val="auto"/>
        </w:rPr>
      </w:pPr>
    </w:p>
    <w:p>
      <w:pPr>
        <w:ind w:left="1620"/>
        <w:spacing w:after="0"/>
        <w:tabs>
          <w:tab w:leader="none" w:pos="5940" w:val="left"/>
        </w:tabs>
        <w:rPr>
          <w:sz w:val="20"/>
          <w:szCs w:val="20"/>
          <w:color w:val="auto"/>
        </w:rPr>
      </w:pPr>
      <w:r>
        <w:rPr>
          <w:rFonts w:ascii="Arial" w:cs="Arial" w:eastAsia="Arial" w:hAnsi="Arial"/>
          <w:sz w:val="20"/>
          <w:szCs w:val="20"/>
          <w:color w:val="auto"/>
        </w:rPr>
        <w:t>The</w:t>
      </w:r>
      <w:r>
        <w:rPr>
          <w:sz w:val="20"/>
          <w:szCs w:val="20"/>
          <w:color w:val="auto"/>
        </w:rPr>
        <w:tab/>
      </w:r>
      <w:r>
        <w:rPr>
          <w:rFonts w:ascii="Arial" w:cs="Arial" w:eastAsia="Arial" w:hAnsi="Arial"/>
          <w:sz w:val="20"/>
          <w:szCs w:val="20"/>
          <w:color w:val="auto"/>
        </w:rPr>
        <w:t>Company’s</w:t>
      </w:r>
    </w:p>
    <w:p>
      <w:pPr>
        <w:spacing w:after="0" w:line="79" w:lineRule="exact"/>
        <w:rPr>
          <w:sz w:val="20"/>
          <w:szCs w:val="20"/>
          <w:color w:val="auto"/>
        </w:rPr>
      </w:pPr>
    </w:p>
    <w:p>
      <w:pPr>
        <w:jc w:val="both"/>
        <w:ind w:left="1620"/>
        <w:spacing w:after="0" w:line="307" w:lineRule="auto"/>
        <w:rPr>
          <w:sz w:val="20"/>
          <w:szCs w:val="20"/>
          <w:color w:val="auto"/>
        </w:rPr>
      </w:pPr>
      <w:r>
        <w:rPr>
          <w:rFonts w:ascii="Arial" w:cs="Arial" w:eastAsia="Arial" w:hAnsi="Arial"/>
          <w:sz w:val="20"/>
          <w:szCs w:val="20"/>
          <w:color w:val="auto"/>
        </w:rPr>
        <w:t>65% ownership interest in Sal de la Puna is a joint venture and is accounted for using the equity me of accounting. Changes in the investment balance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196215</wp:posOffset>
            </wp:positionV>
            <wp:extent cx="5621020" cy="2857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8">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620" w:type="dxa"/>
        <w:tblCellMar>
          <w:top w:w="0" w:type="dxa"/>
          <w:left w:w="0" w:type="dxa"/>
          <w:bottom w:w="0" w:type="dxa"/>
          <w:right w:w="0" w:type="dxa"/>
        </w:tblCellMar>
      </w:tblPr>
      <w:tr>
        <w:trPr>
          <w:trHeight w:val="215"/>
        </w:trPr>
        <w:tc>
          <w:tcPr>
            <w:tcW w:w="6460" w:type="dxa"/>
            <w:vAlign w:val="bottom"/>
          </w:tcPr>
          <w:p>
            <w:pPr>
              <w:spacing w:after="0"/>
              <w:rPr>
                <w:sz w:val="20"/>
                <w:szCs w:val="20"/>
                <w:color w:val="auto"/>
              </w:rPr>
            </w:pPr>
            <w:r>
              <w:rPr>
                <w:rFonts w:ascii="Arial" w:cs="Arial" w:eastAsia="Arial" w:hAnsi="Arial"/>
                <w:sz w:val="18"/>
                <w:szCs w:val="18"/>
                <w:color w:val="auto"/>
              </w:rPr>
              <w:t>Investment in Sal de la Puna, as at December 31, 2023</w:t>
            </w:r>
          </w:p>
        </w:tc>
        <w:tc>
          <w:tcPr>
            <w:tcW w:w="23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324"/>
        </w:trPr>
        <w:tc>
          <w:tcPr>
            <w:tcW w:w="6460" w:type="dxa"/>
            <w:vAlign w:val="bottom"/>
          </w:tcPr>
          <w:p>
            <w:pPr>
              <w:spacing w:after="0"/>
              <w:rPr>
                <w:sz w:val="20"/>
                <w:szCs w:val="20"/>
                <w:color w:val="auto"/>
              </w:rPr>
            </w:pPr>
            <w:r>
              <w:rPr>
                <w:rFonts w:ascii="Arial" w:cs="Arial" w:eastAsia="Arial" w:hAnsi="Arial"/>
                <w:sz w:val="18"/>
                <w:szCs w:val="18"/>
                <w:color w:val="auto"/>
              </w:rPr>
              <w:t>Contribution to investment in Sal de la Puna</w:t>
            </w:r>
          </w:p>
        </w:tc>
        <w:tc>
          <w:tcPr>
            <w:tcW w:w="2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4"/>
        </w:trPr>
        <w:tc>
          <w:tcPr>
            <w:tcW w:w="6460" w:type="dxa"/>
            <w:vAlign w:val="bottom"/>
          </w:tcPr>
          <w:p>
            <w:pPr>
              <w:spacing w:after="0"/>
              <w:rPr>
                <w:sz w:val="20"/>
                <w:szCs w:val="20"/>
                <w:color w:val="auto"/>
              </w:rPr>
            </w:pPr>
            <w:r>
              <w:rPr>
                <w:rFonts w:ascii="Arial" w:cs="Arial" w:eastAsia="Arial" w:hAnsi="Arial"/>
                <w:sz w:val="18"/>
                <w:szCs w:val="18"/>
                <w:color w:val="auto"/>
              </w:rPr>
              <w:t>Share of loss of Sal de la Puna</w:t>
            </w: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6460" w:type="dxa"/>
            <w:vAlign w:val="bottom"/>
          </w:tcPr>
          <w:p>
            <w:pPr>
              <w:spacing w:after="0"/>
              <w:rPr>
                <w:sz w:val="20"/>
                <w:szCs w:val="20"/>
                <w:color w:val="auto"/>
              </w:rPr>
            </w:pPr>
            <w:r>
              <w:rPr>
                <w:rFonts w:ascii="Arial" w:cs="Arial" w:eastAsia="Arial" w:hAnsi="Arial"/>
                <w:sz w:val="18"/>
                <w:szCs w:val="18"/>
                <w:color w:val="auto"/>
              </w:rPr>
              <w:t>Investment in Sal de la Puna, as at December 31, 2024</w:t>
            </w:r>
          </w:p>
        </w:tc>
        <w:tc>
          <w:tcPr>
            <w:tcW w:w="238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46"/>
        </w:trPr>
        <w:tc>
          <w:tcPr>
            <w:tcW w:w="6460" w:type="dxa"/>
            <w:vAlign w:val="bottom"/>
          </w:tcPr>
          <w:p>
            <w:pPr>
              <w:spacing w:after="0"/>
              <w:rPr>
                <w:sz w:val="4"/>
                <w:szCs w:val="4"/>
                <w:color w:val="auto"/>
              </w:rPr>
            </w:pPr>
          </w:p>
        </w:tc>
        <w:tc>
          <w:tcPr>
            <w:tcW w:w="2380" w:type="dxa"/>
            <w:vAlign w:val="bottom"/>
          </w:tcPr>
          <w:p>
            <w:pPr>
              <w:spacing w:after="0"/>
              <w:rPr>
                <w:sz w:val="4"/>
                <w:szCs w:val="4"/>
                <w:color w:val="auto"/>
              </w:rPr>
            </w:pPr>
          </w:p>
        </w:tc>
      </w:tr>
      <w:tr>
        <w:trPr>
          <w:trHeight w:val="278"/>
        </w:trPr>
        <w:tc>
          <w:tcPr>
            <w:tcW w:w="6460" w:type="dxa"/>
            <w:vAlign w:val="bottom"/>
            <w:shd w:val="clear" w:color="auto" w:fill="D9D9D9"/>
          </w:tcPr>
          <w:p>
            <w:pPr>
              <w:spacing w:after="0"/>
              <w:rPr>
                <w:sz w:val="20"/>
                <w:szCs w:val="20"/>
                <w:color w:val="auto"/>
              </w:rPr>
            </w:pPr>
            <w:r>
              <w:rPr>
                <w:rFonts w:ascii="Arial" w:cs="Arial" w:eastAsia="Arial" w:hAnsi="Arial"/>
                <w:sz w:val="18"/>
                <w:szCs w:val="18"/>
                <w:color w:val="auto"/>
              </w:rPr>
              <w:t>Contribution to investment in Sal de la Puna</w:t>
            </w:r>
          </w:p>
        </w:tc>
        <w:tc>
          <w:tcPr>
            <w:tcW w:w="2380" w:type="dxa"/>
            <w:vAlign w:val="bottom"/>
            <w:shd w:val="clear" w:color="auto" w:fill="D9D9D9"/>
          </w:tcPr>
          <w:p>
            <w:pPr>
              <w:spacing w:after="0"/>
              <w:rPr>
                <w:sz w:val="24"/>
                <w:szCs w:val="24"/>
                <w:color w:val="auto"/>
              </w:rPr>
            </w:pPr>
          </w:p>
        </w:tc>
      </w:tr>
      <w:tr>
        <w:trPr>
          <w:trHeight w:val="314"/>
        </w:trPr>
        <w:tc>
          <w:tcPr>
            <w:tcW w:w="6460" w:type="dxa"/>
            <w:vAlign w:val="bottom"/>
            <w:shd w:val="clear" w:color="auto" w:fill="D9D9D9"/>
          </w:tcPr>
          <w:p>
            <w:pPr>
              <w:spacing w:after="0"/>
              <w:rPr>
                <w:sz w:val="20"/>
                <w:szCs w:val="20"/>
                <w:color w:val="auto"/>
              </w:rPr>
            </w:pPr>
            <w:r>
              <w:rPr>
                <w:rFonts w:ascii="Arial" w:cs="Arial" w:eastAsia="Arial" w:hAnsi="Arial"/>
                <w:sz w:val="18"/>
                <w:szCs w:val="18"/>
                <w:color w:val="auto"/>
              </w:rPr>
              <w:t>Share of loss of Sal de la Puna</w:t>
            </w:r>
          </w:p>
        </w:tc>
        <w:tc>
          <w:tcPr>
            <w:tcW w:w="23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6460" w:type="dxa"/>
            <w:vAlign w:val="bottom"/>
            <w:shd w:val="clear" w:color="auto" w:fill="D9D9D9"/>
          </w:tcPr>
          <w:p>
            <w:pPr>
              <w:spacing w:after="0"/>
              <w:rPr>
                <w:sz w:val="20"/>
                <w:szCs w:val="20"/>
                <w:color w:val="auto"/>
              </w:rPr>
            </w:pPr>
            <w:r>
              <w:rPr>
                <w:rFonts w:ascii="Arial" w:cs="Arial" w:eastAsia="Arial" w:hAnsi="Arial"/>
                <w:sz w:val="18"/>
                <w:szCs w:val="18"/>
                <w:color w:val="auto"/>
              </w:rPr>
              <w:t>Investment in Sal de la Puna, as at December 31, 2025</w:t>
            </w:r>
          </w:p>
        </w:tc>
        <w:tc>
          <w:tcPr>
            <w:tcW w:w="23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183,</w:t>
            </w:r>
          </w:p>
        </w:tc>
      </w:tr>
      <w:tr>
        <w:trPr>
          <w:trHeight w:val="46"/>
        </w:trPr>
        <w:tc>
          <w:tcPr>
            <w:tcW w:w="6460" w:type="dxa"/>
            <w:vAlign w:val="bottom"/>
            <w:shd w:val="clear" w:color="auto" w:fill="D9D9D9"/>
          </w:tcPr>
          <w:p>
            <w:pPr>
              <w:spacing w:after="0"/>
              <w:rPr>
                <w:sz w:val="4"/>
                <w:szCs w:val="4"/>
                <w:color w:val="auto"/>
              </w:rPr>
            </w:pPr>
          </w:p>
        </w:tc>
        <w:tc>
          <w:tcPr>
            <w:tcW w:w="2380" w:type="dxa"/>
            <w:vAlign w:val="bottom"/>
            <w:shd w:val="clear" w:color="auto" w:fill="D9D9D9"/>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-1228725</wp:posOffset>
            </wp:positionV>
            <wp:extent cx="5621020" cy="63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9">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-823595</wp:posOffset>
            </wp:positionV>
            <wp:extent cx="5621020" cy="635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0">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-617220</wp:posOffset>
            </wp:positionV>
            <wp:extent cx="5621020" cy="635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1">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-211455</wp:posOffset>
            </wp:positionV>
            <wp:extent cx="5621020" cy="635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2">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-5715</wp:posOffset>
            </wp:positionV>
            <wp:extent cx="5621020" cy="63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3">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313"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The following is the condensed financial information of Sal de la Puna Holdings S.a.r.l. on a 100%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236220</wp:posOffset>
            </wp:positionV>
            <wp:extent cx="5621020" cy="2857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4">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-182245</wp:posOffset>
            </wp:positionV>
            <wp:extent cx="3121025" cy="63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5">
                      <a:extLst>
                        <a:ext uri="{28A0092B-C50C-407E-A947-70E740481C1C}"/>
                      </a:extLst>
                    </a:blip>
                    <a:srcRect/>
                    <a:stretch>
                      <a:fillRect/>
                    </a:stretch>
                  </pic:blipFill>
                  <pic:spPr bwMode="auto">
                    <a:xfrm>
                      <a:off x="0" y="0"/>
                      <a:ext cx="3121025" cy="6350"/>
                    </a:xfrm>
                    <a:prstGeom prst="rect">
                      <a:avLst/>
                    </a:prstGeom>
                    <a:noFill/>
                  </pic:spPr>
                </pic:pic>
              </a:graphicData>
            </a:graphic>
          </wp:anchor>
        </w:drawing>
      </w:r>
    </w:p>
    <w:p>
      <w:pPr>
        <w:spacing w:after="0" w:line="9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Non-current assets (including PPA adjustments)</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Current liabilities</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Net assets</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5"/>
        </w:trPr>
        <w:tc>
          <w:tcPr>
            <w:tcW w:w="2280" w:type="dxa"/>
            <w:vAlign w:val="bottom"/>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December 31, 2025</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December 31, 2</w:t>
            </w:r>
          </w:p>
        </w:tc>
      </w:tr>
      <w:tr>
        <w:trPr>
          <w:trHeight w:val="36"/>
        </w:trPr>
        <w:tc>
          <w:tcPr>
            <w:tcW w:w="2280" w:type="dxa"/>
            <w:vAlign w:val="bottom"/>
            <w:shd w:val="clear" w:color="auto" w:fill="D9D9D9"/>
          </w:tcPr>
          <w:p>
            <w:pPr>
              <w:spacing w:after="0"/>
              <w:rPr>
                <w:sz w:val="3"/>
                <w:szCs w:val="3"/>
                <w:color w:val="auto"/>
              </w:rPr>
            </w:pPr>
          </w:p>
        </w:tc>
        <w:tc>
          <w:tcPr>
            <w:tcW w:w="1560" w:type="dxa"/>
            <w:vAlign w:val="bottom"/>
          </w:tcPr>
          <w:p>
            <w:pPr>
              <w:spacing w:after="0"/>
              <w:rPr>
                <w:sz w:val="3"/>
                <w:szCs w:val="3"/>
                <w:color w:val="auto"/>
              </w:rPr>
            </w:pPr>
          </w:p>
        </w:tc>
      </w:tr>
      <w:tr>
        <w:trPr>
          <w:trHeight w:val="250"/>
        </w:trPr>
        <w:tc>
          <w:tcPr>
            <w:tcW w:w="2280" w:type="dxa"/>
            <w:vAlign w:val="bottom"/>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spacing w:after="0"/>
              <w:rPr>
                <w:sz w:val="21"/>
                <w:szCs w:val="21"/>
                <w:color w:val="auto"/>
              </w:rPr>
            </w:pPr>
          </w:p>
        </w:tc>
      </w:tr>
      <w:tr>
        <w:trPr>
          <w:trHeight w:val="46"/>
        </w:trPr>
        <w:tc>
          <w:tcPr>
            <w:tcW w:w="2280" w:type="dxa"/>
            <w:vAlign w:val="bottom"/>
            <w:shd w:val="clear" w:color="auto" w:fill="D9D9D9"/>
          </w:tcPr>
          <w:p>
            <w:pPr>
              <w:spacing w:after="0"/>
              <w:rPr>
                <w:sz w:val="4"/>
                <w:szCs w:val="4"/>
                <w:color w:val="auto"/>
              </w:rPr>
            </w:pPr>
          </w:p>
        </w:tc>
        <w:tc>
          <w:tcPr>
            <w:tcW w:w="1560" w:type="dxa"/>
            <w:vAlign w:val="bottom"/>
          </w:tcPr>
          <w:p>
            <w:pPr>
              <w:spacing w:after="0"/>
              <w:rPr>
                <w:sz w:val="4"/>
                <w:szCs w:val="4"/>
                <w:color w:val="auto"/>
              </w:rPr>
            </w:pPr>
          </w:p>
        </w:tc>
      </w:tr>
      <w:tr>
        <w:trPr>
          <w:trHeight w:val="270"/>
        </w:trPr>
        <w:tc>
          <w:tcPr>
            <w:tcW w:w="228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1,562</w:t>
            </w: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5"/>
        </w:trPr>
        <w:tc>
          <w:tcPr>
            <w:tcW w:w="2280" w:type="dxa"/>
            <w:vAlign w:val="bottom"/>
            <w:shd w:val="clear" w:color="auto" w:fill="D9D9D9"/>
          </w:tcPr>
          <w:p>
            <w:pPr>
              <w:spacing w:after="0"/>
              <w:rPr>
                <w:sz w:val="3"/>
                <w:szCs w:val="3"/>
                <w:color w:val="auto"/>
              </w:rPr>
            </w:pPr>
          </w:p>
        </w:tc>
        <w:tc>
          <w:tcPr>
            <w:tcW w:w="1560" w:type="dxa"/>
            <w:vAlign w:val="bottom"/>
          </w:tcPr>
          <w:p>
            <w:pPr>
              <w:spacing w:after="0"/>
              <w:rPr>
                <w:sz w:val="3"/>
                <w:szCs w:val="3"/>
                <w:color w:val="auto"/>
              </w:rPr>
            </w:pPr>
          </w:p>
        </w:tc>
      </w:tr>
      <w:tr>
        <w:trPr>
          <w:trHeight w:val="270"/>
        </w:trPr>
        <w:tc>
          <w:tcPr>
            <w:tcW w:w="228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280,551</w:t>
            </w:r>
          </w:p>
        </w:tc>
        <w:tc>
          <w:tcPr>
            <w:tcW w:w="156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323"/>
        </w:trPr>
        <w:tc>
          <w:tcPr>
            <w:tcW w:w="22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(6)</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6"/>
        </w:trPr>
        <w:tc>
          <w:tcPr>
            <w:tcW w:w="2280" w:type="dxa"/>
            <w:vAlign w:val="bottom"/>
            <w:shd w:val="clear" w:color="auto" w:fill="D9D9D9"/>
          </w:tcPr>
          <w:p>
            <w:pPr>
              <w:spacing w:after="0"/>
              <w:rPr>
                <w:sz w:val="4"/>
                <w:szCs w:val="4"/>
                <w:color w:val="auto"/>
              </w:rPr>
            </w:pPr>
          </w:p>
        </w:tc>
        <w:tc>
          <w:tcPr>
            <w:tcW w:w="1560" w:type="dxa"/>
            <w:vAlign w:val="bottom"/>
          </w:tcPr>
          <w:p>
            <w:pPr>
              <w:spacing w:after="0"/>
              <w:rPr>
                <w:sz w:val="4"/>
                <w:szCs w:val="4"/>
                <w:color w:val="auto"/>
              </w:rPr>
            </w:pPr>
          </w:p>
        </w:tc>
      </w:tr>
      <w:tr>
        <w:trPr>
          <w:trHeight w:val="270"/>
        </w:trPr>
        <w:tc>
          <w:tcPr>
            <w:tcW w:w="228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282,107</w:t>
            </w:r>
          </w:p>
        </w:tc>
        <w:tc>
          <w:tcPr>
            <w:tcW w:w="156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341"/>
        </w:trPr>
        <w:tc>
          <w:tcPr>
            <w:tcW w:w="2280" w:type="dxa"/>
            <w:vAlign w:val="bottom"/>
            <w:shd w:val="clear" w:color="auto" w:fill="D9D9D9"/>
          </w:tcPr>
          <w:p>
            <w:pPr>
              <w:spacing w:after="0"/>
              <w:rPr>
                <w:sz w:val="24"/>
                <w:szCs w:val="24"/>
                <w:color w:val="auto"/>
              </w:rPr>
            </w:pPr>
          </w:p>
        </w:tc>
        <w:tc>
          <w:tcPr>
            <w:tcW w:w="1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-998855</wp:posOffset>
            </wp:positionV>
            <wp:extent cx="2499995" cy="635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6">
                      <a:extLst>
                        <a:ext uri="{28A0092B-C50C-407E-A947-70E740481C1C}"/>
                      </a:extLst>
                    </a:blip>
                    <a:srcRect/>
                    <a:stretch>
                      <a:fillRect/>
                    </a:stretch>
                  </pic:blipFill>
                  <pic:spPr bwMode="auto">
                    <a:xfrm>
                      <a:off x="0" y="0"/>
                      <a:ext cx="249999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-393065</wp:posOffset>
            </wp:positionV>
            <wp:extent cx="2440940" cy="635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7">
                      <a:extLst>
                        <a:ext uri="{28A0092B-C50C-407E-A947-70E740481C1C}"/>
                      </a:extLst>
                    </a:blip>
                    <a:srcRect/>
                    <a:stretch>
                      <a:fillRect/>
                    </a:stretch>
                  </pic:blipFill>
                  <pic:spPr bwMode="auto">
                    <a:xfrm>
                      <a:off x="0" y="0"/>
                      <a:ext cx="244094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-5715</wp:posOffset>
            </wp:positionV>
            <wp:extent cx="2440940" cy="635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8">
                      <a:extLst>
                        <a:ext uri="{28A0092B-C50C-407E-A947-70E740481C1C}"/>
                      </a:extLst>
                    </a:blip>
                    <a:srcRect/>
                    <a:stretch>
                      <a:fillRect/>
                    </a:stretch>
                  </pic:blipFill>
                  <pic:spPr bwMode="auto">
                    <a:xfrm>
                      <a:off x="0" y="0"/>
                      <a:ext cx="2440940" cy="63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900" w:space="720"/>
            <w:col w:w="3840"/>
          </w:cols>
          <w:pgMar w:left="1440" w:top="1440" w:right="6" w:bottom="0" w:gutter="0" w:footer="0" w:header="0"/>
          <w:type w:val="continuous"/>
        </w:sectPr>
      </w:pPr>
    </w:p>
    <w:tbl>
      <w:tblPr>
        <w:tblLayout w:type="fixed"/>
        <w:tblInd w:w="1620" w:type="dxa"/>
        <w:tblCellMar>
          <w:top w:w="0" w:type="dxa"/>
          <w:left w:w="0" w:type="dxa"/>
          <w:bottom w:w="0" w:type="dxa"/>
          <w:right w:w="0" w:type="dxa"/>
        </w:tblCellMar>
      </w:tblPr>
      <w:tr>
        <w:trPr>
          <w:trHeight w:val="258"/>
        </w:trPr>
        <w:tc>
          <w:tcPr>
            <w:tcW w:w="5000" w:type="dxa"/>
            <w:vAlign w:val="bottom"/>
          </w:tcPr>
          <w:p>
            <w:pPr>
              <w:spacing w:after="0"/>
              <w:rPr>
                <w:sz w:val="20"/>
                <w:szCs w:val="20"/>
                <w:color w:val="auto"/>
              </w:rPr>
            </w:pPr>
            <w:r>
              <w:rPr>
                <w:rFonts w:ascii="Arial" w:cs="Arial" w:eastAsia="Arial" w:hAnsi="Arial"/>
                <w:sz w:val="18"/>
                <w:szCs w:val="18"/>
                <w:color w:val="auto"/>
              </w:rPr>
              <w:t>LAR's share of Sal de la Puna's net assets</w:t>
            </w:r>
          </w:p>
        </w:tc>
        <w:tc>
          <w:tcPr>
            <w:tcW w:w="228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183,370</w:t>
            </w:r>
          </w:p>
        </w:tc>
        <w:tc>
          <w:tcPr>
            <w:tcW w:w="15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46"/>
        </w:trPr>
        <w:tc>
          <w:tcPr>
            <w:tcW w:w="5000" w:type="dxa"/>
            <w:vAlign w:val="bottom"/>
          </w:tcPr>
          <w:p>
            <w:pPr>
              <w:spacing w:after="0"/>
              <w:rPr>
                <w:sz w:val="4"/>
                <w:szCs w:val="4"/>
                <w:color w:val="auto"/>
              </w:rPr>
            </w:pPr>
          </w:p>
        </w:tc>
        <w:tc>
          <w:tcPr>
            <w:tcW w:w="2280" w:type="dxa"/>
            <w:vAlign w:val="bottom"/>
            <w:shd w:val="clear" w:color="auto" w:fill="D9D9D9"/>
          </w:tcPr>
          <w:p>
            <w:pPr>
              <w:spacing w:after="0"/>
              <w:rPr>
                <w:sz w:val="4"/>
                <w:szCs w:val="4"/>
                <w:color w:val="auto"/>
              </w:rPr>
            </w:pPr>
          </w:p>
        </w:tc>
        <w:tc>
          <w:tcPr>
            <w:tcW w:w="156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-5715</wp:posOffset>
            </wp:positionV>
            <wp:extent cx="5621020" cy="635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9">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210820</wp:posOffset>
            </wp:positionV>
            <wp:extent cx="5621020" cy="2857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0">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400"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22860</wp:posOffset>
            </wp:positionV>
            <wp:extent cx="2987040" cy="635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1">
                      <a:extLst>
                        <a:ext uri="{28A0092B-C50C-407E-A947-70E740481C1C}"/>
                      </a:extLst>
                    </a:blip>
                    <a:srcRect/>
                    <a:stretch>
                      <a:fillRect/>
                    </a:stretch>
                  </pic:blipFill>
                  <pic:spPr bwMode="auto">
                    <a:xfrm>
                      <a:off x="0" y="0"/>
                      <a:ext cx="2987040" cy="63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28 / 40</w:t>
      </w:r>
    </w:p>
    <w:p>
      <w:pPr>
        <w:sectPr>
          <w:pgSz w:w="11900" w:h="16838" w:orient="portrait"/>
          <w:cols w:equalWidth="0" w:num="1">
            <w:col w:w="10460"/>
          </w:cols>
          <w:pgMar w:left="1440" w:top="1440" w:right="6" w:bottom="0" w:gutter="0" w:footer="0" w:header="0"/>
          <w:type w:val="continuous"/>
        </w:sectPr>
      </w:pPr>
    </w:p>
    <w:bookmarkStart w:id="412" w:name="page413"/>
    <w:bookmarkEnd w:id="4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1939290</wp:posOffset>
            </wp:positionH>
            <wp:positionV relativeFrom="page">
              <wp:posOffset>1083310</wp:posOffset>
            </wp:positionV>
            <wp:extent cx="2633980" cy="635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2">
                      <a:extLst>
                        <a:ext uri="{28A0092B-C50C-407E-A947-70E740481C1C}"/>
                      </a:extLst>
                    </a:blip>
                    <a:srcRect/>
                    <a:stretch>
                      <a:fillRect/>
                    </a:stretch>
                  </pic:blipFill>
                  <pic:spPr bwMode="auto">
                    <a:xfrm>
                      <a:off x="0" y="0"/>
                      <a:ext cx="2633980" cy="6350"/>
                    </a:xfrm>
                    <a:prstGeom prst="rect">
                      <a:avLst/>
                    </a:prstGeom>
                    <a:noFill/>
                  </pic:spPr>
                </pic:pic>
              </a:graphicData>
            </a:graphic>
          </wp:anchor>
        </w:drawing>
      </w:r>
    </w:p>
    <w:p>
      <w:pPr>
        <w:spacing w:after="0" w:line="3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EXPENSES</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Exploration and evaluation expenditures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16510</wp:posOffset>
            </wp:positionV>
            <wp:extent cx="59055" cy="20574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3">
                      <a:extLst>
                        <a:ext uri="{28A0092B-C50C-407E-A947-70E740481C1C}"/>
                      </a:extLst>
                    </a:blip>
                    <a:srcRect/>
                    <a:stretch>
                      <a:fillRect/>
                    </a:stretch>
                  </pic:blipFill>
                  <pic:spPr bwMode="auto">
                    <a:xfrm>
                      <a:off x="0" y="0"/>
                      <a:ext cx="590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Foreign exchange and other (income)/loss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16510</wp:posOffset>
            </wp:positionV>
            <wp:extent cx="59055" cy="2120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4">
                      <a:extLst>
                        <a:ext uri="{28A0092B-C50C-407E-A947-70E740481C1C}"/>
                      </a:extLst>
                    </a:blip>
                    <a:srcRect/>
                    <a:stretch>
                      <a:fillRect/>
                    </a:stretch>
                  </pic:blipFill>
                  <pic:spPr bwMode="auto">
                    <a:xfrm>
                      <a:off x="0" y="0"/>
                      <a:ext cx="59055" cy="212090"/>
                    </a:xfrm>
                    <a:prstGeom prst="rect">
                      <a:avLst/>
                    </a:prstGeom>
                    <a:noFill/>
                  </pic:spPr>
                </pic:pic>
              </a:graphicData>
            </a:graphic>
          </wp:anchor>
        </w:drawing>
      </w:r>
    </w:p>
    <w:p>
      <w:pPr>
        <w:spacing w:after="0" w:line="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472440</wp:posOffset>
            </wp:positionV>
            <wp:extent cx="1676400" cy="1905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5">
                      <a:extLst>
                        <a:ext uri="{28A0092B-C50C-407E-A947-70E740481C1C}"/>
                      </a:extLst>
                    </a:blip>
                    <a:srcRect/>
                    <a:stretch>
                      <a:fillRect/>
                    </a:stretch>
                  </pic:blipFill>
                  <pic:spPr bwMode="auto">
                    <a:xfrm>
                      <a:off x="0" y="0"/>
                      <a:ext cx="1676400" cy="19050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22860</wp:posOffset>
            </wp:positionV>
            <wp:extent cx="2633980" cy="635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6">
                      <a:extLst>
                        <a:ext uri="{28A0092B-C50C-407E-A947-70E740481C1C}"/>
                      </a:extLst>
                    </a:blip>
                    <a:srcRect/>
                    <a:stretch>
                      <a:fillRect/>
                    </a:stretch>
                  </pic:blipFill>
                  <pic:spPr bwMode="auto">
                    <a:xfrm>
                      <a:off x="0" y="0"/>
                      <a:ext cx="26339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4"/>
              </w:rPr>
              <w:t>2025</w:t>
            </w:r>
          </w:p>
        </w:tc>
        <w:tc>
          <w:tcPr>
            <w:tcW w:w="100" w:type="dxa"/>
            <w:vAlign w:val="bottom"/>
          </w:tcPr>
          <w:p>
            <w:pPr>
              <w:spacing w:after="0"/>
              <w:rPr>
                <w:sz w:val="17"/>
                <w:szCs w:val="17"/>
                <w:color w:val="auto"/>
              </w:rPr>
            </w:pPr>
          </w:p>
        </w:tc>
        <w:tc>
          <w:tcPr>
            <w:tcW w:w="2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86"/>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214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4"/>
                <w:szCs w:val="4"/>
                <w:color w:val="auto"/>
              </w:rPr>
            </w:pPr>
          </w:p>
        </w:tc>
        <w:tc>
          <w:tcPr>
            <w:tcW w:w="2140" w:type="dxa"/>
            <w:vAlign w:val="bottom"/>
            <w:vMerge w:val="restart"/>
          </w:tcPr>
          <w:p>
            <w:pPr>
              <w:jc w:val="right"/>
              <w:ind w:right="530"/>
              <w:spacing w:after="0"/>
              <w:rPr>
                <w:sz w:val="20"/>
                <w:szCs w:val="20"/>
                <w:color w:val="auto"/>
              </w:rPr>
            </w:pPr>
            <w:r>
              <w:rPr>
                <w:rFonts w:ascii="Arial" w:cs="Arial" w:eastAsia="Arial" w:hAnsi="Arial"/>
                <w:sz w:val="18"/>
                <w:szCs w:val="18"/>
                <w:color w:val="auto"/>
              </w:rPr>
              <w:t>479</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556"/>
        </w:trPr>
        <w:tc>
          <w:tcPr>
            <w:tcW w:w="420" w:type="dxa"/>
            <w:vAlign w:val="bottom"/>
            <w:vMerge w:val="continue"/>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214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D9D9D9"/>
          </w:tcPr>
          <w:p>
            <w:pPr>
              <w:spacing w:after="0"/>
              <w:rPr>
                <w:sz w:val="24"/>
                <w:szCs w:val="24"/>
                <w:color w:val="auto"/>
              </w:rPr>
            </w:pPr>
          </w:p>
        </w:tc>
        <w:tc>
          <w:tcPr>
            <w:tcW w:w="2140" w:type="dxa"/>
            <w:vAlign w:val="bottom"/>
          </w:tcPr>
          <w:p>
            <w:pPr>
              <w:jc w:val="right"/>
              <w:ind w:right="530"/>
              <w:spacing w:after="0"/>
              <w:rPr>
                <w:sz w:val="20"/>
                <w:szCs w:val="20"/>
                <w:color w:val="auto"/>
              </w:rPr>
            </w:pPr>
            <w:r>
              <w:rPr>
                <w:rFonts w:ascii="Arial" w:cs="Arial" w:eastAsia="Arial" w:hAnsi="Arial"/>
                <w:sz w:val="18"/>
                <w:szCs w:val="18"/>
                <w:color w:val="auto"/>
              </w:rPr>
              <w:t>522</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D9D9D9"/>
          </w:tcPr>
          <w:p>
            <w:pPr>
              <w:spacing w:after="0"/>
              <w:rPr>
                <w:sz w:val="24"/>
                <w:szCs w:val="24"/>
                <w:color w:val="auto"/>
              </w:rPr>
            </w:pPr>
          </w:p>
        </w:tc>
        <w:tc>
          <w:tcPr>
            <w:tcW w:w="2140" w:type="dxa"/>
            <w:vAlign w:val="bottom"/>
          </w:tcPr>
          <w:p>
            <w:pPr>
              <w:jc w:val="right"/>
              <w:ind w:right="530"/>
              <w:spacing w:after="0"/>
              <w:rPr>
                <w:sz w:val="20"/>
                <w:szCs w:val="20"/>
                <w:color w:val="auto"/>
              </w:rPr>
            </w:pPr>
            <w:r>
              <w:rPr>
                <w:rFonts w:ascii="Arial" w:cs="Arial" w:eastAsia="Arial" w:hAnsi="Arial"/>
                <w:sz w:val="18"/>
                <w:szCs w:val="18"/>
                <w:color w:val="auto"/>
              </w:rPr>
              <w:t>1,001</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609"/>
        </w:trPr>
        <w:tc>
          <w:tcPr>
            <w:tcW w:w="4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D9D9D9"/>
          </w:tcPr>
          <w:p>
            <w:pPr>
              <w:jc w:val="right"/>
              <w:spacing w:after="0"/>
              <w:rPr>
                <w:sz w:val="20"/>
                <w:szCs w:val="20"/>
                <w:color w:val="auto"/>
              </w:rPr>
            </w:pPr>
            <w:r>
              <w:rPr>
                <w:rFonts w:ascii="Arial" w:cs="Arial" w:eastAsia="Arial" w:hAnsi="Arial"/>
                <w:sz w:val="16"/>
                <w:szCs w:val="16"/>
                <w:color w:val="auto"/>
                <w:w w:val="74"/>
              </w:rPr>
              <w:t>)</w:t>
            </w:r>
          </w:p>
        </w:tc>
        <w:tc>
          <w:tcPr>
            <w:tcW w:w="2140" w:type="dxa"/>
            <w:vAlign w:val="bottom"/>
          </w:tcPr>
          <w:p>
            <w:pPr>
              <w:jc w:val="right"/>
              <w:ind w:right="450"/>
              <w:spacing w:after="0"/>
              <w:rPr>
                <w:sz w:val="20"/>
                <w:szCs w:val="20"/>
                <w:color w:val="auto"/>
              </w:rPr>
            </w:pPr>
            <w:r>
              <w:rPr>
                <w:rFonts w:ascii="Arial" w:cs="Arial" w:eastAsia="Arial" w:hAnsi="Arial"/>
                <w:sz w:val="18"/>
                <w:szCs w:val="18"/>
                <w:color w:val="auto"/>
              </w:rPr>
              <w:t>(730)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2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D9D9D9"/>
          </w:tcPr>
          <w:p>
            <w:pPr>
              <w:spacing w:after="0"/>
              <w:rPr>
                <w:sz w:val="24"/>
                <w:szCs w:val="24"/>
                <w:color w:val="auto"/>
              </w:rPr>
            </w:pPr>
          </w:p>
        </w:tc>
        <w:tc>
          <w:tcPr>
            <w:tcW w:w="2140" w:type="dxa"/>
            <w:vAlign w:val="bottom"/>
          </w:tcPr>
          <w:p>
            <w:pPr>
              <w:jc w:val="right"/>
              <w:ind w:right="530"/>
              <w:spacing w:after="0"/>
              <w:rPr>
                <w:sz w:val="20"/>
                <w:szCs w:val="20"/>
                <w:color w:val="auto"/>
              </w:rPr>
            </w:pPr>
            <w:r>
              <w:rPr>
                <w:rFonts w:ascii="Arial" w:cs="Arial" w:eastAsia="Arial" w:hAnsi="Arial"/>
                <w:sz w:val="18"/>
                <w:szCs w:val="18"/>
                <w:color w:val="auto"/>
              </w:rPr>
              <w:t>271</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55"/>
        </w:trPr>
        <w:tc>
          <w:tcPr>
            <w:tcW w:w="420" w:type="dxa"/>
            <w:vAlign w:val="bottom"/>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2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-1198245</wp:posOffset>
            </wp:positionV>
            <wp:extent cx="1069340" cy="1993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8">
                      <a:extLst>
                        <a:ext uri="{28A0092B-C50C-407E-A947-70E740481C1C}"/>
                      </a:extLst>
                    </a:blip>
                    <a:srcRect/>
                    <a:stretch>
                      <a:fillRect/>
                    </a:stretch>
                  </pic:blipFill>
                  <pic:spPr bwMode="auto">
                    <a:xfrm>
                      <a:off x="0" y="0"/>
                      <a:ext cx="1069340" cy="199390"/>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-1567815</wp:posOffset>
            </wp:positionV>
            <wp:extent cx="2987040" cy="97472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9">
                      <a:extLst>
                        <a:ext uri="{28A0092B-C50C-407E-A947-70E740481C1C}"/>
                      </a:extLst>
                    </a:blip>
                    <a:srcRect/>
                    <a:stretch>
                      <a:fillRect/>
                    </a:stretch>
                  </pic:blipFill>
                  <pic:spPr bwMode="auto">
                    <a:xfrm>
                      <a:off x="0" y="0"/>
                      <a:ext cx="2987040" cy="97472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-1567815</wp:posOffset>
            </wp:positionV>
            <wp:extent cx="2987040" cy="97472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0">
                      <a:extLst>
                        <a:ext uri="{28A0092B-C50C-407E-A947-70E740481C1C}"/>
                      </a:extLst>
                    </a:blip>
                    <a:srcRect/>
                    <a:stretch>
                      <a:fillRect/>
                    </a:stretch>
                  </pic:blipFill>
                  <pic:spPr bwMode="auto">
                    <a:xfrm>
                      <a:off x="0" y="0"/>
                      <a:ext cx="2987040" cy="97472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-411480</wp:posOffset>
            </wp:positionV>
            <wp:extent cx="2927985" cy="41211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1">
                      <a:extLst>
                        <a:ext uri="{28A0092B-C50C-407E-A947-70E740481C1C}"/>
                      </a:extLst>
                    </a:blip>
                    <a:srcRect/>
                    <a:stretch>
                      <a:fillRect/>
                    </a:stretch>
                  </pic:blipFill>
                  <pic:spPr bwMode="auto">
                    <a:xfrm>
                      <a:off x="0" y="0"/>
                      <a:ext cx="2927985" cy="412115"/>
                    </a:xfrm>
                    <a:prstGeom prst="rect">
                      <a:avLst/>
                    </a:prstGeom>
                    <a:noFill/>
                  </pic:spPr>
                </pic:pic>
              </a:graphicData>
            </a:graphic>
          </wp:anchor>
        </w:drawing>
      </w:r>
    </w:p>
    <w:p>
      <w:pPr>
        <w:spacing w:after="0" w:line="1243" w:lineRule="exact"/>
        <w:rPr>
          <w:sz w:val="20"/>
          <w:szCs w:val="20"/>
          <w:color w:val="auto"/>
        </w:rPr>
      </w:pPr>
    </w:p>
    <w:p>
      <w:pPr>
        <w:sectPr>
          <w:pgSz w:w="11900" w:h="16838" w:orient="portrait"/>
          <w:cols w:equalWidth="0" w:num="2">
            <w:col w:w="6400" w:space="720"/>
            <w:col w:w="3340"/>
          </w:cols>
          <w:pgMar w:left="1440" w:top="1176"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29 / 40</w:t>
      </w:r>
    </w:p>
    <w:p>
      <w:pPr>
        <w:sectPr>
          <w:pgSz w:w="11900" w:h="16838" w:orient="portrait"/>
          <w:cols w:equalWidth="0" w:num="1">
            <w:col w:w="10460"/>
          </w:cols>
          <w:pgMar w:left="1440" w:top="1176" w:right="6" w:bottom="0" w:gutter="0" w:footer="0" w:header="0"/>
          <w:type w:val="continuous"/>
        </w:sectPr>
      </w:pPr>
    </w:p>
    <w:bookmarkStart w:id="413" w:name="page414"/>
    <w:bookmarkEnd w:id="4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43" w:lineRule="exact"/>
        <w:rPr>
          <w:sz w:val="20"/>
          <w:szCs w:val="20"/>
          <w:color w:val="auto"/>
        </w:rPr>
      </w:pPr>
    </w:p>
    <w:p>
      <w:pPr>
        <w:ind w:left="1620" w:hanging="726"/>
        <w:spacing w:after="0"/>
        <w:tabs>
          <w:tab w:leader="none" w:pos="1620" w:val="left"/>
        </w:tabs>
        <w:numPr>
          <w:ilvl w:val="0"/>
          <w:numId w:val="150"/>
        </w:numPr>
        <w:rPr>
          <w:rFonts w:ascii="Arial" w:cs="Arial" w:eastAsia="Arial" w:hAnsi="Arial"/>
          <w:sz w:val="20"/>
          <w:szCs w:val="20"/>
          <w:b w:val="1"/>
          <w:bCs w:val="1"/>
          <w:color w:val="153A57"/>
        </w:rPr>
      </w:pPr>
      <w:r>
        <w:rPr>
          <w:rFonts w:ascii="Arial" w:cs="Arial" w:eastAsia="Arial" w:hAnsi="Arial"/>
          <w:sz w:val="20"/>
          <w:szCs w:val="20"/>
          <w:b w:val="1"/>
          <w:bCs w:val="1"/>
          <w:color w:val="153A57"/>
        </w:rPr>
        <w:t>INVESTMENT IN CAUCHARI-OLAROZ PROJECT</w:t>
      </w:r>
    </w:p>
    <w:p>
      <w:pPr>
        <w:spacing w:after="0" w:line="293" w:lineRule="exact"/>
        <w:rPr>
          <w:rFonts w:ascii="Arial" w:cs="Arial" w:eastAsia="Arial" w:hAnsi="Arial"/>
          <w:sz w:val="20"/>
          <w:szCs w:val="20"/>
          <w:b w:val="1"/>
          <w:bCs w:val="1"/>
          <w:color w:val="153A57"/>
        </w:rPr>
      </w:pPr>
    </w:p>
    <w:p>
      <w:pPr>
        <w:jc w:val="both"/>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As at December 31, 2025, the Company, Ganfeng, and JEMSE hold 44.8%, 46.7%, and 8.5% e interests, respectively, in Minera Exar, the entity that holds all rights, title, and interest in the Cau Olaroz project, located in the Jujuy province of Argentina. The Company and Ganfeng are also 49% 51% shareholders, respectively, in Exar Capital, a company that provides shareholder financing to M Exar. Minera Exar and Exar Capital are associates of the Company and are accounted for usin equity method of accounting. The investment in Minera Exar and Exar Capital together is referred the “Investment in Cauchari-Olaroz project.”</w:t>
      </w:r>
    </w:p>
    <w:p>
      <w:pPr>
        <w:spacing w:after="0" w:line="213" w:lineRule="exact"/>
        <w:rPr>
          <w:rFonts w:ascii="Arial" w:cs="Arial" w:eastAsia="Arial" w:hAnsi="Arial"/>
          <w:sz w:val="20"/>
          <w:szCs w:val="20"/>
          <w:b w:val="1"/>
          <w:bCs w:val="1"/>
          <w:color w:val="153A57"/>
        </w:rPr>
      </w:pPr>
    </w:p>
    <w:p>
      <w:pPr>
        <w:jc w:val="both"/>
        <w:ind w:left="1620"/>
        <w:spacing w:after="0" w:line="332" w:lineRule="auto"/>
        <w:rPr>
          <w:rFonts w:ascii="Arial" w:cs="Arial" w:eastAsia="Arial" w:hAnsi="Arial"/>
          <w:sz w:val="20"/>
          <w:szCs w:val="20"/>
          <w:b w:val="1"/>
          <w:bCs w:val="1"/>
          <w:color w:val="153A57"/>
        </w:rPr>
      </w:pPr>
      <w:r>
        <w:rPr>
          <w:rFonts w:ascii="Arial" w:cs="Arial" w:eastAsia="Arial" w:hAnsi="Arial"/>
          <w:sz w:val="19"/>
          <w:szCs w:val="19"/>
          <w:color w:val="auto"/>
        </w:rPr>
        <w:t>The Company’s operations related to Cauchari-Olaroz are conducted through its equity investees, M Exar and Exar Capital, which are governed by a shareholders’ agreement between the Company Ganfeng. The agreement regulates key aspects of governance and provides the Company with signi influence over Minera Exar. Under the agreement, the Company and Ganfeng are entitled to the pro production offtake on a 49%/51% basis, and construction costs are shared on the same pro-rata bas</w:t>
      </w:r>
    </w:p>
    <w:p>
      <w:pPr>
        <w:spacing w:after="0" w:line="191"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JEMSE Receivable</w:t>
      </w:r>
    </w:p>
    <w:p>
      <w:pPr>
        <w:spacing w:after="0" w:line="272"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JEMSE acquired its 8.5% equity interest in Minera Exar in April 2021, of which 4.2% was acquired</w:t>
      </w:r>
    </w:p>
    <w:p>
      <w:pPr>
        <w:spacing w:after="0" w:line="72" w:lineRule="exact"/>
        <w:rPr>
          <w:sz w:val="20"/>
          <w:szCs w:val="20"/>
          <w:color w:val="auto"/>
        </w:rPr>
      </w:pPr>
    </w:p>
    <w:p>
      <w:pPr>
        <w:ind w:left="1620"/>
        <w:spacing w:after="0"/>
        <w:tabs>
          <w:tab w:leader="none" w:pos="4500" w:val="left"/>
          <w:tab w:leader="none" w:pos="7980" w:val="left"/>
        </w:tabs>
        <w:rPr>
          <w:sz w:val="20"/>
          <w:szCs w:val="20"/>
          <w:color w:val="auto"/>
        </w:rPr>
      </w:pPr>
      <w:r>
        <w:rPr>
          <w:rFonts w:ascii="Arial" w:cs="Arial" w:eastAsia="Arial" w:hAnsi="Arial"/>
          <w:sz w:val="20"/>
          <w:szCs w:val="20"/>
          <w:color w:val="auto"/>
        </w:rPr>
        <w:t>the</w:t>
      </w:r>
      <w:r>
        <w:rPr>
          <w:sz w:val="20"/>
          <w:szCs w:val="20"/>
          <w:color w:val="auto"/>
        </w:rPr>
        <w:tab/>
      </w:r>
      <w:r>
        <w:rPr>
          <w:rFonts w:ascii="Arial" w:cs="Arial" w:eastAsia="Arial" w:hAnsi="Arial"/>
          <w:sz w:val="20"/>
          <w:szCs w:val="20"/>
          <w:color w:val="auto"/>
        </w:rPr>
        <w:t>Company</w:t>
      </w:r>
      <w:r>
        <w:rPr>
          <w:sz w:val="20"/>
          <w:szCs w:val="20"/>
          <w:color w:val="auto"/>
        </w:rPr>
        <w:tab/>
      </w:r>
      <w:r>
        <w:rPr>
          <w:rFonts w:ascii="Arial" w:cs="Arial" w:eastAsia="Arial" w:hAnsi="Arial"/>
          <w:sz w:val="20"/>
          <w:szCs w:val="20"/>
          <w:color w:val="auto"/>
        </w:rPr>
        <w:t>and</w:t>
      </w:r>
    </w:p>
    <w:p>
      <w:pPr>
        <w:spacing w:after="0" w:line="79" w:lineRule="exact"/>
        <w:rPr>
          <w:sz w:val="20"/>
          <w:szCs w:val="20"/>
          <w:color w:val="auto"/>
        </w:rPr>
      </w:pPr>
    </w:p>
    <w:p>
      <w:pPr>
        <w:jc w:val="both"/>
        <w:ind w:left="1620"/>
        <w:spacing w:after="0" w:line="313" w:lineRule="auto"/>
        <w:rPr>
          <w:sz w:val="20"/>
          <w:szCs w:val="20"/>
          <w:color w:val="auto"/>
        </w:rPr>
      </w:pPr>
      <w:r>
        <w:rPr>
          <w:rFonts w:ascii="Arial" w:cs="Arial" w:eastAsia="Arial" w:hAnsi="Arial"/>
          <w:sz w:val="20"/>
          <w:szCs w:val="20"/>
          <w:color w:val="auto"/>
        </w:rPr>
        <w:t>4.3% from Ganfeng. The right to acquire this interest was initially granted under a letter of intent sign 2012, in compliance with the Province of Jujuy’s regulations concerning government participatio mineral projects. As part of the closing of the transaction, JEMSE agreed to reimburse the Compan Ganfeng their pro-rata share of $23,496 for equity financing provided for construction of the proje prior years.</w:t>
      </w:r>
    </w:p>
    <w:p>
      <w:pPr>
        <w:spacing w:after="0" w:line="210" w:lineRule="exact"/>
        <w:rPr>
          <w:sz w:val="20"/>
          <w:szCs w:val="20"/>
          <w:color w:val="auto"/>
        </w:rPr>
      </w:pPr>
    </w:p>
    <w:p>
      <w:pPr>
        <w:jc w:val="both"/>
        <w:ind w:left="1620"/>
        <w:spacing w:after="0" w:line="312" w:lineRule="auto"/>
        <w:rPr>
          <w:sz w:val="20"/>
          <w:szCs w:val="20"/>
          <w:color w:val="auto"/>
        </w:rPr>
      </w:pPr>
      <w:r>
        <w:rPr>
          <w:rFonts w:ascii="Arial" w:cs="Arial" w:eastAsia="Arial" w:hAnsi="Arial"/>
          <w:sz w:val="20"/>
          <w:szCs w:val="20"/>
          <w:color w:val="auto"/>
        </w:rPr>
        <w:t>This reimbursement obligation is measured at the initial transaction date and will be settled throug assignment of one-third of dividends otherwise payable to JEMSE in futu periods. Dividend distributions by Minera Exar to all shareholders, including JEMSE, will onl considered once Minera Exar has met all project debt commitments.</w:t>
      </w:r>
    </w:p>
    <w:p>
      <w:pPr>
        <w:spacing w:after="0" w:line="212" w:lineRule="exact"/>
        <w:rPr>
          <w:sz w:val="20"/>
          <w:szCs w:val="20"/>
          <w:color w:val="auto"/>
        </w:rPr>
      </w:pPr>
    </w:p>
    <w:p>
      <w:pPr>
        <w:ind w:left="1620"/>
        <w:spacing w:after="0" w:line="311" w:lineRule="auto"/>
        <w:rPr>
          <w:sz w:val="20"/>
          <w:szCs w:val="20"/>
          <w:color w:val="auto"/>
        </w:rPr>
      </w:pPr>
      <w:r>
        <w:rPr>
          <w:rFonts w:ascii="Arial" w:cs="Arial" w:eastAsia="Arial" w:hAnsi="Arial"/>
          <w:sz w:val="20"/>
          <w:szCs w:val="20"/>
          <w:color w:val="auto"/>
        </w:rPr>
        <w:t>During 2025, subsequent changes in the expected recoverable amount of this receivable recognized. Prior to the restructuring of loans described below, the Company recorded an adjustme the carrying value of the previous 2021 JEMSE receivable based on revised cash flow estimates</w:t>
      </w:r>
    </w:p>
    <w:p>
      <w:pPr>
        <w:spacing w:after="0" w:line="12" w:lineRule="exact"/>
        <w:rPr>
          <w:sz w:val="20"/>
          <w:szCs w:val="20"/>
          <w:color w:val="auto"/>
        </w:rPr>
      </w:pPr>
    </w:p>
    <w:p>
      <w:pPr>
        <w:jc w:val="both"/>
        <w:ind w:left="1620" w:right="780"/>
        <w:spacing w:after="0" w:line="307" w:lineRule="auto"/>
        <w:rPr>
          <w:sz w:val="20"/>
          <w:szCs w:val="20"/>
          <w:color w:val="auto"/>
        </w:rPr>
      </w:pPr>
      <w:r>
        <w:rPr>
          <w:rFonts w:ascii="Arial" w:cs="Arial" w:eastAsia="Arial" w:hAnsi="Arial"/>
          <w:sz w:val="20"/>
          <w:szCs w:val="20"/>
          <w:color w:val="auto"/>
        </w:rPr>
        <w:t>recognized a corresponding loss of $3,382, presented as “Loss on JEMSE receivable” in the statement of comprehensive loss.</w:t>
      </w:r>
    </w:p>
    <w:p>
      <w:pPr>
        <w:spacing w:after="0" w:line="215" w:lineRule="exact"/>
        <w:rPr>
          <w:sz w:val="20"/>
          <w:szCs w:val="20"/>
          <w:color w:val="auto"/>
        </w:rPr>
      </w:pPr>
    </w:p>
    <w:p>
      <w:pPr>
        <w:jc w:val="both"/>
        <w:ind w:left="1620"/>
        <w:spacing w:after="0" w:line="311" w:lineRule="auto"/>
        <w:rPr>
          <w:sz w:val="20"/>
          <w:szCs w:val="20"/>
          <w:color w:val="auto"/>
        </w:rPr>
      </w:pPr>
      <w:r>
        <w:rPr>
          <w:rFonts w:ascii="Arial" w:cs="Arial" w:eastAsia="Arial" w:hAnsi="Arial"/>
          <w:sz w:val="20"/>
          <w:szCs w:val="20"/>
          <w:color w:val="auto"/>
        </w:rPr>
        <w:t>In connection with the Restructuring of loans described below, the Company recognized its portion o additional JEMSE receivable at fair value of $2,789. As at December 31, 2025, the carrying value o two long-term receivables from JEMSE was $8,077 (2024 – $7,935).</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30 / 40</w:t>
      </w:r>
    </w:p>
    <w:p>
      <w:pPr>
        <w:sectPr>
          <w:pgSz w:w="11900" w:h="16838" w:orient="portrait"/>
          <w:cols w:equalWidth="0" w:num="1">
            <w:col w:w="10460"/>
          </w:cols>
          <w:pgMar w:left="1440" w:top="1440" w:right="6" w:bottom="0" w:gutter="0" w:footer="0" w:header="0"/>
          <w:type w:val="continuous"/>
        </w:sectPr>
      </w:pPr>
    </w:p>
    <w:bookmarkStart w:id="414" w:name="page415"/>
    <w:bookmarkEnd w:id="414"/>
    <w:p>
      <w:pPr>
        <w:ind w:left="1620"/>
        <w:spacing w:after="0"/>
        <w:rPr>
          <w:sz w:val="20"/>
          <w:szCs w:val="20"/>
          <w:color w:val="auto"/>
        </w:rPr>
      </w:pPr>
      <w:r>
        <w:rPr>
          <w:rFonts w:ascii="Arial" w:cs="Arial" w:eastAsia="Arial" w:hAnsi="Arial"/>
          <w:sz w:val="20"/>
          <w:szCs w:val="20"/>
          <w:b w:val="1"/>
          <w:bCs w:val="1"/>
          <w:i w:val="1"/>
          <w:iCs w:val="1"/>
          <w:color w:val="auto"/>
        </w:rPr>
        <w:t>Restructuring of Loans</w:t>
      </w:r>
    </w:p>
    <w:p>
      <w:pPr>
        <w:spacing w:after="0" w:line="279" w:lineRule="exact"/>
        <w:rPr>
          <w:sz w:val="20"/>
          <w:szCs w:val="20"/>
          <w:color w:val="auto"/>
        </w:rPr>
      </w:pPr>
    </w:p>
    <w:p>
      <w:pPr>
        <w:ind w:left="1620"/>
        <w:spacing w:after="0" w:line="313" w:lineRule="auto"/>
        <w:rPr>
          <w:sz w:val="20"/>
          <w:szCs w:val="20"/>
          <w:color w:val="auto"/>
        </w:rPr>
      </w:pPr>
      <w:r>
        <w:rPr>
          <w:rFonts w:ascii="Arial" w:cs="Arial" w:eastAsia="Arial" w:hAnsi="Arial"/>
          <w:sz w:val="20"/>
          <w:szCs w:val="20"/>
          <w:color w:val="auto"/>
        </w:rPr>
        <w:t>During the year ended December 31, 2025, as part of a restructuring of loans (the “Restructuring”) Company and Ganfeng amended and restated loan agreements relating to loans advanced to Capital. Concurrently, Exar Capital amended and restated agreements relating to the loans advanc Minera Exar (collectively, the “Amendments”), revising interest rates to market levels effective for year 2025 and subsequent periods and extending the maturity dates. These modifications were tre as an extinguishment of the existing loans and the issuance of new loans at market rates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235585</wp:posOffset>
            </wp:positionV>
            <wp:extent cx="1676400" cy="1905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2">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31 / 40</w:t>
      </w:r>
    </w:p>
    <w:p>
      <w:pPr>
        <w:sectPr>
          <w:pgSz w:w="11900" w:h="16838" w:orient="portrait"/>
          <w:cols w:equalWidth="0" w:num="1">
            <w:col w:w="10460"/>
          </w:cols>
          <w:pgMar w:left="1440" w:top="1165" w:right="6" w:bottom="0" w:gutter="0" w:footer="0" w:header="0"/>
          <w:type w:val="continuous"/>
        </w:sectPr>
      </w:pPr>
    </w:p>
    <w:bookmarkStart w:id="415" w:name="page416"/>
    <w:bookmarkEnd w:id="4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43" w:lineRule="exact"/>
        <w:rPr>
          <w:sz w:val="20"/>
          <w:szCs w:val="20"/>
          <w:color w:val="auto"/>
        </w:rPr>
      </w:pPr>
    </w:p>
    <w:p>
      <w:pPr>
        <w:ind w:left="1620" w:hanging="726"/>
        <w:spacing w:after="0"/>
        <w:tabs>
          <w:tab w:leader="none" w:pos="1620" w:val="left"/>
        </w:tabs>
        <w:numPr>
          <w:ilvl w:val="0"/>
          <w:numId w:val="151"/>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INVESTMENT IN CAUCHARI-OLAROZ PROJECT </w:t>
      </w:r>
      <w:r>
        <w:rPr>
          <w:rFonts w:ascii="Arial" w:cs="Arial" w:eastAsia="Arial" w:hAnsi="Arial"/>
          <w:sz w:val="20"/>
          <w:szCs w:val="20"/>
          <w:i w:val="1"/>
          <w:iCs w:val="1"/>
          <w:color w:val="153A57"/>
        </w:rPr>
        <w:t>(continued)</w:t>
      </w:r>
    </w:p>
    <w:p>
      <w:pPr>
        <w:spacing w:after="0" w:line="293" w:lineRule="exact"/>
        <w:rPr>
          <w:sz w:val="20"/>
          <w:szCs w:val="20"/>
          <w:color w:val="auto"/>
        </w:rPr>
      </w:pPr>
    </w:p>
    <w:p>
      <w:pPr>
        <w:ind w:left="1620"/>
        <w:spacing w:after="0" w:line="307" w:lineRule="auto"/>
        <w:rPr>
          <w:sz w:val="20"/>
          <w:szCs w:val="20"/>
          <w:color w:val="auto"/>
        </w:rPr>
      </w:pPr>
      <w:r>
        <w:rPr>
          <w:rFonts w:ascii="Arial" w:cs="Arial" w:eastAsia="Arial" w:hAnsi="Arial"/>
          <w:sz w:val="20"/>
          <w:szCs w:val="20"/>
          <w:color w:val="auto"/>
        </w:rPr>
        <w:t>As part of the Restructuring, on August 27, 2025, Exar Capital assigned certain loan receivables Minera Exar to the Company and Ganfeng. The total carrying value of the loans assigned was $208</w:t>
      </w:r>
    </w:p>
    <w:p>
      <w:pPr>
        <w:spacing w:after="0" w:line="8" w:lineRule="exact"/>
        <w:rPr>
          <w:sz w:val="20"/>
          <w:szCs w:val="20"/>
          <w:color w:val="auto"/>
        </w:rPr>
      </w:pPr>
    </w:p>
    <w:p>
      <w:pPr>
        <w:ind w:left="1620"/>
        <w:spacing w:after="0"/>
        <w:tabs>
          <w:tab w:leader="none" w:pos="2580" w:val="left"/>
          <w:tab w:leader="none" w:pos="3920" w:val="left"/>
          <w:tab w:leader="none" w:pos="5000" w:val="left"/>
          <w:tab w:leader="none" w:pos="6820" w:val="left"/>
          <w:tab w:leader="none" w:pos="8260" w:val="left"/>
          <w:tab w:leader="none" w:pos="9960" w:val="left"/>
        </w:tabs>
        <w:rPr>
          <w:sz w:val="20"/>
          <w:szCs w:val="20"/>
          <w:color w:val="auto"/>
        </w:rPr>
      </w:pPr>
      <w:r>
        <w:rPr>
          <w:rFonts w:ascii="Arial" w:cs="Arial" w:eastAsia="Arial" w:hAnsi="Arial"/>
          <w:sz w:val="20"/>
          <w:szCs w:val="20"/>
          <w:color w:val="auto"/>
        </w:rPr>
        <w:t>of</w:t>
      </w:r>
      <w:r>
        <w:rPr>
          <w:sz w:val="20"/>
          <w:szCs w:val="20"/>
          <w:color w:val="auto"/>
        </w:rPr>
        <w:tab/>
      </w:r>
      <w:r>
        <w:rPr>
          <w:rFonts w:ascii="Arial" w:cs="Arial" w:eastAsia="Arial" w:hAnsi="Arial"/>
          <w:sz w:val="20"/>
          <w:szCs w:val="20"/>
          <w:color w:val="auto"/>
        </w:rPr>
        <w:t>which</w:t>
      </w:r>
      <w:r>
        <w:rPr>
          <w:sz w:val="20"/>
          <w:szCs w:val="20"/>
          <w:color w:val="auto"/>
        </w:rPr>
        <w:tab/>
      </w:r>
      <w:r>
        <w:rPr>
          <w:rFonts w:ascii="Arial" w:cs="Arial" w:eastAsia="Arial" w:hAnsi="Arial"/>
          <w:sz w:val="20"/>
          <w:szCs w:val="20"/>
          <w:color w:val="auto"/>
        </w:rPr>
        <w:t>the</w:t>
      </w:r>
      <w:r>
        <w:rPr>
          <w:sz w:val="20"/>
          <w:szCs w:val="20"/>
          <w:color w:val="auto"/>
        </w:rPr>
        <w:tab/>
      </w:r>
      <w:r>
        <w:rPr>
          <w:rFonts w:ascii="Arial" w:cs="Arial" w:eastAsia="Arial" w:hAnsi="Arial"/>
          <w:sz w:val="20"/>
          <w:szCs w:val="20"/>
          <w:color w:val="auto"/>
        </w:rPr>
        <w:t>Company’s</w:t>
      </w:r>
      <w:r>
        <w:rPr>
          <w:sz w:val="20"/>
          <w:szCs w:val="20"/>
          <w:color w:val="auto"/>
        </w:rPr>
        <w:tab/>
      </w:r>
      <w:r>
        <w:rPr>
          <w:rFonts w:ascii="Arial" w:cs="Arial" w:eastAsia="Arial" w:hAnsi="Arial"/>
          <w:sz w:val="20"/>
          <w:szCs w:val="20"/>
          <w:color w:val="auto"/>
        </w:rPr>
        <w:t>portion</w:t>
      </w:r>
      <w:r>
        <w:rPr>
          <w:sz w:val="20"/>
          <w:szCs w:val="20"/>
          <w:color w:val="auto"/>
        </w:rPr>
        <w:tab/>
      </w:r>
      <w:r>
        <w:rPr>
          <w:rFonts w:ascii="Arial" w:cs="Arial" w:eastAsia="Arial" w:hAnsi="Arial"/>
          <w:sz w:val="20"/>
          <w:szCs w:val="20"/>
          <w:color w:val="auto"/>
        </w:rPr>
        <w:t>amounted</w:t>
      </w:r>
      <w:r>
        <w:rPr>
          <w:sz w:val="20"/>
          <w:szCs w:val="20"/>
          <w:color w:val="auto"/>
        </w:rPr>
        <w:tab/>
      </w:r>
      <w:r>
        <w:rPr>
          <w:rFonts w:ascii="Arial" w:cs="Arial" w:eastAsia="Arial" w:hAnsi="Arial"/>
          <w:sz w:val="20"/>
          <w:szCs w:val="20"/>
          <w:color w:val="auto"/>
        </w:rPr>
        <w:t>to</w:t>
      </w:r>
    </w:p>
    <w:p>
      <w:pPr>
        <w:spacing w:after="0" w:line="79" w:lineRule="exact"/>
        <w:rPr>
          <w:sz w:val="20"/>
          <w:szCs w:val="20"/>
          <w:color w:val="auto"/>
        </w:rPr>
      </w:pPr>
    </w:p>
    <w:p>
      <w:pPr>
        <w:jc w:val="both"/>
        <w:ind w:left="1620" w:right="40"/>
        <w:spacing w:after="0" w:line="311" w:lineRule="auto"/>
        <w:rPr>
          <w:sz w:val="20"/>
          <w:szCs w:val="20"/>
          <w:color w:val="auto"/>
        </w:rPr>
      </w:pPr>
      <w:r>
        <w:rPr>
          <w:rFonts w:ascii="Arial" w:cs="Arial" w:eastAsia="Arial" w:hAnsi="Arial"/>
          <w:sz w:val="20"/>
          <w:szCs w:val="20"/>
          <w:color w:val="auto"/>
        </w:rPr>
        <w:t>$101,979. In exchange, the Company cancelled loans owed by Exar Capital with a carrying val $99,422. The assigned loans receivable from Minera Exar were subsequently settled through a c contribution by the Company and Ganfeng to Minera Exar.</w:t>
      </w:r>
    </w:p>
    <w:p>
      <w:pPr>
        <w:spacing w:after="0" w:line="212" w:lineRule="exact"/>
        <w:rPr>
          <w:sz w:val="20"/>
          <w:szCs w:val="20"/>
          <w:color w:val="auto"/>
        </w:rPr>
      </w:pPr>
    </w:p>
    <w:p>
      <w:pPr>
        <w:jc w:val="both"/>
        <w:ind w:left="1620"/>
        <w:spacing w:after="0" w:line="313" w:lineRule="auto"/>
        <w:rPr>
          <w:sz w:val="20"/>
          <w:szCs w:val="20"/>
          <w:color w:val="auto"/>
        </w:rPr>
      </w:pPr>
      <w:r>
        <w:rPr>
          <w:rFonts w:ascii="Arial" w:cs="Arial" w:eastAsia="Arial" w:hAnsi="Arial"/>
          <w:sz w:val="20"/>
          <w:szCs w:val="20"/>
          <w:color w:val="auto"/>
        </w:rPr>
        <w:t>Because the Restructuring resulted from transactions between shareholders rather than with ext parties, the Company determined that the net effect represented a transaction between owners in capacity as owners. Accordingly, the capitalization of loans was recorded as an increase in Company’s investment in the Cauchari-Olaroz project, with no gain or loss recognized in the statem comprehensive loss.</w:t>
      </w:r>
    </w:p>
    <w:p>
      <w:pPr>
        <w:spacing w:after="0" w:line="210" w:lineRule="exact"/>
        <w:rPr>
          <w:sz w:val="20"/>
          <w:szCs w:val="20"/>
          <w:color w:val="auto"/>
        </w:rPr>
      </w:pPr>
    </w:p>
    <w:p>
      <w:pPr>
        <w:jc w:val="both"/>
        <w:ind w:left="1620"/>
        <w:spacing w:after="0" w:line="314" w:lineRule="auto"/>
        <w:rPr>
          <w:sz w:val="20"/>
          <w:szCs w:val="20"/>
          <w:color w:val="auto"/>
        </w:rPr>
      </w:pPr>
      <w:r>
        <w:rPr>
          <w:rFonts w:ascii="Arial" w:cs="Arial" w:eastAsia="Arial" w:hAnsi="Arial"/>
          <w:sz w:val="20"/>
          <w:szCs w:val="20"/>
          <w:color w:val="auto"/>
        </w:rPr>
        <w:t>In connection with the Restructuring, JEMSE retained its ownership interest in Minera Exar in exch for an agreement to reimburse the Company and Ganfeng through the assignment of one-thir dividends otherwise payable to JEMSE in future periods, up to an additional $8,271 and $8, respectively, after the previous dividend assignment has been fully repaid. The Company recogniz portion of the additional JEMSE receivable at fair value of $2,789 and recorded a reduction i investment of $8,668, resulting in a loss of $5,879, included in “Loss on JEMSE receivable”. Th value of the additional long-term receivable from JEMSE was estimated by discounting the Comp share of expected future reimbursements by JEMSE to their present value, reflecting the timin settlement through the assignment of future dividends otherwise payable to JEMSE. The valu assumed a discount rate of 10%. The timing of expected reimbursements was estimated base projected cash flows of Minera Exar.</w:t>
      </w:r>
    </w:p>
    <w:p>
      <w:pPr>
        <w:spacing w:after="0" w:line="204" w:lineRule="exact"/>
        <w:rPr>
          <w:sz w:val="20"/>
          <w:szCs w:val="20"/>
          <w:color w:val="auto"/>
        </w:rPr>
      </w:pPr>
    </w:p>
    <w:p>
      <w:pPr>
        <w:ind w:left="1620"/>
        <w:spacing w:after="0"/>
        <w:rPr>
          <w:sz w:val="20"/>
          <w:szCs w:val="20"/>
          <w:color w:val="auto"/>
        </w:rPr>
      </w:pPr>
      <w:r>
        <w:rPr>
          <w:rFonts w:ascii="Arial" w:cs="Arial" w:eastAsia="Arial" w:hAnsi="Arial"/>
          <w:sz w:val="20"/>
          <w:szCs w:val="20"/>
          <w:i w:val="1"/>
          <w:iCs w:val="1"/>
          <w:color w:val="auto"/>
        </w:rPr>
        <w:t>Investment in Cauchari-Olaroz Project</w:t>
      </w:r>
    </w:p>
    <w:p>
      <w:pPr>
        <w:spacing w:after="0" w:line="272"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Changes in the Investment in Cauchari-Olaroz Project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236220</wp:posOffset>
            </wp:positionV>
            <wp:extent cx="5621020" cy="21653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4">
                      <a:extLst>
                        <a:ext uri="{28A0092B-C50C-407E-A947-70E740481C1C}"/>
                      </a:extLst>
                    </a:blip>
                    <a:srcRect/>
                    <a:stretch>
                      <a:fillRect/>
                    </a:stretch>
                  </pic:blipFill>
                  <pic:spPr bwMode="auto">
                    <a:xfrm>
                      <a:off x="0" y="0"/>
                      <a:ext cx="5621020" cy="216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1620" w:type="dxa"/>
        <w:tblCellMar>
          <w:top w:w="0" w:type="dxa"/>
          <w:left w:w="0" w:type="dxa"/>
          <w:bottom w:w="0" w:type="dxa"/>
          <w:right w:w="0" w:type="dxa"/>
        </w:tblCellMar>
      </w:tblPr>
      <w:tr>
        <w:trPr>
          <w:trHeight w:val="215"/>
        </w:trPr>
        <w:tc>
          <w:tcPr>
            <w:tcW w:w="7620" w:type="dxa"/>
            <w:vAlign w:val="bottom"/>
          </w:tcPr>
          <w:p>
            <w:pPr>
              <w:spacing w:after="0"/>
              <w:rPr>
                <w:sz w:val="20"/>
                <w:szCs w:val="20"/>
                <w:color w:val="auto"/>
              </w:rPr>
            </w:pPr>
            <w:r>
              <w:rPr>
                <w:rFonts w:ascii="Arial" w:cs="Arial" w:eastAsia="Arial" w:hAnsi="Arial"/>
                <w:sz w:val="18"/>
                <w:szCs w:val="18"/>
                <w:color w:val="auto"/>
              </w:rPr>
              <w:t>Investment in Cauchari-Olaroz Project, as at December 31, 2023</w:t>
            </w: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7620" w:type="dxa"/>
            <w:vAlign w:val="bottom"/>
          </w:tcPr>
          <w:p>
            <w:pPr>
              <w:spacing w:after="0"/>
              <w:rPr>
                <w:sz w:val="20"/>
                <w:szCs w:val="20"/>
                <w:color w:val="auto"/>
              </w:rPr>
            </w:pPr>
            <w:r>
              <w:rPr>
                <w:rFonts w:ascii="Arial" w:cs="Arial" w:eastAsia="Arial" w:hAnsi="Arial"/>
                <w:sz w:val="18"/>
                <w:szCs w:val="18"/>
                <w:color w:val="auto"/>
              </w:rPr>
              <w:t>Contribution to Investment in Cauchari-Olaroz Project</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4"/>
        </w:trPr>
        <w:tc>
          <w:tcPr>
            <w:tcW w:w="7620" w:type="dxa"/>
            <w:vAlign w:val="bottom"/>
          </w:tcPr>
          <w:p>
            <w:pPr>
              <w:spacing w:after="0"/>
              <w:rPr>
                <w:sz w:val="20"/>
                <w:szCs w:val="20"/>
                <w:color w:val="auto"/>
              </w:rPr>
            </w:pPr>
            <w:r>
              <w:rPr>
                <w:rFonts w:ascii="Arial" w:cs="Arial" w:eastAsia="Arial" w:hAnsi="Arial"/>
                <w:sz w:val="18"/>
                <w:szCs w:val="18"/>
                <w:color w:val="auto"/>
              </w:rPr>
              <w:t>Share of loss of Cauchari-Olaroz Project</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4"/>
        </w:trPr>
        <w:tc>
          <w:tcPr>
            <w:tcW w:w="7620" w:type="dxa"/>
            <w:vAlign w:val="bottom"/>
          </w:tcPr>
          <w:p>
            <w:pPr>
              <w:spacing w:after="0"/>
              <w:rPr>
                <w:sz w:val="20"/>
                <w:szCs w:val="20"/>
                <w:color w:val="auto"/>
              </w:rPr>
            </w:pPr>
            <w:r>
              <w:rPr>
                <w:rFonts w:ascii="Arial" w:cs="Arial" w:eastAsia="Arial" w:hAnsi="Arial"/>
                <w:sz w:val="18"/>
                <w:szCs w:val="18"/>
                <w:color w:val="auto"/>
              </w:rPr>
              <w:t>Elimination of the Company’s portion of capitalized intercompany interest</w:t>
            </w: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7620" w:type="dxa"/>
            <w:vAlign w:val="bottom"/>
          </w:tcPr>
          <w:p>
            <w:pPr>
              <w:spacing w:after="0"/>
              <w:rPr>
                <w:sz w:val="20"/>
                <w:szCs w:val="20"/>
                <w:color w:val="auto"/>
              </w:rPr>
            </w:pPr>
            <w:r>
              <w:rPr>
                <w:rFonts w:ascii="Arial" w:cs="Arial" w:eastAsia="Arial" w:hAnsi="Arial"/>
                <w:sz w:val="18"/>
                <w:szCs w:val="18"/>
                <w:color w:val="auto"/>
              </w:rPr>
              <w:t>Investment in Cauchari-Olaroz Project, as at December 31, 2024</w:t>
            </w: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6"/>
        </w:trPr>
        <w:tc>
          <w:tcPr>
            <w:tcW w:w="762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78"/>
        </w:trPr>
        <w:tc>
          <w:tcPr>
            <w:tcW w:w="7620" w:type="dxa"/>
            <w:vAlign w:val="bottom"/>
            <w:shd w:val="clear" w:color="auto" w:fill="D9D9D9"/>
          </w:tcPr>
          <w:p>
            <w:pPr>
              <w:spacing w:after="0"/>
              <w:rPr>
                <w:sz w:val="20"/>
                <w:szCs w:val="20"/>
                <w:color w:val="auto"/>
              </w:rPr>
            </w:pPr>
            <w:r>
              <w:rPr>
                <w:rFonts w:ascii="Arial" w:cs="Arial" w:eastAsia="Arial" w:hAnsi="Arial"/>
                <w:sz w:val="18"/>
                <w:szCs w:val="18"/>
                <w:color w:val="auto"/>
              </w:rPr>
              <w:t>Contribution to investment in Cauchari-Olaroz Project through capitalization of loans</w:t>
            </w:r>
          </w:p>
        </w:tc>
        <w:tc>
          <w:tcPr>
            <w:tcW w:w="12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99,</w:t>
            </w:r>
          </w:p>
        </w:tc>
      </w:tr>
      <w:tr>
        <w:trPr>
          <w:trHeight w:val="36"/>
        </w:trPr>
        <w:tc>
          <w:tcPr>
            <w:tcW w:w="7620" w:type="dxa"/>
            <w:vAlign w:val="bottom"/>
            <w:shd w:val="clear" w:color="auto" w:fill="D9D9D9"/>
          </w:tcPr>
          <w:p>
            <w:pPr>
              <w:spacing w:after="0"/>
              <w:rPr>
                <w:sz w:val="3"/>
                <w:szCs w:val="3"/>
                <w:color w:val="auto"/>
              </w:rPr>
            </w:pPr>
          </w:p>
        </w:tc>
        <w:tc>
          <w:tcPr>
            <w:tcW w:w="1220" w:type="dxa"/>
            <w:vAlign w:val="bottom"/>
            <w:shd w:val="clear" w:color="auto" w:fill="D9D9D9"/>
          </w:tcPr>
          <w:p>
            <w:pPr>
              <w:spacing w:after="0"/>
              <w:rPr>
                <w:sz w:val="3"/>
                <w:szCs w:val="3"/>
                <w:color w:val="auto"/>
              </w:rPr>
            </w:pPr>
          </w:p>
        </w:tc>
      </w:tr>
      <w:tr>
        <w:trPr>
          <w:trHeight w:val="278"/>
        </w:trPr>
        <w:tc>
          <w:tcPr>
            <w:tcW w:w="7620" w:type="dxa"/>
            <w:vAlign w:val="bottom"/>
            <w:shd w:val="clear" w:color="auto" w:fill="D9D9D9"/>
          </w:tcPr>
          <w:p>
            <w:pPr>
              <w:spacing w:after="0"/>
              <w:rPr>
                <w:sz w:val="20"/>
                <w:szCs w:val="20"/>
                <w:color w:val="auto"/>
              </w:rPr>
            </w:pPr>
            <w:r>
              <w:rPr>
                <w:rFonts w:ascii="Arial" w:cs="Arial" w:eastAsia="Arial" w:hAnsi="Arial"/>
                <w:sz w:val="18"/>
                <w:szCs w:val="18"/>
                <w:color w:val="auto"/>
              </w:rPr>
              <w:t>Reduction in investment arising from capital contribution allocated to JEMSE</w:t>
            </w:r>
          </w:p>
        </w:tc>
        <w:tc>
          <w:tcPr>
            <w:tcW w:w="12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(8,</w:t>
            </w:r>
          </w:p>
        </w:tc>
      </w:tr>
      <w:tr>
        <w:trPr>
          <w:trHeight w:val="36"/>
        </w:trPr>
        <w:tc>
          <w:tcPr>
            <w:tcW w:w="7620" w:type="dxa"/>
            <w:vAlign w:val="bottom"/>
            <w:shd w:val="clear" w:color="auto" w:fill="D9D9D9"/>
          </w:tcPr>
          <w:p>
            <w:pPr>
              <w:spacing w:after="0"/>
              <w:rPr>
                <w:sz w:val="3"/>
                <w:szCs w:val="3"/>
                <w:color w:val="auto"/>
              </w:rPr>
            </w:pPr>
          </w:p>
        </w:tc>
        <w:tc>
          <w:tcPr>
            <w:tcW w:w="1220" w:type="dxa"/>
            <w:vAlign w:val="bottom"/>
            <w:shd w:val="clear" w:color="auto" w:fill="D9D9D9"/>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-1216025</wp:posOffset>
            </wp:positionV>
            <wp:extent cx="5621020" cy="63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5">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-610870</wp:posOffset>
            </wp:positionV>
            <wp:extent cx="5621020" cy="63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6">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-405130</wp:posOffset>
            </wp:positionV>
            <wp:extent cx="5621020" cy="635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7">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32 / 40</w:t>
      </w:r>
    </w:p>
    <w:p>
      <w:pPr>
        <w:sectPr>
          <w:pgSz w:w="11900" w:h="16838" w:orient="portrait"/>
          <w:cols w:equalWidth="0" w:num="1">
            <w:col w:w="10460"/>
          </w:cols>
          <w:pgMar w:left="1440" w:top="1440" w:right="6" w:bottom="0" w:gutter="0" w:footer="0" w:header="0"/>
          <w:type w:val="continuous"/>
        </w:sectPr>
      </w:pPr>
    </w:p>
    <w:bookmarkStart w:id="416" w:name="page417"/>
    <w:bookmarkEnd w:id="416"/>
    <w:tbl>
      <w:tblPr>
        <w:tblLayout w:type="fixed"/>
        <w:tblInd w:w="1620" w:type="dxa"/>
        <w:tblCellMar>
          <w:top w:w="0" w:type="dxa"/>
          <w:left w:w="0" w:type="dxa"/>
          <w:bottom w:w="0" w:type="dxa"/>
          <w:right w:w="0" w:type="dxa"/>
        </w:tblCellMar>
      </w:tblPr>
      <w:tr>
        <w:trPr>
          <w:trHeight w:val="278"/>
        </w:trPr>
        <w:tc>
          <w:tcPr>
            <w:tcW w:w="7020" w:type="dxa"/>
            <w:vAlign w:val="bottom"/>
            <w:shd w:val="clear" w:color="auto" w:fill="D9D9D9"/>
          </w:tcPr>
          <w:p>
            <w:pPr>
              <w:spacing w:after="0"/>
              <w:rPr>
                <w:sz w:val="20"/>
                <w:szCs w:val="20"/>
                <w:color w:val="auto"/>
              </w:rPr>
            </w:pPr>
            <w:r>
              <w:rPr>
                <w:rFonts w:ascii="Arial" w:cs="Arial" w:eastAsia="Arial" w:hAnsi="Arial"/>
                <w:sz w:val="18"/>
                <w:szCs w:val="18"/>
                <w:color w:val="auto"/>
              </w:rPr>
              <w:t>Shareholder's contribution from the restructuring of loans</w:t>
            </w:r>
          </w:p>
        </w:tc>
        <w:tc>
          <w:tcPr>
            <w:tcW w:w="18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8,</w:t>
            </w:r>
          </w:p>
        </w:tc>
      </w:tr>
      <w:tr>
        <w:trPr>
          <w:trHeight w:val="314"/>
        </w:trPr>
        <w:tc>
          <w:tcPr>
            <w:tcW w:w="7020" w:type="dxa"/>
            <w:vAlign w:val="bottom"/>
            <w:shd w:val="clear" w:color="auto" w:fill="D9D9D9"/>
          </w:tcPr>
          <w:p>
            <w:pPr>
              <w:spacing w:after="0"/>
              <w:rPr>
                <w:sz w:val="20"/>
                <w:szCs w:val="20"/>
                <w:color w:val="auto"/>
              </w:rPr>
            </w:pPr>
            <w:r>
              <w:rPr>
                <w:rFonts w:ascii="Arial" w:cs="Arial" w:eastAsia="Arial" w:hAnsi="Arial"/>
                <w:sz w:val="18"/>
                <w:szCs w:val="18"/>
                <w:color w:val="auto"/>
              </w:rPr>
              <w:t>Gain on modification of Exar-PGCo loan amendment</w:t>
            </w:r>
          </w:p>
        </w:tc>
        <w:tc>
          <w:tcPr>
            <w:tcW w:w="1820" w:type="dxa"/>
            <w:vAlign w:val="bottom"/>
            <w:shd w:val="clear" w:color="auto" w:fill="D9D9D9"/>
          </w:tcPr>
          <w:p>
            <w:pPr>
              <w:spacing w:after="0"/>
              <w:rPr>
                <w:sz w:val="24"/>
                <w:szCs w:val="24"/>
                <w:color w:val="auto"/>
              </w:rPr>
            </w:pPr>
          </w:p>
        </w:tc>
      </w:tr>
      <w:tr>
        <w:trPr>
          <w:trHeight w:val="314"/>
        </w:trPr>
        <w:tc>
          <w:tcPr>
            <w:tcW w:w="7020" w:type="dxa"/>
            <w:vAlign w:val="bottom"/>
            <w:shd w:val="clear" w:color="auto" w:fill="D9D9D9"/>
          </w:tcPr>
          <w:p>
            <w:pPr>
              <w:spacing w:after="0"/>
              <w:rPr>
                <w:sz w:val="20"/>
                <w:szCs w:val="20"/>
                <w:color w:val="auto"/>
              </w:rPr>
            </w:pPr>
            <w:r>
              <w:rPr>
                <w:rFonts w:ascii="Arial" w:cs="Arial" w:eastAsia="Arial" w:hAnsi="Arial"/>
                <w:sz w:val="18"/>
                <w:szCs w:val="18"/>
                <w:color w:val="auto"/>
              </w:rPr>
              <w:t>Recognition of previously unrecognized share of losses for year 2024</w:t>
            </w:r>
          </w:p>
        </w:tc>
        <w:tc>
          <w:tcPr>
            <w:tcW w:w="18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(26,</w:t>
            </w:r>
          </w:p>
        </w:tc>
      </w:tr>
      <w:tr>
        <w:trPr>
          <w:trHeight w:val="314"/>
        </w:trPr>
        <w:tc>
          <w:tcPr>
            <w:tcW w:w="7020" w:type="dxa"/>
            <w:vAlign w:val="bottom"/>
            <w:shd w:val="clear" w:color="auto" w:fill="D9D9D9"/>
          </w:tcPr>
          <w:p>
            <w:pPr>
              <w:spacing w:after="0"/>
              <w:rPr>
                <w:sz w:val="20"/>
                <w:szCs w:val="20"/>
                <w:color w:val="auto"/>
              </w:rPr>
            </w:pPr>
            <w:r>
              <w:rPr>
                <w:rFonts w:ascii="Arial" w:cs="Arial" w:eastAsia="Arial" w:hAnsi="Arial"/>
                <w:sz w:val="18"/>
                <w:szCs w:val="18"/>
                <w:color w:val="auto"/>
              </w:rPr>
              <w:t>Share of loss of Cauchari-Olaroz Project for the current period</w:t>
            </w:r>
          </w:p>
        </w:tc>
        <w:tc>
          <w:tcPr>
            <w:tcW w:w="18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7020" w:type="dxa"/>
            <w:vAlign w:val="bottom"/>
            <w:shd w:val="clear" w:color="auto" w:fill="D9D9D9"/>
          </w:tcPr>
          <w:p>
            <w:pPr>
              <w:spacing w:after="0"/>
              <w:rPr>
                <w:sz w:val="20"/>
                <w:szCs w:val="20"/>
                <w:color w:val="auto"/>
              </w:rPr>
            </w:pPr>
            <w:r>
              <w:rPr>
                <w:rFonts w:ascii="Arial" w:cs="Arial" w:eastAsia="Arial" w:hAnsi="Arial"/>
                <w:sz w:val="18"/>
                <w:szCs w:val="18"/>
                <w:color w:val="auto"/>
              </w:rPr>
              <w:t>Investment in Cauchari-Olaroz Project, as at December 31, 2025</w:t>
            </w:r>
          </w:p>
        </w:tc>
        <w:tc>
          <w:tcPr>
            <w:tcW w:w="18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93,</w:t>
            </w:r>
          </w:p>
        </w:tc>
      </w:tr>
      <w:tr>
        <w:trPr>
          <w:trHeight w:val="46"/>
        </w:trPr>
        <w:tc>
          <w:tcPr>
            <w:tcW w:w="7020" w:type="dxa"/>
            <w:vAlign w:val="bottom"/>
            <w:shd w:val="clear" w:color="auto" w:fill="D9D9D9"/>
          </w:tcPr>
          <w:p>
            <w:pPr>
              <w:spacing w:after="0"/>
              <w:rPr>
                <w:sz w:val="4"/>
                <w:szCs w:val="4"/>
                <w:color w:val="auto"/>
              </w:rPr>
            </w:pPr>
          </w:p>
        </w:tc>
        <w:tc>
          <w:tcPr>
            <w:tcW w:w="1820" w:type="dxa"/>
            <w:vAlign w:val="bottom"/>
            <w:shd w:val="clear" w:color="auto" w:fill="D9D9D9"/>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-211455</wp:posOffset>
            </wp:positionV>
            <wp:extent cx="5621020" cy="635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8">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-5715</wp:posOffset>
            </wp:positionV>
            <wp:extent cx="5621020" cy="635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9">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320" w:lineRule="exact"/>
        <w:rPr>
          <w:sz w:val="20"/>
          <w:szCs w:val="20"/>
          <w:color w:val="auto"/>
        </w:rPr>
      </w:pPr>
    </w:p>
    <w:p>
      <w:pPr>
        <w:jc w:val="both"/>
        <w:ind w:left="1620"/>
        <w:spacing w:after="0" w:line="313" w:lineRule="auto"/>
        <w:rPr>
          <w:sz w:val="20"/>
          <w:szCs w:val="20"/>
          <w:color w:val="auto"/>
        </w:rPr>
      </w:pPr>
      <w:r>
        <w:rPr>
          <w:rFonts w:ascii="Arial" w:cs="Arial" w:eastAsia="Arial" w:hAnsi="Arial"/>
          <w:sz w:val="20"/>
          <w:szCs w:val="20"/>
          <w:color w:val="auto"/>
        </w:rPr>
        <w:t>For the year ended December 31, 2025, the Company recognized its share of losses from the Cau Olaroz project totaling $39,766 in the statement of comprehensive loss. This amount includes cu year losses of $13,724 and previously unrecognized losses of $26,04 from 2024, which were recognized following the capitalization of loans to Minera Exar that increase carrying amount of the Company’s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234315</wp:posOffset>
            </wp:positionV>
            <wp:extent cx="1676400" cy="1905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0">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33"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33 / 40</w:t>
      </w:r>
    </w:p>
    <w:p>
      <w:pPr>
        <w:sectPr>
          <w:pgSz w:w="11900" w:h="16838" w:orient="portrait"/>
          <w:cols w:equalWidth="0" w:num="1">
            <w:col w:w="10460"/>
          </w:cols>
          <w:pgMar w:left="1440" w:top="1133" w:right="6" w:bottom="0" w:gutter="0" w:footer="0" w:header="0"/>
          <w:type w:val="continuous"/>
        </w:sectPr>
      </w:pPr>
    </w:p>
    <w:bookmarkStart w:id="417" w:name="page418"/>
    <w:bookmarkEnd w:id="4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43" w:lineRule="exact"/>
        <w:rPr>
          <w:sz w:val="20"/>
          <w:szCs w:val="20"/>
          <w:color w:val="auto"/>
        </w:rPr>
      </w:pPr>
    </w:p>
    <w:p>
      <w:pPr>
        <w:ind w:left="1620" w:hanging="726"/>
        <w:spacing w:after="0"/>
        <w:tabs>
          <w:tab w:leader="none" w:pos="1620" w:val="left"/>
        </w:tabs>
        <w:numPr>
          <w:ilvl w:val="0"/>
          <w:numId w:val="152"/>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INVESTMENT IN CAUCHARI-OLAROZ PROJECT </w:t>
      </w:r>
      <w:r>
        <w:rPr>
          <w:rFonts w:ascii="Arial" w:cs="Arial" w:eastAsia="Arial" w:hAnsi="Arial"/>
          <w:sz w:val="20"/>
          <w:szCs w:val="20"/>
          <w:i w:val="1"/>
          <w:iCs w:val="1"/>
          <w:color w:val="153A57"/>
        </w:rPr>
        <w:t>(continued)</w:t>
      </w:r>
    </w:p>
    <w:p>
      <w:pPr>
        <w:spacing w:after="0" w:line="286"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Summarized Financial Information of Minera Exar</w:t>
      </w:r>
    </w:p>
    <w:p>
      <w:pPr>
        <w:spacing w:after="0" w:line="380" w:lineRule="exact"/>
        <w:rPr>
          <w:rFonts w:ascii="Arial" w:cs="Arial" w:eastAsia="Arial" w:hAnsi="Arial"/>
          <w:sz w:val="20"/>
          <w:szCs w:val="20"/>
          <w:b w:val="1"/>
          <w:bCs w:val="1"/>
          <w:color w:val="153A57"/>
        </w:rPr>
      </w:pPr>
    </w:p>
    <w:p>
      <w:pPr>
        <w:jc w:val="both"/>
        <w:ind w:left="1620"/>
        <w:spacing w:after="0" w:line="312" w:lineRule="auto"/>
        <w:rPr>
          <w:rFonts w:ascii="Arial" w:cs="Arial" w:eastAsia="Arial" w:hAnsi="Arial"/>
          <w:sz w:val="20"/>
          <w:szCs w:val="20"/>
          <w:b w:val="1"/>
          <w:bCs w:val="1"/>
          <w:color w:val="153A57"/>
        </w:rPr>
      </w:pPr>
      <w:r>
        <w:rPr>
          <w:rFonts w:ascii="Arial" w:cs="Arial" w:eastAsia="Arial" w:hAnsi="Arial"/>
          <w:sz w:val="20"/>
          <w:szCs w:val="20"/>
          <w:color w:val="auto"/>
        </w:rPr>
        <w:t>As of October 1, 2024, Minera Exar determined that commercial production had been achieved fo Cauchari Olaroz project after reaching elevated production levels for a sustained period. As a resul Cauchari Olaroz project’s assets were considered ready for their intended use, and depreciation of t assets commenced on October 1, 2024.</w:t>
      </w:r>
    </w:p>
    <w:p>
      <w:pPr>
        <w:spacing w:after="0" w:line="211" w:lineRule="exact"/>
        <w:rPr>
          <w:rFonts w:ascii="Arial" w:cs="Arial" w:eastAsia="Arial" w:hAnsi="Arial"/>
          <w:sz w:val="20"/>
          <w:szCs w:val="20"/>
          <w:b w:val="1"/>
          <w:bCs w:val="1"/>
          <w:color w:val="153A57"/>
        </w:rPr>
      </w:pPr>
    </w:p>
    <w:p>
      <w:pPr>
        <w:ind w:left="1620" w:right="40"/>
        <w:spacing w:after="0" w:line="307" w:lineRule="auto"/>
        <w:rPr>
          <w:rFonts w:ascii="Arial" w:cs="Arial" w:eastAsia="Arial" w:hAnsi="Arial"/>
          <w:sz w:val="20"/>
          <w:szCs w:val="20"/>
          <w:b w:val="1"/>
          <w:bCs w:val="1"/>
          <w:color w:val="153A57"/>
        </w:rPr>
      </w:pPr>
      <w:r>
        <w:rPr>
          <w:rFonts w:ascii="Arial" w:cs="Arial" w:eastAsia="Arial" w:hAnsi="Arial"/>
          <w:sz w:val="20"/>
          <w:szCs w:val="20"/>
          <w:color w:val="auto"/>
        </w:rPr>
        <w:t>The following is the condensed financial information of Minera Exar on a 100% basis, as amend reflect the Company’s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272415</wp:posOffset>
            </wp:positionV>
            <wp:extent cx="5621020" cy="2857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2">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72"/>
        </w:trPr>
        <w:tc>
          <w:tcPr>
            <w:tcW w:w="5540" w:type="dxa"/>
            <w:vAlign w:val="bottom"/>
          </w:tcPr>
          <w:p>
            <w:pPr>
              <w:spacing w:after="0"/>
              <w:rPr>
                <w:sz w:val="23"/>
                <w:szCs w:val="23"/>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36"/>
        </w:trPr>
        <w:tc>
          <w:tcPr>
            <w:tcW w:w="5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Pr>
          <w:p>
            <w:pPr>
              <w:spacing w:after="0"/>
              <w:rPr>
                <w:sz w:val="21"/>
                <w:szCs w:val="21"/>
                <w:color w:val="auto"/>
              </w:rPr>
            </w:pPr>
          </w:p>
        </w:tc>
        <w:tc>
          <w:tcPr>
            <w:tcW w:w="1540" w:type="dxa"/>
            <w:vAlign w:val="bottom"/>
            <w:gridSpan w:val="2"/>
            <w:shd w:val="clear" w:color="auto" w:fill="D9D9D9"/>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D9D9D9"/>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5540" w:type="dxa"/>
            <w:vAlign w:val="bottom"/>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1460" w:type="dxa"/>
            <w:vAlign w:val="bottom"/>
            <w:shd w:val="clear" w:color="auto" w:fill="D9D9D9"/>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8"/>
        </w:trPr>
        <w:tc>
          <w:tcPr>
            <w:tcW w:w="5540" w:type="dxa"/>
            <w:vAlign w:val="bottom"/>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D9D9D9"/>
          </w:tcPr>
          <w:p>
            <w:pPr>
              <w:spacing w:after="0"/>
              <w:rPr>
                <w:sz w:val="24"/>
                <w:szCs w:val="24"/>
                <w:color w:val="auto"/>
              </w:rPr>
            </w:pPr>
          </w:p>
        </w:tc>
        <w:tc>
          <w:tcPr>
            <w:tcW w:w="14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431,365</w:t>
            </w:r>
          </w:p>
        </w:tc>
        <w:tc>
          <w:tcPr>
            <w:tcW w:w="80" w:type="dxa"/>
            <w:vAlign w:val="bottom"/>
            <w:shd w:val="clear" w:color="auto" w:fill="D9D9D9"/>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36"/>
        </w:trPr>
        <w:tc>
          <w:tcPr>
            <w:tcW w:w="5540" w:type="dxa"/>
            <w:vAlign w:val="bottom"/>
          </w:tcPr>
          <w:p>
            <w:pPr>
              <w:spacing w:after="0"/>
              <w:rPr>
                <w:sz w:val="3"/>
                <w:szCs w:val="3"/>
                <w:color w:val="auto"/>
              </w:rPr>
            </w:pPr>
          </w:p>
        </w:tc>
        <w:tc>
          <w:tcPr>
            <w:tcW w:w="80" w:type="dxa"/>
            <w:vAlign w:val="bottom"/>
            <w:shd w:val="clear" w:color="auto" w:fill="D9D9D9"/>
          </w:tcPr>
          <w:p>
            <w:pPr>
              <w:spacing w:after="0"/>
              <w:rPr>
                <w:sz w:val="3"/>
                <w:szCs w:val="3"/>
                <w:color w:val="auto"/>
              </w:rPr>
            </w:pPr>
          </w:p>
        </w:tc>
        <w:tc>
          <w:tcPr>
            <w:tcW w:w="1460" w:type="dxa"/>
            <w:vAlign w:val="bottom"/>
            <w:shd w:val="clear" w:color="auto" w:fill="D9D9D9"/>
          </w:tcPr>
          <w:p>
            <w:pPr>
              <w:spacing w:after="0"/>
              <w:rPr>
                <w:sz w:val="3"/>
                <w:szCs w:val="3"/>
                <w:color w:val="auto"/>
              </w:rPr>
            </w:pPr>
          </w:p>
        </w:tc>
        <w:tc>
          <w:tcPr>
            <w:tcW w:w="80" w:type="dxa"/>
            <w:vAlign w:val="bottom"/>
            <w:shd w:val="clear" w:color="auto" w:fill="D9D9D9"/>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8"/>
        </w:trPr>
        <w:tc>
          <w:tcPr>
            <w:tcW w:w="5540" w:type="dxa"/>
            <w:vAlign w:val="bottom"/>
          </w:tcPr>
          <w:p>
            <w:pPr>
              <w:spacing w:after="0"/>
              <w:rPr>
                <w:sz w:val="20"/>
                <w:szCs w:val="20"/>
                <w:color w:val="auto"/>
              </w:rPr>
            </w:pPr>
            <w:r>
              <w:rPr>
                <w:rFonts w:ascii="Arial" w:cs="Arial" w:eastAsia="Arial" w:hAnsi="Arial"/>
                <w:sz w:val="18"/>
                <w:szCs w:val="18"/>
                <w:color w:val="auto"/>
              </w:rPr>
              <w:t>Non-current assets</w:t>
            </w:r>
          </w:p>
        </w:tc>
        <w:tc>
          <w:tcPr>
            <w:tcW w:w="80" w:type="dxa"/>
            <w:vAlign w:val="bottom"/>
            <w:shd w:val="clear" w:color="auto" w:fill="D9D9D9"/>
          </w:tcPr>
          <w:p>
            <w:pPr>
              <w:spacing w:after="0"/>
              <w:rPr>
                <w:sz w:val="24"/>
                <w:szCs w:val="24"/>
                <w:color w:val="auto"/>
              </w:rPr>
            </w:pPr>
          </w:p>
        </w:tc>
        <w:tc>
          <w:tcPr>
            <w:tcW w:w="14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1,409,357</w:t>
            </w:r>
          </w:p>
        </w:tc>
        <w:tc>
          <w:tcPr>
            <w:tcW w:w="80" w:type="dxa"/>
            <w:vAlign w:val="bottom"/>
            <w:shd w:val="clear" w:color="auto" w:fill="D9D9D9"/>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36"/>
        </w:trPr>
        <w:tc>
          <w:tcPr>
            <w:tcW w:w="5540" w:type="dxa"/>
            <w:vAlign w:val="bottom"/>
            <w:vMerge w:val="restart"/>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D9D9D9"/>
          </w:tcPr>
          <w:p>
            <w:pPr>
              <w:spacing w:after="0"/>
              <w:rPr>
                <w:sz w:val="3"/>
                <w:szCs w:val="3"/>
                <w:color w:val="auto"/>
              </w:rPr>
            </w:pPr>
          </w:p>
        </w:tc>
        <w:tc>
          <w:tcPr>
            <w:tcW w:w="1460" w:type="dxa"/>
            <w:vAlign w:val="bottom"/>
            <w:shd w:val="clear" w:color="auto" w:fill="D9D9D9"/>
          </w:tcPr>
          <w:p>
            <w:pPr>
              <w:spacing w:after="0"/>
              <w:rPr>
                <w:sz w:val="3"/>
                <w:szCs w:val="3"/>
                <w:color w:val="auto"/>
              </w:rPr>
            </w:pPr>
          </w:p>
        </w:tc>
        <w:tc>
          <w:tcPr>
            <w:tcW w:w="80" w:type="dxa"/>
            <w:vAlign w:val="bottom"/>
            <w:shd w:val="clear" w:color="auto" w:fill="D9D9D9"/>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vMerge w:val="continue"/>
          </w:tcPr>
          <w:p>
            <w:pPr>
              <w:spacing w:after="0"/>
              <w:rPr>
                <w:sz w:val="21"/>
                <w:szCs w:val="21"/>
                <w:color w:val="auto"/>
              </w:rPr>
            </w:pPr>
          </w:p>
        </w:tc>
        <w:tc>
          <w:tcPr>
            <w:tcW w:w="80" w:type="dxa"/>
            <w:vAlign w:val="bottom"/>
            <w:shd w:val="clear" w:color="auto" w:fill="D9D9D9"/>
          </w:tcPr>
          <w:p>
            <w:pPr>
              <w:spacing w:after="0"/>
              <w:rPr>
                <w:sz w:val="21"/>
                <w:szCs w:val="21"/>
                <w:color w:val="auto"/>
              </w:rPr>
            </w:pPr>
          </w:p>
        </w:tc>
        <w:tc>
          <w:tcPr>
            <w:tcW w:w="1460" w:type="dxa"/>
            <w:vAlign w:val="bottom"/>
            <w:shd w:val="clear" w:color="auto" w:fill="D9D9D9"/>
          </w:tcPr>
          <w:p>
            <w:pPr>
              <w:spacing w:after="0"/>
              <w:rPr>
                <w:sz w:val="21"/>
                <w:szCs w:val="21"/>
                <w:color w:val="auto"/>
              </w:rPr>
            </w:pPr>
          </w:p>
        </w:tc>
        <w:tc>
          <w:tcPr>
            <w:tcW w:w="80" w:type="dxa"/>
            <w:vAlign w:val="bottom"/>
            <w:shd w:val="clear" w:color="auto" w:fill="D9D9D9"/>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5540" w:type="dxa"/>
            <w:vAlign w:val="bottom"/>
            <w:vMerge w:val="restart"/>
          </w:tcPr>
          <w:p>
            <w:pPr>
              <w:ind w:left="200"/>
              <w:spacing w:after="0"/>
              <w:rPr>
                <w:sz w:val="20"/>
                <w:szCs w:val="20"/>
                <w:color w:val="auto"/>
              </w:rPr>
            </w:pPr>
            <w:r>
              <w:rPr>
                <w:rFonts w:ascii="Arial" w:cs="Arial" w:eastAsia="Arial" w:hAnsi="Arial"/>
                <w:sz w:val="18"/>
                <w:szCs w:val="18"/>
                <w:color w:val="auto"/>
              </w:rPr>
              <w:t>Third-party loans</w:t>
            </w:r>
          </w:p>
        </w:tc>
        <w:tc>
          <w:tcPr>
            <w:tcW w:w="1540" w:type="dxa"/>
            <w:vAlign w:val="bottom"/>
            <w:gridSpan w:val="2"/>
            <w:shd w:val="clear" w:color="auto" w:fill="D9D9D9"/>
          </w:tcPr>
          <w:p>
            <w:pPr>
              <w:spacing w:after="0"/>
              <w:rPr>
                <w:sz w:val="3"/>
                <w:szCs w:val="3"/>
                <w:color w:val="auto"/>
              </w:rPr>
            </w:pPr>
          </w:p>
        </w:tc>
        <w:tc>
          <w:tcPr>
            <w:tcW w:w="80" w:type="dxa"/>
            <w:vAlign w:val="bottom"/>
            <w:vMerge w:val="restart"/>
            <w:shd w:val="clear" w:color="auto" w:fill="D9D9D9"/>
          </w:tcPr>
          <w:p>
            <w:pPr>
              <w:jc w:val="right"/>
              <w:spacing w:after="0"/>
              <w:rPr>
                <w:sz w:val="20"/>
                <w:szCs w:val="20"/>
                <w:color w:val="auto"/>
              </w:rPr>
            </w:pPr>
            <w:r>
              <w:rPr>
                <w:rFonts w:ascii="Arial" w:cs="Arial" w:eastAsia="Arial" w:hAnsi="Arial"/>
                <w:sz w:val="16"/>
                <w:szCs w:val="16"/>
                <w:color w:val="auto"/>
                <w:w w:val="74"/>
              </w:rPr>
              <w:t>)</w:t>
            </w: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line="20" w:lineRule="exact"/>
              <w:rPr>
                <w:sz w:val="1"/>
                <w:szCs w:val="1"/>
                <w:color w:val="auto"/>
              </w:rPr>
            </w:pPr>
          </w:p>
        </w:tc>
      </w:tr>
      <w:tr>
        <w:trPr>
          <w:trHeight w:val="278"/>
        </w:trPr>
        <w:tc>
          <w:tcPr>
            <w:tcW w:w="5540" w:type="dxa"/>
            <w:vAlign w:val="bottom"/>
            <w:vMerge w:val="continue"/>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4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(242,910</w:t>
            </w:r>
          </w:p>
        </w:tc>
        <w:tc>
          <w:tcPr>
            <w:tcW w:w="80" w:type="dxa"/>
            <w:vAlign w:val="bottom"/>
            <w:vMerge w:val="continue"/>
            <w:shd w:val="clear" w:color="auto" w:fill="D9D9D9"/>
          </w:tcPr>
          <w:p>
            <w:pPr>
              <w:spacing w:after="0"/>
              <w:rPr>
                <w:sz w:val="24"/>
                <w:szCs w:val="24"/>
                <w:color w:val="auto"/>
              </w:rPr>
            </w:pPr>
          </w:p>
        </w:tc>
        <w:tc>
          <w:tcPr>
            <w:tcW w:w="1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5540" w:type="dxa"/>
            <w:vAlign w:val="bottom"/>
          </w:tcPr>
          <w:p>
            <w:pPr>
              <w:spacing w:after="0"/>
              <w:rPr>
                <w:sz w:val="3"/>
                <w:szCs w:val="3"/>
                <w:color w:val="auto"/>
              </w:rPr>
            </w:pPr>
          </w:p>
        </w:tc>
        <w:tc>
          <w:tcPr>
            <w:tcW w:w="80" w:type="dxa"/>
            <w:vAlign w:val="bottom"/>
            <w:shd w:val="clear" w:color="auto" w:fill="D9D9D9"/>
          </w:tcPr>
          <w:p>
            <w:pPr>
              <w:spacing w:after="0"/>
              <w:rPr>
                <w:sz w:val="3"/>
                <w:szCs w:val="3"/>
                <w:color w:val="auto"/>
              </w:rPr>
            </w:pPr>
          </w:p>
        </w:tc>
        <w:tc>
          <w:tcPr>
            <w:tcW w:w="1460" w:type="dxa"/>
            <w:vAlign w:val="bottom"/>
            <w:shd w:val="clear" w:color="auto" w:fill="D9D9D9"/>
          </w:tcPr>
          <w:p>
            <w:pPr>
              <w:spacing w:after="0"/>
              <w:rPr>
                <w:sz w:val="3"/>
                <w:szCs w:val="3"/>
                <w:color w:val="auto"/>
              </w:rPr>
            </w:pPr>
          </w:p>
        </w:tc>
        <w:tc>
          <w:tcPr>
            <w:tcW w:w="80" w:type="dxa"/>
            <w:vAlign w:val="bottom"/>
            <w:shd w:val="clear" w:color="auto" w:fill="D9D9D9"/>
          </w:tcPr>
          <w:p>
            <w:pPr>
              <w:spacing w:after="0"/>
              <w:rPr>
                <w:sz w:val="3"/>
                <w:szCs w:val="3"/>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line="20" w:lineRule="exact"/>
              <w:rPr>
                <w:sz w:val="1"/>
                <w:szCs w:val="1"/>
                <w:color w:val="auto"/>
              </w:rPr>
            </w:pPr>
          </w:p>
        </w:tc>
      </w:tr>
      <w:tr>
        <w:trPr>
          <w:trHeight w:val="278"/>
        </w:trPr>
        <w:tc>
          <w:tcPr>
            <w:tcW w:w="5540" w:type="dxa"/>
            <w:vAlign w:val="bottom"/>
          </w:tcPr>
          <w:p>
            <w:pPr>
              <w:ind w:left="200"/>
              <w:spacing w:after="0"/>
              <w:rPr>
                <w:sz w:val="20"/>
                <w:szCs w:val="20"/>
                <w:color w:val="auto"/>
              </w:rPr>
            </w:pPr>
            <w:r>
              <w:rPr>
                <w:rFonts w:ascii="Arial" w:cs="Arial" w:eastAsia="Arial" w:hAnsi="Arial"/>
                <w:sz w:val="18"/>
                <w:szCs w:val="18"/>
                <w:color w:val="auto"/>
              </w:rPr>
              <w:t>Loans from Exar Capital</w:t>
            </w:r>
          </w:p>
        </w:tc>
        <w:tc>
          <w:tcPr>
            <w:tcW w:w="80" w:type="dxa"/>
            <w:vAlign w:val="bottom"/>
            <w:shd w:val="clear" w:color="auto" w:fill="D9D9D9"/>
          </w:tcPr>
          <w:p>
            <w:pPr>
              <w:spacing w:after="0"/>
              <w:rPr>
                <w:sz w:val="24"/>
                <w:szCs w:val="24"/>
                <w:color w:val="auto"/>
              </w:rPr>
            </w:pPr>
          </w:p>
        </w:tc>
        <w:tc>
          <w:tcPr>
            <w:tcW w:w="14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9D9D9"/>
          </w:tcPr>
          <w:p>
            <w:pPr>
              <w:spacing w:after="0"/>
              <w:rPr>
                <w:sz w:val="24"/>
                <w:szCs w:val="24"/>
                <w:color w:val="auto"/>
              </w:rPr>
            </w:pPr>
          </w:p>
        </w:tc>
        <w:tc>
          <w:tcPr>
            <w:tcW w:w="1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540" w:type="dxa"/>
            <w:vAlign w:val="bottom"/>
          </w:tcPr>
          <w:p>
            <w:pPr>
              <w:ind w:left="200"/>
              <w:spacing w:after="0"/>
              <w:rPr>
                <w:sz w:val="20"/>
                <w:szCs w:val="20"/>
                <w:color w:val="auto"/>
              </w:rPr>
            </w:pPr>
            <w:r>
              <w:rPr>
                <w:rFonts w:ascii="Arial" w:cs="Arial" w:eastAsia="Arial" w:hAnsi="Arial"/>
                <w:sz w:val="18"/>
                <w:szCs w:val="18"/>
                <w:color w:val="auto"/>
              </w:rPr>
              <w:t>Derivative liability on loans from Exar Capital</w:t>
            </w:r>
          </w:p>
        </w:tc>
        <w:tc>
          <w:tcPr>
            <w:tcW w:w="80" w:type="dxa"/>
            <w:vAlign w:val="bottom"/>
            <w:shd w:val="clear" w:color="auto" w:fill="D9D9D9"/>
          </w:tcPr>
          <w:p>
            <w:pPr>
              <w:spacing w:after="0"/>
              <w:rPr>
                <w:sz w:val="24"/>
                <w:szCs w:val="24"/>
                <w:color w:val="auto"/>
              </w:rPr>
            </w:pPr>
          </w:p>
        </w:tc>
        <w:tc>
          <w:tcPr>
            <w:tcW w:w="14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9D9D9"/>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14"/>
        </w:trPr>
        <w:tc>
          <w:tcPr>
            <w:tcW w:w="554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D9D9D9"/>
          </w:tcPr>
          <w:p>
            <w:pPr>
              <w:spacing w:after="0"/>
              <w:rPr>
                <w:sz w:val="24"/>
                <w:szCs w:val="24"/>
                <w:color w:val="auto"/>
              </w:rPr>
            </w:pPr>
          </w:p>
        </w:tc>
        <w:tc>
          <w:tcPr>
            <w:tcW w:w="14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(61,599</w:t>
            </w:r>
          </w:p>
        </w:tc>
        <w:tc>
          <w:tcPr>
            <w:tcW w:w="80" w:type="dxa"/>
            <w:vAlign w:val="bottom"/>
            <w:shd w:val="clear" w:color="auto" w:fill="D9D9D9"/>
          </w:tcPr>
          <w:p>
            <w:pPr>
              <w:jc w:val="right"/>
              <w:spacing w:after="0"/>
              <w:rPr>
                <w:sz w:val="20"/>
                <w:szCs w:val="20"/>
                <w:color w:val="auto"/>
              </w:rPr>
            </w:pPr>
            <w:r>
              <w:rPr>
                <w:rFonts w:ascii="Arial" w:cs="Arial" w:eastAsia="Arial" w:hAnsi="Arial"/>
                <w:sz w:val="16"/>
                <w:szCs w:val="16"/>
                <w:color w:val="auto"/>
                <w:w w:val="74"/>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6"/>
        </w:trPr>
        <w:tc>
          <w:tcPr>
            <w:tcW w:w="5540" w:type="dxa"/>
            <w:vAlign w:val="bottom"/>
            <w:vMerge w:val="restart"/>
          </w:tcPr>
          <w:p>
            <w:pPr>
              <w:spacing w:after="0"/>
              <w:rPr>
                <w:sz w:val="20"/>
                <w:szCs w:val="20"/>
                <w:color w:val="auto"/>
              </w:rPr>
            </w:pPr>
            <w:r>
              <w:rPr>
                <w:rFonts w:ascii="Arial" w:cs="Arial" w:eastAsia="Arial" w:hAnsi="Arial"/>
                <w:sz w:val="18"/>
                <w:szCs w:val="18"/>
                <w:color w:val="auto"/>
              </w:rPr>
              <w:t>Non-current liabilities:</w:t>
            </w:r>
          </w:p>
        </w:tc>
        <w:tc>
          <w:tcPr>
            <w:tcW w:w="80" w:type="dxa"/>
            <w:vAlign w:val="bottom"/>
            <w:shd w:val="clear" w:color="auto" w:fill="D9D9D9"/>
          </w:tcPr>
          <w:p>
            <w:pPr>
              <w:spacing w:after="0"/>
              <w:rPr>
                <w:sz w:val="3"/>
                <w:szCs w:val="3"/>
                <w:color w:val="auto"/>
              </w:rPr>
            </w:pPr>
          </w:p>
        </w:tc>
        <w:tc>
          <w:tcPr>
            <w:tcW w:w="1460" w:type="dxa"/>
            <w:vAlign w:val="bottom"/>
            <w:shd w:val="clear" w:color="auto" w:fill="D9D9D9"/>
          </w:tcPr>
          <w:p>
            <w:pPr>
              <w:spacing w:after="0"/>
              <w:rPr>
                <w:sz w:val="3"/>
                <w:szCs w:val="3"/>
                <w:color w:val="auto"/>
              </w:rPr>
            </w:pPr>
          </w:p>
        </w:tc>
        <w:tc>
          <w:tcPr>
            <w:tcW w:w="80" w:type="dxa"/>
            <w:vAlign w:val="bottom"/>
            <w:shd w:val="clear" w:color="auto" w:fill="D9D9D9"/>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vMerge w:val="continue"/>
          </w:tcPr>
          <w:p>
            <w:pPr>
              <w:spacing w:after="0"/>
              <w:rPr>
                <w:sz w:val="21"/>
                <w:szCs w:val="21"/>
                <w:color w:val="auto"/>
              </w:rPr>
            </w:pPr>
          </w:p>
        </w:tc>
        <w:tc>
          <w:tcPr>
            <w:tcW w:w="80" w:type="dxa"/>
            <w:vAlign w:val="bottom"/>
            <w:shd w:val="clear" w:color="auto" w:fill="D9D9D9"/>
          </w:tcPr>
          <w:p>
            <w:pPr>
              <w:spacing w:after="0"/>
              <w:rPr>
                <w:sz w:val="21"/>
                <w:szCs w:val="21"/>
                <w:color w:val="auto"/>
              </w:rPr>
            </w:pPr>
          </w:p>
        </w:tc>
        <w:tc>
          <w:tcPr>
            <w:tcW w:w="1460" w:type="dxa"/>
            <w:vAlign w:val="bottom"/>
            <w:shd w:val="clear" w:color="auto" w:fill="D9D9D9"/>
          </w:tcPr>
          <w:p>
            <w:pPr>
              <w:spacing w:after="0"/>
              <w:rPr>
                <w:sz w:val="21"/>
                <w:szCs w:val="21"/>
                <w:color w:val="auto"/>
              </w:rPr>
            </w:pPr>
          </w:p>
        </w:tc>
        <w:tc>
          <w:tcPr>
            <w:tcW w:w="80" w:type="dxa"/>
            <w:vAlign w:val="bottom"/>
            <w:shd w:val="clear" w:color="auto" w:fill="D9D9D9"/>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5540" w:type="dxa"/>
            <w:vAlign w:val="bottom"/>
            <w:vMerge w:val="restart"/>
          </w:tcPr>
          <w:p>
            <w:pPr>
              <w:ind w:left="200"/>
              <w:spacing w:after="0"/>
              <w:rPr>
                <w:sz w:val="20"/>
                <w:szCs w:val="20"/>
                <w:color w:val="auto"/>
              </w:rPr>
            </w:pPr>
            <w:r>
              <w:rPr>
                <w:rFonts w:ascii="Arial" w:cs="Arial" w:eastAsia="Arial" w:hAnsi="Arial"/>
                <w:sz w:val="18"/>
                <w:szCs w:val="18"/>
                <w:color w:val="auto"/>
              </w:rPr>
              <w:t>Third-party loans</w:t>
            </w:r>
          </w:p>
        </w:tc>
        <w:tc>
          <w:tcPr>
            <w:tcW w:w="1540" w:type="dxa"/>
            <w:vAlign w:val="bottom"/>
            <w:gridSpan w:val="2"/>
            <w:shd w:val="clear" w:color="auto" w:fill="D9D9D9"/>
          </w:tcPr>
          <w:p>
            <w:pPr>
              <w:spacing w:after="0"/>
              <w:rPr>
                <w:sz w:val="3"/>
                <w:szCs w:val="3"/>
                <w:color w:val="auto"/>
              </w:rPr>
            </w:pPr>
          </w:p>
        </w:tc>
        <w:tc>
          <w:tcPr>
            <w:tcW w:w="80" w:type="dxa"/>
            <w:vAlign w:val="bottom"/>
            <w:vMerge w:val="restart"/>
            <w:shd w:val="clear" w:color="auto" w:fill="D9D9D9"/>
          </w:tcPr>
          <w:p>
            <w:pPr>
              <w:jc w:val="right"/>
              <w:spacing w:after="0"/>
              <w:rPr>
                <w:sz w:val="20"/>
                <w:szCs w:val="20"/>
                <w:color w:val="auto"/>
              </w:rPr>
            </w:pPr>
            <w:r>
              <w:rPr>
                <w:rFonts w:ascii="Arial" w:cs="Arial" w:eastAsia="Arial" w:hAnsi="Arial"/>
                <w:sz w:val="16"/>
                <w:szCs w:val="16"/>
                <w:color w:val="auto"/>
                <w:w w:val="74"/>
              </w:rPr>
              <w:t>)</w:t>
            </w: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line="20" w:lineRule="exact"/>
              <w:rPr>
                <w:sz w:val="1"/>
                <w:szCs w:val="1"/>
                <w:color w:val="auto"/>
              </w:rPr>
            </w:pPr>
          </w:p>
        </w:tc>
      </w:tr>
      <w:tr>
        <w:trPr>
          <w:trHeight w:val="278"/>
        </w:trPr>
        <w:tc>
          <w:tcPr>
            <w:tcW w:w="5540" w:type="dxa"/>
            <w:vAlign w:val="bottom"/>
            <w:vMerge w:val="continue"/>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4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(49,781</w:t>
            </w:r>
          </w:p>
        </w:tc>
        <w:tc>
          <w:tcPr>
            <w:tcW w:w="80" w:type="dxa"/>
            <w:vAlign w:val="bottom"/>
            <w:vMerge w:val="continue"/>
            <w:shd w:val="clear" w:color="auto" w:fill="D9D9D9"/>
          </w:tcPr>
          <w:p>
            <w:pPr>
              <w:spacing w:after="0"/>
              <w:rPr>
                <w:sz w:val="24"/>
                <w:szCs w:val="24"/>
                <w:color w:val="auto"/>
              </w:rPr>
            </w:pPr>
          </w:p>
        </w:tc>
        <w:tc>
          <w:tcPr>
            <w:tcW w:w="1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540" w:type="dxa"/>
            <w:vAlign w:val="bottom"/>
          </w:tcPr>
          <w:p>
            <w:pPr>
              <w:ind w:left="200"/>
              <w:spacing w:after="0"/>
              <w:rPr>
                <w:sz w:val="20"/>
                <w:szCs w:val="20"/>
                <w:color w:val="auto"/>
              </w:rPr>
            </w:pPr>
            <w:r>
              <w:rPr>
                <w:rFonts w:ascii="Arial" w:cs="Arial" w:eastAsia="Arial" w:hAnsi="Arial"/>
                <w:sz w:val="18"/>
                <w:szCs w:val="18"/>
                <w:color w:val="auto"/>
              </w:rPr>
              <w:t>Loans from Exar Capital</w:t>
            </w:r>
          </w:p>
        </w:tc>
        <w:tc>
          <w:tcPr>
            <w:tcW w:w="80" w:type="dxa"/>
            <w:vAlign w:val="bottom"/>
            <w:shd w:val="clear" w:color="auto" w:fill="D9D9D9"/>
          </w:tcPr>
          <w:p>
            <w:pPr>
              <w:spacing w:after="0"/>
              <w:rPr>
                <w:sz w:val="24"/>
                <w:szCs w:val="24"/>
                <w:color w:val="auto"/>
              </w:rPr>
            </w:pPr>
          </w:p>
        </w:tc>
        <w:tc>
          <w:tcPr>
            <w:tcW w:w="14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(911,338</w:t>
            </w:r>
          </w:p>
        </w:tc>
        <w:tc>
          <w:tcPr>
            <w:tcW w:w="80" w:type="dxa"/>
            <w:vAlign w:val="bottom"/>
            <w:shd w:val="clear" w:color="auto" w:fill="D9D9D9"/>
          </w:tcPr>
          <w:p>
            <w:pPr>
              <w:jc w:val="right"/>
              <w:spacing w:after="0"/>
              <w:rPr>
                <w:sz w:val="20"/>
                <w:szCs w:val="20"/>
                <w:color w:val="auto"/>
              </w:rPr>
            </w:pPr>
            <w:r>
              <w:rPr>
                <w:rFonts w:ascii="Arial" w:cs="Arial" w:eastAsia="Arial" w:hAnsi="Arial"/>
                <w:sz w:val="16"/>
                <w:szCs w:val="16"/>
                <w:color w:val="auto"/>
                <w:w w:val="74"/>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36"/>
        </w:trPr>
        <w:tc>
          <w:tcPr>
            <w:tcW w:w="5540" w:type="dxa"/>
            <w:vAlign w:val="bottom"/>
          </w:tcPr>
          <w:p>
            <w:pPr>
              <w:spacing w:after="0"/>
              <w:rPr>
                <w:sz w:val="3"/>
                <w:szCs w:val="3"/>
                <w:color w:val="auto"/>
              </w:rPr>
            </w:pPr>
          </w:p>
        </w:tc>
        <w:tc>
          <w:tcPr>
            <w:tcW w:w="80" w:type="dxa"/>
            <w:vAlign w:val="bottom"/>
            <w:shd w:val="clear" w:color="auto" w:fill="D9D9D9"/>
          </w:tcPr>
          <w:p>
            <w:pPr>
              <w:spacing w:after="0"/>
              <w:rPr>
                <w:sz w:val="3"/>
                <w:szCs w:val="3"/>
                <w:color w:val="auto"/>
              </w:rPr>
            </w:pPr>
          </w:p>
        </w:tc>
        <w:tc>
          <w:tcPr>
            <w:tcW w:w="1460" w:type="dxa"/>
            <w:vAlign w:val="bottom"/>
            <w:shd w:val="clear" w:color="auto" w:fill="D9D9D9"/>
          </w:tcPr>
          <w:p>
            <w:pPr>
              <w:spacing w:after="0"/>
              <w:rPr>
                <w:sz w:val="3"/>
                <w:szCs w:val="3"/>
                <w:color w:val="auto"/>
              </w:rPr>
            </w:pPr>
          </w:p>
        </w:tc>
        <w:tc>
          <w:tcPr>
            <w:tcW w:w="80" w:type="dxa"/>
            <w:vAlign w:val="bottom"/>
            <w:shd w:val="clear" w:color="auto" w:fill="D9D9D9"/>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8"/>
        </w:trPr>
        <w:tc>
          <w:tcPr>
            <w:tcW w:w="5540" w:type="dxa"/>
            <w:vAlign w:val="bottom"/>
          </w:tcPr>
          <w:p>
            <w:pPr>
              <w:ind w:left="200"/>
              <w:spacing w:after="0"/>
              <w:rPr>
                <w:sz w:val="20"/>
                <w:szCs w:val="20"/>
                <w:color w:val="auto"/>
              </w:rPr>
            </w:pPr>
            <w:r>
              <w:rPr>
                <w:rFonts w:ascii="Arial" w:cs="Arial" w:eastAsia="Arial" w:hAnsi="Arial"/>
                <w:sz w:val="18"/>
                <w:szCs w:val="18"/>
                <w:color w:val="auto"/>
              </w:rPr>
              <w:t>Loans from PGCo</w:t>
            </w:r>
          </w:p>
        </w:tc>
        <w:tc>
          <w:tcPr>
            <w:tcW w:w="80" w:type="dxa"/>
            <w:vAlign w:val="bottom"/>
            <w:shd w:val="clear" w:color="auto" w:fill="D9D9D9"/>
          </w:tcPr>
          <w:p>
            <w:pPr>
              <w:spacing w:after="0"/>
              <w:rPr>
                <w:sz w:val="24"/>
                <w:szCs w:val="24"/>
                <w:color w:val="auto"/>
              </w:rPr>
            </w:pPr>
          </w:p>
        </w:tc>
        <w:tc>
          <w:tcPr>
            <w:tcW w:w="14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(71,537</w:t>
            </w:r>
          </w:p>
        </w:tc>
        <w:tc>
          <w:tcPr>
            <w:tcW w:w="80" w:type="dxa"/>
            <w:vAlign w:val="bottom"/>
            <w:shd w:val="clear" w:color="auto" w:fill="D9D9D9"/>
          </w:tcPr>
          <w:p>
            <w:pPr>
              <w:jc w:val="right"/>
              <w:spacing w:after="0"/>
              <w:rPr>
                <w:sz w:val="20"/>
                <w:szCs w:val="20"/>
                <w:color w:val="auto"/>
              </w:rPr>
            </w:pPr>
            <w:r>
              <w:rPr>
                <w:rFonts w:ascii="Arial" w:cs="Arial" w:eastAsia="Arial" w:hAnsi="Arial"/>
                <w:sz w:val="16"/>
                <w:szCs w:val="16"/>
                <w:color w:val="auto"/>
                <w:highlight w:val="lightGray"/>
                <w:w w:val="74"/>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6"/>
        </w:trPr>
        <w:tc>
          <w:tcPr>
            <w:tcW w:w="5540" w:type="dxa"/>
            <w:vAlign w:val="bottom"/>
          </w:tcPr>
          <w:p>
            <w:pPr>
              <w:spacing w:after="0"/>
              <w:rPr>
                <w:sz w:val="3"/>
                <w:szCs w:val="3"/>
                <w:color w:val="auto"/>
              </w:rPr>
            </w:pPr>
          </w:p>
        </w:tc>
        <w:tc>
          <w:tcPr>
            <w:tcW w:w="80" w:type="dxa"/>
            <w:vAlign w:val="bottom"/>
            <w:shd w:val="clear" w:color="auto" w:fill="D9D9D9"/>
          </w:tcPr>
          <w:p>
            <w:pPr>
              <w:spacing w:after="0"/>
              <w:rPr>
                <w:sz w:val="3"/>
                <w:szCs w:val="3"/>
                <w:color w:val="auto"/>
              </w:rPr>
            </w:pPr>
          </w:p>
        </w:tc>
        <w:tc>
          <w:tcPr>
            <w:tcW w:w="1460" w:type="dxa"/>
            <w:vAlign w:val="bottom"/>
            <w:shd w:val="clear" w:color="auto" w:fill="D9D9D9"/>
          </w:tcPr>
          <w:p>
            <w:pPr>
              <w:spacing w:after="0"/>
              <w:rPr>
                <w:sz w:val="3"/>
                <w:szCs w:val="3"/>
                <w:color w:val="auto"/>
              </w:rPr>
            </w:pPr>
          </w:p>
        </w:tc>
        <w:tc>
          <w:tcPr>
            <w:tcW w:w="80" w:type="dxa"/>
            <w:vAlign w:val="bottom"/>
            <w:shd w:val="clear" w:color="auto" w:fill="D9D9D9"/>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8"/>
        </w:trPr>
        <w:tc>
          <w:tcPr>
            <w:tcW w:w="5540" w:type="dxa"/>
            <w:vAlign w:val="bottom"/>
          </w:tcPr>
          <w:p>
            <w:pPr>
              <w:ind w:left="200"/>
              <w:spacing w:after="0"/>
              <w:rPr>
                <w:sz w:val="20"/>
                <w:szCs w:val="20"/>
                <w:color w:val="auto"/>
              </w:rPr>
            </w:pPr>
            <w:r>
              <w:rPr>
                <w:rFonts w:ascii="Arial" w:cs="Arial" w:eastAsia="Arial" w:hAnsi="Arial"/>
                <w:sz w:val="18"/>
                <w:szCs w:val="18"/>
                <w:color w:val="auto"/>
              </w:rPr>
              <w:t>Derivative liability on loans from Exar Capital and PGCo</w:t>
            </w:r>
          </w:p>
        </w:tc>
        <w:tc>
          <w:tcPr>
            <w:tcW w:w="80" w:type="dxa"/>
            <w:vAlign w:val="bottom"/>
            <w:shd w:val="clear" w:color="auto" w:fill="D9D9D9"/>
          </w:tcPr>
          <w:p>
            <w:pPr>
              <w:spacing w:after="0"/>
              <w:rPr>
                <w:sz w:val="24"/>
                <w:szCs w:val="24"/>
                <w:color w:val="auto"/>
              </w:rPr>
            </w:pPr>
          </w:p>
        </w:tc>
        <w:tc>
          <w:tcPr>
            <w:tcW w:w="14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(10,614</w:t>
            </w:r>
          </w:p>
        </w:tc>
        <w:tc>
          <w:tcPr>
            <w:tcW w:w="80" w:type="dxa"/>
            <w:vAlign w:val="bottom"/>
            <w:shd w:val="clear" w:color="auto" w:fill="D9D9D9"/>
          </w:tcPr>
          <w:p>
            <w:pPr>
              <w:jc w:val="right"/>
              <w:spacing w:after="0"/>
              <w:rPr>
                <w:sz w:val="20"/>
                <w:szCs w:val="20"/>
                <w:color w:val="auto"/>
              </w:rPr>
            </w:pPr>
            <w:r>
              <w:rPr>
                <w:rFonts w:ascii="Arial" w:cs="Arial" w:eastAsia="Arial" w:hAnsi="Arial"/>
                <w:sz w:val="16"/>
                <w:szCs w:val="16"/>
                <w:color w:val="auto"/>
                <w:w w:val="74"/>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24"/>
        </w:trPr>
        <w:tc>
          <w:tcPr>
            <w:tcW w:w="5540" w:type="dxa"/>
            <w:vAlign w:val="bottom"/>
          </w:tcPr>
          <w:p>
            <w:pPr>
              <w:ind w:left="200"/>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D9D9D9"/>
          </w:tcPr>
          <w:p>
            <w:pPr>
              <w:spacing w:after="0"/>
              <w:rPr>
                <w:sz w:val="24"/>
                <w:szCs w:val="24"/>
                <w:color w:val="auto"/>
              </w:rPr>
            </w:pPr>
          </w:p>
        </w:tc>
        <w:tc>
          <w:tcPr>
            <w:tcW w:w="14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(90,633</w:t>
            </w:r>
          </w:p>
        </w:tc>
        <w:tc>
          <w:tcPr>
            <w:tcW w:w="80" w:type="dxa"/>
            <w:vAlign w:val="bottom"/>
            <w:shd w:val="clear" w:color="auto" w:fill="D9D9D9"/>
          </w:tcPr>
          <w:p>
            <w:pPr>
              <w:jc w:val="right"/>
              <w:spacing w:after="0"/>
              <w:rPr>
                <w:sz w:val="20"/>
                <w:szCs w:val="20"/>
                <w:color w:val="auto"/>
              </w:rPr>
            </w:pPr>
            <w:r>
              <w:rPr>
                <w:rFonts w:ascii="Arial" w:cs="Arial" w:eastAsia="Arial" w:hAnsi="Arial"/>
                <w:sz w:val="16"/>
                <w:szCs w:val="16"/>
                <w:color w:val="auto"/>
                <w:w w:val="74"/>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36"/>
        </w:trPr>
        <w:tc>
          <w:tcPr>
            <w:tcW w:w="5540" w:type="dxa"/>
            <w:vAlign w:val="bottom"/>
          </w:tcPr>
          <w:p>
            <w:pPr>
              <w:spacing w:after="0"/>
              <w:rPr>
                <w:sz w:val="3"/>
                <w:szCs w:val="3"/>
                <w:color w:val="auto"/>
              </w:rPr>
            </w:pPr>
          </w:p>
        </w:tc>
        <w:tc>
          <w:tcPr>
            <w:tcW w:w="80" w:type="dxa"/>
            <w:vAlign w:val="bottom"/>
            <w:shd w:val="clear" w:color="auto" w:fill="D9D9D9"/>
          </w:tcPr>
          <w:p>
            <w:pPr>
              <w:spacing w:after="0"/>
              <w:rPr>
                <w:sz w:val="3"/>
                <w:szCs w:val="3"/>
                <w:color w:val="auto"/>
              </w:rPr>
            </w:pPr>
          </w:p>
        </w:tc>
        <w:tc>
          <w:tcPr>
            <w:tcW w:w="1460" w:type="dxa"/>
            <w:vAlign w:val="bottom"/>
            <w:shd w:val="clear" w:color="auto" w:fill="D9D9D9"/>
          </w:tcPr>
          <w:p>
            <w:pPr>
              <w:spacing w:after="0"/>
              <w:rPr>
                <w:sz w:val="3"/>
                <w:szCs w:val="3"/>
                <w:color w:val="auto"/>
              </w:rPr>
            </w:pPr>
          </w:p>
        </w:tc>
        <w:tc>
          <w:tcPr>
            <w:tcW w:w="80" w:type="dxa"/>
            <w:vAlign w:val="bottom"/>
            <w:shd w:val="clear" w:color="auto" w:fill="D9D9D9"/>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8"/>
        </w:trPr>
        <w:tc>
          <w:tcPr>
            <w:tcW w:w="5540" w:type="dxa"/>
            <w:vAlign w:val="bottom"/>
          </w:tcPr>
          <w:p>
            <w:pPr>
              <w:spacing w:after="0"/>
              <w:rPr>
                <w:sz w:val="20"/>
                <w:szCs w:val="20"/>
                <w:color w:val="auto"/>
              </w:rPr>
            </w:pPr>
            <w:r>
              <w:rPr>
                <w:rFonts w:ascii="Arial" w:cs="Arial" w:eastAsia="Arial" w:hAnsi="Arial"/>
                <w:sz w:val="18"/>
                <w:szCs w:val="18"/>
                <w:color w:val="auto"/>
              </w:rPr>
              <w:t>Net assets</w:t>
            </w:r>
          </w:p>
        </w:tc>
        <w:tc>
          <w:tcPr>
            <w:tcW w:w="80" w:type="dxa"/>
            <w:vAlign w:val="bottom"/>
            <w:shd w:val="clear" w:color="auto" w:fill="D9D9D9"/>
          </w:tcPr>
          <w:p>
            <w:pPr>
              <w:spacing w:after="0"/>
              <w:rPr>
                <w:sz w:val="24"/>
                <w:szCs w:val="24"/>
                <w:color w:val="auto"/>
              </w:rPr>
            </w:pPr>
          </w:p>
        </w:tc>
        <w:tc>
          <w:tcPr>
            <w:tcW w:w="14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402,310</w:t>
            </w:r>
          </w:p>
        </w:tc>
        <w:tc>
          <w:tcPr>
            <w:tcW w:w="80" w:type="dxa"/>
            <w:vAlign w:val="bottom"/>
            <w:shd w:val="clear" w:color="auto" w:fill="D9D9D9"/>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46"/>
        </w:trPr>
        <w:tc>
          <w:tcPr>
            <w:tcW w:w="5540" w:type="dxa"/>
            <w:vAlign w:val="bottom"/>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1460" w:type="dxa"/>
            <w:vAlign w:val="bottom"/>
            <w:shd w:val="clear" w:color="auto" w:fill="D9D9D9"/>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-2777490</wp:posOffset>
            </wp:positionV>
            <wp:extent cx="5621020" cy="635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3">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-211455</wp:posOffset>
            </wp:positionV>
            <wp:extent cx="2105025" cy="635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4">
                      <a:extLst>
                        <a:ext uri="{28A0092B-C50C-407E-A947-70E740481C1C}"/>
                      </a:extLst>
                    </a:blip>
                    <a:srcRect/>
                    <a:stretch>
                      <a:fillRect/>
                    </a:stretch>
                  </pic:blipFill>
                  <pic:spPr bwMode="auto">
                    <a:xfrm>
                      <a:off x="0" y="0"/>
                      <a:ext cx="2105025"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-5715</wp:posOffset>
            </wp:positionV>
            <wp:extent cx="5621020" cy="635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5">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218" w:lineRule="exact"/>
        <w:rPr>
          <w:sz w:val="20"/>
          <w:szCs w:val="20"/>
          <w:color w:val="auto"/>
        </w:rPr>
      </w:pPr>
    </w:p>
    <w:p>
      <w:pPr>
        <w:jc w:val="both"/>
        <w:ind w:left="1620"/>
        <w:spacing w:after="0" w:line="311" w:lineRule="auto"/>
        <w:rPr>
          <w:sz w:val="20"/>
          <w:szCs w:val="20"/>
          <w:color w:val="auto"/>
        </w:rPr>
      </w:pPr>
      <w:r>
        <w:rPr>
          <w:rFonts w:ascii="Arial" w:cs="Arial" w:eastAsia="Arial" w:hAnsi="Arial"/>
          <w:sz w:val="20"/>
          <w:szCs w:val="20"/>
          <w:color w:val="auto"/>
        </w:rPr>
        <w:t>As of December 31, 2025, Minera Exar’s outstanding third-party debt, including accrued inte amounted to $292,690 (2024 - $210,400), while its cash balance and short-term investments w $86,882 (2024 - $11,190). The total debt includes the following:</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34 / 40</w:t>
      </w:r>
    </w:p>
    <w:p>
      <w:pPr>
        <w:sectPr>
          <w:pgSz w:w="11900" w:h="16838" w:orient="portrait"/>
          <w:cols w:equalWidth="0" w:num="1">
            <w:col w:w="10460"/>
          </w:cols>
          <w:pgMar w:left="1440" w:top="1440" w:right="6" w:bottom="0" w:gutter="0" w:footer="0" w:header="0"/>
          <w:type w:val="continuous"/>
        </w:sectPr>
      </w:pPr>
    </w:p>
    <w:bookmarkStart w:id="418" w:name="page419"/>
    <w:bookmarkEnd w:id="418"/>
    <w:p>
      <w:pPr>
        <w:jc w:val="both"/>
        <w:ind w:left="1980" w:hanging="366"/>
        <w:spacing w:after="0" w:line="373" w:lineRule="auto"/>
        <w:tabs>
          <w:tab w:leader="none" w:pos="198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Approximately $220,000 in loans from major international banks, secured by guarantees and sta letters of credit arranged by Ganfeng, which are due within twelve months from December 31, 2 The Company has provided a guarantee to Ganfeng for its 49% share, amounting to $107,80 respect of these loans. No amount has been recognized by the Company in respect of this guar as at December 31, 2025.</w:t>
      </w:r>
    </w:p>
    <w:p>
      <w:pPr>
        <w:spacing w:after="0" w:line="270" w:lineRule="exact"/>
        <w:rPr>
          <w:rFonts w:ascii="Arial" w:cs="Arial" w:eastAsia="Arial" w:hAnsi="Arial"/>
          <w:sz w:val="20"/>
          <w:szCs w:val="20"/>
          <w:color w:val="auto"/>
        </w:rPr>
      </w:pPr>
    </w:p>
    <w:p>
      <w:pPr>
        <w:jc w:val="both"/>
        <w:ind w:left="1980"/>
        <w:spacing w:after="0" w:line="314" w:lineRule="auto"/>
        <w:rPr>
          <w:rFonts w:ascii="Arial" w:cs="Arial" w:eastAsia="Arial" w:hAnsi="Arial"/>
          <w:sz w:val="20"/>
          <w:szCs w:val="20"/>
          <w:color w:val="auto"/>
        </w:rPr>
      </w:pPr>
      <w:r>
        <w:rPr>
          <w:rFonts w:ascii="Arial" w:cs="Arial" w:eastAsia="Arial" w:hAnsi="Arial"/>
          <w:sz w:val="20"/>
          <w:szCs w:val="20"/>
          <w:color w:val="auto"/>
        </w:rPr>
        <w:t>The Company and Ganfeng have negotiated a three-year extension of the maturity of $100,0 these loans, which has been approved by the regulatory authority. The loan is secured by a sta letter of credit provided by Ganfeng. As the standby letter of credit was issued for a standard year term, the loan was initially structured with a one-year maturity to align with the term o standby letter. Upon extension of the related standby letter of credit, the loan will automaticall over for the remainder of the three-year term. Included within these loans is $120,000 in bank facilities closed in the second quarter of 2025 and fully drawn in the third quarter of 2025 to refin maturing short-term loans and for other purposes. These loans were priced at an approxim SOFR plus 2.5%, including fees. A portion of these debt proceeds remained in Exar’s cash bal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234315</wp:posOffset>
            </wp:positionV>
            <wp:extent cx="1676400" cy="1905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6">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33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35 / 40</w:t>
      </w:r>
    </w:p>
    <w:p>
      <w:pPr>
        <w:sectPr>
          <w:pgSz w:w="11900" w:h="16838" w:orient="portrait"/>
          <w:cols w:equalWidth="0" w:num="1">
            <w:col w:w="10460"/>
          </w:cols>
          <w:pgMar w:left="1440" w:top="1335" w:right="6" w:bottom="0" w:gutter="0" w:footer="0" w:header="0"/>
          <w:type w:val="continuous"/>
        </w:sectPr>
      </w:pPr>
    </w:p>
    <w:bookmarkStart w:id="419" w:name="page420"/>
    <w:bookmarkEnd w:id="4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43" w:lineRule="exact"/>
        <w:rPr>
          <w:sz w:val="20"/>
          <w:szCs w:val="20"/>
          <w:color w:val="auto"/>
        </w:rPr>
      </w:pPr>
    </w:p>
    <w:p>
      <w:pPr>
        <w:ind w:left="1620" w:hanging="726"/>
        <w:spacing w:after="0"/>
        <w:tabs>
          <w:tab w:leader="none" w:pos="1620" w:val="left"/>
        </w:tabs>
        <w:numPr>
          <w:ilvl w:val="0"/>
          <w:numId w:val="154"/>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INVESTMENT IN CAUCHARI-OLAROZ PROJECT </w:t>
      </w:r>
      <w:r>
        <w:rPr>
          <w:rFonts w:ascii="Arial" w:cs="Arial" w:eastAsia="Arial" w:hAnsi="Arial"/>
          <w:sz w:val="20"/>
          <w:szCs w:val="20"/>
          <w:i w:val="1"/>
          <w:iCs w:val="1"/>
          <w:color w:val="153A57"/>
        </w:rPr>
        <w:t>(continued)</w:t>
      </w:r>
    </w:p>
    <w:p>
      <w:pPr>
        <w:spacing w:after="0" w:line="257" w:lineRule="exact"/>
        <w:rPr>
          <w:rFonts w:ascii="Arial" w:cs="Arial" w:eastAsia="Arial" w:hAnsi="Arial"/>
          <w:sz w:val="20"/>
          <w:szCs w:val="20"/>
          <w:b w:val="1"/>
          <w:bCs w:val="1"/>
          <w:color w:val="153A57"/>
        </w:rPr>
      </w:pPr>
    </w:p>
    <w:p>
      <w:pPr>
        <w:ind w:left="1980" w:hanging="366"/>
        <w:spacing w:after="0" w:line="368" w:lineRule="auto"/>
        <w:tabs>
          <w:tab w:leader="none" w:pos="198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$10,000 in loans secured by local bank guarantees arranged by Minera Exar, due within tw months from December 31, 2025;</w:t>
      </w:r>
    </w:p>
    <w:p>
      <w:pPr>
        <w:spacing w:after="0" w:line="127" w:lineRule="exact"/>
        <w:rPr>
          <w:rFonts w:ascii="Arial" w:cs="Arial" w:eastAsia="Arial" w:hAnsi="Arial"/>
          <w:sz w:val="20"/>
          <w:szCs w:val="20"/>
          <w:color w:val="auto"/>
        </w:rPr>
      </w:pPr>
    </w:p>
    <w:p>
      <w:pPr>
        <w:ind w:left="1980" w:hanging="366"/>
        <w:spacing w:after="0"/>
        <w:tabs>
          <w:tab w:leader="none" w:pos="198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$9,300 in unsecured loans, due within twelve months from December 31, 2025;</w:t>
      </w:r>
    </w:p>
    <w:p>
      <w:pPr>
        <w:spacing w:after="0" w:line="250" w:lineRule="exact"/>
        <w:rPr>
          <w:rFonts w:ascii="Arial" w:cs="Arial" w:eastAsia="Arial" w:hAnsi="Arial"/>
          <w:sz w:val="20"/>
          <w:szCs w:val="20"/>
          <w:color w:val="auto"/>
        </w:rPr>
      </w:pPr>
    </w:p>
    <w:p>
      <w:pPr>
        <w:ind w:left="1980" w:hanging="366"/>
        <w:spacing w:after="0"/>
        <w:tabs>
          <w:tab w:leader="none" w:pos="198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Approximately $50,000 in unsecured bonds issued by Minera Exar in November 2024, carryi</w:t>
      </w:r>
    </w:p>
    <w:p>
      <w:pPr>
        <w:spacing w:after="0" w:line="130" w:lineRule="exact"/>
        <w:rPr>
          <w:sz w:val="20"/>
          <w:szCs w:val="20"/>
          <w:color w:val="auto"/>
        </w:rPr>
      </w:pPr>
    </w:p>
    <w:p>
      <w:pPr>
        <w:ind w:left="1980"/>
        <w:spacing w:after="0"/>
        <w:tabs>
          <w:tab w:leader="none" w:pos="4620" w:val="left"/>
          <w:tab w:leader="none" w:pos="6960" w:val="left"/>
          <w:tab w:leader="none" w:pos="8980" w:val="left"/>
        </w:tabs>
        <w:rPr>
          <w:sz w:val="20"/>
          <w:szCs w:val="20"/>
          <w:color w:val="auto"/>
        </w:rPr>
      </w:pPr>
      <w:r>
        <w:rPr>
          <w:rFonts w:ascii="Arial" w:cs="Arial" w:eastAsia="Arial" w:hAnsi="Arial"/>
          <w:sz w:val="20"/>
          <w:szCs w:val="20"/>
          <w:color w:val="auto"/>
        </w:rPr>
        <w:t>contractual</w:t>
      </w:r>
      <w:r>
        <w:rPr>
          <w:sz w:val="20"/>
          <w:szCs w:val="20"/>
          <w:color w:val="auto"/>
        </w:rPr>
        <w:tab/>
      </w:r>
      <w:r>
        <w:rPr>
          <w:rFonts w:ascii="Arial" w:cs="Arial" w:eastAsia="Arial" w:hAnsi="Arial"/>
          <w:sz w:val="20"/>
          <w:szCs w:val="20"/>
          <w:color w:val="auto"/>
        </w:rPr>
        <w:t>interest</w:t>
      </w:r>
      <w:r>
        <w:rPr>
          <w:sz w:val="20"/>
          <w:szCs w:val="20"/>
          <w:color w:val="auto"/>
        </w:rPr>
        <w:tab/>
      </w:r>
      <w:r>
        <w:rPr>
          <w:rFonts w:ascii="Arial" w:cs="Arial" w:eastAsia="Arial" w:hAnsi="Arial"/>
          <w:sz w:val="20"/>
          <w:szCs w:val="20"/>
          <w:color w:val="auto"/>
        </w:rPr>
        <w:t>rate</w:t>
      </w:r>
      <w:r>
        <w:rPr>
          <w:sz w:val="20"/>
          <w:szCs w:val="20"/>
          <w:color w:val="auto"/>
        </w:rPr>
        <w:tab/>
      </w:r>
      <w:r>
        <w:rPr>
          <w:rFonts w:ascii="Arial" w:cs="Arial" w:eastAsia="Arial" w:hAnsi="Arial"/>
          <w:sz w:val="20"/>
          <w:szCs w:val="20"/>
          <w:color w:val="auto"/>
        </w:rPr>
        <w:t>of</w:t>
      </w:r>
    </w:p>
    <w:p>
      <w:pPr>
        <w:spacing w:after="0" w:line="137" w:lineRule="exact"/>
        <w:rPr>
          <w:sz w:val="20"/>
          <w:szCs w:val="20"/>
          <w:color w:val="auto"/>
        </w:rPr>
      </w:pPr>
    </w:p>
    <w:p>
      <w:pPr>
        <w:ind w:left="1980"/>
        <w:spacing w:after="0" w:line="400" w:lineRule="auto"/>
        <w:rPr>
          <w:sz w:val="20"/>
          <w:szCs w:val="20"/>
          <w:color w:val="auto"/>
        </w:rPr>
      </w:pPr>
      <w:r>
        <w:rPr>
          <w:rFonts w:ascii="Arial" w:cs="Arial" w:eastAsia="Arial" w:hAnsi="Arial"/>
          <w:sz w:val="19"/>
          <w:szCs w:val="19"/>
          <w:color w:val="auto"/>
        </w:rPr>
        <w:t>8% with semi-annual interest payments. The bonds’ principal will mature in two tranches: the tranche of $25,000 on May 11, 2027, while the second tranche of $25,000 on November 11,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153035</wp:posOffset>
            </wp:positionV>
            <wp:extent cx="5621020" cy="2857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8">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329"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820" w:type="dxa"/>
            <w:vAlign w:val="bottom"/>
          </w:tcPr>
          <w:p>
            <w:pPr>
              <w:spacing w:after="0"/>
              <w:rPr>
                <w:sz w:val="18"/>
                <w:szCs w:val="18"/>
                <w:color w:val="auto"/>
              </w:rPr>
            </w:pPr>
          </w:p>
        </w:tc>
        <w:tc>
          <w:tcPr>
            <w:tcW w:w="34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8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4"/>
                <w:szCs w:val="24"/>
                <w:color w:val="auto"/>
              </w:rPr>
            </w:pPr>
          </w:p>
        </w:tc>
        <w:tc>
          <w:tcPr>
            <w:tcW w:w="20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36"/>
        </w:trPr>
        <w:tc>
          <w:tcPr>
            <w:tcW w:w="48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Pr>
          <w:p>
            <w:pPr>
              <w:spacing w:after="0"/>
              <w:rPr>
                <w:sz w:val="21"/>
                <w:szCs w:val="21"/>
                <w:color w:val="auto"/>
              </w:rPr>
            </w:pPr>
          </w:p>
        </w:tc>
        <w:tc>
          <w:tcPr>
            <w:tcW w:w="1380" w:type="dxa"/>
            <w:vAlign w:val="bottom"/>
            <w:shd w:val="clear" w:color="auto" w:fill="D9D9D9"/>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9D9D9"/>
          </w:tcPr>
          <w:p>
            <w:pPr>
              <w:spacing w:after="0"/>
              <w:rPr>
                <w:sz w:val="21"/>
                <w:szCs w:val="21"/>
                <w:color w:val="auto"/>
              </w:rPr>
            </w:pPr>
          </w:p>
        </w:tc>
        <w:tc>
          <w:tcPr>
            <w:tcW w:w="20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4820" w:type="dxa"/>
            <w:vAlign w:val="bottom"/>
            <w:vMerge w:val="restart"/>
          </w:tcPr>
          <w:p>
            <w:pPr>
              <w:spacing w:after="0"/>
              <w:rPr>
                <w:sz w:val="20"/>
                <w:szCs w:val="20"/>
                <w:color w:val="auto"/>
              </w:rPr>
            </w:pPr>
            <w:r>
              <w:rPr>
                <w:rFonts w:ascii="Arial" w:cs="Arial" w:eastAsia="Arial" w:hAnsi="Arial"/>
                <w:sz w:val="18"/>
                <w:szCs w:val="18"/>
                <w:color w:val="auto"/>
              </w:rPr>
              <w:t>Sales</w:t>
            </w:r>
          </w:p>
        </w:tc>
        <w:tc>
          <w:tcPr>
            <w:tcW w:w="138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2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820" w:type="dxa"/>
            <w:vAlign w:val="bottom"/>
            <w:vMerge w:val="continue"/>
          </w:tcPr>
          <w:p>
            <w:pPr>
              <w:spacing w:after="0"/>
              <w:rPr>
                <w:sz w:val="23"/>
                <w:szCs w:val="23"/>
                <w:color w:val="auto"/>
              </w:rPr>
            </w:pPr>
          </w:p>
        </w:tc>
        <w:tc>
          <w:tcPr>
            <w:tcW w:w="13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271,467</w:t>
            </w:r>
          </w:p>
        </w:tc>
        <w:tc>
          <w:tcPr>
            <w:tcW w:w="100" w:type="dxa"/>
            <w:vAlign w:val="bottom"/>
            <w:shd w:val="clear" w:color="auto" w:fill="D9D9D9"/>
          </w:tcPr>
          <w:p>
            <w:pPr>
              <w:spacing w:after="0"/>
              <w:rPr>
                <w:sz w:val="23"/>
                <w:szCs w:val="23"/>
                <w:color w:val="auto"/>
              </w:rPr>
            </w:pPr>
          </w:p>
        </w:tc>
        <w:tc>
          <w:tcPr>
            <w:tcW w:w="2000" w:type="dxa"/>
            <w:vAlign w:val="bottom"/>
          </w:tcPr>
          <w:p>
            <w:pPr>
              <w:jc w:val="right"/>
              <w:ind w:right="490"/>
              <w:spacing w:after="0"/>
              <w:rPr>
                <w:sz w:val="20"/>
                <w:szCs w:val="20"/>
                <w:color w:val="auto"/>
              </w:rPr>
            </w:pPr>
            <w:r>
              <w:rPr>
                <w:rFonts w:ascii="Arial" w:cs="Arial" w:eastAsia="Arial" w:hAnsi="Arial"/>
                <w:sz w:val="18"/>
                <w:szCs w:val="18"/>
                <w:color w:val="auto"/>
              </w:rPr>
              <w:t>197,685</w:t>
            </w: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23"/>
        </w:trPr>
        <w:tc>
          <w:tcPr>
            <w:tcW w:w="4820" w:type="dxa"/>
            <w:vAlign w:val="bottom"/>
          </w:tcPr>
          <w:p>
            <w:pPr>
              <w:spacing w:after="0"/>
              <w:rPr>
                <w:sz w:val="20"/>
                <w:szCs w:val="20"/>
                <w:color w:val="auto"/>
              </w:rPr>
            </w:pPr>
            <w:r>
              <w:rPr>
                <w:rFonts w:ascii="Arial" w:cs="Arial" w:eastAsia="Arial" w:hAnsi="Arial"/>
                <w:sz w:val="18"/>
                <w:szCs w:val="18"/>
                <w:color w:val="auto"/>
              </w:rPr>
              <w:t>Cost of sales</w:t>
            </w:r>
          </w:p>
        </w:tc>
        <w:tc>
          <w:tcPr>
            <w:tcW w:w="13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(238,513</w:t>
            </w:r>
          </w:p>
        </w:tc>
        <w:tc>
          <w:tcPr>
            <w:tcW w:w="100" w:type="dxa"/>
            <w:vAlign w:val="bottom"/>
            <w:shd w:val="clear" w:color="auto" w:fill="D9D9D9"/>
          </w:tcPr>
          <w:p>
            <w:pPr>
              <w:jc w:val="right"/>
              <w:spacing w:after="0"/>
              <w:rPr>
                <w:sz w:val="20"/>
                <w:szCs w:val="20"/>
                <w:color w:val="auto"/>
              </w:rPr>
            </w:pPr>
            <w:r>
              <w:rPr>
                <w:rFonts w:ascii="Arial" w:cs="Arial" w:eastAsia="Arial" w:hAnsi="Arial"/>
                <w:sz w:val="16"/>
                <w:szCs w:val="16"/>
                <w:color w:val="auto"/>
                <w:w w:val="74"/>
              </w:rPr>
              <w:t>)</w:t>
            </w:r>
          </w:p>
        </w:tc>
        <w:tc>
          <w:tcPr>
            <w:tcW w:w="2000" w:type="dxa"/>
            <w:vAlign w:val="bottom"/>
          </w:tcPr>
          <w:p>
            <w:pPr>
              <w:jc w:val="right"/>
              <w:ind w:right="410"/>
              <w:spacing w:after="0"/>
              <w:rPr>
                <w:sz w:val="20"/>
                <w:szCs w:val="20"/>
                <w:color w:val="auto"/>
              </w:rPr>
            </w:pPr>
            <w:r>
              <w:rPr>
                <w:rFonts w:ascii="Arial" w:cs="Arial" w:eastAsia="Arial" w:hAnsi="Arial"/>
                <w:sz w:val="18"/>
                <w:szCs w:val="18"/>
                <w:color w:val="auto"/>
              </w:rPr>
              <w:t>(177,980)</w:t>
            </w: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6"/>
        </w:trPr>
        <w:tc>
          <w:tcPr>
            <w:tcW w:w="482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38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2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820" w:type="dxa"/>
            <w:vAlign w:val="bottom"/>
            <w:vMerge w:val="continue"/>
          </w:tcPr>
          <w:p>
            <w:pPr>
              <w:spacing w:after="0"/>
              <w:rPr>
                <w:sz w:val="23"/>
                <w:szCs w:val="23"/>
                <w:color w:val="auto"/>
              </w:rPr>
            </w:pPr>
          </w:p>
        </w:tc>
        <w:tc>
          <w:tcPr>
            <w:tcW w:w="13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32,954</w:t>
            </w:r>
          </w:p>
        </w:tc>
        <w:tc>
          <w:tcPr>
            <w:tcW w:w="100" w:type="dxa"/>
            <w:vAlign w:val="bottom"/>
            <w:shd w:val="clear" w:color="auto" w:fill="D9D9D9"/>
          </w:tcPr>
          <w:p>
            <w:pPr>
              <w:spacing w:after="0"/>
              <w:rPr>
                <w:sz w:val="23"/>
                <w:szCs w:val="23"/>
                <w:color w:val="auto"/>
              </w:rPr>
            </w:pPr>
          </w:p>
        </w:tc>
        <w:tc>
          <w:tcPr>
            <w:tcW w:w="2000" w:type="dxa"/>
            <w:vAlign w:val="bottom"/>
          </w:tcPr>
          <w:p>
            <w:pPr>
              <w:jc w:val="right"/>
              <w:ind w:right="490"/>
              <w:spacing w:after="0"/>
              <w:rPr>
                <w:sz w:val="20"/>
                <w:szCs w:val="20"/>
                <w:color w:val="auto"/>
              </w:rPr>
            </w:pPr>
            <w:r>
              <w:rPr>
                <w:rFonts w:ascii="Arial" w:cs="Arial" w:eastAsia="Arial" w:hAnsi="Arial"/>
                <w:sz w:val="18"/>
                <w:szCs w:val="18"/>
                <w:color w:val="auto"/>
              </w:rPr>
              <w:t>19,705</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609"/>
        </w:trPr>
        <w:tc>
          <w:tcPr>
            <w:tcW w:w="4820" w:type="dxa"/>
            <w:vAlign w:val="bottom"/>
          </w:tcPr>
          <w:p>
            <w:pPr>
              <w:spacing w:after="0"/>
              <w:rPr>
                <w:sz w:val="20"/>
                <w:szCs w:val="20"/>
                <w:color w:val="auto"/>
              </w:rPr>
            </w:pPr>
            <w:r>
              <w:rPr>
                <w:rFonts w:ascii="Arial" w:cs="Arial" w:eastAsia="Arial" w:hAnsi="Arial"/>
                <w:sz w:val="18"/>
                <w:szCs w:val="18"/>
                <w:color w:val="auto"/>
              </w:rPr>
              <w:t>Selling and distribution expenses</w:t>
            </w:r>
          </w:p>
        </w:tc>
        <w:tc>
          <w:tcPr>
            <w:tcW w:w="13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(20,575</w:t>
            </w:r>
          </w:p>
        </w:tc>
        <w:tc>
          <w:tcPr>
            <w:tcW w:w="100" w:type="dxa"/>
            <w:vAlign w:val="bottom"/>
            <w:shd w:val="clear" w:color="auto" w:fill="D9D9D9"/>
          </w:tcPr>
          <w:p>
            <w:pPr>
              <w:jc w:val="right"/>
              <w:spacing w:after="0"/>
              <w:rPr>
                <w:sz w:val="20"/>
                <w:szCs w:val="20"/>
                <w:color w:val="auto"/>
              </w:rPr>
            </w:pPr>
            <w:r>
              <w:rPr>
                <w:rFonts w:ascii="Arial" w:cs="Arial" w:eastAsia="Arial" w:hAnsi="Arial"/>
                <w:sz w:val="16"/>
                <w:szCs w:val="16"/>
                <w:color w:val="auto"/>
                <w:w w:val="74"/>
              </w:rPr>
              <w:t>)</w:t>
            </w:r>
          </w:p>
        </w:tc>
        <w:tc>
          <w:tcPr>
            <w:tcW w:w="2000" w:type="dxa"/>
            <w:vAlign w:val="bottom"/>
          </w:tcPr>
          <w:p>
            <w:pPr>
              <w:jc w:val="right"/>
              <w:ind w:right="410"/>
              <w:spacing w:after="0"/>
              <w:rPr>
                <w:sz w:val="20"/>
                <w:szCs w:val="20"/>
                <w:color w:val="auto"/>
              </w:rPr>
            </w:pPr>
            <w:r>
              <w:rPr>
                <w:rFonts w:ascii="Arial" w:cs="Arial" w:eastAsia="Arial" w:hAnsi="Arial"/>
                <w:sz w:val="18"/>
                <w:szCs w:val="18"/>
                <w:color w:val="auto"/>
              </w:rPr>
              <w:t>(13,500)</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6"/>
        </w:trPr>
        <w:tc>
          <w:tcPr>
            <w:tcW w:w="4820" w:type="dxa"/>
            <w:vAlign w:val="bottom"/>
            <w:vMerge w:val="restart"/>
          </w:tcPr>
          <w:p>
            <w:pPr>
              <w:spacing w:after="0"/>
              <w:rPr>
                <w:sz w:val="20"/>
                <w:szCs w:val="20"/>
                <w:color w:val="auto"/>
              </w:rPr>
            </w:pPr>
            <w:r>
              <w:rPr>
                <w:rFonts w:ascii="Arial" w:cs="Arial" w:eastAsia="Arial" w:hAnsi="Arial"/>
                <w:sz w:val="18"/>
                <w:szCs w:val="18"/>
                <w:color w:val="auto"/>
              </w:rPr>
              <w:t>Administrative and other expenses</w:t>
            </w:r>
          </w:p>
        </w:tc>
        <w:tc>
          <w:tcPr>
            <w:tcW w:w="1380" w:type="dxa"/>
            <w:vAlign w:val="bottom"/>
            <w:shd w:val="clear" w:color="auto" w:fill="D9D9D9"/>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2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8"/>
        </w:trPr>
        <w:tc>
          <w:tcPr>
            <w:tcW w:w="4820" w:type="dxa"/>
            <w:vAlign w:val="bottom"/>
            <w:vMerge w:val="continue"/>
          </w:tcPr>
          <w:p>
            <w:pPr>
              <w:spacing w:after="0"/>
              <w:rPr>
                <w:sz w:val="24"/>
                <w:szCs w:val="24"/>
                <w:color w:val="auto"/>
              </w:rPr>
            </w:pPr>
          </w:p>
        </w:tc>
        <w:tc>
          <w:tcPr>
            <w:tcW w:w="13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D9D9D9"/>
          </w:tcPr>
          <w:p>
            <w:pPr>
              <w:jc w:val="right"/>
              <w:spacing w:after="0"/>
              <w:rPr>
                <w:sz w:val="20"/>
                <w:szCs w:val="20"/>
                <w:color w:val="auto"/>
              </w:rPr>
            </w:pPr>
            <w:r>
              <w:rPr>
                <w:rFonts w:ascii="Arial" w:cs="Arial" w:eastAsia="Arial" w:hAnsi="Arial"/>
                <w:sz w:val="16"/>
                <w:szCs w:val="16"/>
                <w:color w:val="auto"/>
                <w:w w:val="74"/>
              </w:rPr>
              <w:t>)</w:t>
            </w:r>
          </w:p>
        </w:tc>
        <w:tc>
          <w:tcPr>
            <w:tcW w:w="2000" w:type="dxa"/>
            <w:vAlign w:val="bottom"/>
          </w:tcPr>
          <w:p>
            <w:pPr>
              <w:jc w:val="right"/>
              <w:ind w:right="410"/>
              <w:spacing w:after="0"/>
              <w:rPr>
                <w:sz w:val="20"/>
                <w:szCs w:val="20"/>
                <w:color w:val="auto"/>
              </w:rPr>
            </w:pPr>
            <w:r>
              <w:rPr>
                <w:rFonts w:ascii="Arial" w:cs="Arial" w:eastAsia="Arial" w:hAnsi="Arial"/>
                <w:sz w:val="18"/>
                <w:szCs w:val="18"/>
                <w:color w:val="auto"/>
              </w:rPr>
              <w:t>(8,329)</w:t>
            </w: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4"/>
        </w:trPr>
        <w:tc>
          <w:tcPr>
            <w:tcW w:w="4820" w:type="dxa"/>
            <w:vAlign w:val="bottom"/>
          </w:tcPr>
          <w:p>
            <w:pPr>
              <w:spacing w:after="0"/>
              <w:rPr>
                <w:sz w:val="20"/>
                <w:szCs w:val="20"/>
                <w:color w:val="auto"/>
              </w:rPr>
            </w:pPr>
            <w:r>
              <w:rPr>
                <w:rFonts w:ascii="Arial" w:cs="Arial" w:eastAsia="Arial" w:hAnsi="Arial"/>
                <w:sz w:val="18"/>
                <w:szCs w:val="18"/>
                <w:color w:val="auto"/>
              </w:rPr>
              <w:t>Finance costs</w:t>
            </w:r>
          </w:p>
        </w:tc>
        <w:tc>
          <w:tcPr>
            <w:tcW w:w="13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(138,595</w:t>
            </w:r>
          </w:p>
        </w:tc>
        <w:tc>
          <w:tcPr>
            <w:tcW w:w="100" w:type="dxa"/>
            <w:vAlign w:val="bottom"/>
            <w:shd w:val="clear" w:color="auto" w:fill="D9D9D9"/>
          </w:tcPr>
          <w:p>
            <w:pPr>
              <w:jc w:val="right"/>
              <w:spacing w:after="0"/>
              <w:rPr>
                <w:sz w:val="20"/>
                <w:szCs w:val="20"/>
                <w:color w:val="auto"/>
              </w:rPr>
            </w:pPr>
            <w:r>
              <w:rPr>
                <w:rFonts w:ascii="Arial" w:cs="Arial" w:eastAsia="Arial" w:hAnsi="Arial"/>
                <w:sz w:val="16"/>
                <w:szCs w:val="16"/>
                <w:color w:val="auto"/>
                <w:w w:val="74"/>
              </w:rPr>
              <w:t>)</w:t>
            </w:r>
          </w:p>
        </w:tc>
        <w:tc>
          <w:tcPr>
            <w:tcW w:w="2000" w:type="dxa"/>
            <w:vAlign w:val="bottom"/>
          </w:tcPr>
          <w:p>
            <w:pPr>
              <w:jc w:val="right"/>
              <w:ind w:right="410"/>
              <w:spacing w:after="0"/>
              <w:rPr>
                <w:sz w:val="20"/>
                <w:szCs w:val="20"/>
                <w:color w:val="auto"/>
              </w:rPr>
            </w:pPr>
            <w:r>
              <w:rPr>
                <w:rFonts w:ascii="Arial" w:cs="Arial" w:eastAsia="Arial" w:hAnsi="Arial"/>
                <w:sz w:val="18"/>
                <w:szCs w:val="18"/>
                <w:color w:val="auto"/>
              </w:rPr>
              <w:t>(36,189)</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820" w:type="dxa"/>
            <w:vAlign w:val="bottom"/>
          </w:tcPr>
          <w:p>
            <w:pPr>
              <w:spacing w:after="0"/>
              <w:rPr>
                <w:sz w:val="20"/>
                <w:szCs w:val="20"/>
                <w:color w:val="auto"/>
              </w:rPr>
            </w:pPr>
            <w:r>
              <w:rPr>
                <w:rFonts w:ascii="Arial" w:cs="Arial" w:eastAsia="Arial" w:hAnsi="Arial"/>
                <w:sz w:val="18"/>
                <w:szCs w:val="18"/>
                <w:color w:val="auto"/>
              </w:rPr>
              <w:t>Foreign exchange (loss)/gain</w:t>
            </w:r>
          </w:p>
        </w:tc>
        <w:tc>
          <w:tcPr>
            <w:tcW w:w="13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(9,700</w:t>
            </w:r>
          </w:p>
        </w:tc>
        <w:tc>
          <w:tcPr>
            <w:tcW w:w="100" w:type="dxa"/>
            <w:vAlign w:val="bottom"/>
            <w:shd w:val="clear" w:color="auto" w:fill="D9D9D9"/>
          </w:tcPr>
          <w:p>
            <w:pPr>
              <w:jc w:val="right"/>
              <w:spacing w:after="0"/>
              <w:rPr>
                <w:sz w:val="20"/>
                <w:szCs w:val="20"/>
                <w:color w:val="auto"/>
              </w:rPr>
            </w:pPr>
            <w:r>
              <w:rPr>
                <w:rFonts w:ascii="Arial" w:cs="Arial" w:eastAsia="Arial" w:hAnsi="Arial"/>
                <w:sz w:val="16"/>
                <w:szCs w:val="16"/>
                <w:color w:val="auto"/>
                <w:w w:val="74"/>
              </w:rPr>
              <w:t>)</w:t>
            </w:r>
          </w:p>
        </w:tc>
        <w:tc>
          <w:tcPr>
            <w:tcW w:w="2000" w:type="dxa"/>
            <w:vAlign w:val="bottom"/>
          </w:tcPr>
          <w:p>
            <w:pPr>
              <w:jc w:val="right"/>
              <w:ind w:right="490"/>
              <w:spacing w:after="0"/>
              <w:rPr>
                <w:sz w:val="20"/>
                <w:szCs w:val="20"/>
                <w:color w:val="auto"/>
              </w:rPr>
            </w:pPr>
            <w:r>
              <w:rPr>
                <w:rFonts w:ascii="Arial" w:cs="Arial" w:eastAsia="Arial" w:hAnsi="Arial"/>
                <w:sz w:val="18"/>
                <w:szCs w:val="18"/>
                <w:color w:val="auto"/>
              </w:rPr>
              <w:t>85,889</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4820" w:type="dxa"/>
            <w:vAlign w:val="bottom"/>
            <w:vMerge w:val="restart"/>
          </w:tcPr>
          <w:p>
            <w:pPr>
              <w:spacing w:after="0"/>
              <w:rPr>
                <w:sz w:val="20"/>
                <w:szCs w:val="20"/>
                <w:color w:val="auto"/>
              </w:rPr>
            </w:pPr>
            <w:r>
              <w:rPr>
                <w:rFonts w:ascii="Arial" w:cs="Arial" w:eastAsia="Arial" w:hAnsi="Arial"/>
                <w:sz w:val="18"/>
                <w:szCs w:val="18"/>
                <w:color w:val="auto"/>
              </w:rPr>
              <w:t>Derivative gain/(loss)</w:t>
            </w:r>
          </w:p>
        </w:tc>
        <w:tc>
          <w:tcPr>
            <w:tcW w:w="1380" w:type="dxa"/>
            <w:vAlign w:val="bottom"/>
            <w:shd w:val="clear" w:color="auto" w:fill="D9D9D9"/>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2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8"/>
        </w:trPr>
        <w:tc>
          <w:tcPr>
            <w:tcW w:w="4820" w:type="dxa"/>
            <w:vAlign w:val="bottom"/>
            <w:vMerge w:val="continue"/>
          </w:tcPr>
          <w:p>
            <w:pPr>
              <w:spacing w:after="0"/>
              <w:rPr>
                <w:sz w:val="24"/>
                <w:szCs w:val="24"/>
                <w:color w:val="auto"/>
              </w:rPr>
            </w:pPr>
          </w:p>
        </w:tc>
        <w:tc>
          <w:tcPr>
            <w:tcW w:w="13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89,949</w:t>
            </w:r>
          </w:p>
        </w:tc>
        <w:tc>
          <w:tcPr>
            <w:tcW w:w="100" w:type="dxa"/>
            <w:vAlign w:val="bottom"/>
            <w:shd w:val="clear" w:color="auto" w:fill="D9D9D9"/>
          </w:tcPr>
          <w:p>
            <w:pPr>
              <w:spacing w:after="0"/>
              <w:rPr>
                <w:sz w:val="24"/>
                <w:szCs w:val="24"/>
                <w:color w:val="auto"/>
              </w:rPr>
            </w:pPr>
          </w:p>
        </w:tc>
        <w:tc>
          <w:tcPr>
            <w:tcW w:w="2000" w:type="dxa"/>
            <w:vAlign w:val="bottom"/>
          </w:tcPr>
          <w:p>
            <w:pPr>
              <w:jc w:val="right"/>
              <w:ind w:right="410"/>
              <w:spacing w:after="0"/>
              <w:rPr>
                <w:sz w:val="20"/>
                <w:szCs w:val="20"/>
                <w:color w:val="auto"/>
              </w:rPr>
            </w:pPr>
            <w:r>
              <w:rPr>
                <w:rFonts w:ascii="Arial" w:cs="Arial" w:eastAsia="Arial" w:hAnsi="Arial"/>
                <w:sz w:val="18"/>
                <w:szCs w:val="18"/>
                <w:color w:val="auto"/>
              </w:rPr>
              <w:t>(3,713)</w:t>
            </w:r>
          </w:p>
        </w:tc>
        <w:tc>
          <w:tcPr>
            <w:tcW w:w="54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314"/>
        </w:trPr>
        <w:tc>
          <w:tcPr>
            <w:tcW w:w="4820" w:type="dxa"/>
            <w:vAlign w:val="bottom"/>
          </w:tcPr>
          <w:p>
            <w:pPr>
              <w:spacing w:after="0"/>
              <w:rPr>
                <w:sz w:val="20"/>
                <w:szCs w:val="20"/>
                <w:color w:val="auto"/>
              </w:rPr>
            </w:pPr>
            <w:r>
              <w:rPr>
                <w:rFonts w:ascii="Arial" w:cs="Arial" w:eastAsia="Arial" w:hAnsi="Arial"/>
                <w:sz w:val="18"/>
                <w:szCs w:val="18"/>
                <w:color w:val="auto"/>
              </w:rPr>
              <w:t>Other income/(expense)</w:t>
            </w:r>
          </w:p>
        </w:tc>
        <w:tc>
          <w:tcPr>
            <w:tcW w:w="13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3,592</w:t>
            </w:r>
          </w:p>
        </w:tc>
        <w:tc>
          <w:tcPr>
            <w:tcW w:w="100" w:type="dxa"/>
            <w:vAlign w:val="bottom"/>
            <w:shd w:val="clear" w:color="auto" w:fill="D9D9D9"/>
          </w:tcPr>
          <w:p>
            <w:pPr>
              <w:spacing w:after="0"/>
              <w:rPr>
                <w:sz w:val="24"/>
                <w:szCs w:val="24"/>
                <w:color w:val="auto"/>
              </w:rPr>
            </w:pPr>
          </w:p>
        </w:tc>
        <w:tc>
          <w:tcPr>
            <w:tcW w:w="2000" w:type="dxa"/>
            <w:vAlign w:val="bottom"/>
          </w:tcPr>
          <w:p>
            <w:pPr>
              <w:jc w:val="right"/>
              <w:ind w:right="410"/>
              <w:spacing w:after="0"/>
              <w:rPr>
                <w:sz w:val="20"/>
                <w:szCs w:val="20"/>
                <w:color w:val="auto"/>
              </w:rPr>
            </w:pPr>
            <w:r>
              <w:rPr>
                <w:rFonts w:ascii="Arial" w:cs="Arial" w:eastAsia="Arial" w:hAnsi="Arial"/>
                <w:sz w:val="18"/>
                <w:szCs w:val="18"/>
                <w:color w:val="auto"/>
              </w:rPr>
              <w:t>(3,865)</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820" w:type="dxa"/>
            <w:vAlign w:val="bottom"/>
          </w:tcPr>
          <w:p>
            <w:pPr>
              <w:spacing w:after="0"/>
              <w:rPr>
                <w:sz w:val="20"/>
                <w:szCs w:val="20"/>
                <w:color w:val="auto"/>
              </w:rPr>
            </w:pPr>
            <w:r>
              <w:rPr>
                <w:rFonts w:ascii="Arial" w:cs="Arial" w:eastAsia="Arial" w:hAnsi="Arial"/>
                <w:sz w:val="18"/>
                <w:szCs w:val="18"/>
                <w:color w:val="auto"/>
              </w:rPr>
              <w:t>Deferred tax recovery/ (expense)</w:t>
            </w:r>
          </w:p>
        </w:tc>
        <w:tc>
          <w:tcPr>
            <w:tcW w:w="13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14,614</w:t>
            </w:r>
          </w:p>
        </w:tc>
        <w:tc>
          <w:tcPr>
            <w:tcW w:w="100" w:type="dxa"/>
            <w:vAlign w:val="bottom"/>
            <w:shd w:val="clear" w:color="auto" w:fill="D9D9D9"/>
          </w:tcPr>
          <w:p>
            <w:pPr>
              <w:spacing w:after="0"/>
              <w:rPr>
                <w:sz w:val="24"/>
                <w:szCs w:val="24"/>
                <w:color w:val="auto"/>
              </w:rPr>
            </w:pPr>
          </w:p>
        </w:tc>
        <w:tc>
          <w:tcPr>
            <w:tcW w:w="2000" w:type="dxa"/>
            <w:vAlign w:val="bottom"/>
          </w:tcPr>
          <w:p>
            <w:pPr>
              <w:jc w:val="right"/>
              <w:ind w:right="410"/>
              <w:spacing w:after="0"/>
              <w:rPr>
                <w:sz w:val="20"/>
                <w:szCs w:val="20"/>
                <w:color w:val="auto"/>
              </w:rPr>
            </w:pPr>
            <w:r>
              <w:rPr>
                <w:rFonts w:ascii="Arial" w:cs="Arial" w:eastAsia="Arial" w:hAnsi="Arial"/>
                <w:sz w:val="18"/>
                <w:szCs w:val="18"/>
                <w:color w:val="auto"/>
              </w:rPr>
              <w:t>(72,833)</w:t>
            </w:r>
          </w:p>
        </w:tc>
        <w:tc>
          <w:tcPr>
            <w:tcW w:w="5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46"/>
        </w:trPr>
        <w:tc>
          <w:tcPr>
            <w:tcW w:w="4820" w:type="dxa"/>
            <w:vAlign w:val="bottom"/>
          </w:tcPr>
          <w:p>
            <w:pPr>
              <w:spacing w:after="0"/>
              <w:rPr>
                <w:sz w:val="4"/>
                <w:szCs w:val="4"/>
                <w:color w:val="auto"/>
              </w:rPr>
            </w:pPr>
          </w:p>
        </w:tc>
        <w:tc>
          <w:tcPr>
            <w:tcW w:w="138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2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8"/>
        </w:trPr>
        <w:tc>
          <w:tcPr>
            <w:tcW w:w="4820" w:type="dxa"/>
            <w:vAlign w:val="bottom"/>
          </w:tcPr>
          <w:p>
            <w:pPr>
              <w:spacing w:after="0"/>
              <w:rPr>
                <w:sz w:val="20"/>
                <w:szCs w:val="20"/>
                <w:color w:val="auto"/>
              </w:rPr>
            </w:pPr>
            <w:r>
              <w:rPr>
                <w:rFonts w:ascii="Arial" w:cs="Arial" w:eastAsia="Arial" w:hAnsi="Arial"/>
                <w:sz w:val="18"/>
                <w:szCs w:val="18"/>
                <w:color w:val="auto"/>
              </w:rPr>
              <w:t>Net (loss)/income</w:t>
            </w:r>
          </w:p>
        </w:tc>
        <w:tc>
          <w:tcPr>
            <w:tcW w:w="13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(38,761</w:t>
            </w:r>
          </w:p>
        </w:tc>
        <w:tc>
          <w:tcPr>
            <w:tcW w:w="100" w:type="dxa"/>
            <w:vAlign w:val="bottom"/>
            <w:shd w:val="clear" w:color="auto" w:fill="D9D9D9"/>
          </w:tcPr>
          <w:p>
            <w:pPr>
              <w:jc w:val="right"/>
              <w:spacing w:after="0"/>
              <w:rPr>
                <w:sz w:val="20"/>
                <w:szCs w:val="20"/>
                <w:color w:val="auto"/>
              </w:rPr>
            </w:pPr>
            <w:r>
              <w:rPr>
                <w:rFonts w:ascii="Arial" w:cs="Arial" w:eastAsia="Arial" w:hAnsi="Arial"/>
                <w:sz w:val="16"/>
                <w:szCs w:val="16"/>
                <w:color w:val="auto"/>
                <w:highlight w:val="lightGray"/>
                <w:w w:val="74"/>
              </w:rPr>
              <w:t>)</w:t>
            </w:r>
          </w:p>
        </w:tc>
        <w:tc>
          <w:tcPr>
            <w:tcW w:w="2000" w:type="dxa"/>
            <w:vAlign w:val="bottom"/>
          </w:tcPr>
          <w:p>
            <w:pPr>
              <w:jc w:val="right"/>
              <w:ind w:right="410"/>
              <w:spacing w:after="0"/>
              <w:rPr>
                <w:sz w:val="20"/>
                <w:szCs w:val="20"/>
                <w:color w:val="auto"/>
              </w:rPr>
            </w:pPr>
            <w:r>
              <w:rPr>
                <w:rFonts w:ascii="Arial" w:cs="Arial" w:eastAsia="Arial" w:hAnsi="Arial"/>
                <w:sz w:val="18"/>
                <w:szCs w:val="18"/>
                <w:color w:val="auto"/>
              </w:rPr>
              <w:t>(32,835)</w:t>
            </w:r>
          </w:p>
        </w:tc>
        <w:tc>
          <w:tcPr>
            <w:tcW w:w="54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46"/>
        </w:trPr>
        <w:tc>
          <w:tcPr>
            <w:tcW w:w="4820" w:type="dxa"/>
            <w:vAlign w:val="bottom"/>
          </w:tcPr>
          <w:p>
            <w:pPr>
              <w:spacing w:after="0"/>
              <w:rPr>
                <w:sz w:val="4"/>
                <w:szCs w:val="4"/>
                <w:color w:val="auto"/>
              </w:rPr>
            </w:pPr>
          </w:p>
        </w:tc>
        <w:tc>
          <w:tcPr>
            <w:tcW w:w="138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2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4093210</wp:posOffset>
            </wp:positionH>
            <wp:positionV relativeFrom="paragraph">
              <wp:posOffset>-2772410</wp:posOffset>
            </wp:positionV>
            <wp:extent cx="2552065" cy="63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9">
                      <a:extLst>
                        <a:ext uri="{28A0092B-C50C-407E-A947-70E740481C1C}"/>
                      </a:extLst>
                    </a:blip>
                    <a:srcRect/>
                    <a:stretch>
                      <a:fillRect/>
                    </a:stretch>
                  </pic:blipFill>
                  <pic:spPr bwMode="auto">
                    <a:xfrm>
                      <a:off x="0" y="0"/>
                      <a:ext cx="2552065"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-2402205</wp:posOffset>
            </wp:positionV>
            <wp:extent cx="5621020" cy="63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0">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4093210</wp:posOffset>
            </wp:positionH>
            <wp:positionV relativeFrom="paragraph">
              <wp:posOffset>-1997075</wp:posOffset>
            </wp:positionV>
            <wp:extent cx="2552065" cy="63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1">
                      <a:extLst>
                        <a:ext uri="{28A0092B-C50C-407E-A947-70E740481C1C}"/>
                      </a:extLst>
                    </a:blip>
                    <a:srcRect/>
                    <a:stretch>
                      <a:fillRect/>
                    </a:stretch>
                  </pic:blipFill>
                  <pic:spPr bwMode="auto">
                    <a:xfrm>
                      <a:off x="0" y="0"/>
                      <a:ext cx="2552065" cy="6350"/>
                    </a:xfrm>
                    <a:prstGeom prst="rect">
                      <a:avLst/>
                    </a:prstGeom>
                    <a:noFill/>
                  </pic:spPr>
                </pic:pic>
              </a:graphicData>
            </a:graphic>
          </wp:anchor>
        </w:drawing>
        <w:drawing>
          <wp:anchor simplePos="0" relativeHeight="251657728" behindDoc="1" locked="0" layoutInCell="0" allowOverlap="1">
            <wp:simplePos x="0" y="0"/>
            <wp:positionH relativeFrom="column">
              <wp:posOffset>4093210</wp:posOffset>
            </wp:positionH>
            <wp:positionV relativeFrom="paragraph">
              <wp:posOffset>-211455</wp:posOffset>
            </wp:positionV>
            <wp:extent cx="2552065" cy="635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2">
                      <a:extLst>
                        <a:ext uri="{28A0092B-C50C-407E-A947-70E740481C1C}"/>
                      </a:extLst>
                    </a:blip>
                    <a:srcRect/>
                    <a:stretch>
                      <a:fillRect/>
                    </a:stretch>
                  </pic:blipFill>
                  <pic:spPr bwMode="auto">
                    <a:xfrm>
                      <a:off x="0" y="0"/>
                      <a:ext cx="2552065"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-5715</wp:posOffset>
            </wp:positionV>
            <wp:extent cx="5621020" cy="63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3">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55" w:lineRule="exact"/>
        <w:rPr>
          <w:sz w:val="20"/>
          <w:szCs w:val="20"/>
          <w:color w:val="auto"/>
        </w:rPr>
      </w:pPr>
    </w:p>
    <w:p>
      <w:pPr>
        <w:jc w:val="both"/>
        <w:ind w:left="1620"/>
        <w:spacing w:after="0" w:line="340" w:lineRule="auto"/>
        <w:rPr>
          <w:sz w:val="20"/>
          <w:szCs w:val="20"/>
          <w:color w:val="auto"/>
        </w:rPr>
      </w:pPr>
      <w:r>
        <w:rPr>
          <w:rFonts w:ascii="Arial" w:cs="Arial" w:eastAsia="Arial" w:hAnsi="Arial"/>
          <w:sz w:val="18"/>
          <w:szCs w:val="18"/>
          <w:i w:val="1"/>
          <w:iCs w:val="1"/>
          <w:color w:val="auto"/>
        </w:rPr>
        <w:t>Note: Minera Exar’s cost of sales for the year ended December 31, 2025, includes depreciation of $54,252 (2 $20,196).</w:t>
      </w:r>
    </w:p>
    <w:p>
      <w:pPr>
        <w:spacing w:after="0" w:line="299" w:lineRule="exact"/>
        <w:rPr>
          <w:sz w:val="20"/>
          <w:szCs w:val="20"/>
          <w:color w:val="auto"/>
        </w:rPr>
      </w:pPr>
    </w:p>
    <w:p>
      <w:pPr>
        <w:ind w:left="1620"/>
        <w:spacing w:after="0" w:line="313" w:lineRule="auto"/>
        <w:rPr>
          <w:sz w:val="20"/>
          <w:szCs w:val="20"/>
          <w:color w:val="auto"/>
        </w:rPr>
      </w:pPr>
      <w:r>
        <w:rPr>
          <w:rFonts w:ascii="Arial" w:cs="Arial" w:eastAsia="Arial" w:hAnsi="Arial"/>
          <w:sz w:val="20"/>
          <w:szCs w:val="20"/>
          <w:color w:val="auto"/>
        </w:rPr>
        <w:t>Minera Exar has to settle certain loans provided by Exar Capital and PGCo in US$ with suffi Argentine Pesos (“ARS$”) at the implied market exchange rate. This settlement mechanism req Minera Exar to repay the loans with more US$ at the official exchange rate. Since the repay mechanism for the USD loans provided by Exar Capital and PGCo to Minera Exar is linked to the im market foreign exchange rate in Argentina rather than the official foreign exchange rate, it results embedded derivative in the loans payable by Minera Exar. The fair value of this embedded deriv fluctuates with changes in the spread between the implied market exchange rate and the of exchange rate). During the year ended December 31, 2025, changes in Argentine foreign exch</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7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36 / 40</w:t>
      </w:r>
    </w:p>
    <w:p>
      <w:pPr>
        <w:sectPr>
          <w:pgSz w:w="11900" w:h="16838" w:orient="portrait"/>
          <w:cols w:equalWidth="0" w:num="1">
            <w:col w:w="10460"/>
          </w:cols>
          <w:pgMar w:left="1440" w:top="1440" w:right="6" w:bottom="0" w:gutter="0" w:footer="0" w:header="0"/>
          <w:type w:val="continuous"/>
        </w:sectPr>
      </w:pPr>
    </w:p>
    <w:bookmarkStart w:id="420" w:name="page421"/>
    <w:bookmarkEnd w:id="420"/>
    <w:p>
      <w:pPr>
        <w:ind w:left="1620"/>
        <w:spacing w:after="0" w:line="311" w:lineRule="auto"/>
        <w:rPr>
          <w:sz w:val="20"/>
          <w:szCs w:val="20"/>
          <w:color w:val="auto"/>
        </w:rPr>
      </w:pPr>
      <w:r>
        <w:rPr>
          <w:rFonts w:ascii="Arial" w:cs="Arial" w:eastAsia="Arial" w:hAnsi="Arial"/>
          <w:sz w:val="20"/>
          <w:szCs w:val="20"/>
          <w:color w:val="auto"/>
        </w:rPr>
        <w:t>regulations caused the implied exchange rate to converge with the official rate, resulting in a fair gain of $89,949, which was recognized in Minera Exar’s condensed statement of comprehensive (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235585</wp:posOffset>
            </wp:positionV>
            <wp:extent cx="1676400" cy="1905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4">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37 / 40</w:t>
      </w:r>
    </w:p>
    <w:p>
      <w:pPr>
        <w:sectPr>
          <w:pgSz w:w="11900" w:h="16838" w:orient="portrait"/>
          <w:cols w:equalWidth="0" w:num="1">
            <w:col w:w="10460"/>
          </w:cols>
          <w:pgMar w:left="1440" w:top="1172" w:right="6" w:bottom="0" w:gutter="0" w:footer="0" w:header="0"/>
          <w:type w:val="continuous"/>
        </w:sectPr>
      </w:pPr>
    </w:p>
    <w:bookmarkStart w:id="421" w:name="page422"/>
    <w:bookmarkEnd w:id="4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43" w:lineRule="exact"/>
        <w:rPr>
          <w:sz w:val="20"/>
          <w:szCs w:val="20"/>
          <w:color w:val="auto"/>
        </w:rPr>
      </w:pPr>
    </w:p>
    <w:p>
      <w:pPr>
        <w:ind w:left="1620" w:hanging="726"/>
        <w:spacing w:after="0"/>
        <w:tabs>
          <w:tab w:leader="none" w:pos="1620" w:val="left"/>
        </w:tabs>
        <w:numPr>
          <w:ilvl w:val="0"/>
          <w:numId w:val="155"/>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INVESTMENT IN CAUCHARI-OLAROZ PROJECT </w:t>
      </w:r>
      <w:r>
        <w:rPr>
          <w:rFonts w:ascii="Arial" w:cs="Arial" w:eastAsia="Arial" w:hAnsi="Arial"/>
          <w:sz w:val="20"/>
          <w:szCs w:val="20"/>
          <w:i w:val="1"/>
          <w:iCs w:val="1"/>
          <w:color w:val="153A57"/>
        </w:rPr>
        <w:t>(continued)</w:t>
      </w:r>
    </w:p>
    <w:p>
      <w:pPr>
        <w:spacing w:after="0" w:line="286"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Summarized Financial Information of Exar Capital</w:t>
      </w:r>
    </w:p>
    <w:p>
      <w:pPr>
        <w:spacing w:after="0" w:line="271"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color w:val="auto"/>
        </w:rPr>
        <w:t>The following is the condensed financial information of Exar Capital on a 100%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45085</wp:posOffset>
            </wp:positionV>
            <wp:extent cx="5621020" cy="2857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6">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-164465</wp:posOffset>
            </wp:positionV>
            <wp:extent cx="3567430" cy="635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7">
                      <a:extLst>
                        <a:ext uri="{28A0092B-C50C-407E-A947-70E740481C1C}"/>
                      </a:extLst>
                    </a:blip>
                    <a:srcRect/>
                    <a:stretch>
                      <a:fillRect/>
                    </a:stretch>
                  </pic:blipFill>
                  <pic:spPr bwMode="auto">
                    <a:xfrm>
                      <a:off x="0" y="0"/>
                      <a:ext cx="3567430" cy="6350"/>
                    </a:xfrm>
                    <a:prstGeom prst="rect">
                      <a:avLst/>
                    </a:prstGeom>
                    <a:noFill/>
                  </pic:spPr>
                </pic:pic>
              </a:graphicData>
            </a:graphic>
          </wp:anchor>
        </w:drawing>
      </w:r>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Cash and cash equivalents</w:t>
      </w:r>
    </w:p>
    <w:p>
      <w:pPr>
        <w:spacing w:after="0" w:line="10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Loans advanced to Minera Exar</w:t>
      </w:r>
    </w:p>
    <w:p>
      <w:pPr>
        <w:spacing w:after="0" w:line="114"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Other receivables from Minera Exar</w:t>
      </w:r>
    </w:p>
    <w:p>
      <w:pPr>
        <w:spacing w:after="0" w:line="1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Other current assets</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 current assets</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Non-current assets</w:t>
      </w:r>
    </w:p>
    <w:p>
      <w:pPr>
        <w:spacing w:after="0" w:line="10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Loans advanced to Minera Exar</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Current liabilities</w:t>
      </w:r>
    </w:p>
    <w:p>
      <w:pPr>
        <w:spacing w:after="0" w:line="10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Loans from Lithium Argentina</w:t>
      </w:r>
    </w:p>
    <w:p>
      <w:pPr>
        <w:spacing w:after="0" w:line="10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Loans from Ganfeng</w:t>
      </w:r>
    </w:p>
    <w:p>
      <w:pPr>
        <w:spacing w:after="0" w:line="10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Other current liabilities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Non-current liabilities</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22860</wp:posOffset>
            </wp:positionV>
            <wp:extent cx="3567430" cy="63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8">
                      <a:extLst>
                        <a:ext uri="{28A0092B-C50C-407E-A947-70E740481C1C}"/>
                      </a:extLst>
                    </a:blip>
                    <a:srcRect/>
                    <a:stretch>
                      <a:fillRect/>
                    </a:stretch>
                  </pic:blipFill>
                  <pic:spPr bwMode="auto">
                    <a:xfrm>
                      <a:off x="0" y="0"/>
                      <a:ext cx="356743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December 31,</w:t>
      </w:r>
    </w:p>
    <w:p>
      <w:pPr>
        <w:spacing w:after="0" w:line="65" w:lineRule="exact"/>
        <w:rPr>
          <w:sz w:val="20"/>
          <w:szCs w:val="20"/>
          <w:color w:val="auto"/>
        </w:rPr>
      </w:pPr>
    </w:p>
    <w:p>
      <w:pPr>
        <w:jc w:val="both"/>
        <w:ind w:left="1200"/>
        <w:spacing w:after="0"/>
        <w:tabs>
          <w:tab w:leader="none" w:pos="1800" w:val="left"/>
        </w:tabs>
        <w:rPr>
          <w:sz w:val="20"/>
          <w:szCs w:val="20"/>
          <w:color w:val="auto"/>
        </w:rPr>
      </w:pPr>
      <w:r>
        <w:rPr>
          <w:rFonts w:ascii="Arial" w:cs="Arial" w:eastAsia="Arial" w:hAnsi="Arial"/>
          <w:sz w:val="18"/>
          <w:szCs w:val="18"/>
          <w:b w:val="1"/>
          <w:bCs w:val="1"/>
          <w:color w:val="auto"/>
        </w:rPr>
        <w:t>2025</w:t>
        <w:tab/>
        <w:t>December 31,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22860</wp:posOffset>
            </wp:positionV>
            <wp:extent cx="59055" cy="18796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9">
                      <a:extLst>
                        <a:ext uri="{28A0092B-C50C-407E-A947-70E740481C1C}"/>
                      </a:extLst>
                    </a:blip>
                    <a:srcRect/>
                    <a:stretch>
                      <a:fillRect/>
                    </a:stretch>
                  </pic:blipFill>
                  <pic:spPr bwMode="auto">
                    <a:xfrm>
                      <a:off x="0" y="0"/>
                      <a:ext cx="59055" cy="187960"/>
                    </a:xfrm>
                    <a:prstGeom prst="rect">
                      <a:avLst/>
                    </a:prstGeom>
                    <a:noFill/>
                  </pic:spPr>
                </pic:pic>
              </a:graphicData>
            </a:graphic>
          </wp:anchor>
        </w:drawing>
      </w:r>
    </w:p>
    <w:p>
      <w:pPr>
        <w:spacing w:after="0" w:line="5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22860</wp:posOffset>
            </wp:positionV>
            <wp:extent cx="2053590" cy="18796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0">
                      <a:extLst>
                        <a:ext uri="{28A0092B-C50C-407E-A947-70E740481C1C}"/>
                      </a:extLst>
                    </a:blip>
                    <a:srcRect/>
                    <a:stretch>
                      <a:fillRect/>
                    </a:stretch>
                  </pic:blipFill>
                  <pic:spPr bwMode="auto">
                    <a:xfrm>
                      <a:off x="0" y="0"/>
                      <a:ext cx="2053590" cy="18796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22860</wp:posOffset>
            </wp:positionV>
            <wp:extent cx="2053590" cy="18796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1">
                      <a:extLst>
                        <a:ext uri="{28A0092B-C50C-407E-A947-70E740481C1C}"/>
                      </a:extLst>
                    </a:blip>
                    <a:srcRect/>
                    <a:stretch>
                      <a:fillRect/>
                    </a:stretch>
                  </pic:blipFill>
                  <pic:spPr bwMode="auto">
                    <a:xfrm>
                      <a:off x="0" y="0"/>
                      <a:ext cx="2053590" cy="187960"/>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6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16,823</w:t>
            </w:r>
          </w:p>
        </w:tc>
        <w:tc>
          <w:tcPr>
            <w:tcW w:w="100" w:type="dxa"/>
            <w:vAlign w:val="bottom"/>
            <w:shd w:val="clear" w:color="auto" w:fill="D9D9D9"/>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3"/>
        </w:trPr>
        <w:tc>
          <w:tcPr>
            <w:tcW w:w="16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306"/>
        </w:trPr>
        <w:tc>
          <w:tcPr>
            <w:tcW w:w="16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26,789</w:t>
            </w:r>
          </w:p>
        </w:tc>
        <w:tc>
          <w:tcPr>
            <w:tcW w:w="100" w:type="dxa"/>
            <w:vAlign w:val="bottom"/>
            <w:shd w:val="clear" w:color="auto" w:fill="D9D9D9"/>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5"/>
        </w:trPr>
        <w:tc>
          <w:tcPr>
            <w:tcW w:w="1620" w:type="dxa"/>
            <w:vAlign w:val="bottom"/>
            <w:shd w:val="clear" w:color="auto" w:fill="D9D9D9"/>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400" w:type="dxa"/>
            <w:vAlign w:val="bottom"/>
          </w:tcPr>
          <w:p>
            <w:pPr>
              <w:spacing w:after="0"/>
              <w:rPr>
                <w:sz w:val="3"/>
                <w:szCs w:val="3"/>
                <w:color w:val="auto"/>
              </w:rPr>
            </w:pPr>
          </w:p>
        </w:tc>
      </w:tr>
      <w:tr>
        <w:trPr>
          <w:trHeight w:val="270"/>
        </w:trPr>
        <w:tc>
          <w:tcPr>
            <w:tcW w:w="16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2,965</w:t>
            </w:r>
          </w:p>
        </w:tc>
        <w:tc>
          <w:tcPr>
            <w:tcW w:w="100" w:type="dxa"/>
            <w:vAlign w:val="bottom"/>
            <w:shd w:val="clear" w:color="auto" w:fill="D9D9D9"/>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6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46,577</w:t>
            </w:r>
          </w:p>
        </w:tc>
        <w:tc>
          <w:tcPr>
            <w:tcW w:w="100" w:type="dxa"/>
            <w:vAlign w:val="bottom"/>
            <w:shd w:val="clear" w:color="auto" w:fill="D9D9D9"/>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631,</w:t>
            </w:r>
          </w:p>
        </w:tc>
      </w:tr>
      <w:tr>
        <w:trPr>
          <w:trHeight w:val="45"/>
        </w:trPr>
        <w:tc>
          <w:tcPr>
            <w:tcW w:w="1620" w:type="dxa"/>
            <w:vAlign w:val="bottom"/>
            <w:shd w:val="clear" w:color="auto" w:fill="D9D9D9"/>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400" w:type="dxa"/>
            <w:vAlign w:val="bottom"/>
          </w:tcPr>
          <w:p>
            <w:pPr>
              <w:spacing w:after="0"/>
              <w:rPr>
                <w:sz w:val="3"/>
                <w:szCs w:val="3"/>
                <w:color w:val="auto"/>
              </w:rPr>
            </w:pPr>
          </w:p>
        </w:tc>
      </w:tr>
      <w:tr>
        <w:trPr>
          <w:trHeight w:val="556"/>
        </w:trPr>
        <w:tc>
          <w:tcPr>
            <w:tcW w:w="16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911,338</w:t>
            </w:r>
          </w:p>
        </w:tc>
        <w:tc>
          <w:tcPr>
            <w:tcW w:w="100" w:type="dxa"/>
            <w:vAlign w:val="bottom"/>
            <w:shd w:val="clear" w:color="auto" w:fill="D9D9D9"/>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331"/>
        </w:trPr>
        <w:tc>
          <w:tcPr>
            <w:tcW w:w="162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400" w:type="dxa"/>
            <w:vAlign w:val="bottom"/>
          </w:tcPr>
          <w:p>
            <w:pPr>
              <w:spacing w:after="0"/>
              <w:rPr>
                <w:sz w:val="24"/>
                <w:szCs w:val="24"/>
                <w:color w:val="auto"/>
              </w:rPr>
            </w:pPr>
          </w:p>
        </w:tc>
      </w:tr>
      <w:tr>
        <w:trPr>
          <w:trHeight w:val="278"/>
        </w:trPr>
        <w:tc>
          <w:tcPr>
            <w:tcW w:w="172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(308,333)</w:t>
            </w:r>
          </w:p>
        </w:tc>
        <w:tc>
          <w:tcPr>
            <w:tcW w:w="140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314"/>
        </w:trPr>
        <w:tc>
          <w:tcPr>
            <w:tcW w:w="16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(544,779</w:t>
            </w:r>
          </w:p>
        </w:tc>
        <w:tc>
          <w:tcPr>
            <w:tcW w:w="100" w:type="dxa"/>
            <w:vAlign w:val="bottom"/>
            <w:shd w:val="clear" w:color="auto" w:fill="D9D9D9"/>
          </w:tcPr>
          <w:p>
            <w:pPr>
              <w:jc w:val="right"/>
              <w:spacing w:after="0"/>
              <w:rPr>
                <w:sz w:val="20"/>
                <w:szCs w:val="20"/>
                <w:color w:val="auto"/>
              </w:rPr>
            </w:pPr>
            <w:r>
              <w:rPr>
                <w:rFonts w:ascii="Arial" w:cs="Arial" w:eastAsia="Arial" w:hAnsi="Arial"/>
                <w:sz w:val="16"/>
                <w:szCs w:val="16"/>
                <w:color w:val="auto"/>
                <w:w w:val="74"/>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314"/>
        </w:trPr>
        <w:tc>
          <w:tcPr>
            <w:tcW w:w="16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(1,984</w:t>
            </w:r>
          </w:p>
        </w:tc>
        <w:tc>
          <w:tcPr>
            <w:tcW w:w="100" w:type="dxa"/>
            <w:vAlign w:val="bottom"/>
            <w:shd w:val="clear" w:color="auto" w:fill="D9D9D9"/>
          </w:tcPr>
          <w:p>
            <w:pPr>
              <w:jc w:val="right"/>
              <w:spacing w:after="0"/>
              <w:rPr>
                <w:sz w:val="20"/>
                <w:szCs w:val="20"/>
                <w:color w:val="auto"/>
              </w:rPr>
            </w:pPr>
            <w:r>
              <w:rPr>
                <w:rFonts w:ascii="Arial" w:cs="Arial" w:eastAsia="Arial" w:hAnsi="Arial"/>
                <w:sz w:val="16"/>
                <w:szCs w:val="16"/>
                <w:color w:val="auto"/>
                <w:highlight w:val="lightGray"/>
                <w:w w:val="74"/>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6"/>
        </w:trPr>
        <w:tc>
          <w:tcPr>
            <w:tcW w:w="1620" w:type="dxa"/>
            <w:vAlign w:val="bottom"/>
            <w:shd w:val="clear" w:color="auto" w:fill="D9D9D9"/>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400" w:type="dxa"/>
            <w:vAlign w:val="bottom"/>
          </w:tcPr>
          <w:p>
            <w:pPr>
              <w:spacing w:after="0"/>
              <w:rPr>
                <w:sz w:val="3"/>
                <w:szCs w:val="3"/>
                <w:color w:val="auto"/>
              </w:rPr>
            </w:pPr>
          </w:p>
        </w:tc>
      </w:tr>
      <w:tr>
        <w:trPr>
          <w:trHeight w:val="278"/>
        </w:trPr>
        <w:tc>
          <w:tcPr>
            <w:tcW w:w="172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(36,553)</w:t>
            </w: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6"/>
        </w:trPr>
        <w:tc>
          <w:tcPr>
            <w:tcW w:w="16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66,266</w:t>
            </w:r>
          </w:p>
        </w:tc>
        <w:tc>
          <w:tcPr>
            <w:tcW w:w="100" w:type="dxa"/>
            <w:vAlign w:val="bottom"/>
            <w:shd w:val="clear" w:color="auto" w:fill="D9D9D9"/>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55"/>
        </w:trPr>
        <w:tc>
          <w:tcPr>
            <w:tcW w:w="162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140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-1779270</wp:posOffset>
            </wp:positionV>
            <wp:extent cx="1982470" cy="63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2">
                      <a:extLst>
                        <a:ext uri="{28A0092B-C50C-407E-A947-70E740481C1C}"/>
                      </a:extLst>
                    </a:blip>
                    <a:srcRect/>
                    <a:stretch>
                      <a:fillRect/>
                    </a:stretch>
                  </pic:blipFill>
                  <pic:spPr bwMode="auto">
                    <a:xfrm>
                      <a:off x="0" y="0"/>
                      <a:ext cx="198247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-211455</wp:posOffset>
            </wp:positionV>
            <wp:extent cx="1982470" cy="635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3">
                      <a:extLst>
                        <a:ext uri="{28A0092B-C50C-407E-A947-70E740481C1C}"/>
                      </a:extLst>
                    </a:blip>
                    <a:srcRect/>
                    <a:stretch>
                      <a:fillRect/>
                    </a:stretch>
                  </pic:blipFill>
                  <pic:spPr bwMode="auto">
                    <a:xfrm>
                      <a:off x="0" y="0"/>
                      <a:ext cx="1982470" cy="635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-5715</wp:posOffset>
            </wp:positionV>
            <wp:extent cx="2053590" cy="63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4">
                      <a:extLst>
                        <a:ext uri="{28A0092B-C50C-407E-A947-70E740481C1C}"/>
                      </a:extLst>
                    </a:blip>
                    <a:srcRect/>
                    <a:stretch>
                      <a:fillRect/>
                    </a:stretch>
                  </pic:blipFill>
                  <pic:spPr bwMode="auto">
                    <a:xfrm>
                      <a:off x="0" y="0"/>
                      <a:ext cx="2053590"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20" w:space="720"/>
            <w:col w:w="3120"/>
          </w:cols>
          <w:pgMar w:left="1440" w:top="1440" w:right="6" w:bottom="0" w:gutter="0" w:footer="0" w:header="0"/>
          <w:type w:val="continuous"/>
        </w:sectPr>
      </w:pPr>
    </w:p>
    <w:p>
      <w:pPr>
        <w:spacing w:after="0" w:line="140" w:lineRule="exact"/>
        <w:rPr>
          <w:sz w:val="20"/>
          <w:szCs w:val="20"/>
          <w:color w:val="auto"/>
        </w:rPr>
      </w:pPr>
    </w:p>
    <w:p>
      <w:pPr>
        <w:jc w:val="both"/>
        <w:ind w:left="1620"/>
        <w:spacing w:after="0" w:line="313" w:lineRule="auto"/>
        <w:rPr>
          <w:sz w:val="20"/>
          <w:szCs w:val="20"/>
          <w:color w:val="auto"/>
        </w:rPr>
      </w:pPr>
      <w:r>
        <w:rPr>
          <w:rFonts w:ascii="Arial" w:cs="Arial" w:eastAsia="Arial" w:hAnsi="Arial"/>
          <w:sz w:val="20"/>
          <w:szCs w:val="20"/>
          <w:color w:val="auto"/>
        </w:rPr>
        <w:t>As part of the loan restructuring in August 2025, Exar Capital assigned certain loan receivables Minera Exar to Lithium Argentina and Ganfeng. The assigned receivables were settled through a cash offset against Exar Capital’s loans payable to the same shareholders. Exar Capital derecognize assigned loan receivables and the related loan payables, with the resulting difference recorded a equity transaction between shareholders. No gain or loss was recognized by Exar Capital in statement of comprehensive loss.</w:t>
      </w:r>
    </w:p>
    <w:p>
      <w:pPr>
        <w:spacing w:after="0" w:line="313" w:lineRule="exact"/>
        <w:rPr>
          <w:sz w:val="20"/>
          <w:szCs w:val="20"/>
          <w:color w:val="auto"/>
        </w:rPr>
      </w:pPr>
    </w:p>
    <w:p>
      <w:pPr>
        <w:jc w:val="both"/>
        <w:ind w:left="1620"/>
        <w:spacing w:after="0" w:line="311" w:lineRule="auto"/>
        <w:rPr>
          <w:sz w:val="20"/>
          <w:szCs w:val="20"/>
          <w:color w:val="auto"/>
        </w:rPr>
      </w:pPr>
      <w:r>
        <w:rPr>
          <w:rFonts w:ascii="Arial" w:cs="Arial" w:eastAsia="Arial" w:hAnsi="Arial"/>
          <w:sz w:val="20"/>
          <w:szCs w:val="20"/>
          <w:color w:val="auto"/>
        </w:rPr>
        <w:t>Loans from Lithium Argentina and Ganfeng are presented as current liabilities in the financial statem of Exar Capital. In accordance with the terms of the loan agreements, the loans can be called at any by unanimous agreement of Lithium Argentina and Ganfeng.</w:t>
      </w:r>
    </w:p>
    <w:p>
      <w:pPr>
        <w:spacing w:after="0" w:line="313" w:lineRule="exact"/>
        <w:rPr>
          <w:sz w:val="20"/>
          <w:szCs w:val="20"/>
          <w:color w:val="auto"/>
        </w:rPr>
      </w:pPr>
    </w:p>
    <w:p>
      <w:pPr>
        <w:jc w:val="both"/>
        <w:ind w:left="1620"/>
        <w:spacing w:after="0" w:line="311" w:lineRule="auto"/>
        <w:rPr>
          <w:sz w:val="20"/>
          <w:szCs w:val="20"/>
          <w:color w:val="auto"/>
        </w:rPr>
      </w:pPr>
      <w:r>
        <w:rPr>
          <w:rFonts w:ascii="Arial" w:cs="Arial" w:eastAsia="Arial" w:hAnsi="Arial"/>
          <w:sz w:val="20"/>
          <w:szCs w:val="20"/>
          <w:color w:val="auto"/>
        </w:rPr>
        <w:t>As at December 31, 2025, Exar Capital had other receivables from Minera Exar amounting to $26 (2024 – $32,122). These receivables relate to payments made by Exar Capital to suppliers on beh Minera Exar</w:t>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38 / 40</w:t>
      </w:r>
    </w:p>
    <w:p>
      <w:pPr>
        <w:sectPr>
          <w:pgSz w:w="11900" w:h="16838" w:orient="portrait"/>
          <w:cols w:equalWidth="0" w:num="1">
            <w:col w:w="10460"/>
          </w:cols>
          <w:pgMar w:left="1440" w:top="1440" w:right="6" w:bottom="0" w:gutter="0" w:footer="0" w:header="0"/>
          <w:type w:val="continuous"/>
        </w:sectPr>
      </w:pPr>
    </w:p>
    <w:bookmarkStart w:id="422" w:name="page423"/>
    <w:bookmarkEnd w:id="4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1939290</wp:posOffset>
            </wp:positionH>
            <wp:positionV relativeFrom="page">
              <wp:posOffset>720090</wp:posOffset>
            </wp:positionV>
            <wp:extent cx="2994025" cy="2857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5">
                      <a:extLst>
                        <a:ext uri="{28A0092B-C50C-407E-A947-70E740481C1C}"/>
                      </a:extLst>
                    </a:blip>
                    <a:srcRect/>
                    <a:stretch>
                      <a:fillRect/>
                    </a:stretch>
                  </pic:blipFill>
                  <pic:spPr bwMode="auto">
                    <a:xfrm>
                      <a:off x="0" y="0"/>
                      <a:ext cx="2994025" cy="28575"/>
                    </a:xfrm>
                    <a:prstGeom prst="rect">
                      <a:avLst/>
                    </a:prstGeom>
                    <a:noFill/>
                  </pic:spPr>
                </pic:pic>
              </a:graphicData>
            </a:graphic>
          </wp:anchor>
        </w:drawing>
        <w:drawing>
          <wp:anchor simplePos="0" relativeHeight="251657728" behindDoc="1" locked="0" layoutInCell="0" allowOverlap="1">
            <wp:simplePos x="0" y="0"/>
            <wp:positionH relativeFrom="page">
              <wp:posOffset>1939290</wp:posOffset>
            </wp:positionH>
            <wp:positionV relativeFrom="page">
              <wp:posOffset>1317625</wp:posOffset>
            </wp:positionV>
            <wp:extent cx="2994025" cy="635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6">
                      <a:extLst>
                        <a:ext uri="{28A0092B-C50C-407E-A947-70E740481C1C}"/>
                      </a:extLst>
                    </a:blip>
                    <a:srcRect/>
                    <a:stretch>
                      <a:fillRect/>
                    </a:stretch>
                  </pic:blipFill>
                  <pic:spPr bwMode="auto">
                    <a:xfrm>
                      <a:off x="0" y="0"/>
                      <a:ext cx="299402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Interest income on loans to Minera Exar</w:t>
      </w:r>
    </w:p>
    <w:p>
      <w:pPr>
        <w:spacing w:after="0" w:line="113" w:lineRule="exact"/>
        <w:rPr>
          <w:sz w:val="20"/>
          <w:szCs w:val="20"/>
          <w:color w:val="auto"/>
        </w:rPr>
      </w:pPr>
    </w:p>
    <w:p>
      <w:pPr>
        <w:ind w:left="1620" w:right="500"/>
        <w:spacing w:after="0" w:line="361" w:lineRule="auto"/>
        <w:rPr>
          <w:sz w:val="20"/>
          <w:szCs w:val="20"/>
          <w:color w:val="auto"/>
        </w:rPr>
      </w:pPr>
      <w:r>
        <w:rPr>
          <w:rFonts w:ascii="Arial" w:cs="Arial" w:eastAsia="Arial" w:hAnsi="Arial"/>
          <w:sz w:val="18"/>
          <w:szCs w:val="18"/>
          <w:color w:val="auto"/>
        </w:rPr>
        <w:t>Interest expense on loans from Lithium Argentina Interest expense on loans from Ganfeng Other losses</w:t>
      </w:r>
    </w:p>
    <w:p>
      <w:pPr>
        <w:spacing w:after="0" w:line="4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Net 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472440</wp:posOffset>
            </wp:positionV>
            <wp:extent cx="1676400" cy="1905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7">
                      <a:extLst>
                        <a:ext uri="{28A0092B-C50C-407E-A947-70E740481C1C}"/>
                      </a:extLst>
                    </a:blip>
                    <a:srcRect/>
                    <a:stretch>
                      <a:fillRect/>
                    </a:stretch>
                  </pic:blipFill>
                  <pic:spPr bwMode="auto">
                    <a:xfrm>
                      <a:off x="0" y="0"/>
                      <a:ext cx="1676400" cy="19050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22860</wp:posOffset>
            </wp:positionV>
            <wp:extent cx="2994025" cy="635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8">
                      <a:extLst>
                        <a:ext uri="{28A0092B-C50C-407E-A947-70E740481C1C}"/>
                      </a:extLst>
                    </a:blip>
                    <a:srcRect/>
                    <a:stretch>
                      <a:fillRect/>
                    </a:stretch>
                  </pic:blipFill>
                  <pic:spPr bwMode="auto">
                    <a:xfrm>
                      <a:off x="0" y="0"/>
                      <a:ext cx="299402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5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Years ended December 31,</w:t>
            </w:r>
          </w:p>
        </w:tc>
        <w:tc>
          <w:tcPr>
            <w:tcW w:w="480" w:type="dxa"/>
            <w:vAlign w:val="bottom"/>
          </w:tcPr>
          <w:p>
            <w:pPr>
              <w:spacing w:after="0"/>
              <w:rPr>
                <w:sz w:val="17"/>
                <w:szCs w:val="17"/>
                <w:color w:val="auto"/>
              </w:rPr>
            </w:pPr>
          </w:p>
        </w:tc>
      </w:tr>
      <w:tr>
        <w:trPr>
          <w:trHeight w:val="304"/>
        </w:trPr>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2140" w:type="dxa"/>
            <w:vAlign w:val="bottom"/>
          </w:tcPr>
          <w:p>
            <w:pPr>
              <w:jc w:val="right"/>
              <w:ind w:right="670"/>
              <w:spacing w:after="0"/>
              <w:rPr>
                <w:sz w:val="20"/>
                <w:szCs w:val="20"/>
                <w:color w:val="auto"/>
              </w:rPr>
            </w:pPr>
            <w:r>
              <w:rPr>
                <w:rFonts w:ascii="Arial" w:cs="Arial" w:eastAsia="Arial" w:hAnsi="Arial"/>
                <w:sz w:val="18"/>
                <w:szCs w:val="18"/>
                <w:b w:val="1"/>
                <w:bCs w:val="1"/>
                <w:color w:val="auto"/>
              </w:rPr>
              <w:t>2024</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36"/>
        </w:trPr>
        <w:tc>
          <w:tcPr>
            <w:tcW w:w="14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50"/>
        </w:trPr>
        <w:tc>
          <w:tcPr>
            <w:tcW w:w="1420" w:type="dxa"/>
            <w:vAlign w:val="bottom"/>
            <w:shd w:val="clear" w:color="auto" w:fill="D9D9D9"/>
          </w:tcPr>
          <w:p>
            <w:pPr>
              <w:jc w:val="right"/>
              <w:ind w:right="10"/>
              <w:spacing w:after="0"/>
              <w:rPr>
                <w:sz w:val="20"/>
                <w:szCs w:val="20"/>
                <w:color w:val="auto"/>
              </w:rPr>
            </w:pPr>
            <w:r>
              <w:rPr>
                <w:rFonts w:ascii="Arial" w:cs="Arial" w:eastAsia="Arial" w:hAnsi="Arial"/>
                <w:sz w:val="18"/>
                <w:szCs w:val="18"/>
                <w:b w:val="1"/>
                <w:bCs w:val="1"/>
                <w:color w:val="auto"/>
              </w:rPr>
              <w:t>$</w:t>
            </w:r>
          </w:p>
        </w:tc>
        <w:tc>
          <w:tcPr>
            <w:tcW w:w="2140" w:type="dxa"/>
            <w:vAlign w:val="bottom"/>
          </w:tcPr>
          <w:p>
            <w:pPr>
              <w:jc w:val="right"/>
              <w:ind w:right="67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1"/>
                <w:szCs w:val="21"/>
                <w:color w:val="auto"/>
              </w:rPr>
            </w:pPr>
          </w:p>
        </w:tc>
      </w:tr>
      <w:tr>
        <w:trPr>
          <w:trHeight w:val="316"/>
        </w:trPr>
        <w:tc>
          <w:tcPr>
            <w:tcW w:w="142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115,232</w:t>
            </w:r>
          </w:p>
        </w:tc>
        <w:tc>
          <w:tcPr>
            <w:tcW w:w="2140" w:type="dxa"/>
            <w:vAlign w:val="bottom"/>
          </w:tcPr>
          <w:p>
            <w:pPr>
              <w:jc w:val="right"/>
              <w:ind w:right="670"/>
              <w:spacing w:after="0"/>
              <w:rPr>
                <w:sz w:val="20"/>
                <w:szCs w:val="20"/>
                <w:color w:val="auto"/>
              </w:rPr>
            </w:pPr>
            <w:r>
              <w:rPr>
                <w:rFonts w:ascii="Arial" w:cs="Arial" w:eastAsia="Arial" w:hAnsi="Arial"/>
                <w:sz w:val="18"/>
                <w:szCs w:val="18"/>
                <w:color w:val="auto"/>
              </w:rPr>
              <w:t>113,364</w:t>
            </w:r>
          </w:p>
        </w:tc>
        <w:tc>
          <w:tcPr>
            <w:tcW w:w="4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5"/>
        </w:trPr>
        <w:tc>
          <w:tcPr>
            <w:tcW w:w="1420" w:type="dxa"/>
            <w:vAlign w:val="bottom"/>
            <w:shd w:val="clear" w:color="auto" w:fill="D9D9D9"/>
          </w:tcPr>
          <w:p>
            <w:pPr>
              <w:spacing w:after="0"/>
              <w:rPr>
                <w:sz w:val="3"/>
                <w:szCs w:val="3"/>
                <w:color w:val="auto"/>
              </w:rPr>
            </w:pPr>
          </w:p>
        </w:tc>
        <w:tc>
          <w:tcPr>
            <w:tcW w:w="2140" w:type="dxa"/>
            <w:vAlign w:val="bottom"/>
          </w:tcPr>
          <w:p>
            <w:pPr>
              <w:spacing w:after="0"/>
              <w:rPr>
                <w:sz w:val="3"/>
                <w:szCs w:val="3"/>
                <w:color w:val="auto"/>
              </w:rPr>
            </w:pPr>
          </w:p>
        </w:tc>
        <w:tc>
          <w:tcPr>
            <w:tcW w:w="48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846455</wp:posOffset>
            </wp:positionH>
            <wp:positionV relativeFrom="paragraph">
              <wp:posOffset>0</wp:posOffset>
            </wp:positionV>
            <wp:extent cx="59055" cy="1993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0">
                      <a:extLst>
                        <a:ext uri="{28A0092B-C50C-407E-A947-70E740481C1C}"/>
                      </a:extLst>
                    </a:blip>
                    <a:srcRect/>
                    <a:stretch>
                      <a:fillRect/>
                    </a:stretch>
                  </pic:blipFill>
                  <pic:spPr bwMode="auto">
                    <a:xfrm>
                      <a:off x="0" y="0"/>
                      <a:ext cx="59055" cy="199390"/>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-803275</wp:posOffset>
            </wp:positionV>
            <wp:extent cx="2626995" cy="23431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1">
                      <a:extLst>
                        <a:ext uri="{28A0092B-C50C-407E-A947-70E740481C1C}"/>
                      </a:extLst>
                    </a:blip>
                    <a:srcRect/>
                    <a:stretch>
                      <a:fillRect/>
                    </a:stretch>
                  </pic:blipFill>
                  <pic:spPr bwMode="auto">
                    <a:xfrm>
                      <a:off x="0" y="0"/>
                      <a:ext cx="2626995" cy="234315"/>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-205105</wp:posOffset>
            </wp:positionV>
            <wp:extent cx="2626995" cy="635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2">
                      <a:extLst>
                        <a:ext uri="{28A0092B-C50C-407E-A947-70E740481C1C}"/>
                      </a:extLst>
                    </a:blip>
                    <a:srcRect/>
                    <a:stretch>
                      <a:fillRect/>
                    </a:stretch>
                  </pic:blipFill>
                  <pic:spPr bwMode="auto">
                    <a:xfrm>
                      <a:off x="0" y="0"/>
                      <a:ext cx="2626995" cy="6350"/>
                    </a:xfrm>
                    <a:prstGeom prst="rect">
                      <a:avLst/>
                    </a:prstGeom>
                    <a:noFill/>
                  </pic:spPr>
                </pic:pic>
              </a:graphicData>
            </a:graphic>
          </wp:anchor>
        </w:drawing>
      </w:r>
    </w:p>
    <w:p>
      <w:pPr>
        <w:spacing w:after="0" w:line="49" w:lineRule="exact"/>
        <w:rPr>
          <w:sz w:val="20"/>
          <w:szCs w:val="20"/>
          <w:color w:val="auto"/>
        </w:rPr>
      </w:pPr>
    </w:p>
    <w:p>
      <w:pPr>
        <w:jc w:val="right"/>
        <w:spacing w:after="0"/>
        <w:tabs>
          <w:tab w:leader="none" w:pos="1820" w:val="left"/>
          <w:tab w:leader="none" w:pos="280" w:val="left"/>
        </w:tabs>
        <w:rPr>
          <w:sz w:val="20"/>
          <w:szCs w:val="20"/>
          <w:color w:val="auto"/>
        </w:rPr>
      </w:pPr>
      <w:r>
        <w:rPr>
          <w:rFonts w:ascii="Arial" w:cs="Arial" w:eastAsia="Arial" w:hAnsi="Arial"/>
          <w:sz w:val="18"/>
          <w:szCs w:val="18"/>
          <w:color w:val="auto"/>
        </w:rPr>
        <w:t>(39,939)</w:t>
      </w:r>
      <w:r>
        <w:rPr>
          <w:sz w:val="20"/>
          <w:szCs w:val="20"/>
          <w:color w:val="auto"/>
        </w:rPr>
        <w:tab/>
      </w:r>
      <w:r>
        <w:rPr>
          <w:rFonts w:ascii="Arial" w:cs="Arial" w:eastAsia="Arial" w:hAnsi="Arial"/>
          <w:sz w:val="18"/>
          <w:szCs w:val="18"/>
          <w:color w:val="auto"/>
        </w:rPr>
        <w:t>(44,043)</w:t>
      </w:r>
      <w:r>
        <w:rPr>
          <w:sz w:val="20"/>
          <w:szCs w:val="20"/>
          <w:color w:val="auto"/>
        </w:rPr>
        <w:tab/>
      </w:r>
      <w:r>
        <w:rPr>
          <w:rFonts w:ascii="Arial" w:cs="Arial" w:eastAsia="Arial" w:hAnsi="Arial"/>
          <w:sz w:val="17"/>
          <w:szCs w:val="17"/>
          <w:color w:val="auto"/>
        </w:rPr>
        <w:t>(33,</w:t>
      </w:r>
    </w:p>
    <w:p>
      <w:pPr>
        <w:spacing w:after="0" w:line="107" w:lineRule="exact"/>
        <w:rPr>
          <w:sz w:val="20"/>
          <w:szCs w:val="20"/>
          <w:color w:val="auto"/>
        </w:rPr>
      </w:pPr>
    </w:p>
    <w:p>
      <w:pPr>
        <w:jc w:val="right"/>
        <w:spacing w:after="0"/>
        <w:tabs>
          <w:tab w:leader="none" w:pos="1820" w:val="left"/>
          <w:tab w:leader="none" w:pos="280" w:val="left"/>
        </w:tabs>
        <w:rPr>
          <w:sz w:val="20"/>
          <w:szCs w:val="20"/>
          <w:color w:val="auto"/>
        </w:rPr>
      </w:pPr>
      <w:r>
        <w:rPr>
          <w:rFonts w:ascii="Arial" w:cs="Arial" w:eastAsia="Arial" w:hAnsi="Arial"/>
          <w:sz w:val="18"/>
          <w:szCs w:val="18"/>
          <w:color w:val="auto"/>
        </w:rPr>
        <w:t>(64,432)</w:t>
      </w:r>
      <w:r>
        <w:rPr>
          <w:sz w:val="20"/>
          <w:szCs w:val="20"/>
          <w:color w:val="auto"/>
        </w:rPr>
        <w:tab/>
      </w:r>
      <w:r>
        <w:rPr>
          <w:rFonts w:ascii="Arial" w:cs="Arial" w:eastAsia="Arial" w:hAnsi="Arial"/>
          <w:sz w:val="18"/>
          <w:szCs w:val="18"/>
          <w:color w:val="auto"/>
        </w:rPr>
        <w:t>(63,408)</w:t>
      </w:r>
      <w:r>
        <w:rPr>
          <w:sz w:val="20"/>
          <w:szCs w:val="20"/>
          <w:color w:val="auto"/>
        </w:rPr>
        <w:tab/>
      </w:r>
      <w:r>
        <w:rPr>
          <w:rFonts w:ascii="Arial" w:cs="Arial" w:eastAsia="Arial" w:hAnsi="Arial"/>
          <w:sz w:val="17"/>
          <w:szCs w:val="17"/>
          <w:color w:val="auto"/>
        </w:rPr>
        <w:t>(46,</w:t>
      </w:r>
    </w:p>
    <w:p>
      <w:pPr>
        <w:spacing w:after="0" w:line="107" w:lineRule="exact"/>
        <w:rPr>
          <w:sz w:val="20"/>
          <w:szCs w:val="20"/>
          <w:color w:val="auto"/>
        </w:rPr>
      </w:pPr>
    </w:p>
    <w:p>
      <w:pPr>
        <w:jc w:val="right"/>
        <w:spacing w:after="0"/>
        <w:tabs>
          <w:tab w:leader="none" w:pos="1820" w:val="left"/>
          <w:tab w:leader="none" w:pos="280" w:val="left"/>
        </w:tabs>
        <w:rPr>
          <w:sz w:val="20"/>
          <w:szCs w:val="20"/>
          <w:color w:val="auto"/>
        </w:rPr>
      </w:pPr>
      <w:r>
        <w:rPr>
          <w:rFonts w:ascii="Arial" w:cs="Arial" w:eastAsia="Arial" w:hAnsi="Arial"/>
          <w:sz w:val="18"/>
          <w:szCs w:val="18"/>
          <w:color w:val="auto"/>
        </w:rPr>
        <w:t>(8,457)</w:t>
      </w:r>
      <w:r>
        <w:rPr>
          <w:sz w:val="20"/>
          <w:szCs w:val="20"/>
          <w:color w:val="auto"/>
        </w:rPr>
        <w:tab/>
      </w:r>
      <w:r>
        <w:rPr>
          <w:rFonts w:ascii="Arial" w:cs="Arial" w:eastAsia="Arial" w:hAnsi="Arial"/>
          <w:sz w:val="18"/>
          <w:szCs w:val="18"/>
          <w:color w:val="auto"/>
        </w:rPr>
        <w:t>(12,454)</w:t>
      </w:r>
      <w:r>
        <w:rPr>
          <w:sz w:val="20"/>
          <w:szCs w:val="20"/>
          <w:color w:val="auto"/>
        </w:rPr>
        <w:tab/>
      </w: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2567940" cy="2120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3">
                      <a:extLst>
                        <a:ext uri="{28A0092B-C50C-407E-A947-70E740481C1C}"/>
                      </a:extLst>
                    </a:blip>
                    <a:srcRect/>
                    <a:stretch>
                      <a:fillRect/>
                    </a:stretch>
                  </pic:blipFill>
                  <pic:spPr bwMode="auto">
                    <a:xfrm>
                      <a:off x="0" y="0"/>
                      <a:ext cx="2567940" cy="212090"/>
                    </a:xfrm>
                    <a:prstGeom prst="rect">
                      <a:avLst/>
                    </a:prstGeom>
                    <a:noFill/>
                  </pic:spPr>
                </pic:pic>
              </a:graphicData>
            </a:graphic>
          </wp:anchor>
        </w:drawing>
      </w:r>
    </w:p>
    <w:p>
      <w:pPr>
        <w:spacing w:after="0" w:line="97" w:lineRule="exact"/>
        <w:rPr>
          <w:sz w:val="20"/>
          <w:szCs w:val="20"/>
          <w:color w:val="auto"/>
        </w:rPr>
      </w:pPr>
    </w:p>
    <w:p>
      <w:pPr>
        <w:jc w:val="both"/>
        <w:ind w:left="860"/>
        <w:spacing w:after="0"/>
        <w:tabs>
          <w:tab w:leader="none" w:pos="2280" w:val="left"/>
          <w:tab w:leader="none" w:pos="3840" w:val="left"/>
        </w:tabs>
        <w:rPr>
          <w:sz w:val="20"/>
          <w:szCs w:val="20"/>
          <w:color w:val="auto"/>
        </w:rPr>
      </w:pPr>
      <w:r>
        <w:rPr>
          <w:rFonts w:ascii="Arial" w:cs="Arial" w:eastAsia="Arial" w:hAnsi="Arial"/>
          <w:sz w:val="18"/>
          <w:szCs w:val="18"/>
          <w:color w:val="auto"/>
        </w:rPr>
        <w:t>2,404</w:t>
      </w:r>
      <w:r>
        <w:rPr>
          <w:sz w:val="20"/>
          <w:szCs w:val="20"/>
          <w:color w:val="auto"/>
        </w:rPr>
        <w:tab/>
      </w:r>
      <w:r>
        <w:rPr>
          <w:rFonts w:ascii="Arial" w:cs="Arial" w:eastAsia="Arial" w:hAnsi="Arial"/>
          <w:sz w:val="18"/>
          <w:szCs w:val="18"/>
          <w:color w:val="auto"/>
        </w:rPr>
        <w:t>(6,541)</w:t>
      </w:r>
      <w:r>
        <w:rPr>
          <w:sz w:val="20"/>
          <w:szCs w:val="20"/>
          <w:color w:val="auto"/>
        </w:rPr>
        <w:tab/>
      </w: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24130</wp:posOffset>
            </wp:positionV>
            <wp:extent cx="59055" cy="635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4">
                      <a:extLst>
                        <a:ext uri="{28A0092B-C50C-407E-A947-70E740481C1C}"/>
                      </a:extLst>
                    </a:blip>
                    <a:srcRect/>
                    <a:stretch>
                      <a:fillRect/>
                    </a:stretch>
                  </pic:blipFill>
                  <pic:spPr bwMode="auto">
                    <a:xfrm>
                      <a:off x="0" y="0"/>
                      <a:ext cx="59055" cy="635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24130</wp:posOffset>
            </wp:positionV>
            <wp:extent cx="1663700" cy="635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5">
                      <a:extLst>
                        <a:ext uri="{28A0092B-C50C-407E-A947-70E740481C1C}"/>
                      </a:extLst>
                    </a:blip>
                    <a:srcRect/>
                    <a:stretch>
                      <a:fillRect/>
                    </a:stretch>
                  </pic:blipFill>
                  <pic:spPr bwMode="auto">
                    <a:xfrm>
                      <a:off x="0" y="0"/>
                      <a:ext cx="1663700" cy="635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24130</wp:posOffset>
            </wp:positionV>
            <wp:extent cx="1663700" cy="635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6">
                      <a:extLst>
                        <a:ext uri="{28A0092B-C50C-407E-A947-70E740481C1C}"/>
                      </a:extLst>
                    </a:blip>
                    <a:srcRect/>
                    <a:stretch>
                      <a:fillRect/>
                    </a:stretch>
                  </pic:blipFill>
                  <pic:spPr bwMode="auto">
                    <a:xfrm>
                      <a:off x="0" y="0"/>
                      <a:ext cx="1663700" cy="6350"/>
                    </a:xfrm>
                    <a:prstGeom prst="rect">
                      <a:avLst/>
                    </a:prstGeom>
                    <a:noFill/>
                  </pic:spPr>
                </pic:pic>
              </a:graphicData>
            </a:graphic>
          </wp:anchor>
        </w:drawing>
      </w:r>
    </w:p>
    <w:p>
      <w:pPr>
        <w:spacing w:after="0" w:line="1292" w:lineRule="exact"/>
        <w:rPr>
          <w:sz w:val="20"/>
          <w:szCs w:val="20"/>
          <w:color w:val="auto"/>
        </w:rPr>
      </w:pPr>
    </w:p>
    <w:p>
      <w:pPr>
        <w:sectPr>
          <w:pgSz w:w="11900" w:h="16838" w:orient="portrait"/>
          <w:cols w:equalWidth="0" w:num="2">
            <w:col w:w="6040" w:space="380"/>
            <w:col w:w="4040"/>
          </w:cols>
          <w:pgMar w:left="1440" w:top="1241"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39 / 40</w:t>
      </w:r>
    </w:p>
    <w:p>
      <w:pPr>
        <w:sectPr>
          <w:pgSz w:w="11900" w:h="16838" w:orient="portrait"/>
          <w:cols w:equalWidth="0" w:num="1">
            <w:col w:w="10460"/>
          </w:cols>
          <w:pgMar w:left="1440" w:top="1241" w:right="6" w:bottom="0" w:gutter="0" w:footer="0" w:header="0"/>
          <w:type w:val="continuous"/>
        </w:sectPr>
      </w:pPr>
    </w:p>
    <w:bookmarkStart w:id="423" w:name="page424"/>
    <w:bookmarkEnd w:id="4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ectPr>
          <w:pgSz w:w="11900" w:h="16838" w:orient="portrait"/>
          <w:cols w:equalWidth="0" w:num="1">
            <w:col w:w="10000"/>
          </w:cols>
          <w:pgMar w:left="1440" w:top="1440" w:right="4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40 / 40</w:t>
      </w:r>
    </w:p>
    <w:p>
      <w:pPr>
        <w:sectPr>
          <w:pgSz w:w="11900" w:h="16838" w:orient="portrait"/>
          <w:cols w:equalWidth="0" w:num="1">
            <w:col w:w="10000"/>
          </w:cols>
          <w:pgMar w:left="1440" w:top="1440" w:right="466" w:bottom="0" w:gutter="0" w:footer="0" w:header="0"/>
          <w:type w:val="continuous"/>
        </w:sectPr>
      </w:pPr>
    </w:p>
    <w:bookmarkStart w:id="424" w:name="page425"/>
    <w:bookmarkEnd w:id="424"/>
    <w:p>
      <w:pPr>
        <w:ind w:left="1620" w:hanging="726"/>
        <w:spacing w:after="0"/>
        <w:tabs>
          <w:tab w:leader="none" w:pos="1620" w:val="left"/>
        </w:tabs>
        <w:numPr>
          <w:ilvl w:val="0"/>
          <w:numId w:val="156"/>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INVESTMENT IN CAUCHARI-OLAROZ PROJECT </w:t>
      </w:r>
      <w:r>
        <w:rPr>
          <w:rFonts w:ascii="Arial" w:cs="Arial" w:eastAsia="Arial" w:hAnsi="Arial"/>
          <w:sz w:val="20"/>
          <w:szCs w:val="20"/>
          <w:i w:val="1"/>
          <w:iCs w:val="1"/>
          <w:color w:val="153A57"/>
        </w:rPr>
        <w:t>(continued)</w:t>
      </w:r>
    </w:p>
    <w:p>
      <w:pPr>
        <w:spacing w:after="0" w:line="378" w:lineRule="exact"/>
        <w:rPr>
          <w:rFonts w:ascii="Arial" w:cs="Arial" w:eastAsia="Arial" w:hAnsi="Arial"/>
          <w:sz w:val="20"/>
          <w:szCs w:val="20"/>
          <w:b w:val="1"/>
          <w:bCs w:val="1"/>
          <w:color w:val="153A57"/>
        </w:rPr>
      </w:pPr>
    </w:p>
    <w:p>
      <w:pPr>
        <w:ind w:left="1620"/>
        <w:spacing w:after="0" w:line="307" w:lineRule="auto"/>
        <w:rPr>
          <w:rFonts w:ascii="Arial" w:cs="Arial" w:eastAsia="Arial" w:hAnsi="Arial"/>
          <w:sz w:val="20"/>
          <w:szCs w:val="20"/>
          <w:b w:val="1"/>
          <w:bCs w:val="1"/>
          <w:color w:val="153A57"/>
        </w:rPr>
      </w:pPr>
      <w:r>
        <w:rPr>
          <w:rFonts w:ascii="Arial" w:cs="Arial" w:eastAsia="Arial" w:hAnsi="Arial"/>
          <w:sz w:val="20"/>
          <w:szCs w:val="20"/>
          <w:color w:val="auto"/>
        </w:rPr>
        <w:t>The following provides a reconciliation of the summarized financial information for Minera Exar and E Capital to 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194945</wp:posOffset>
            </wp:positionV>
            <wp:extent cx="5621020" cy="2857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7">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ectPr>
          <w:pgSz w:w="11900" w:h="16838" w:orient="portrait"/>
          <w:cols w:equalWidth="0" w:num="1">
            <w:col w:w="10460"/>
          </w:cols>
          <w:pgMar w:left="1440" w:top="128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Net assets,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-164465</wp:posOffset>
            </wp:positionV>
            <wp:extent cx="3637915" cy="635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8">
                      <a:extLst>
                        <a:ext uri="{28A0092B-C50C-407E-A947-70E740481C1C}"/>
                      </a:extLst>
                    </a:blip>
                    <a:srcRect/>
                    <a:stretch>
                      <a:fillRect/>
                    </a:stretch>
                  </pic:blipFill>
                  <pic:spPr bwMode="auto">
                    <a:xfrm>
                      <a:off x="0" y="0"/>
                      <a:ext cx="3637915"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41275</wp:posOffset>
            </wp:positionV>
            <wp:extent cx="3696970" cy="635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9">
                      <a:extLst>
                        <a:ext uri="{28A0092B-C50C-407E-A947-70E740481C1C}"/>
                      </a:extLst>
                    </a:blip>
                    <a:srcRect/>
                    <a:stretch>
                      <a:fillRect/>
                    </a:stretch>
                  </pic:blipFill>
                  <pic:spPr bwMode="auto">
                    <a:xfrm>
                      <a:off x="0" y="0"/>
                      <a:ext cx="3696970" cy="6350"/>
                    </a:xfrm>
                    <a:prstGeom prst="rect">
                      <a:avLst/>
                    </a:prstGeom>
                    <a:noFill/>
                  </pic:spPr>
                </pic:pic>
              </a:graphicData>
            </a:graphic>
          </wp:anchor>
        </w:drawing>
      </w:r>
    </w:p>
    <w:p>
      <w:pPr>
        <w:spacing w:after="0" w:line="12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Company's share of net assets</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Elimination of capitalized intercompany interest</w:t>
      </w:r>
    </w:p>
    <w:p>
      <w:pPr>
        <w:spacing w:after="0" w:line="113" w:lineRule="exact"/>
        <w:rPr>
          <w:sz w:val="20"/>
          <w:szCs w:val="20"/>
          <w:color w:val="auto"/>
        </w:rPr>
      </w:pPr>
    </w:p>
    <w:p>
      <w:pPr>
        <w:ind w:left="1620" w:right="140"/>
        <w:spacing w:after="0" w:line="319" w:lineRule="auto"/>
        <w:rPr>
          <w:sz w:val="20"/>
          <w:szCs w:val="20"/>
          <w:color w:val="auto"/>
        </w:rPr>
      </w:pPr>
      <w:r>
        <w:rPr>
          <w:rFonts w:ascii="Arial" w:cs="Arial" w:eastAsia="Arial" w:hAnsi="Arial"/>
          <w:sz w:val="18"/>
          <w:szCs w:val="18"/>
          <w:color w:val="auto"/>
        </w:rPr>
        <w:t>Expenditures incurred by the Company in connection to the investee Amortization expense of intangible assets triggered upon commencement of commercial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-18415</wp:posOffset>
            </wp:positionV>
            <wp:extent cx="3696970" cy="2120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0">
                      <a:extLst>
                        <a:ext uri="{28A0092B-C50C-407E-A947-70E740481C1C}"/>
                      </a:extLst>
                    </a:blip>
                    <a:srcRect/>
                    <a:stretch>
                      <a:fillRect/>
                    </a:stretch>
                  </pic:blipFill>
                  <pic:spPr bwMode="auto">
                    <a:xfrm>
                      <a:off x="0" y="0"/>
                      <a:ext cx="3696970" cy="212090"/>
                    </a:xfrm>
                    <a:prstGeom prst="rect">
                      <a:avLst/>
                    </a:prstGeom>
                    <a:noFill/>
                  </pic:spPr>
                </pic:pic>
              </a:graphicData>
            </a:graphic>
          </wp:anchor>
        </w:drawing>
      </w:r>
    </w:p>
    <w:p>
      <w:pPr>
        <w:spacing w:after="0" w:line="3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22860</wp:posOffset>
            </wp:positionV>
            <wp:extent cx="3637915" cy="635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1">
                      <a:extLst>
                        <a:ext uri="{28A0092B-C50C-407E-A947-70E740481C1C}"/>
                      </a:extLst>
                    </a:blip>
                    <a:srcRect/>
                    <a:stretch>
                      <a:fillRect/>
                    </a:stretch>
                  </pic:blipFill>
                  <pic:spPr bwMode="auto">
                    <a:xfrm>
                      <a:off x="0" y="0"/>
                      <a:ext cx="3637915"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22860</wp:posOffset>
            </wp:positionV>
            <wp:extent cx="3637915" cy="635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2">
                      <a:extLst>
                        <a:ext uri="{28A0092B-C50C-407E-A947-70E740481C1C}"/>
                      </a:extLst>
                    </a:blip>
                    <a:srcRect/>
                    <a:stretch>
                      <a:fillRect/>
                    </a:stretch>
                  </pic:blipFill>
                  <pic:spPr bwMode="auto">
                    <a:xfrm>
                      <a:off x="0" y="0"/>
                      <a:ext cx="363791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b w:val="1"/>
          <w:bCs w:val="1"/>
          <w:color w:val="auto"/>
        </w:rPr>
        <w:t>Minera Exar</w:t>
      </w:r>
      <w:r>
        <w:rPr>
          <w:sz w:val="20"/>
          <w:szCs w:val="20"/>
          <w:color w:val="auto"/>
        </w:rPr>
        <w:tab/>
      </w:r>
      <w:r>
        <w:rPr>
          <w:rFonts w:ascii="Arial" w:cs="Arial" w:eastAsia="Arial" w:hAnsi="Arial"/>
          <w:sz w:val="16"/>
          <w:szCs w:val="16"/>
          <w:b w:val="1"/>
          <w:bCs w:val="1"/>
          <w:color w:val="auto"/>
        </w:rPr>
        <w:t>Exar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22860</wp:posOffset>
            </wp:positionV>
            <wp:extent cx="1982470" cy="635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3">
                      <a:extLst>
                        <a:ext uri="{28A0092B-C50C-407E-A947-70E740481C1C}"/>
                      </a:extLst>
                    </a:blip>
                    <a:srcRect/>
                    <a:stretch>
                      <a:fillRect/>
                    </a:stretch>
                  </pic:blipFill>
                  <pic:spPr bwMode="auto">
                    <a:xfrm>
                      <a:off x="0" y="0"/>
                      <a:ext cx="1982470" cy="6350"/>
                    </a:xfrm>
                    <a:prstGeom prst="rect">
                      <a:avLst/>
                    </a:prstGeom>
                    <a:noFill/>
                  </pic:spPr>
                </pic:pic>
              </a:graphicData>
            </a:graphic>
          </wp:anchor>
        </w:drawing>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22860</wp:posOffset>
            </wp:positionV>
            <wp:extent cx="1982470" cy="2120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4">
                      <a:extLst>
                        <a:ext uri="{28A0092B-C50C-407E-A947-70E740481C1C}"/>
                      </a:extLst>
                    </a:blip>
                    <a:srcRect/>
                    <a:stretch>
                      <a:fillRect/>
                    </a:stretch>
                  </pic:blipFill>
                  <pic:spPr bwMode="auto">
                    <a:xfrm>
                      <a:off x="0" y="0"/>
                      <a:ext cx="1982470" cy="212090"/>
                    </a:xfrm>
                    <a:prstGeom prst="rect">
                      <a:avLst/>
                    </a:prstGeom>
                    <a:noFill/>
                  </pic:spPr>
                </pic:pic>
              </a:graphicData>
            </a:graphic>
          </wp:anchor>
        </w:drawing>
        <w:drawing>
          <wp:anchor simplePos="0" relativeHeight="251657728" behindDoc="1" locked="0" layoutInCell="0" allowOverlap="1">
            <wp:simplePos x="0" y="0"/>
            <wp:positionH relativeFrom="column">
              <wp:posOffset>-365760</wp:posOffset>
            </wp:positionH>
            <wp:positionV relativeFrom="paragraph">
              <wp:posOffset>22860</wp:posOffset>
            </wp:positionV>
            <wp:extent cx="1982470" cy="2120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5">
                      <a:extLst>
                        <a:ext uri="{28A0092B-C50C-407E-A947-70E740481C1C}"/>
                      </a:extLst>
                    </a:blip>
                    <a:srcRect/>
                    <a:stretch>
                      <a:fillRect/>
                    </a:stretch>
                  </pic:blipFill>
                  <pic:spPr bwMode="auto">
                    <a:xfrm>
                      <a:off x="0" y="0"/>
                      <a:ext cx="1982470" cy="212090"/>
                    </a:xfrm>
                    <a:prstGeom prst="rect">
                      <a:avLst/>
                    </a:prstGeom>
                    <a:noFill/>
                  </pic:spPr>
                </pic:pic>
              </a:graphicData>
            </a:graphic>
          </wp:anchor>
        </w:drawing>
      </w:r>
    </w:p>
    <w:p>
      <w:pPr>
        <w:spacing w:after="0" w:line="89" w:lineRule="exact"/>
        <w:rPr>
          <w:sz w:val="20"/>
          <w:szCs w:val="20"/>
          <w:color w:val="auto"/>
        </w:rPr>
      </w:pPr>
    </w:p>
    <w:p>
      <w:pPr>
        <w:jc w:val="both"/>
        <w:ind w:left="380"/>
        <w:spacing w:after="0"/>
        <w:tabs>
          <w:tab w:leader="none" w:pos="2280" w:val="left"/>
        </w:tabs>
        <w:rPr>
          <w:sz w:val="20"/>
          <w:szCs w:val="20"/>
          <w:color w:val="auto"/>
        </w:rPr>
      </w:pPr>
      <w:r>
        <w:rPr>
          <w:rFonts w:ascii="Arial" w:cs="Arial" w:eastAsia="Arial" w:hAnsi="Arial"/>
          <w:sz w:val="18"/>
          <w:szCs w:val="18"/>
          <w:color w:val="auto"/>
        </w:rPr>
        <w:t>402,310</w:t>
      </w:r>
      <w:r>
        <w:rPr>
          <w:sz w:val="20"/>
          <w:szCs w:val="20"/>
          <w:color w:val="auto"/>
        </w:rPr>
        <w:tab/>
      </w: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28575</wp:posOffset>
            </wp:positionV>
            <wp:extent cx="1146810" cy="20574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6">
                      <a:extLst>
                        <a:ext uri="{28A0092B-C50C-407E-A947-70E740481C1C}"/>
                      </a:extLst>
                    </a:blip>
                    <a:srcRect/>
                    <a:stretch>
                      <a:fillRect/>
                    </a:stretch>
                  </pic:blipFill>
                  <pic:spPr bwMode="auto">
                    <a:xfrm>
                      <a:off x="0" y="0"/>
                      <a:ext cx="1146810" cy="205740"/>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28575</wp:posOffset>
            </wp:positionV>
            <wp:extent cx="1146810" cy="20574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7">
                      <a:extLst>
                        <a:ext uri="{28A0092B-C50C-407E-A947-70E740481C1C}"/>
                      </a:extLst>
                    </a:blip>
                    <a:srcRect/>
                    <a:stretch>
                      <a:fillRect/>
                    </a:stretch>
                  </pic:blipFill>
                  <pic:spPr bwMode="auto">
                    <a:xfrm>
                      <a:off x="0" y="0"/>
                      <a:ext cx="1146810" cy="205740"/>
                    </a:xfrm>
                    <a:prstGeom prst="rect">
                      <a:avLst/>
                    </a:prstGeom>
                    <a:noFill/>
                  </pic:spPr>
                </pic:pic>
              </a:graphicData>
            </a:graphic>
          </wp:anchor>
        </w:drawing>
      </w:r>
    </w:p>
    <w:p>
      <w:pPr>
        <w:spacing w:after="0" w:line="97" w:lineRule="exact"/>
        <w:rPr>
          <w:sz w:val="20"/>
          <w:szCs w:val="20"/>
          <w:color w:val="auto"/>
        </w:rPr>
      </w:pPr>
    </w:p>
    <w:p>
      <w:pPr>
        <w:jc w:val="both"/>
        <w:ind w:left="380"/>
        <w:spacing w:after="0"/>
        <w:tabs>
          <w:tab w:leader="none" w:pos="2280" w:val="left"/>
        </w:tabs>
        <w:rPr>
          <w:sz w:val="20"/>
          <w:szCs w:val="20"/>
          <w:color w:val="auto"/>
        </w:rPr>
      </w:pPr>
      <w:r>
        <w:rPr>
          <w:rFonts w:ascii="Arial" w:cs="Arial" w:eastAsia="Arial" w:hAnsi="Arial"/>
          <w:sz w:val="18"/>
          <w:szCs w:val="18"/>
          <w:color w:val="auto"/>
        </w:rPr>
        <w:t>180,235</w:t>
      </w:r>
      <w:r>
        <w:rPr>
          <w:sz w:val="20"/>
          <w:szCs w:val="20"/>
          <w:color w:val="auto"/>
        </w:rPr>
        <w:tab/>
      </w: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28575</wp:posOffset>
            </wp:positionV>
            <wp:extent cx="59055" cy="1993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8">
                      <a:extLst>
                        <a:ext uri="{28A0092B-C50C-407E-A947-70E740481C1C}"/>
                      </a:extLst>
                    </a:blip>
                    <a:srcRect/>
                    <a:stretch>
                      <a:fillRect/>
                    </a:stretch>
                  </pic:blipFill>
                  <pic:spPr bwMode="auto">
                    <a:xfrm>
                      <a:off x="0" y="0"/>
                      <a:ext cx="59055" cy="199390"/>
                    </a:xfrm>
                    <a:prstGeom prst="rect">
                      <a:avLst/>
                    </a:prstGeom>
                    <a:noFill/>
                  </pic:spPr>
                </pic:pic>
              </a:graphicData>
            </a:graphic>
          </wp:anchor>
        </w:drawing>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(133,512)</w:t>
      </w:r>
    </w:p>
    <w:p>
      <w:pPr>
        <w:spacing w:after="0" w:line="10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12,605</w:t>
      </w:r>
    </w:p>
    <w:p>
      <w:pPr>
        <w:spacing w:after="0" w:line="351"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1,555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28575</wp:posOffset>
            </wp:positionV>
            <wp:extent cx="1924050" cy="2120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9">
                      <a:extLst>
                        <a:ext uri="{28A0092B-C50C-407E-A947-70E740481C1C}"/>
                      </a:extLst>
                    </a:blip>
                    <a:srcRect/>
                    <a:stretch>
                      <a:fillRect/>
                    </a:stretch>
                  </pic:blipFill>
                  <pic:spPr bwMode="auto">
                    <a:xfrm>
                      <a:off x="0" y="0"/>
                      <a:ext cx="1924050" cy="212090"/>
                    </a:xfrm>
                    <a:prstGeom prst="rect">
                      <a:avLst/>
                    </a:prstGeom>
                    <a:noFill/>
                  </pic:spPr>
                </pic:pic>
              </a:graphicData>
            </a:graphic>
          </wp:anchor>
        </w:drawing>
      </w:r>
    </w:p>
    <w:p>
      <w:pPr>
        <w:spacing w:after="0" w:line="97" w:lineRule="exact"/>
        <w:rPr>
          <w:sz w:val="20"/>
          <w:szCs w:val="20"/>
          <w:color w:val="auto"/>
        </w:rPr>
      </w:pPr>
    </w:p>
    <w:p>
      <w:pPr>
        <w:jc w:val="both"/>
        <w:ind w:left="480"/>
        <w:spacing w:after="0"/>
        <w:tabs>
          <w:tab w:leader="none" w:pos="2280" w:val="left"/>
        </w:tabs>
        <w:rPr>
          <w:sz w:val="20"/>
          <w:szCs w:val="20"/>
          <w:color w:val="auto"/>
        </w:rPr>
      </w:pPr>
      <w:r>
        <w:rPr>
          <w:rFonts w:ascii="Arial" w:cs="Arial" w:eastAsia="Arial" w:hAnsi="Arial"/>
          <w:sz w:val="18"/>
          <w:szCs w:val="18"/>
          <w:color w:val="auto"/>
        </w:rPr>
        <w:t>60,883</w:t>
      </w:r>
      <w:r>
        <w:rPr>
          <w:sz w:val="20"/>
          <w:szCs w:val="20"/>
          <w:color w:val="auto"/>
        </w:rPr>
        <w:tab/>
      </w:r>
      <w:r>
        <w:rPr>
          <w:rFonts w:ascii="Arial" w:cs="Arial" w:eastAsia="Arial" w:hAnsi="Arial"/>
          <w:sz w:val="18"/>
          <w:szCs w:val="18"/>
          <w:color w:val="auto"/>
        </w:rPr>
        <w:t>32,</w:t>
      </w:r>
    </w:p>
    <w:p>
      <w:pPr>
        <w:spacing w:after="0" w:line="208" w:lineRule="exact"/>
        <w:rPr>
          <w:sz w:val="20"/>
          <w:szCs w:val="20"/>
          <w:color w:val="auto"/>
        </w:rPr>
      </w:pPr>
    </w:p>
    <w:p>
      <w:pPr>
        <w:sectPr>
          <w:pgSz w:w="11900" w:h="16838" w:orient="portrait"/>
          <w:cols w:equalWidth="0" w:num="2">
            <w:col w:w="7200" w:space="720"/>
            <w:col w:w="2540"/>
          </w:cols>
          <w:pgMar w:left="1440" w:top="1285" w:right="6" w:bottom="0" w:gutter="0" w:footer="0" w:header="0"/>
          <w:type w:val="continuous"/>
        </w:sectPr>
      </w:pPr>
    </w:p>
    <w:p>
      <w:pPr>
        <w:spacing w:after="0" w:line="185" w:lineRule="exact"/>
        <w:rPr>
          <w:sz w:val="20"/>
          <w:szCs w:val="20"/>
          <w:color w:val="auto"/>
        </w:rPr>
      </w:pPr>
    </w:p>
    <w:p>
      <w:pPr>
        <w:ind w:left="1620"/>
        <w:spacing w:after="0" w:line="307" w:lineRule="auto"/>
        <w:rPr>
          <w:sz w:val="20"/>
          <w:szCs w:val="20"/>
          <w:color w:val="auto"/>
        </w:rPr>
      </w:pPr>
      <w:r>
        <w:rPr>
          <w:rFonts w:ascii="Arial" w:cs="Arial" w:eastAsia="Arial" w:hAnsi="Arial"/>
          <w:sz w:val="20"/>
          <w:szCs w:val="20"/>
          <w:color w:val="auto"/>
        </w:rPr>
        <w:t>As at December 31, 2025, the carrying value of the Company’s investment in Minera Exar was $60,8 and its investment in Exar Capital was $32,470.</w:t>
      </w:r>
    </w:p>
    <w:p>
      <w:pPr>
        <w:spacing w:after="0" w:line="252" w:lineRule="exact"/>
        <w:rPr>
          <w:sz w:val="20"/>
          <w:szCs w:val="20"/>
          <w:color w:val="auto"/>
        </w:rPr>
      </w:pPr>
    </w:p>
    <w:p>
      <w:pPr>
        <w:ind w:left="1620" w:hanging="726"/>
        <w:spacing w:after="0"/>
        <w:tabs>
          <w:tab w:leader="none" w:pos="1620" w:val="left"/>
        </w:tabs>
        <w:numPr>
          <w:ilvl w:val="0"/>
          <w:numId w:val="157"/>
        </w:numPr>
        <w:rPr>
          <w:rFonts w:ascii="Arial" w:cs="Arial" w:eastAsia="Arial" w:hAnsi="Arial"/>
          <w:sz w:val="20"/>
          <w:szCs w:val="20"/>
          <w:b w:val="1"/>
          <w:bCs w:val="1"/>
          <w:color w:val="153A57"/>
        </w:rPr>
      </w:pPr>
      <w:r>
        <w:rPr>
          <w:rFonts w:ascii="Arial" w:cs="Arial" w:eastAsia="Arial" w:hAnsi="Arial"/>
          <w:sz w:val="20"/>
          <w:szCs w:val="20"/>
          <w:b w:val="1"/>
          <w:bCs w:val="1"/>
          <w:color w:val="153A57"/>
        </w:rPr>
        <w:t>LOANS TO EXAR CAPITAL</w:t>
      </w:r>
    </w:p>
    <w:p>
      <w:pPr>
        <w:spacing w:after="0" w:line="293" w:lineRule="exact"/>
        <w:rPr>
          <w:rFonts w:ascii="Arial" w:cs="Arial" w:eastAsia="Arial" w:hAnsi="Arial"/>
          <w:sz w:val="20"/>
          <w:szCs w:val="20"/>
          <w:b w:val="1"/>
          <w:bCs w:val="1"/>
          <w:color w:val="153A57"/>
        </w:rPr>
      </w:pPr>
    </w:p>
    <w:p>
      <w:pPr>
        <w:ind w:left="1620" w:right="34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The Company has entered into loan agreements with Exar Capital to provide financing for the construction, working capital, and other funding requirements of Minera Exar, the operator of the Cauchari-Olaroz project.</w:t>
      </w:r>
    </w:p>
    <w:p>
      <w:pPr>
        <w:spacing w:after="0" w:line="204"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color w:val="auto"/>
        </w:rPr>
        <w:t>Changes in the balances of loans to Exar Capital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236220</wp:posOffset>
            </wp:positionV>
            <wp:extent cx="5621020" cy="2165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0">
                      <a:extLst>
                        <a:ext uri="{28A0092B-C50C-407E-A947-70E740481C1C}"/>
                      </a:extLst>
                    </a:blip>
                    <a:srcRect/>
                    <a:stretch>
                      <a:fillRect/>
                    </a:stretch>
                  </pic:blipFill>
                  <pic:spPr bwMode="auto">
                    <a:xfrm>
                      <a:off x="0" y="0"/>
                      <a:ext cx="5621020" cy="216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6740" w:type="dxa"/>
            <w:vAlign w:val="bottom"/>
          </w:tcPr>
          <w:p>
            <w:pPr>
              <w:spacing w:after="0"/>
              <w:rPr>
                <w:sz w:val="20"/>
                <w:szCs w:val="20"/>
                <w:color w:val="auto"/>
              </w:rPr>
            </w:pPr>
            <w:r>
              <w:rPr>
                <w:rFonts w:ascii="Arial" w:cs="Arial" w:eastAsia="Arial" w:hAnsi="Arial"/>
                <w:sz w:val="18"/>
                <w:szCs w:val="18"/>
                <w:color w:val="auto"/>
              </w:rPr>
              <w:t>Loans to Exar Capital, as at December 31, 2023</w:t>
            </w:r>
          </w:p>
        </w:tc>
        <w:tc>
          <w:tcPr>
            <w:tcW w:w="210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324"/>
        </w:trPr>
        <w:tc>
          <w:tcPr>
            <w:tcW w:w="6740" w:type="dxa"/>
            <w:vAlign w:val="bottom"/>
          </w:tcPr>
          <w:p>
            <w:pPr>
              <w:spacing w:after="0"/>
              <w:rPr>
                <w:sz w:val="20"/>
                <w:szCs w:val="20"/>
                <w:color w:val="auto"/>
              </w:rPr>
            </w:pPr>
            <w:r>
              <w:rPr>
                <w:rFonts w:ascii="Arial" w:cs="Arial" w:eastAsia="Arial" w:hAnsi="Arial"/>
                <w:sz w:val="18"/>
                <w:szCs w:val="18"/>
                <w:color w:val="auto"/>
              </w:rPr>
              <w:t>Loans to Exar Capital</w:t>
            </w:r>
          </w:p>
        </w:tc>
        <w:tc>
          <w:tcPr>
            <w:tcW w:w="2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4"/>
        </w:trPr>
        <w:tc>
          <w:tcPr>
            <w:tcW w:w="6740" w:type="dxa"/>
            <w:vAlign w:val="bottom"/>
          </w:tcPr>
          <w:p>
            <w:pPr>
              <w:spacing w:after="0"/>
              <w:rPr>
                <w:sz w:val="20"/>
                <w:szCs w:val="20"/>
                <w:color w:val="auto"/>
              </w:rPr>
            </w:pPr>
            <w:r>
              <w:rPr>
                <w:rFonts w:ascii="Arial" w:cs="Arial" w:eastAsia="Arial" w:hAnsi="Arial"/>
                <w:sz w:val="18"/>
                <w:szCs w:val="18"/>
                <w:color w:val="auto"/>
              </w:rPr>
              <w:t>Repayment of loans and interest by Exar Capital</w:t>
            </w:r>
          </w:p>
        </w:tc>
        <w:tc>
          <w:tcPr>
            <w:tcW w:w="2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4"/>
        </w:trPr>
        <w:tc>
          <w:tcPr>
            <w:tcW w:w="6740" w:type="dxa"/>
            <w:vAlign w:val="bottom"/>
          </w:tcPr>
          <w:p>
            <w:pPr>
              <w:spacing w:after="0"/>
              <w:rPr>
                <w:sz w:val="20"/>
                <w:szCs w:val="20"/>
                <w:color w:val="auto"/>
              </w:rPr>
            </w:pPr>
            <w:r>
              <w:rPr>
                <w:rFonts w:ascii="Arial" w:cs="Arial" w:eastAsia="Arial" w:hAnsi="Arial"/>
                <w:sz w:val="18"/>
                <w:szCs w:val="18"/>
                <w:color w:val="auto"/>
              </w:rPr>
              <w:t>Accrued interest</w:t>
            </w:r>
          </w:p>
        </w:tc>
        <w:tc>
          <w:tcPr>
            <w:tcW w:w="21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6740" w:type="dxa"/>
            <w:vAlign w:val="bottom"/>
          </w:tcPr>
          <w:p>
            <w:pPr>
              <w:spacing w:after="0"/>
              <w:rPr>
                <w:sz w:val="20"/>
                <w:szCs w:val="20"/>
                <w:color w:val="auto"/>
              </w:rPr>
            </w:pPr>
            <w:r>
              <w:rPr>
                <w:rFonts w:ascii="Arial" w:cs="Arial" w:eastAsia="Arial" w:hAnsi="Arial"/>
                <w:sz w:val="18"/>
                <w:szCs w:val="18"/>
                <w:color w:val="auto"/>
              </w:rPr>
              <w:t>Loans to Exar Capital, as at December 31, 2024</w:t>
            </w:r>
          </w:p>
        </w:tc>
        <w:tc>
          <w:tcPr>
            <w:tcW w:w="210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55"/>
        </w:trPr>
        <w:tc>
          <w:tcPr>
            <w:tcW w:w="6740" w:type="dxa"/>
            <w:vAlign w:val="bottom"/>
          </w:tcPr>
          <w:p>
            <w:pPr>
              <w:spacing w:after="0"/>
              <w:rPr>
                <w:sz w:val="4"/>
                <w:szCs w:val="4"/>
                <w:color w:val="auto"/>
              </w:rPr>
            </w:pPr>
          </w:p>
        </w:tc>
        <w:tc>
          <w:tcPr>
            <w:tcW w:w="2100" w:type="dxa"/>
            <w:vAlign w:val="bottom"/>
          </w:tcPr>
          <w:p>
            <w:pPr>
              <w:spacing w:after="0"/>
              <w:rPr>
                <w:sz w:val="4"/>
                <w:szCs w:val="4"/>
                <w:color w:val="auto"/>
              </w:rPr>
            </w:pPr>
          </w:p>
        </w:tc>
      </w:tr>
      <w:tr>
        <w:trPr>
          <w:trHeight w:val="270"/>
        </w:trPr>
        <w:tc>
          <w:tcPr>
            <w:tcW w:w="6740" w:type="dxa"/>
            <w:vAlign w:val="bottom"/>
            <w:shd w:val="clear" w:color="auto" w:fill="D9D9D9"/>
          </w:tcPr>
          <w:p>
            <w:pPr>
              <w:spacing w:after="0"/>
              <w:rPr>
                <w:sz w:val="20"/>
                <w:szCs w:val="20"/>
                <w:color w:val="auto"/>
              </w:rPr>
            </w:pPr>
            <w:r>
              <w:rPr>
                <w:rFonts w:ascii="Arial" w:cs="Arial" w:eastAsia="Arial" w:hAnsi="Arial"/>
                <w:sz w:val="18"/>
                <w:szCs w:val="18"/>
                <w:color w:val="auto"/>
              </w:rPr>
              <w:t>Repayment of loans and interest by Exar Capital</w:t>
            </w:r>
          </w:p>
        </w:tc>
        <w:tc>
          <w:tcPr>
            <w:tcW w:w="2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w:t>
            </w:r>
          </w:p>
        </w:tc>
      </w:tr>
      <w:tr>
        <w:trPr>
          <w:trHeight w:val="323"/>
        </w:trPr>
        <w:tc>
          <w:tcPr>
            <w:tcW w:w="6740" w:type="dxa"/>
            <w:vAlign w:val="bottom"/>
            <w:shd w:val="clear" w:color="auto" w:fill="D9D9D9"/>
          </w:tcPr>
          <w:p>
            <w:pPr>
              <w:spacing w:after="0"/>
              <w:rPr>
                <w:sz w:val="20"/>
                <w:szCs w:val="20"/>
                <w:color w:val="auto"/>
              </w:rPr>
            </w:pPr>
            <w:r>
              <w:rPr>
                <w:rFonts w:ascii="Arial" w:cs="Arial" w:eastAsia="Arial" w:hAnsi="Arial"/>
                <w:sz w:val="18"/>
                <w:szCs w:val="18"/>
                <w:color w:val="auto"/>
              </w:rPr>
              <w:t>Accrued interest</w:t>
            </w:r>
          </w:p>
        </w:tc>
        <w:tc>
          <w:tcPr>
            <w:tcW w:w="2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39,</w:t>
            </w:r>
          </w:p>
        </w:tc>
      </w:tr>
      <w:tr>
        <w:trPr>
          <w:trHeight w:val="314"/>
        </w:trPr>
        <w:tc>
          <w:tcPr>
            <w:tcW w:w="6740" w:type="dxa"/>
            <w:vAlign w:val="bottom"/>
            <w:shd w:val="clear" w:color="auto" w:fill="D9D9D9"/>
          </w:tcPr>
          <w:p>
            <w:pPr>
              <w:spacing w:after="0"/>
              <w:rPr>
                <w:sz w:val="20"/>
                <w:szCs w:val="20"/>
                <w:color w:val="auto"/>
              </w:rPr>
            </w:pPr>
            <w:r>
              <w:rPr>
                <w:rFonts w:ascii="Arial" w:cs="Arial" w:eastAsia="Arial" w:hAnsi="Arial"/>
                <w:sz w:val="18"/>
                <w:szCs w:val="18"/>
                <w:color w:val="auto"/>
              </w:rPr>
              <w:t>Capitalization of loans to investment in Cauchari-Olaroz Project</w:t>
            </w:r>
          </w:p>
        </w:tc>
        <w:tc>
          <w:tcPr>
            <w:tcW w:w="2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(99,</w:t>
            </w:r>
          </w:p>
        </w:tc>
      </w:tr>
      <w:tr>
        <w:trPr>
          <w:trHeight w:val="36"/>
        </w:trPr>
        <w:tc>
          <w:tcPr>
            <w:tcW w:w="6740" w:type="dxa"/>
            <w:vAlign w:val="bottom"/>
            <w:shd w:val="clear" w:color="auto" w:fill="D9D9D9"/>
          </w:tcPr>
          <w:p>
            <w:pPr>
              <w:spacing w:after="0"/>
              <w:rPr>
                <w:sz w:val="3"/>
                <w:szCs w:val="3"/>
                <w:color w:val="auto"/>
              </w:rPr>
            </w:pPr>
          </w:p>
        </w:tc>
        <w:tc>
          <w:tcPr>
            <w:tcW w:w="2100" w:type="dxa"/>
            <w:vAlign w:val="bottom"/>
            <w:shd w:val="clear" w:color="auto" w:fill="D9D9D9"/>
          </w:tcPr>
          <w:p>
            <w:pPr>
              <w:spacing w:after="0"/>
              <w:rPr>
                <w:sz w:val="3"/>
                <w:szCs w:val="3"/>
                <w:color w:val="auto"/>
              </w:rPr>
            </w:pPr>
          </w:p>
        </w:tc>
      </w:tr>
      <w:tr>
        <w:trPr>
          <w:trHeight w:val="278"/>
        </w:trPr>
        <w:tc>
          <w:tcPr>
            <w:tcW w:w="6740" w:type="dxa"/>
            <w:vAlign w:val="bottom"/>
            <w:shd w:val="clear" w:color="auto" w:fill="D9D9D9"/>
          </w:tcPr>
          <w:p>
            <w:pPr>
              <w:spacing w:after="0"/>
              <w:rPr>
                <w:sz w:val="20"/>
                <w:szCs w:val="20"/>
                <w:color w:val="auto"/>
              </w:rPr>
            </w:pPr>
            <w:r>
              <w:rPr>
                <w:rFonts w:ascii="Arial" w:cs="Arial" w:eastAsia="Arial" w:hAnsi="Arial"/>
                <w:sz w:val="18"/>
                <w:szCs w:val="18"/>
                <w:color w:val="auto"/>
              </w:rPr>
              <w:t>Derecognition of existing loans upon extinguishment</w:t>
            </w:r>
          </w:p>
        </w:tc>
        <w:tc>
          <w:tcPr>
            <w:tcW w:w="2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(308,</w:t>
            </w:r>
          </w:p>
        </w:tc>
      </w:tr>
      <w:tr>
        <w:trPr>
          <w:trHeight w:val="36"/>
        </w:trPr>
        <w:tc>
          <w:tcPr>
            <w:tcW w:w="6740" w:type="dxa"/>
            <w:vAlign w:val="bottom"/>
            <w:shd w:val="clear" w:color="auto" w:fill="D9D9D9"/>
          </w:tcPr>
          <w:p>
            <w:pPr>
              <w:spacing w:after="0"/>
              <w:rPr>
                <w:sz w:val="3"/>
                <w:szCs w:val="3"/>
                <w:color w:val="auto"/>
              </w:rPr>
            </w:pPr>
          </w:p>
        </w:tc>
        <w:tc>
          <w:tcPr>
            <w:tcW w:w="2100" w:type="dxa"/>
            <w:vAlign w:val="bottom"/>
            <w:shd w:val="clear" w:color="auto" w:fill="D9D9D9"/>
          </w:tcPr>
          <w:p>
            <w:pPr>
              <w:spacing w:after="0"/>
              <w:rPr>
                <w:sz w:val="3"/>
                <w:szCs w:val="3"/>
                <w:color w:val="auto"/>
              </w:rPr>
            </w:pPr>
          </w:p>
        </w:tc>
      </w:tr>
      <w:tr>
        <w:trPr>
          <w:trHeight w:val="278"/>
        </w:trPr>
        <w:tc>
          <w:tcPr>
            <w:tcW w:w="6740" w:type="dxa"/>
            <w:vAlign w:val="bottom"/>
            <w:shd w:val="clear" w:color="auto" w:fill="D9D9D9"/>
          </w:tcPr>
          <w:p>
            <w:pPr>
              <w:spacing w:after="0"/>
              <w:rPr>
                <w:sz w:val="20"/>
                <w:szCs w:val="20"/>
                <w:color w:val="auto"/>
              </w:rPr>
            </w:pPr>
            <w:r>
              <w:rPr>
                <w:rFonts w:ascii="Arial" w:cs="Arial" w:eastAsia="Arial" w:hAnsi="Arial"/>
                <w:sz w:val="18"/>
                <w:szCs w:val="18"/>
                <w:color w:val="auto"/>
              </w:rPr>
              <w:t>Recognition of new loans at fair value upon restructuring</w:t>
            </w:r>
          </w:p>
        </w:tc>
        <w:tc>
          <w:tcPr>
            <w:tcW w:w="2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299,</w:t>
            </w:r>
          </w:p>
        </w:tc>
      </w:tr>
      <w:tr>
        <w:trPr>
          <w:trHeight w:val="46"/>
        </w:trPr>
        <w:tc>
          <w:tcPr>
            <w:tcW w:w="6740" w:type="dxa"/>
            <w:vAlign w:val="bottom"/>
            <w:shd w:val="clear" w:color="auto" w:fill="D9D9D9"/>
          </w:tcPr>
          <w:p>
            <w:pPr>
              <w:spacing w:after="0"/>
              <w:rPr>
                <w:sz w:val="4"/>
                <w:szCs w:val="4"/>
                <w:color w:val="auto"/>
              </w:rPr>
            </w:pPr>
          </w:p>
        </w:tc>
        <w:tc>
          <w:tcPr>
            <w:tcW w:w="2100" w:type="dxa"/>
            <w:vAlign w:val="bottom"/>
            <w:shd w:val="clear" w:color="auto" w:fill="D9D9D9"/>
          </w:tcPr>
          <w:p>
            <w:pPr>
              <w:spacing w:after="0"/>
              <w:rPr>
                <w:sz w:val="4"/>
                <w:szCs w:val="4"/>
                <w:color w:val="auto"/>
              </w:rPr>
            </w:pPr>
          </w:p>
        </w:tc>
      </w:tr>
      <w:tr>
        <w:trPr>
          <w:trHeight w:val="278"/>
        </w:trPr>
        <w:tc>
          <w:tcPr>
            <w:tcW w:w="6740" w:type="dxa"/>
            <w:vAlign w:val="bottom"/>
            <w:shd w:val="clear" w:color="auto" w:fill="D9D9D9"/>
          </w:tcPr>
          <w:p>
            <w:pPr>
              <w:spacing w:after="0"/>
              <w:rPr>
                <w:sz w:val="20"/>
                <w:szCs w:val="20"/>
                <w:color w:val="auto"/>
              </w:rPr>
            </w:pPr>
            <w:r>
              <w:rPr>
                <w:rFonts w:ascii="Arial" w:cs="Arial" w:eastAsia="Arial" w:hAnsi="Arial"/>
                <w:sz w:val="18"/>
                <w:szCs w:val="18"/>
                <w:color w:val="auto"/>
              </w:rPr>
              <w:t>Loans to Exar Capital, as at December 31, 2025</w:t>
            </w:r>
          </w:p>
        </w:tc>
        <w:tc>
          <w:tcPr>
            <w:tcW w:w="2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308,</w:t>
            </w:r>
          </w:p>
        </w:tc>
      </w:tr>
      <w:tr>
        <w:trPr>
          <w:trHeight w:val="46"/>
        </w:trPr>
        <w:tc>
          <w:tcPr>
            <w:tcW w:w="6740" w:type="dxa"/>
            <w:vAlign w:val="bottom"/>
            <w:shd w:val="clear" w:color="auto" w:fill="D9D9D9"/>
          </w:tcPr>
          <w:p>
            <w:pPr>
              <w:spacing w:after="0"/>
              <w:rPr>
                <w:sz w:val="4"/>
                <w:szCs w:val="4"/>
                <w:color w:val="auto"/>
              </w:rPr>
            </w:pPr>
          </w:p>
        </w:tc>
        <w:tc>
          <w:tcPr>
            <w:tcW w:w="2100" w:type="dxa"/>
            <w:vAlign w:val="bottom"/>
            <w:shd w:val="clear" w:color="auto" w:fill="D9D9D9"/>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-2027555</wp:posOffset>
            </wp:positionV>
            <wp:extent cx="5621020" cy="635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1">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-1422400</wp:posOffset>
            </wp:positionV>
            <wp:extent cx="5621020" cy="635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2">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-1216025</wp:posOffset>
            </wp:positionV>
            <wp:extent cx="5621020" cy="635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3">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-211455</wp:posOffset>
            </wp:positionV>
            <wp:extent cx="5621020" cy="635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4">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-5715</wp:posOffset>
            </wp:positionV>
            <wp:extent cx="5621020" cy="635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5">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320" w:lineRule="exact"/>
        <w:rPr>
          <w:sz w:val="20"/>
          <w:szCs w:val="20"/>
          <w:color w:val="auto"/>
        </w:rPr>
      </w:pPr>
    </w:p>
    <w:p>
      <w:pPr>
        <w:jc w:val="both"/>
        <w:ind w:left="1620"/>
        <w:spacing w:after="0" w:line="307" w:lineRule="auto"/>
        <w:rPr>
          <w:sz w:val="20"/>
          <w:szCs w:val="20"/>
          <w:color w:val="auto"/>
        </w:rPr>
      </w:pPr>
      <w:r>
        <w:rPr>
          <w:rFonts w:ascii="Arial" w:cs="Arial" w:eastAsia="Arial" w:hAnsi="Arial"/>
          <w:sz w:val="20"/>
          <w:szCs w:val="20"/>
          <w:color w:val="auto"/>
        </w:rPr>
        <w:t>During the year ended December 31, 2025, Exar Capital utilized its existing cash balance to rep portion of its outstanding loan, amounting to $3,920 (Note 26).</w:t>
      </w:r>
    </w:p>
    <w:p>
      <w:pPr>
        <w:spacing w:after="0" w:line="317" w:lineRule="exact"/>
        <w:rPr>
          <w:sz w:val="20"/>
          <w:szCs w:val="20"/>
          <w:color w:val="auto"/>
        </w:rPr>
      </w:pPr>
    </w:p>
    <w:p>
      <w:pPr>
        <w:jc w:val="both"/>
        <w:ind w:left="1620" w:right="20"/>
        <w:spacing w:after="0" w:line="311" w:lineRule="auto"/>
        <w:rPr>
          <w:sz w:val="20"/>
          <w:szCs w:val="20"/>
          <w:color w:val="auto"/>
        </w:rPr>
      </w:pPr>
      <w:r>
        <w:rPr>
          <w:rFonts w:ascii="Arial" w:cs="Arial" w:eastAsia="Arial" w:hAnsi="Arial"/>
          <w:sz w:val="20"/>
          <w:szCs w:val="20"/>
          <w:color w:val="auto"/>
        </w:rPr>
        <w:t>Under the amended and restated loan agreements, the loans advanced by the Company to Exar C bear interest rates ranging from 8.12% to 8.95% per annum, with revised maturity dates ranging 2028 to 2035.</w:t>
      </w:r>
    </w:p>
    <w:p>
      <w:pPr>
        <w:sectPr>
          <w:pgSz w:w="11900" w:h="16838" w:orient="portrait"/>
          <w:cols w:equalWidth="0" w:num="1">
            <w:col w:w="10460"/>
          </w:cols>
          <w:pgMar w:left="1440" w:top="1285"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 / 27</w:t>
      </w:r>
    </w:p>
    <w:p>
      <w:pPr>
        <w:sectPr>
          <w:pgSz w:w="11900" w:h="16838" w:orient="portrait"/>
          <w:cols w:equalWidth="0" w:num="1">
            <w:col w:w="10460"/>
          </w:cols>
          <w:pgMar w:left="1440" w:top="1285" w:right="6" w:bottom="0" w:gutter="0" w:footer="0" w:header="0"/>
          <w:type w:val="continuous"/>
        </w:sectPr>
      </w:pPr>
    </w:p>
    <w:bookmarkStart w:id="425" w:name="page426"/>
    <w:bookmarkEnd w:id="425"/>
    <w:p>
      <w:pPr>
        <w:spacing w:after="0" w:line="2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1482090</wp:posOffset>
            </wp:positionH>
            <wp:positionV relativeFrom="page">
              <wp:posOffset>972185</wp:posOffset>
            </wp:positionV>
            <wp:extent cx="1676400" cy="1905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6">
                      <a:clrChange>
                        <a:clrFrom>
                          <a:srgbClr val="FFFFFF"/>
                        </a:clrFrom>
                        <a:clrTo>
                          <a:srgbClr val="FFFFFF">
                            <a:alpha val="0"/>
                          </a:srgbClr>
                        </a:clrTo>
                      </a:clrChange>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979170</wp:posOffset>
            </wp:positionV>
            <wp:extent cx="6764020" cy="1905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 / 27</w:t>
      </w:r>
    </w:p>
    <w:p>
      <w:pPr>
        <w:sectPr>
          <w:pgSz w:w="11900" w:h="16838" w:orient="portrait"/>
          <w:cols w:equalWidth="0" w:num="1">
            <w:col w:w="9026"/>
          </w:cols>
          <w:pgMar w:left="1440" w:top="1440" w:right="1440" w:bottom="0" w:gutter="0" w:footer="0" w:header="0"/>
          <w:type w:val="continuous"/>
        </w:sectPr>
      </w:pPr>
    </w:p>
    <w:bookmarkStart w:id="426" w:name="page427"/>
    <w:bookmarkEnd w:id="4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00" w:lineRule="exact"/>
        <w:rPr>
          <w:sz w:val="20"/>
          <w:szCs w:val="20"/>
          <w:color w:val="auto"/>
        </w:rPr>
      </w:pPr>
    </w:p>
    <w:p>
      <w:pPr>
        <w:ind w:left="1620" w:hanging="726"/>
        <w:spacing w:after="0"/>
        <w:tabs>
          <w:tab w:leader="none" w:pos="1620" w:val="left"/>
        </w:tabs>
        <w:numPr>
          <w:ilvl w:val="0"/>
          <w:numId w:val="158"/>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LOANS TO EXAR CAPITAL </w:t>
      </w:r>
      <w:r>
        <w:rPr>
          <w:rFonts w:ascii="Arial" w:cs="Arial" w:eastAsia="Arial" w:hAnsi="Arial"/>
          <w:sz w:val="20"/>
          <w:szCs w:val="20"/>
          <w:i w:val="1"/>
          <w:iCs w:val="1"/>
          <w:color w:val="153A57"/>
        </w:rPr>
        <w:t>(continued)</w:t>
      </w:r>
    </w:p>
    <w:p>
      <w:pPr>
        <w:spacing w:after="0" w:line="378" w:lineRule="exact"/>
        <w:rPr>
          <w:rFonts w:ascii="Arial" w:cs="Arial" w:eastAsia="Arial" w:hAnsi="Arial"/>
          <w:sz w:val="20"/>
          <w:szCs w:val="20"/>
          <w:b w:val="1"/>
          <w:bCs w:val="1"/>
          <w:color w:val="153A57"/>
        </w:rPr>
      </w:pPr>
    </w:p>
    <w:p>
      <w:pPr>
        <w:ind w:left="1620"/>
        <w:spacing w:after="0" w:line="307" w:lineRule="auto"/>
        <w:rPr>
          <w:rFonts w:ascii="Arial" w:cs="Arial" w:eastAsia="Arial" w:hAnsi="Arial"/>
          <w:sz w:val="20"/>
          <w:szCs w:val="20"/>
          <w:b w:val="1"/>
          <w:bCs w:val="1"/>
          <w:color w:val="153A57"/>
        </w:rPr>
      </w:pPr>
      <w:r>
        <w:rPr>
          <w:rFonts w:ascii="Arial" w:cs="Arial" w:eastAsia="Arial" w:hAnsi="Arial"/>
          <w:sz w:val="20"/>
          <w:szCs w:val="20"/>
          <w:color w:val="auto"/>
        </w:rPr>
        <w:t>As of December 31, 2025, the total outstanding loans to Exar Capital, including accrued inte amounted to $308,333, with scheduled maturity and interest rates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196215</wp:posOffset>
            </wp:positionV>
            <wp:extent cx="5621020" cy="2857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8">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37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480" w:type="dxa"/>
            <w:vAlign w:val="bottom"/>
          </w:tcPr>
          <w:p>
            <w:pPr>
              <w:spacing w:after="0"/>
              <w:rPr>
                <w:sz w:val="20"/>
                <w:szCs w:val="20"/>
                <w:color w:val="auto"/>
              </w:rPr>
            </w:pPr>
            <w:r>
              <w:rPr>
                <w:rFonts w:ascii="Arial" w:cs="Arial" w:eastAsia="Arial" w:hAnsi="Arial"/>
                <w:sz w:val="18"/>
                <w:szCs w:val="18"/>
                <w:b w:val="1"/>
                <w:bCs w:val="1"/>
                <w:color w:val="auto"/>
              </w:rPr>
              <w:t>Scheduled Maturities (Year)</w:t>
            </w:r>
          </w:p>
        </w:tc>
        <w:tc>
          <w:tcPr>
            <w:tcW w:w="3340" w:type="dxa"/>
            <w:vAlign w:val="bottom"/>
          </w:tcPr>
          <w:p>
            <w:pPr>
              <w:jc w:val="right"/>
              <w:ind w:right="90"/>
              <w:spacing w:after="0"/>
              <w:rPr>
                <w:sz w:val="20"/>
                <w:szCs w:val="20"/>
                <w:color w:val="auto"/>
              </w:rPr>
            </w:pPr>
            <w:r>
              <w:rPr>
                <w:rFonts w:ascii="Arial" w:cs="Arial" w:eastAsia="Arial" w:hAnsi="Arial"/>
                <w:sz w:val="18"/>
                <w:szCs w:val="18"/>
                <w:b w:val="1"/>
                <w:bCs w:val="1"/>
                <w:color w:val="auto"/>
              </w:rPr>
              <w:t>Outstanding</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Interest Ra</w:t>
            </w:r>
          </w:p>
        </w:tc>
      </w:tr>
      <w:tr>
        <w:trPr>
          <w:trHeight w:val="272"/>
        </w:trPr>
        <w:tc>
          <w:tcPr>
            <w:tcW w:w="4480" w:type="dxa"/>
            <w:vAlign w:val="bottom"/>
          </w:tcPr>
          <w:p>
            <w:pPr>
              <w:spacing w:after="0"/>
              <w:rPr>
                <w:sz w:val="23"/>
                <w:szCs w:val="23"/>
                <w:color w:val="auto"/>
              </w:rPr>
            </w:pPr>
          </w:p>
        </w:tc>
        <w:tc>
          <w:tcPr>
            <w:tcW w:w="3340" w:type="dxa"/>
            <w:vAlign w:val="bottom"/>
          </w:tcPr>
          <w:p>
            <w:pPr>
              <w:jc w:val="right"/>
              <w:ind w:right="30"/>
              <w:spacing w:after="0"/>
              <w:rPr>
                <w:sz w:val="20"/>
                <w:szCs w:val="20"/>
                <w:color w:val="auto"/>
              </w:rPr>
            </w:pPr>
            <w:r>
              <w:rPr>
                <w:rFonts w:ascii="Arial" w:cs="Arial" w:eastAsia="Arial" w:hAnsi="Arial"/>
                <w:sz w:val="18"/>
                <w:szCs w:val="18"/>
                <w:b w:val="1"/>
                <w:bCs w:val="1"/>
                <w:color w:val="auto"/>
              </w:rPr>
              <w:t>amount ($)</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324"/>
        </w:trPr>
        <w:tc>
          <w:tcPr>
            <w:tcW w:w="4480" w:type="dxa"/>
            <w:vAlign w:val="bottom"/>
          </w:tcPr>
          <w:p>
            <w:pPr>
              <w:spacing w:after="0"/>
              <w:rPr>
                <w:sz w:val="20"/>
                <w:szCs w:val="20"/>
                <w:color w:val="auto"/>
              </w:rPr>
            </w:pPr>
            <w:r>
              <w:rPr>
                <w:rFonts w:ascii="Arial" w:cs="Arial" w:eastAsia="Arial" w:hAnsi="Arial"/>
                <w:sz w:val="18"/>
                <w:szCs w:val="18"/>
                <w:color w:val="auto"/>
              </w:rPr>
              <w:t>2028</w:t>
            </w:r>
          </w:p>
        </w:tc>
        <w:tc>
          <w:tcPr>
            <w:tcW w:w="3340" w:type="dxa"/>
            <w:vAlign w:val="bottom"/>
          </w:tcPr>
          <w:p>
            <w:pPr>
              <w:jc w:val="right"/>
              <w:ind w:right="30"/>
              <w:spacing w:after="0"/>
              <w:rPr>
                <w:sz w:val="20"/>
                <w:szCs w:val="20"/>
                <w:color w:val="auto"/>
              </w:rPr>
            </w:pPr>
            <w:r>
              <w:rPr>
                <w:rFonts w:ascii="Arial" w:cs="Arial" w:eastAsia="Arial" w:hAnsi="Arial"/>
                <w:sz w:val="18"/>
                <w:szCs w:val="18"/>
                <w:color w:val="auto"/>
              </w:rPr>
              <w:t>19,224</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4"/>
        </w:trPr>
        <w:tc>
          <w:tcPr>
            <w:tcW w:w="4480" w:type="dxa"/>
            <w:vAlign w:val="bottom"/>
          </w:tcPr>
          <w:p>
            <w:pPr>
              <w:spacing w:after="0"/>
              <w:rPr>
                <w:sz w:val="20"/>
                <w:szCs w:val="20"/>
                <w:color w:val="auto"/>
              </w:rPr>
            </w:pPr>
            <w:r>
              <w:rPr>
                <w:rFonts w:ascii="Arial" w:cs="Arial" w:eastAsia="Arial" w:hAnsi="Arial"/>
                <w:sz w:val="18"/>
                <w:szCs w:val="18"/>
                <w:color w:val="auto"/>
              </w:rPr>
              <w:t>2029</w:t>
            </w:r>
          </w:p>
        </w:tc>
        <w:tc>
          <w:tcPr>
            <w:tcW w:w="3340" w:type="dxa"/>
            <w:vAlign w:val="bottom"/>
          </w:tcPr>
          <w:p>
            <w:pPr>
              <w:jc w:val="right"/>
              <w:ind w:right="30"/>
              <w:spacing w:after="0"/>
              <w:rPr>
                <w:sz w:val="20"/>
                <w:szCs w:val="20"/>
                <w:color w:val="auto"/>
              </w:rPr>
            </w:pPr>
            <w:r>
              <w:rPr>
                <w:rFonts w:ascii="Arial" w:cs="Arial" w:eastAsia="Arial" w:hAnsi="Arial"/>
                <w:sz w:val="18"/>
                <w:szCs w:val="18"/>
                <w:color w:val="auto"/>
              </w:rPr>
              <w:t>23,611</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4"/>
        </w:trPr>
        <w:tc>
          <w:tcPr>
            <w:tcW w:w="4480" w:type="dxa"/>
            <w:vAlign w:val="bottom"/>
          </w:tcPr>
          <w:p>
            <w:pPr>
              <w:spacing w:after="0"/>
              <w:rPr>
                <w:sz w:val="20"/>
                <w:szCs w:val="20"/>
                <w:color w:val="auto"/>
              </w:rPr>
            </w:pPr>
            <w:r>
              <w:rPr>
                <w:rFonts w:ascii="Arial" w:cs="Arial" w:eastAsia="Arial" w:hAnsi="Arial"/>
                <w:sz w:val="18"/>
                <w:szCs w:val="18"/>
                <w:color w:val="auto"/>
              </w:rPr>
              <w:t>2030</w:t>
            </w:r>
          </w:p>
        </w:tc>
        <w:tc>
          <w:tcPr>
            <w:tcW w:w="3340" w:type="dxa"/>
            <w:vAlign w:val="bottom"/>
          </w:tcPr>
          <w:p>
            <w:pPr>
              <w:jc w:val="right"/>
              <w:ind w:right="30"/>
              <w:spacing w:after="0"/>
              <w:rPr>
                <w:sz w:val="20"/>
                <w:szCs w:val="20"/>
                <w:color w:val="auto"/>
              </w:rPr>
            </w:pPr>
            <w:r>
              <w:rPr>
                <w:rFonts w:ascii="Arial" w:cs="Arial" w:eastAsia="Arial" w:hAnsi="Arial"/>
                <w:sz w:val="18"/>
                <w:szCs w:val="18"/>
                <w:color w:val="auto"/>
              </w:rPr>
              <w:t>28,297</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4"/>
        </w:trPr>
        <w:tc>
          <w:tcPr>
            <w:tcW w:w="4480" w:type="dxa"/>
            <w:vAlign w:val="bottom"/>
          </w:tcPr>
          <w:p>
            <w:pPr>
              <w:spacing w:after="0"/>
              <w:rPr>
                <w:sz w:val="20"/>
                <w:szCs w:val="20"/>
                <w:color w:val="auto"/>
              </w:rPr>
            </w:pPr>
            <w:r>
              <w:rPr>
                <w:rFonts w:ascii="Arial" w:cs="Arial" w:eastAsia="Arial" w:hAnsi="Arial"/>
                <w:sz w:val="18"/>
                <w:szCs w:val="18"/>
                <w:color w:val="auto"/>
              </w:rPr>
              <w:t>2031</w:t>
            </w:r>
          </w:p>
        </w:tc>
        <w:tc>
          <w:tcPr>
            <w:tcW w:w="3340" w:type="dxa"/>
            <w:vAlign w:val="bottom"/>
          </w:tcPr>
          <w:p>
            <w:pPr>
              <w:jc w:val="right"/>
              <w:ind w:right="30"/>
              <w:spacing w:after="0"/>
              <w:rPr>
                <w:sz w:val="20"/>
                <w:szCs w:val="20"/>
                <w:color w:val="auto"/>
              </w:rPr>
            </w:pPr>
            <w:r>
              <w:rPr>
                <w:rFonts w:ascii="Arial" w:cs="Arial" w:eastAsia="Arial" w:hAnsi="Arial"/>
                <w:sz w:val="18"/>
                <w:szCs w:val="18"/>
                <w:color w:val="auto"/>
              </w:rPr>
              <w:t>28,410</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4"/>
        </w:trPr>
        <w:tc>
          <w:tcPr>
            <w:tcW w:w="4480" w:type="dxa"/>
            <w:vAlign w:val="bottom"/>
          </w:tcPr>
          <w:p>
            <w:pPr>
              <w:spacing w:after="0"/>
              <w:rPr>
                <w:sz w:val="20"/>
                <w:szCs w:val="20"/>
                <w:color w:val="auto"/>
              </w:rPr>
            </w:pPr>
            <w:r>
              <w:rPr>
                <w:rFonts w:ascii="Arial" w:cs="Arial" w:eastAsia="Arial" w:hAnsi="Arial"/>
                <w:sz w:val="18"/>
                <w:szCs w:val="18"/>
                <w:color w:val="auto"/>
              </w:rPr>
              <w:t>2032</w:t>
            </w:r>
          </w:p>
        </w:tc>
        <w:tc>
          <w:tcPr>
            <w:tcW w:w="3340" w:type="dxa"/>
            <w:vAlign w:val="bottom"/>
          </w:tcPr>
          <w:p>
            <w:pPr>
              <w:jc w:val="right"/>
              <w:ind w:right="30"/>
              <w:spacing w:after="0"/>
              <w:rPr>
                <w:sz w:val="20"/>
                <w:szCs w:val="20"/>
                <w:color w:val="auto"/>
              </w:rPr>
            </w:pPr>
            <w:r>
              <w:rPr>
                <w:rFonts w:ascii="Arial" w:cs="Arial" w:eastAsia="Arial" w:hAnsi="Arial"/>
                <w:sz w:val="18"/>
                <w:szCs w:val="18"/>
                <w:color w:val="auto"/>
              </w:rPr>
              <w:t>37,286</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4"/>
        </w:trPr>
        <w:tc>
          <w:tcPr>
            <w:tcW w:w="4480" w:type="dxa"/>
            <w:vAlign w:val="bottom"/>
          </w:tcPr>
          <w:p>
            <w:pPr>
              <w:spacing w:after="0"/>
              <w:rPr>
                <w:sz w:val="20"/>
                <w:szCs w:val="20"/>
                <w:color w:val="auto"/>
              </w:rPr>
            </w:pPr>
            <w:r>
              <w:rPr>
                <w:rFonts w:ascii="Arial" w:cs="Arial" w:eastAsia="Arial" w:hAnsi="Arial"/>
                <w:sz w:val="18"/>
                <w:szCs w:val="18"/>
                <w:color w:val="auto"/>
              </w:rPr>
              <w:t>2033</w:t>
            </w:r>
          </w:p>
        </w:tc>
        <w:tc>
          <w:tcPr>
            <w:tcW w:w="3340" w:type="dxa"/>
            <w:vAlign w:val="bottom"/>
          </w:tcPr>
          <w:p>
            <w:pPr>
              <w:jc w:val="right"/>
              <w:ind w:right="30"/>
              <w:spacing w:after="0"/>
              <w:rPr>
                <w:sz w:val="20"/>
                <w:szCs w:val="20"/>
                <w:color w:val="auto"/>
              </w:rPr>
            </w:pPr>
            <w:r>
              <w:rPr>
                <w:rFonts w:ascii="Arial" w:cs="Arial" w:eastAsia="Arial" w:hAnsi="Arial"/>
                <w:sz w:val="18"/>
                <w:szCs w:val="18"/>
                <w:color w:val="auto"/>
              </w:rPr>
              <w:t>47,689</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4"/>
        </w:trPr>
        <w:tc>
          <w:tcPr>
            <w:tcW w:w="4480" w:type="dxa"/>
            <w:vAlign w:val="bottom"/>
          </w:tcPr>
          <w:p>
            <w:pPr>
              <w:spacing w:after="0"/>
              <w:rPr>
                <w:sz w:val="20"/>
                <w:szCs w:val="20"/>
                <w:color w:val="auto"/>
              </w:rPr>
            </w:pPr>
            <w:r>
              <w:rPr>
                <w:rFonts w:ascii="Arial" w:cs="Arial" w:eastAsia="Arial" w:hAnsi="Arial"/>
                <w:sz w:val="18"/>
                <w:szCs w:val="18"/>
                <w:color w:val="auto"/>
              </w:rPr>
              <w:t>2034</w:t>
            </w:r>
          </w:p>
        </w:tc>
        <w:tc>
          <w:tcPr>
            <w:tcW w:w="3340" w:type="dxa"/>
            <w:vAlign w:val="bottom"/>
          </w:tcPr>
          <w:p>
            <w:pPr>
              <w:jc w:val="right"/>
              <w:ind w:right="30"/>
              <w:spacing w:after="0"/>
              <w:rPr>
                <w:sz w:val="20"/>
                <w:szCs w:val="20"/>
                <w:color w:val="auto"/>
              </w:rPr>
            </w:pPr>
            <w:r>
              <w:rPr>
                <w:rFonts w:ascii="Arial" w:cs="Arial" w:eastAsia="Arial" w:hAnsi="Arial"/>
                <w:sz w:val="18"/>
                <w:szCs w:val="18"/>
                <w:color w:val="auto"/>
              </w:rPr>
              <w:t>39,893</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4"/>
        </w:trPr>
        <w:tc>
          <w:tcPr>
            <w:tcW w:w="4480" w:type="dxa"/>
            <w:vAlign w:val="bottom"/>
          </w:tcPr>
          <w:p>
            <w:pPr>
              <w:spacing w:after="0"/>
              <w:rPr>
                <w:sz w:val="20"/>
                <w:szCs w:val="20"/>
                <w:color w:val="auto"/>
              </w:rPr>
            </w:pPr>
            <w:r>
              <w:rPr>
                <w:rFonts w:ascii="Arial" w:cs="Arial" w:eastAsia="Arial" w:hAnsi="Arial"/>
                <w:sz w:val="18"/>
                <w:szCs w:val="18"/>
                <w:color w:val="auto"/>
              </w:rPr>
              <w:t>2035</w:t>
            </w:r>
          </w:p>
        </w:tc>
        <w:tc>
          <w:tcPr>
            <w:tcW w:w="3340" w:type="dxa"/>
            <w:vAlign w:val="bottom"/>
          </w:tcPr>
          <w:p>
            <w:pPr>
              <w:jc w:val="right"/>
              <w:ind w:right="30"/>
              <w:spacing w:after="0"/>
              <w:rPr>
                <w:sz w:val="20"/>
                <w:szCs w:val="20"/>
                <w:color w:val="auto"/>
              </w:rPr>
            </w:pPr>
            <w:r>
              <w:rPr>
                <w:rFonts w:ascii="Arial" w:cs="Arial" w:eastAsia="Arial" w:hAnsi="Arial"/>
                <w:sz w:val="18"/>
                <w:szCs w:val="18"/>
                <w:color w:val="auto"/>
              </w:rPr>
              <w:t>83,923</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-1579880</wp:posOffset>
            </wp:positionV>
            <wp:extent cx="5621020" cy="635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9">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22860</wp:posOffset>
            </wp:positionV>
            <wp:extent cx="5621020" cy="635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0">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366" w:lineRule="exact"/>
        <w:rPr>
          <w:sz w:val="20"/>
          <w:szCs w:val="20"/>
          <w:color w:val="auto"/>
        </w:rPr>
      </w:pPr>
    </w:p>
    <w:p>
      <w:pPr>
        <w:jc w:val="both"/>
        <w:ind w:left="1620"/>
        <w:spacing w:after="0" w:line="312" w:lineRule="auto"/>
        <w:rPr>
          <w:sz w:val="20"/>
          <w:szCs w:val="20"/>
          <w:color w:val="auto"/>
        </w:rPr>
      </w:pPr>
      <w:r>
        <w:rPr>
          <w:rFonts w:ascii="Arial" w:cs="Arial" w:eastAsia="Arial" w:hAnsi="Arial"/>
          <w:sz w:val="20"/>
          <w:szCs w:val="20"/>
          <w:color w:val="auto"/>
        </w:rPr>
        <w:t>The recoverability of these loans is dependent on the future cash flows and performance of the Cau Olaroz project. The Company performed an expected credit loss assessment based on the anticip future performance and cash flow projections of Cauchari-Olaroz. The assessment did not identify significant increase in credit risk or other factors that would indicate a potential default.</w:t>
      </w:r>
    </w:p>
    <w:p>
      <w:pPr>
        <w:spacing w:after="0" w:line="255" w:lineRule="exact"/>
        <w:rPr>
          <w:sz w:val="20"/>
          <w:szCs w:val="20"/>
          <w:color w:val="auto"/>
        </w:rPr>
      </w:pPr>
    </w:p>
    <w:p>
      <w:pPr>
        <w:ind w:left="1620" w:right="3840" w:hanging="726"/>
        <w:spacing w:after="0" w:line="559" w:lineRule="auto"/>
        <w:tabs>
          <w:tab w:leader="none" w:pos="1620" w:val="left"/>
        </w:tabs>
        <w:numPr>
          <w:ilvl w:val="0"/>
          <w:numId w:val="159"/>
        </w:numPr>
        <w:rPr>
          <w:rFonts w:ascii="Arial" w:cs="Arial" w:eastAsia="Arial" w:hAnsi="Arial"/>
          <w:sz w:val="19"/>
          <w:szCs w:val="19"/>
          <w:b w:val="1"/>
          <w:bCs w:val="1"/>
          <w:color w:val="153A57"/>
        </w:rPr>
      </w:pPr>
      <w:r>
        <w:rPr>
          <w:rFonts w:ascii="Arial" w:cs="Arial" w:eastAsia="Arial" w:hAnsi="Arial"/>
          <w:sz w:val="19"/>
          <w:szCs w:val="19"/>
          <w:b w:val="1"/>
          <w:bCs w:val="1"/>
          <w:color w:val="153A57"/>
        </w:rPr>
        <w:t xml:space="preserve">PURCHASES AND SALES OF LITHIUM CARBONATE </w:t>
      </w:r>
      <w:r>
        <w:rPr>
          <w:rFonts w:ascii="Arial" w:cs="Arial" w:eastAsia="Arial" w:hAnsi="Arial"/>
          <w:sz w:val="19"/>
          <w:szCs w:val="19"/>
          <w:i w:val="1"/>
          <w:iCs w:val="1"/>
          <w:color w:val="000000"/>
        </w:rPr>
        <w:t>Offtake Agreement with Ganfeng and Bangchak</w:t>
      </w:r>
    </w:p>
    <w:p>
      <w:pPr>
        <w:jc w:val="both"/>
        <w:ind w:left="1620"/>
        <w:spacing w:after="0" w:line="313" w:lineRule="auto"/>
        <w:rPr>
          <w:rFonts w:ascii="Arial" w:cs="Arial" w:eastAsia="Arial" w:hAnsi="Arial"/>
          <w:sz w:val="19"/>
          <w:szCs w:val="19"/>
          <w:b w:val="1"/>
          <w:bCs w:val="1"/>
          <w:color w:val="153A57"/>
        </w:rPr>
      </w:pPr>
      <w:r>
        <w:rPr>
          <w:rFonts w:ascii="Arial" w:cs="Arial" w:eastAsia="Arial" w:hAnsi="Arial"/>
          <w:sz w:val="20"/>
          <w:szCs w:val="20"/>
          <w:color w:val="auto"/>
        </w:rPr>
        <w:t>The Company and Ganfeng are entitled to a share of offtake from production at Cauchari-Olaroz. Company is entitled to 49% of the offtake, which would amount to approximately 19,600 tonnes annum (“tpa”) of lithium carbonate assuming full capacity is achieved. The Company has entered in offtake agreement with each of Ganfeng and BCP Innovation PTE. LTD (“Bangchak”), a wholly-o subsidiary of Bangchak Corporation Public Company Ltd., to sell a fixed amount of offtake producti market-based prices, with Ganfeng entitled to 80% of the first 12,250 tpa of lithium carbonate (9,80 assuming full production capacity) and Bangchak entitled to up to 6,000 tpa of lithium carbo (assuming full production capacity).</w:t>
      </w:r>
    </w:p>
    <w:p>
      <w:pPr>
        <w:spacing w:after="0" w:line="215" w:lineRule="exact"/>
        <w:rPr>
          <w:rFonts w:ascii="Arial" w:cs="Arial" w:eastAsia="Arial" w:hAnsi="Arial"/>
          <w:sz w:val="19"/>
          <w:szCs w:val="19"/>
          <w:b w:val="1"/>
          <w:bCs w:val="1"/>
          <w:color w:val="153A57"/>
        </w:rPr>
      </w:pPr>
    </w:p>
    <w:p>
      <w:pPr>
        <w:jc w:val="both"/>
        <w:ind w:left="1620"/>
        <w:spacing w:after="0" w:line="311" w:lineRule="auto"/>
        <w:rPr>
          <w:rFonts w:ascii="Arial" w:cs="Arial" w:eastAsia="Arial" w:hAnsi="Arial"/>
          <w:sz w:val="19"/>
          <w:szCs w:val="19"/>
          <w:b w:val="1"/>
          <w:bCs w:val="1"/>
          <w:color w:val="153A57"/>
        </w:rPr>
      </w:pPr>
      <w:r>
        <w:rPr>
          <w:rFonts w:ascii="Arial" w:cs="Arial" w:eastAsia="Arial" w:hAnsi="Arial"/>
          <w:sz w:val="20"/>
          <w:szCs w:val="20"/>
          <w:color w:val="auto"/>
        </w:rPr>
        <w:t>The balance of the Company’s offtake entitlement, amounting to up to approximately 3,800 tpa of lit carbonate, is uncommitted, but for limited residual rights available to Bangchak to the extent produ does not meet full capacity.</w:t>
      </w:r>
    </w:p>
    <w:p>
      <w:pPr>
        <w:spacing w:after="0" w:line="204" w:lineRule="exact"/>
        <w:rPr>
          <w:rFonts w:ascii="Arial" w:cs="Arial" w:eastAsia="Arial" w:hAnsi="Arial"/>
          <w:sz w:val="19"/>
          <w:szCs w:val="19"/>
          <w:b w:val="1"/>
          <w:bCs w:val="1"/>
          <w:color w:val="153A57"/>
        </w:rPr>
      </w:pPr>
    </w:p>
    <w:p>
      <w:pPr>
        <w:ind w:left="1620"/>
        <w:spacing w:after="0"/>
        <w:rPr>
          <w:rFonts w:ascii="Arial" w:cs="Arial" w:eastAsia="Arial" w:hAnsi="Arial"/>
          <w:sz w:val="19"/>
          <w:szCs w:val="19"/>
          <w:b w:val="1"/>
          <w:bCs w:val="1"/>
          <w:color w:val="153A57"/>
        </w:rPr>
      </w:pPr>
      <w:r>
        <w:rPr>
          <w:rFonts w:ascii="Arial" w:cs="Arial" w:eastAsia="Arial" w:hAnsi="Arial"/>
          <w:sz w:val="20"/>
          <w:szCs w:val="20"/>
          <w:b w:val="1"/>
          <w:bCs w:val="1"/>
          <w:i w:val="1"/>
          <w:iCs w:val="1"/>
          <w:color w:val="auto"/>
        </w:rPr>
        <w:t>Purchases and sales of lithium carbonate</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 / 27</w:t>
      </w:r>
    </w:p>
    <w:p>
      <w:pPr>
        <w:sectPr>
          <w:pgSz w:w="11900" w:h="16838" w:orient="portrait"/>
          <w:cols w:equalWidth="0" w:num="1">
            <w:col w:w="10460"/>
          </w:cols>
          <w:pgMar w:left="1440" w:top="1440" w:right="6" w:bottom="0" w:gutter="0" w:footer="0" w:header="0"/>
          <w:type w:val="continuous"/>
        </w:sectPr>
      </w:pPr>
    </w:p>
    <w:bookmarkStart w:id="427" w:name="page428"/>
    <w:bookmarkEnd w:id="427"/>
    <w:p>
      <w:pPr>
        <w:jc w:val="both"/>
        <w:ind w:left="1620"/>
        <w:spacing w:after="0" w:line="311" w:lineRule="auto"/>
        <w:rPr>
          <w:sz w:val="20"/>
          <w:szCs w:val="20"/>
          <w:color w:val="auto"/>
        </w:rPr>
      </w:pPr>
      <w:r>
        <w:rPr>
          <w:rFonts w:ascii="Arial" w:cs="Arial" w:eastAsia="Arial" w:hAnsi="Arial"/>
          <w:sz w:val="20"/>
          <w:szCs w:val="20"/>
          <w:color w:val="auto"/>
        </w:rPr>
        <w:t>During the year ended December 31, 2025, the Company was entitled to purchase its 49% sha Minera Exar’s lithium carbonate production shipped during the period and, pursuant to its off agreements, sell that volume to Ganfeng and Bangchak.</w:t>
      </w:r>
    </w:p>
    <w:p>
      <w:pPr>
        <w:spacing w:after="0" w:line="212" w:lineRule="exact"/>
        <w:rPr>
          <w:sz w:val="20"/>
          <w:szCs w:val="20"/>
          <w:color w:val="auto"/>
        </w:rPr>
      </w:pPr>
    </w:p>
    <w:p>
      <w:pPr>
        <w:jc w:val="both"/>
        <w:ind w:left="1620"/>
        <w:spacing w:after="0" w:line="312" w:lineRule="auto"/>
        <w:rPr>
          <w:sz w:val="20"/>
          <w:szCs w:val="20"/>
          <w:color w:val="auto"/>
        </w:rPr>
      </w:pPr>
      <w:r>
        <w:rPr>
          <w:rFonts w:ascii="Arial" w:cs="Arial" w:eastAsia="Arial" w:hAnsi="Arial"/>
          <w:sz w:val="20"/>
          <w:szCs w:val="20"/>
          <w:color w:val="auto"/>
        </w:rPr>
        <w:t>Based on its principal versus agent assessment, the Company concluded that it acted as an age these transactions, as control of the lithium carbonate did not transfer to the Company prior to trans the end customers and the Company was not exposed to inventory or price risk. Accordingly, Company did not recognize revenue or cost of sales in respect of these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235585</wp:posOffset>
            </wp:positionV>
            <wp:extent cx="1676400" cy="1905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1">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 / 27</w:t>
      </w:r>
    </w:p>
    <w:p>
      <w:pPr>
        <w:sectPr>
          <w:pgSz w:w="11900" w:h="16838" w:orient="portrait"/>
          <w:cols w:equalWidth="0" w:num="1">
            <w:col w:w="10460"/>
          </w:cols>
          <w:pgMar w:left="1440" w:top="1172" w:right="6" w:bottom="0" w:gutter="0" w:footer="0" w:header="0"/>
          <w:type w:val="continuous"/>
        </w:sectPr>
      </w:pPr>
    </w:p>
    <w:bookmarkStart w:id="428" w:name="page429"/>
    <w:bookmarkEnd w:id="4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00" w:lineRule="exact"/>
        <w:rPr>
          <w:sz w:val="20"/>
          <w:szCs w:val="20"/>
          <w:color w:val="auto"/>
        </w:rPr>
      </w:pPr>
    </w:p>
    <w:p>
      <w:pPr>
        <w:ind w:left="1620" w:hanging="726"/>
        <w:spacing w:after="0"/>
        <w:tabs>
          <w:tab w:leader="none" w:pos="1620" w:val="left"/>
        </w:tabs>
        <w:numPr>
          <w:ilvl w:val="0"/>
          <w:numId w:val="160"/>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PURCHASES AND SALES OF LITHIUM CARBONATE </w:t>
      </w:r>
      <w:r>
        <w:rPr>
          <w:rFonts w:ascii="Arial" w:cs="Arial" w:eastAsia="Arial" w:hAnsi="Arial"/>
          <w:sz w:val="20"/>
          <w:szCs w:val="20"/>
          <w:i w:val="1"/>
          <w:iCs w:val="1"/>
          <w:color w:val="153A57"/>
        </w:rPr>
        <w:t>(continued)</w:t>
      </w:r>
    </w:p>
    <w:p>
      <w:pPr>
        <w:spacing w:after="0" w:line="277" w:lineRule="exact"/>
        <w:rPr>
          <w:rFonts w:ascii="Arial" w:cs="Arial" w:eastAsia="Arial" w:hAnsi="Arial"/>
          <w:sz w:val="20"/>
          <w:szCs w:val="20"/>
          <w:b w:val="1"/>
          <w:bCs w:val="1"/>
          <w:color w:val="153A57"/>
        </w:rPr>
      </w:pPr>
    </w:p>
    <w:p>
      <w:pPr>
        <w:jc w:val="both"/>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During the year ended December 31, 2025, the Company made approximately $133,281 wort purchases of lithium carbonate from Minera Exar and sold an equivalent amount, totaling approxim $133,281, to Ganfeng and Bangchak. Since there was no net commission earned by the Company, was no impact on the Company’s statement of comprehensive loss for the year ended Decembe 2025.</w:t>
      </w:r>
    </w:p>
    <w:p>
      <w:pPr>
        <w:spacing w:after="0" w:line="209" w:lineRule="exact"/>
        <w:rPr>
          <w:rFonts w:ascii="Arial" w:cs="Arial" w:eastAsia="Arial" w:hAnsi="Arial"/>
          <w:sz w:val="20"/>
          <w:szCs w:val="20"/>
          <w:b w:val="1"/>
          <w:bCs w:val="1"/>
          <w:color w:val="153A57"/>
        </w:rPr>
      </w:pPr>
    </w:p>
    <w:p>
      <w:pPr>
        <w:jc w:val="both"/>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As at December 31, 2025, the Company had a payable of $25,507 to Minera Exar for lithium carbo purchases, and receivables totaling $23,209 from Ganfeng for sales of lithium carbonate, as disclos the statement of financial position. The Company performed an expected credit loss assessment for receivables, and concluded that the expected credit loss was insignificant, given the short-term natu the balances and the counterparties' history of timely settlement. The receivables were fully se subsequent to December 31, 2025.</w:t>
      </w:r>
    </w:p>
    <w:p>
      <w:pPr>
        <w:spacing w:after="0" w:line="248" w:lineRule="exact"/>
        <w:rPr>
          <w:rFonts w:ascii="Arial" w:cs="Arial" w:eastAsia="Arial" w:hAnsi="Arial"/>
          <w:sz w:val="20"/>
          <w:szCs w:val="20"/>
          <w:b w:val="1"/>
          <w:bCs w:val="1"/>
          <w:color w:val="153A57"/>
        </w:rPr>
      </w:pPr>
    </w:p>
    <w:p>
      <w:pPr>
        <w:ind w:left="1620" w:hanging="726"/>
        <w:spacing w:after="0"/>
        <w:tabs>
          <w:tab w:leader="none" w:pos="1620" w:val="left"/>
        </w:tabs>
        <w:numPr>
          <w:ilvl w:val="0"/>
          <w:numId w:val="160"/>
        </w:numPr>
        <w:rPr>
          <w:rFonts w:ascii="Arial" w:cs="Arial" w:eastAsia="Arial" w:hAnsi="Arial"/>
          <w:sz w:val="20"/>
          <w:szCs w:val="20"/>
          <w:b w:val="1"/>
          <w:bCs w:val="1"/>
          <w:color w:val="153A57"/>
        </w:rPr>
      </w:pPr>
      <w:r>
        <w:rPr>
          <w:rFonts w:ascii="Arial" w:cs="Arial" w:eastAsia="Arial" w:hAnsi="Arial"/>
          <w:sz w:val="20"/>
          <w:szCs w:val="20"/>
          <w:b w:val="1"/>
          <w:bCs w:val="1"/>
          <w:color w:val="153A57"/>
        </w:rPr>
        <w:t>PASTOS GRANDES</w:t>
      </w:r>
    </w:p>
    <w:p>
      <w:pPr>
        <w:spacing w:after="0" w:line="395" w:lineRule="exact"/>
        <w:rPr>
          <w:rFonts w:ascii="Arial" w:cs="Arial" w:eastAsia="Arial" w:hAnsi="Arial"/>
          <w:sz w:val="20"/>
          <w:szCs w:val="20"/>
          <w:b w:val="1"/>
          <w:bCs w:val="1"/>
          <w:color w:val="153A57"/>
        </w:rPr>
      </w:pPr>
    </w:p>
    <w:p>
      <w:pPr>
        <w:jc w:val="both"/>
        <w:ind w:left="1620"/>
        <w:spacing w:after="0" w:line="312" w:lineRule="auto"/>
        <w:rPr>
          <w:rFonts w:ascii="Arial" w:cs="Arial" w:eastAsia="Arial" w:hAnsi="Arial"/>
          <w:sz w:val="20"/>
          <w:szCs w:val="20"/>
          <w:b w:val="1"/>
          <w:bCs w:val="1"/>
          <w:color w:val="153A57"/>
        </w:rPr>
      </w:pPr>
      <w:r>
        <w:rPr>
          <w:rFonts w:ascii="Arial" w:cs="Arial" w:eastAsia="Arial" w:hAnsi="Arial"/>
          <w:sz w:val="20"/>
          <w:szCs w:val="20"/>
          <w:color w:val="auto"/>
        </w:rPr>
        <w:t>On August 16, 2024, Proyecto Pastos Grandes S.A. (“PGCo”), a wholly-owned subsidiary of Company holding the Pastos Grandes project in Salta, Argentina, issued common shares represe approximately 14.9% of PGCo to Ganfeng for consideration of approximately $70,000 (the “Pa Grandes transaction”).</w:t>
      </w:r>
    </w:p>
    <w:p>
      <w:pPr>
        <w:spacing w:after="0" w:line="313" w:lineRule="exact"/>
        <w:rPr>
          <w:rFonts w:ascii="Arial" w:cs="Arial" w:eastAsia="Arial" w:hAnsi="Arial"/>
          <w:sz w:val="20"/>
          <w:szCs w:val="20"/>
          <w:b w:val="1"/>
          <w:bCs w:val="1"/>
          <w:color w:val="153A57"/>
        </w:rPr>
      </w:pPr>
    </w:p>
    <w:p>
      <w:pPr>
        <w:jc w:val="both"/>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As the Company retained control of PGCo, the transaction was accounted for as an equity transa Consequently, a non-controlling interest was recognized, representing Ganfeng's 14.9% share in th assets of PGCo.</w:t>
      </w:r>
    </w:p>
    <w:p>
      <w:pPr>
        <w:spacing w:after="0" w:line="306"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Loans to Minera Exar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236220</wp:posOffset>
            </wp:positionV>
            <wp:extent cx="5621020" cy="23431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3">
                      <a:extLst>
                        <a:ext uri="{28A0092B-C50C-407E-A947-70E740481C1C}"/>
                      </a:extLst>
                    </a:blip>
                    <a:srcRect/>
                    <a:stretch>
                      <a:fillRect/>
                    </a:stretch>
                  </pic:blipFill>
                  <pic:spPr bwMode="auto">
                    <a:xfrm>
                      <a:off x="0" y="0"/>
                      <a:ext cx="562102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7000" w:type="dxa"/>
            <w:vAlign w:val="bottom"/>
          </w:tcPr>
          <w:p>
            <w:pPr>
              <w:spacing w:after="0"/>
              <w:rPr>
                <w:sz w:val="20"/>
                <w:szCs w:val="20"/>
                <w:color w:val="auto"/>
              </w:rPr>
            </w:pPr>
            <w:r>
              <w:rPr>
                <w:rFonts w:ascii="Arial" w:cs="Arial" w:eastAsia="Arial" w:hAnsi="Arial"/>
                <w:sz w:val="18"/>
                <w:szCs w:val="18"/>
                <w:color w:val="auto"/>
              </w:rPr>
              <w:t>Loans advanced by PGCo to Minera Exar, as at December 31, 2023</w:t>
            </w:r>
          </w:p>
        </w:tc>
        <w:tc>
          <w:tcPr>
            <w:tcW w:w="1840" w:type="dxa"/>
            <w:vAlign w:val="bottom"/>
          </w:tcPr>
          <w:p>
            <w:pPr>
              <w:spacing w:after="0"/>
              <w:rPr>
                <w:sz w:val="18"/>
                <w:szCs w:val="18"/>
                <w:color w:val="auto"/>
              </w:rPr>
            </w:pPr>
          </w:p>
        </w:tc>
      </w:tr>
      <w:tr>
        <w:trPr>
          <w:trHeight w:val="330"/>
        </w:trPr>
        <w:tc>
          <w:tcPr>
            <w:tcW w:w="7000" w:type="dxa"/>
            <w:vAlign w:val="bottom"/>
          </w:tcPr>
          <w:p>
            <w:pPr>
              <w:spacing w:after="0"/>
              <w:rPr>
                <w:sz w:val="20"/>
                <w:szCs w:val="20"/>
                <w:color w:val="auto"/>
              </w:rPr>
            </w:pPr>
            <w:r>
              <w:rPr>
                <w:rFonts w:ascii="Arial" w:cs="Arial" w:eastAsia="Arial" w:hAnsi="Arial"/>
                <w:sz w:val="18"/>
                <w:szCs w:val="18"/>
                <w:color w:val="auto"/>
              </w:rPr>
              <w:t>Loans to Minera Exar</w:t>
            </w:r>
          </w:p>
        </w:tc>
        <w:tc>
          <w:tcPr>
            <w:tcW w:w="18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4"/>
        </w:trPr>
        <w:tc>
          <w:tcPr>
            <w:tcW w:w="7000" w:type="dxa"/>
            <w:vAlign w:val="bottom"/>
          </w:tcPr>
          <w:p>
            <w:pPr>
              <w:spacing w:after="0"/>
              <w:rPr>
                <w:sz w:val="20"/>
                <w:szCs w:val="20"/>
                <w:color w:val="auto"/>
              </w:rPr>
            </w:pPr>
            <w:r>
              <w:rPr>
                <w:rFonts w:ascii="Arial" w:cs="Arial" w:eastAsia="Arial" w:hAnsi="Arial"/>
                <w:sz w:val="18"/>
                <w:szCs w:val="18"/>
                <w:color w:val="auto"/>
              </w:rPr>
              <w:t>Accrued interest</w:t>
            </w:r>
          </w:p>
        </w:tc>
        <w:tc>
          <w:tcPr>
            <w:tcW w:w="1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7000" w:type="dxa"/>
            <w:vAlign w:val="bottom"/>
          </w:tcPr>
          <w:p>
            <w:pPr>
              <w:spacing w:after="0"/>
              <w:rPr>
                <w:sz w:val="20"/>
                <w:szCs w:val="20"/>
                <w:color w:val="auto"/>
              </w:rPr>
            </w:pPr>
            <w:r>
              <w:rPr>
                <w:rFonts w:ascii="Arial" w:cs="Arial" w:eastAsia="Arial" w:hAnsi="Arial"/>
                <w:sz w:val="18"/>
                <w:szCs w:val="18"/>
                <w:color w:val="auto"/>
              </w:rPr>
              <w:t>Loans advanced by PGCo to Minera Exar, as at December 31, 2024</w:t>
            </w:r>
          </w:p>
        </w:tc>
        <w:tc>
          <w:tcPr>
            <w:tcW w:w="18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55"/>
        </w:trPr>
        <w:tc>
          <w:tcPr>
            <w:tcW w:w="7000" w:type="dxa"/>
            <w:vAlign w:val="bottom"/>
          </w:tcPr>
          <w:p>
            <w:pPr>
              <w:spacing w:after="0"/>
              <w:rPr>
                <w:sz w:val="4"/>
                <w:szCs w:val="4"/>
                <w:color w:val="auto"/>
              </w:rPr>
            </w:pPr>
          </w:p>
        </w:tc>
        <w:tc>
          <w:tcPr>
            <w:tcW w:w="1840" w:type="dxa"/>
            <w:vAlign w:val="bottom"/>
          </w:tcPr>
          <w:p>
            <w:pPr>
              <w:spacing w:after="0"/>
              <w:rPr>
                <w:sz w:val="4"/>
                <w:szCs w:val="4"/>
                <w:color w:val="auto"/>
              </w:rPr>
            </w:pPr>
          </w:p>
        </w:tc>
      </w:tr>
      <w:tr>
        <w:trPr>
          <w:trHeight w:val="270"/>
        </w:trPr>
        <w:tc>
          <w:tcPr>
            <w:tcW w:w="7000" w:type="dxa"/>
            <w:vAlign w:val="bottom"/>
            <w:shd w:val="clear" w:color="auto" w:fill="D9D9D9"/>
          </w:tcPr>
          <w:p>
            <w:pPr>
              <w:spacing w:after="0"/>
              <w:rPr>
                <w:sz w:val="20"/>
                <w:szCs w:val="20"/>
                <w:color w:val="auto"/>
              </w:rPr>
            </w:pPr>
            <w:r>
              <w:rPr>
                <w:rFonts w:ascii="Arial" w:cs="Arial" w:eastAsia="Arial" w:hAnsi="Arial"/>
                <w:sz w:val="18"/>
                <w:szCs w:val="18"/>
                <w:color w:val="auto"/>
              </w:rPr>
              <w:t>Accrued interest</w:t>
            </w:r>
          </w:p>
        </w:tc>
        <w:tc>
          <w:tcPr>
            <w:tcW w:w="18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5,</w:t>
            </w:r>
          </w:p>
        </w:tc>
      </w:tr>
      <w:tr>
        <w:trPr>
          <w:trHeight w:val="45"/>
        </w:trPr>
        <w:tc>
          <w:tcPr>
            <w:tcW w:w="7000" w:type="dxa"/>
            <w:vAlign w:val="bottom"/>
            <w:shd w:val="clear" w:color="auto" w:fill="D9D9D9"/>
          </w:tcPr>
          <w:p>
            <w:pPr>
              <w:spacing w:after="0"/>
              <w:rPr>
                <w:sz w:val="3"/>
                <w:szCs w:val="3"/>
                <w:color w:val="auto"/>
              </w:rPr>
            </w:pPr>
          </w:p>
        </w:tc>
        <w:tc>
          <w:tcPr>
            <w:tcW w:w="1840" w:type="dxa"/>
            <w:vAlign w:val="bottom"/>
            <w:shd w:val="clear" w:color="auto" w:fill="D9D9D9"/>
          </w:tcPr>
          <w:p>
            <w:pPr>
              <w:spacing w:after="0"/>
              <w:rPr>
                <w:sz w:val="3"/>
                <w:szCs w:val="3"/>
                <w:color w:val="auto"/>
              </w:rPr>
            </w:pPr>
          </w:p>
        </w:tc>
      </w:tr>
      <w:tr>
        <w:trPr>
          <w:trHeight w:val="270"/>
        </w:trPr>
        <w:tc>
          <w:tcPr>
            <w:tcW w:w="7000" w:type="dxa"/>
            <w:vAlign w:val="bottom"/>
            <w:shd w:val="clear" w:color="auto" w:fill="D9D9D9"/>
          </w:tcPr>
          <w:p>
            <w:pPr>
              <w:spacing w:after="0"/>
              <w:rPr>
                <w:sz w:val="20"/>
                <w:szCs w:val="20"/>
                <w:color w:val="auto"/>
              </w:rPr>
            </w:pPr>
            <w:r>
              <w:rPr>
                <w:rFonts w:ascii="Arial" w:cs="Arial" w:eastAsia="Arial" w:hAnsi="Arial"/>
                <w:sz w:val="18"/>
                <w:szCs w:val="18"/>
                <w:color w:val="auto"/>
              </w:rPr>
              <w:t>Derecognition of existing loans upon extinguishment</w:t>
            </w:r>
          </w:p>
        </w:tc>
        <w:tc>
          <w:tcPr>
            <w:tcW w:w="18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(72,</w:t>
            </w:r>
          </w:p>
        </w:tc>
      </w:tr>
      <w:tr>
        <w:trPr>
          <w:trHeight w:val="45"/>
        </w:trPr>
        <w:tc>
          <w:tcPr>
            <w:tcW w:w="7000" w:type="dxa"/>
            <w:vAlign w:val="bottom"/>
            <w:shd w:val="clear" w:color="auto" w:fill="D9D9D9"/>
          </w:tcPr>
          <w:p>
            <w:pPr>
              <w:spacing w:after="0"/>
              <w:rPr>
                <w:sz w:val="3"/>
                <w:szCs w:val="3"/>
                <w:color w:val="auto"/>
              </w:rPr>
            </w:pPr>
          </w:p>
        </w:tc>
        <w:tc>
          <w:tcPr>
            <w:tcW w:w="1840" w:type="dxa"/>
            <w:vAlign w:val="bottom"/>
            <w:shd w:val="clear" w:color="auto" w:fill="D9D9D9"/>
          </w:tcPr>
          <w:p>
            <w:pPr>
              <w:spacing w:after="0"/>
              <w:rPr>
                <w:sz w:val="3"/>
                <w:szCs w:val="3"/>
                <w:color w:val="auto"/>
              </w:rPr>
            </w:pPr>
          </w:p>
        </w:tc>
      </w:tr>
      <w:tr>
        <w:trPr>
          <w:trHeight w:val="270"/>
        </w:trPr>
        <w:tc>
          <w:tcPr>
            <w:tcW w:w="7000" w:type="dxa"/>
            <w:vAlign w:val="bottom"/>
            <w:shd w:val="clear" w:color="auto" w:fill="D9D9D9"/>
          </w:tcPr>
          <w:p>
            <w:pPr>
              <w:spacing w:after="0"/>
              <w:rPr>
                <w:sz w:val="20"/>
                <w:szCs w:val="20"/>
                <w:color w:val="auto"/>
              </w:rPr>
            </w:pPr>
            <w:r>
              <w:rPr>
                <w:rFonts w:ascii="Arial" w:cs="Arial" w:eastAsia="Arial" w:hAnsi="Arial"/>
                <w:sz w:val="18"/>
                <w:szCs w:val="18"/>
                <w:color w:val="auto"/>
              </w:rPr>
              <w:t>Recognition of new loans at fair value upon restructuring</w:t>
            </w:r>
          </w:p>
        </w:tc>
        <w:tc>
          <w:tcPr>
            <w:tcW w:w="18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7000" w:type="dxa"/>
            <w:vAlign w:val="bottom"/>
            <w:shd w:val="clear" w:color="auto" w:fill="D9D9D9"/>
          </w:tcPr>
          <w:p>
            <w:pPr>
              <w:spacing w:after="0"/>
              <w:rPr>
                <w:sz w:val="20"/>
                <w:szCs w:val="20"/>
                <w:color w:val="auto"/>
              </w:rPr>
            </w:pPr>
            <w:r>
              <w:rPr>
                <w:rFonts w:ascii="Arial" w:cs="Arial" w:eastAsia="Arial" w:hAnsi="Arial"/>
                <w:sz w:val="18"/>
                <w:szCs w:val="18"/>
                <w:color w:val="auto"/>
              </w:rPr>
              <w:t>Loans to Minera Exar, as at December 31, 2025</w:t>
            </w:r>
          </w:p>
        </w:tc>
        <w:tc>
          <w:tcPr>
            <w:tcW w:w="18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71,</w:t>
            </w:r>
          </w:p>
        </w:tc>
      </w:tr>
      <w:tr>
        <w:trPr>
          <w:trHeight w:val="55"/>
        </w:trPr>
        <w:tc>
          <w:tcPr>
            <w:tcW w:w="7000" w:type="dxa"/>
            <w:vAlign w:val="bottom"/>
            <w:shd w:val="clear" w:color="auto" w:fill="D9D9D9"/>
          </w:tcPr>
          <w:p>
            <w:pPr>
              <w:spacing w:after="0"/>
              <w:rPr>
                <w:sz w:val="4"/>
                <w:szCs w:val="4"/>
                <w:color w:val="auto"/>
              </w:rPr>
            </w:pPr>
          </w:p>
        </w:tc>
        <w:tc>
          <w:tcPr>
            <w:tcW w:w="1840" w:type="dxa"/>
            <w:vAlign w:val="bottom"/>
            <w:shd w:val="clear" w:color="auto" w:fill="D9D9D9"/>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-1428750</wp:posOffset>
            </wp:positionV>
            <wp:extent cx="5621020" cy="635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84">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-1022985</wp:posOffset>
            </wp:positionV>
            <wp:extent cx="5621020" cy="635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5">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-817245</wp:posOffset>
            </wp:positionV>
            <wp:extent cx="5621020" cy="635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6">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-211455</wp:posOffset>
            </wp:positionV>
            <wp:extent cx="5621020" cy="635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7">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-5715</wp:posOffset>
            </wp:positionV>
            <wp:extent cx="5621020" cy="635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8">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 / 27</w:t>
      </w:r>
    </w:p>
    <w:p>
      <w:pPr>
        <w:sectPr>
          <w:pgSz w:w="11900" w:h="16838" w:orient="portrait"/>
          <w:cols w:equalWidth="0" w:num="1">
            <w:col w:w="10460"/>
          </w:cols>
          <w:pgMar w:left="1440" w:top="1440" w:right="6" w:bottom="0" w:gutter="0" w:footer="0" w:header="0"/>
          <w:type w:val="continuous"/>
        </w:sectPr>
      </w:pPr>
    </w:p>
    <w:bookmarkStart w:id="429" w:name="page430"/>
    <w:bookmarkEnd w:id="429"/>
    <w:p>
      <w:pPr>
        <w:jc w:val="both"/>
        <w:ind w:left="1620"/>
        <w:spacing w:after="0" w:line="311" w:lineRule="auto"/>
        <w:rPr>
          <w:sz w:val="20"/>
          <w:szCs w:val="20"/>
          <w:color w:val="auto"/>
        </w:rPr>
      </w:pPr>
      <w:r>
        <w:rPr>
          <w:rFonts w:ascii="Arial" w:cs="Arial" w:eastAsia="Arial" w:hAnsi="Arial"/>
          <w:sz w:val="20"/>
          <w:szCs w:val="20"/>
          <w:color w:val="auto"/>
        </w:rPr>
        <w:t>In Q3 2024, PGCo entered into a loan facility with Minera Exar with aggregate principa $65,000 to fund debt repayment, working capital and other operational requirements. The loan in bore interest at SOFR plus 4.0% per annum.</w:t>
      </w:r>
    </w:p>
    <w:p>
      <w:pPr>
        <w:spacing w:after="0" w:line="313" w:lineRule="exact"/>
        <w:rPr>
          <w:sz w:val="20"/>
          <w:szCs w:val="20"/>
          <w:color w:val="auto"/>
        </w:rPr>
      </w:pPr>
    </w:p>
    <w:p>
      <w:pPr>
        <w:jc w:val="both"/>
        <w:ind w:left="1620"/>
        <w:spacing w:after="0" w:line="313" w:lineRule="auto"/>
        <w:rPr>
          <w:sz w:val="20"/>
          <w:szCs w:val="20"/>
          <w:color w:val="auto"/>
        </w:rPr>
      </w:pPr>
      <w:r>
        <w:rPr>
          <w:rFonts w:ascii="Arial" w:cs="Arial" w:eastAsia="Arial" w:hAnsi="Arial"/>
          <w:sz w:val="20"/>
          <w:szCs w:val="20"/>
          <w:color w:val="auto"/>
        </w:rPr>
        <w:t>In October 2025, PGCo, a consolidated subsidiary of the Company, amended the terms of a loan fa with Minera Exar, an equity-accounted investee of the Company. The amendment revised the int rate to 6.18% per annum, effective for fiscal year 2025 and subsequent periods, with no other ma changes to the contractual terms. The amendment was accounted for as an extinguishment o existing loan and the recognition of a new loan at the revised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234315</wp:posOffset>
            </wp:positionV>
            <wp:extent cx="1676400" cy="1905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9">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 / 27</w:t>
      </w:r>
    </w:p>
    <w:p>
      <w:pPr>
        <w:sectPr>
          <w:pgSz w:w="11900" w:h="16838" w:orient="portrait"/>
          <w:cols w:equalWidth="0" w:num="1">
            <w:col w:w="10460"/>
          </w:cols>
          <w:pgMar w:left="1440" w:top="1172" w:right="6" w:bottom="0" w:gutter="0" w:footer="0" w:header="0"/>
          <w:type w:val="continuous"/>
        </w:sectPr>
      </w:pPr>
    </w:p>
    <w:bookmarkStart w:id="430" w:name="page431"/>
    <w:bookmarkEnd w:id="4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00" w:lineRule="exact"/>
        <w:rPr>
          <w:sz w:val="20"/>
          <w:szCs w:val="20"/>
          <w:color w:val="auto"/>
        </w:rPr>
      </w:pPr>
    </w:p>
    <w:p>
      <w:pPr>
        <w:ind w:left="1620" w:hanging="726"/>
        <w:spacing w:after="0"/>
        <w:tabs>
          <w:tab w:leader="none" w:pos="1620" w:val="left"/>
        </w:tabs>
        <w:numPr>
          <w:ilvl w:val="0"/>
          <w:numId w:val="161"/>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PASTOS GRANDES </w:t>
      </w:r>
      <w:r>
        <w:rPr>
          <w:rFonts w:ascii="Arial" w:cs="Arial" w:eastAsia="Arial" w:hAnsi="Arial"/>
          <w:sz w:val="20"/>
          <w:szCs w:val="20"/>
          <w:i w:val="1"/>
          <w:iCs w:val="1"/>
          <w:color w:val="153A57"/>
        </w:rPr>
        <w:t>(continued)</w:t>
      </w:r>
    </w:p>
    <w:p>
      <w:pPr>
        <w:spacing w:after="0" w:line="378" w:lineRule="exact"/>
        <w:rPr>
          <w:rFonts w:ascii="Arial" w:cs="Arial" w:eastAsia="Arial" w:hAnsi="Arial"/>
          <w:sz w:val="20"/>
          <w:szCs w:val="20"/>
          <w:b w:val="1"/>
          <w:bCs w:val="1"/>
          <w:color w:val="153A57"/>
        </w:rPr>
      </w:pPr>
    </w:p>
    <w:p>
      <w:pPr>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The Company determined that the amendment represented a transaction between entities u common control and, accordingly, PGCo recognized a loss on modification of $1,710, recorded direc equity. Upon consolidation, $255 of this amount was allocated to non-controlling interest represe Ganfeng’s ownership interest in PGCo and $1,455 was attributable to the Company. Minera recognized a corresponding gain on modification, recorded in equity, and the Company’s share o equity movement was recognized as an increase in the carrying value of the Company’s investme Minera Exar.</w:t>
      </w:r>
    </w:p>
    <w:p>
      <w:pPr>
        <w:spacing w:after="0" w:line="315" w:lineRule="exact"/>
        <w:rPr>
          <w:sz w:val="20"/>
          <w:szCs w:val="20"/>
          <w:color w:val="auto"/>
        </w:rPr>
      </w:pPr>
    </w:p>
    <w:p>
      <w:pPr>
        <w:jc w:val="both"/>
        <w:ind w:left="1620"/>
        <w:spacing w:after="0" w:line="307" w:lineRule="auto"/>
        <w:rPr>
          <w:sz w:val="20"/>
          <w:szCs w:val="20"/>
          <w:color w:val="auto"/>
        </w:rPr>
      </w:pPr>
      <w:r>
        <w:rPr>
          <w:rFonts w:ascii="Arial" w:cs="Arial" w:eastAsia="Arial" w:hAnsi="Arial"/>
          <w:sz w:val="20"/>
          <w:szCs w:val="20"/>
          <w:color w:val="auto"/>
        </w:rPr>
        <w:t>Due to differences in the Company’s ownership interests in PGCo and Minera Exar, a portion of the recognized in PGCo was not offset by the Company’s share of the gain in Minera Exar. Accordingly</w:t>
      </w:r>
    </w:p>
    <w:p>
      <w:pPr>
        <w:spacing w:after="0" w:line="15" w:lineRule="exact"/>
        <w:rPr>
          <w:sz w:val="20"/>
          <w:szCs w:val="20"/>
          <w:color w:val="auto"/>
        </w:rPr>
      </w:pPr>
    </w:p>
    <w:p>
      <w:pPr>
        <w:jc w:val="both"/>
        <w:ind w:left="1620" w:right="140"/>
        <w:spacing w:after="0" w:line="307" w:lineRule="auto"/>
        <w:rPr>
          <w:sz w:val="20"/>
          <w:szCs w:val="20"/>
          <w:color w:val="auto"/>
        </w:rPr>
      </w:pPr>
      <w:r>
        <w:rPr>
          <w:rFonts w:ascii="Arial" w:cs="Arial" w:eastAsia="Arial" w:hAnsi="Arial"/>
          <w:sz w:val="20"/>
          <w:szCs w:val="20"/>
          <w:color w:val="auto"/>
        </w:rPr>
        <w:t>Company recognized a loss on loan modification of $689 in the consolidated statement of comprehensive loss for the year ended December 31, 2025.</w:t>
      </w:r>
    </w:p>
    <w:p>
      <w:pPr>
        <w:spacing w:after="0" w:line="310" w:lineRule="exact"/>
        <w:rPr>
          <w:sz w:val="20"/>
          <w:szCs w:val="20"/>
          <w:color w:val="auto"/>
        </w:rPr>
      </w:pPr>
    </w:p>
    <w:p>
      <w:pPr>
        <w:ind w:left="1620"/>
        <w:spacing w:after="0"/>
        <w:rPr>
          <w:sz w:val="20"/>
          <w:szCs w:val="20"/>
          <w:color w:val="auto"/>
        </w:rPr>
      </w:pPr>
      <w:r>
        <w:rPr>
          <w:rFonts w:ascii="Arial" w:cs="Arial" w:eastAsia="Arial" w:hAnsi="Arial"/>
          <w:sz w:val="20"/>
          <w:szCs w:val="20"/>
          <w:b w:val="1"/>
          <w:bCs w:val="1"/>
          <w:i w:val="1"/>
          <w:iCs w:val="1"/>
          <w:color w:val="auto"/>
        </w:rPr>
        <w:t>Share Premium Reduction and Shareholder Distribution</w:t>
      </w:r>
    </w:p>
    <w:p>
      <w:pPr>
        <w:spacing w:after="0" w:line="381" w:lineRule="exact"/>
        <w:rPr>
          <w:sz w:val="20"/>
          <w:szCs w:val="20"/>
          <w:color w:val="auto"/>
        </w:rPr>
      </w:pPr>
    </w:p>
    <w:p>
      <w:pPr>
        <w:jc w:val="both"/>
        <w:ind w:left="1620"/>
        <w:spacing w:after="0" w:line="311" w:lineRule="auto"/>
        <w:rPr>
          <w:sz w:val="20"/>
          <w:szCs w:val="20"/>
          <w:color w:val="auto"/>
        </w:rPr>
      </w:pPr>
      <w:r>
        <w:rPr>
          <w:rFonts w:ascii="Arial" w:cs="Arial" w:eastAsia="Arial" w:hAnsi="Arial"/>
          <w:sz w:val="20"/>
          <w:szCs w:val="20"/>
          <w:color w:val="auto"/>
        </w:rPr>
        <w:t>During the fourth quarter of 2025, PGCo executed a share premium reduction and related distributi its shareholders. The transaction was accounted for as an equity transaction, resulting in a reducti equity and the recognition of a shareholder distribution payable.</w:t>
      </w:r>
    </w:p>
    <w:p>
      <w:pPr>
        <w:spacing w:after="0" w:line="313" w:lineRule="exact"/>
        <w:rPr>
          <w:sz w:val="20"/>
          <w:szCs w:val="20"/>
          <w:color w:val="auto"/>
        </w:rPr>
      </w:pPr>
    </w:p>
    <w:p>
      <w:pPr>
        <w:jc w:val="both"/>
        <w:ind w:left="1620"/>
        <w:spacing w:after="0" w:line="313" w:lineRule="auto"/>
        <w:rPr>
          <w:sz w:val="20"/>
          <w:szCs w:val="20"/>
          <w:color w:val="auto"/>
        </w:rPr>
      </w:pPr>
      <w:r>
        <w:rPr>
          <w:rFonts w:ascii="Arial" w:cs="Arial" w:eastAsia="Arial" w:hAnsi="Arial"/>
          <w:sz w:val="20"/>
          <w:szCs w:val="20"/>
          <w:color w:val="auto"/>
        </w:rPr>
        <w:t>The shareholder distribution payable is denominated in Argentine pesos and indexed for inflation settlement. At December 31, 2025, the total payable at PGCo level was $86,363 ($73,504 attributa Millennial Lithium Corp. and $12,859 to Ganfeng as non-controlling interest). In the consolidated fina statements, the payable to Millennial and the corresponding receivable are eliminated as intercom balances. Accordingly, only the $12,859 payable to Ganfeng is reflected in the consolidated bal sheet.</w:t>
      </w:r>
    </w:p>
    <w:p>
      <w:pPr>
        <w:spacing w:after="0" w:line="313" w:lineRule="exact"/>
        <w:rPr>
          <w:sz w:val="20"/>
          <w:szCs w:val="20"/>
          <w:color w:val="auto"/>
        </w:rPr>
      </w:pPr>
    </w:p>
    <w:p>
      <w:pPr>
        <w:jc w:val="both"/>
        <w:ind w:left="1620" w:right="20"/>
        <w:spacing w:after="0" w:line="313" w:lineRule="auto"/>
        <w:rPr>
          <w:sz w:val="20"/>
          <w:szCs w:val="20"/>
          <w:color w:val="auto"/>
        </w:rPr>
      </w:pPr>
      <w:r>
        <w:rPr>
          <w:rFonts w:ascii="Arial" w:cs="Arial" w:eastAsia="Arial" w:hAnsi="Arial"/>
          <w:sz w:val="20"/>
          <w:szCs w:val="20"/>
          <w:color w:val="auto"/>
        </w:rPr>
        <w:t>The transaction affected non-controlling interest in two ways, both presented separately in consolidated statement of changes in equity: (i) a direct reduction of $11,917, representing Ganf proportionate share of PGCo's equity reduction at inception; and (ii) $943 recognized within net attributable to non-controlling interest, representing the net consolidated P&amp;L impact after eliminati offsetting finance expense at PGCo and finance income at Millennial (Note 26).</w:t>
      </w:r>
    </w:p>
    <w:p>
      <w:pPr>
        <w:spacing w:after="0" w:line="203" w:lineRule="exact"/>
        <w:rPr>
          <w:sz w:val="20"/>
          <w:szCs w:val="20"/>
          <w:color w:val="auto"/>
        </w:rPr>
      </w:pPr>
    </w:p>
    <w:p>
      <w:pPr>
        <w:ind w:left="1620"/>
        <w:spacing w:after="0"/>
        <w:rPr>
          <w:sz w:val="20"/>
          <w:szCs w:val="20"/>
          <w:color w:val="auto"/>
        </w:rPr>
      </w:pPr>
      <w:r>
        <w:rPr>
          <w:rFonts w:ascii="Arial" w:cs="Arial" w:eastAsia="Arial" w:hAnsi="Arial"/>
          <w:sz w:val="20"/>
          <w:szCs w:val="20"/>
          <w:b w:val="1"/>
          <w:bCs w:val="1"/>
          <w:i w:val="1"/>
          <w:iCs w:val="1"/>
          <w:color w:val="auto"/>
        </w:rPr>
        <w:t>Summarized Financial Information of PGCo</w:t>
      </w:r>
    </w:p>
    <w:p>
      <w:pPr>
        <w:spacing w:after="0" w:line="272"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Summarized financial information for PGCo for the year ended December 31, 2025, is as follows:</w:t>
      </w:r>
    </w:p>
    <w:p>
      <w:pPr>
        <w:spacing w:after="0" w:line="272" w:lineRule="exact"/>
        <w:rPr>
          <w:sz w:val="20"/>
          <w:szCs w:val="20"/>
          <w:color w:val="auto"/>
        </w:rPr>
      </w:pPr>
    </w:p>
    <w:p>
      <w:pPr>
        <w:ind w:left="1980" w:hanging="366"/>
        <w:spacing w:after="0"/>
        <w:tabs>
          <w:tab w:leader="none" w:pos="198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Net loss: $9,612 (2024 - income of $5,939)</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 / 27</w:t>
      </w:r>
    </w:p>
    <w:p>
      <w:pPr>
        <w:sectPr>
          <w:pgSz w:w="11900" w:h="16838" w:orient="portrait"/>
          <w:cols w:equalWidth="0" w:num="1">
            <w:col w:w="10460"/>
          </w:cols>
          <w:pgMar w:left="1440" w:top="1440" w:right="6" w:bottom="0" w:gutter="0" w:footer="0" w:header="0"/>
          <w:type w:val="continuous"/>
        </w:sectPr>
      </w:pPr>
    </w:p>
    <w:bookmarkStart w:id="431" w:name="page432"/>
    <w:bookmarkEnd w:id="431"/>
    <w:p>
      <w:pPr>
        <w:ind w:left="1980" w:hanging="366"/>
        <w:spacing w:after="0"/>
        <w:tabs>
          <w:tab w:leader="none" w:pos="198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Total assets: $421,938 (2024 - $428,914)</w:t>
      </w:r>
    </w:p>
    <w:p>
      <w:pPr>
        <w:spacing w:after="0" w:line="190" w:lineRule="exact"/>
        <w:rPr>
          <w:rFonts w:ascii="Arial" w:cs="Arial" w:eastAsia="Arial" w:hAnsi="Arial"/>
          <w:sz w:val="20"/>
          <w:szCs w:val="20"/>
          <w:color w:val="auto"/>
        </w:rPr>
      </w:pPr>
    </w:p>
    <w:p>
      <w:pPr>
        <w:ind w:left="1980" w:hanging="366"/>
        <w:spacing w:after="0"/>
        <w:tabs>
          <w:tab w:leader="none" w:pos="198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Total liabilities: $92,503 (2024 - $452)</w:t>
      </w:r>
    </w:p>
    <w:p>
      <w:pPr>
        <w:spacing w:after="0" w:line="277" w:lineRule="exact"/>
        <w:rPr>
          <w:sz w:val="20"/>
          <w:szCs w:val="20"/>
          <w:color w:val="auto"/>
        </w:rPr>
      </w:pPr>
    </w:p>
    <w:p>
      <w:pPr>
        <w:ind w:left="1620"/>
        <w:spacing w:after="0" w:line="307" w:lineRule="auto"/>
        <w:rPr>
          <w:sz w:val="20"/>
          <w:szCs w:val="20"/>
          <w:color w:val="auto"/>
        </w:rPr>
      </w:pPr>
      <w:r>
        <w:rPr>
          <w:rFonts w:ascii="Arial" w:cs="Arial" w:eastAsia="Arial" w:hAnsi="Arial"/>
          <w:sz w:val="20"/>
          <w:szCs w:val="20"/>
          <w:color w:val="auto"/>
        </w:rPr>
        <w:t>The summarized financial information provided represents PGCo’s financial results, which contribu the overall financial position of Lithium Argentina.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237490</wp:posOffset>
            </wp:positionV>
            <wp:extent cx="1676400" cy="1905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1">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9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28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 / 27</w:t>
      </w:r>
    </w:p>
    <w:p>
      <w:pPr>
        <w:sectPr>
          <w:pgSz w:w="11900" w:h="16838" w:orient="portrait"/>
          <w:cols w:equalWidth="0" w:num="1">
            <w:col w:w="10460"/>
          </w:cols>
          <w:pgMar w:left="1440" w:top="1285" w:right="6" w:bottom="0" w:gutter="0" w:footer="0" w:header="0"/>
          <w:type w:val="continuous"/>
        </w:sectPr>
      </w:pPr>
    </w:p>
    <w:bookmarkStart w:id="432" w:name="page433"/>
    <w:bookmarkEnd w:id="4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00" w:lineRule="exact"/>
        <w:rPr>
          <w:sz w:val="20"/>
          <w:szCs w:val="20"/>
          <w:color w:val="auto"/>
        </w:rPr>
      </w:pPr>
    </w:p>
    <w:p>
      <w:pPr>
        <w:ind w:left="1620" w:hanging="726"/>
        <w:spacing w:after="0"/>
        <w:tabs>
          <w:tab w:leader="none" w:pos="1620" w:val="left"/>
        </w:tabs>
        <w:numPr>
          <w:ilvl w:val="0"/>
          <w:numId w:val="164"/>
        </w:numPr>
        <w:rPr>
          <w:rFonts w:ascii="Arial" w:cs="Arial" w:eastAsia="Arial" w:hAnsi="Arial"/>
          <w:sz w:val="20"/>
          <w:szCs w:val="20"/>
          <w:b w:val="1"/>
          <w:bCs w:val="1"/>
          <w:color w:val="153A57"/>
        </w:rPr>
      </w:pPr>
      <w:r>
        <w:rPr>
          <w:rFonts w:ascii="Arial" w:cs="Arial" w:eastAsia="Arial" w:hAnsi="Arial"/>
          <w:sz w:val="20"/>
          <w:szCs w:val="20"/>
          <w:b w:val="1"/>
          <w:bCs w:val="1"/>
          <w:color w:val="153A57"/>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235585</wp:posOffset>
            </wp:positionV>
            <wp:extent cx="5621020" cy="2857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3">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-164465</wp:posOffset>
            </wp:positionV>
            <wp:extent cx="2112645" cy="635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94">
                      <a:extLst>
                        <a:ext uri="{28A0092B-C50C-407E-A947-70E740481C1C}"/>
                      </a:extLst>
                    </a:blip>
                    <a:srcRect/>
                    <a:stretch>
                      <a:fillRect/>
                    </a:stretch>
                  </pic:blipFill>
                  <pic:spPr bwMode="auto">
                    <a:xfrm>
                      <a:off x="0" y="0"/>
                      <a:ext cx="2112645"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22860</wp:posOffset>
            </wp:positionV>
            <wp:extent cx="2112645" cy="635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5">
                      <a:extLst>
                        <a:ext uri="{28A0092B-C50C-407E-A947-70E740481C1C}"/>
                      </a:extLst>
                    </a:blip>
                    <a:srcRect/>
                    <a:stretch>
                      <a:fillRect/>
                    </a:stretch>
                  </pic:blipFill>
                  <pic:spPr bwMode="auto">
                    <a:xfrm>
                      <a:off x="0" y="0"/>
                      <a:ext cx="2112645" cy="6350"/>
                    </a:xfrm>
                    <a:prstGeom prst="rect">
                      <a:avLst/>
                    </a:prstGeom>
                    <a:noFill/>
                  </pic:spPr>
                </pic:pic>
              </a:graphicData>
            </a:graphic>
          </wp:anchor>
        </w:drawing>
      </w:r>
    </w:p>
    <w:p>
      <w:pPr>
        <w:spacing w:after="0" w:line="6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41275</wp:posOffset>
            </wp:positionV>
            <wp:extent cx="2112645" cy="635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6">
                      <a:extLst>
                        <a:ext uri="{28A0092B-C50C-407E-A947-70E740481C1C}"/>
                      </a:extLst>
                    </a:blip>
                    <a:srcRect/>
                    <a:stretch>
                      <a:fillRect/>
                    </a:stretch>
                  </pic:blipFill>
                  <pic:spPr bwMode="auto">
                    <a:xfrm>
                      <a:off x="0" y="0"/>
                      <a:ext cx="2112645" cy="6350"/>
                    </a:xfrm>
                    <a:prstGeom prst="rect">
                      <a:avLst/>
                    </a:prstGeom>
                    <a:noFill/>
                  </pic:spPr>
                </pic:pic>
              </a:graphicData>
            </a:graphic>
          </wp:anchor>
        </w:drawing>
      </w:r>
    </w:p>
    <w:p>
      <w:pPr>
        <w:spacing w:after="0" w:line="9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Additions</w:t>
      </w:r>
    </w:p>
    <w:p>
      <w:pPr>
        <w:spacing w:after="0" w:line="10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Disposals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41275</wp:posOffset>
            </wp:positionV>
            <wp:extent cx="2112645" cy="635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7">
                      <a:extLst>
                        <a:ext uri="{28A0092B-C50C-407E-A947-70E740481C1C}"/>
                      </a:extLst>
                    </a:blip>
                    <a:srcRect/>
                    <a:stretch>
                      <a:fillRect/>
                    </a:stretch>
                  </pic:blipFill>
                  <pic:spPr bwMode="auto">
                    <a:xfrm>
                      <a:off x="0" y="0"/>
                      <a:ext cx="2112645" cy="6350"/>
                    </a:xfrm>
                    <a:prstGeom prst="rect">
                      <a:avLst/>
                    </a:prstGeom>
                    <a:noFill/>
                  </pic:spPr>
                </pic:pic>
              </a:graphicData>
            </a:graphic>
          </wp:anchor>
        </w:drawing>
      </w:r>
    </w:p>
    <w:p>
      <w:pPr>
        <w:spacing w:after="0" w:line="9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41275</wp:posOffset>
            </wp:positionV>
            <wp:extent cx="2112645" cy="635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8">
                      <a:extLst>
                        <a:ext uri="{28A0092B-C50C-407E-A947-70E740481C1C}"/>
                      </a:extLst>
                    </a:blip>
                    <a:srcRect/>
                    <a:stretch>
                      <a:fillRect/>
                    </a:stretch>
                  </pic:blipFill>
                  <pic:spPr bwMode="auto">
                    <a:xfrm>
                      <a:off x="0" y="0"/>
                      <a:ext cx="2112645" cy="6350"/>
                    </a:xfrm>
                    <a:prstGeom prst="rect">
                      <a:avLst/>
                    </a:prstGeom>
                    <a:noFill/>
                  </pic:spPr>
                </pic:pic>
              </a:graphicData>
            </a:graphic>
          </wp:anchor>
        </w:drawing>
      </w:r>
    </w:p>
    <w:p>
      <w:pPr>
        <w:spacing w:after="0" w:line="9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Additions</w:t>
      </w:r>
    </w:p>
    <w:p>
      <w:pPr>
        <w:spacing w:after="0" w:line="10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Disposals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41275</wp:posOffset>
            </wp:positionV>
            <wp:extent cx="2112645" cy="635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9">
                      <a:extLst>
                        <a:ext uri="{28A0092B-C50C-407E-A947-70E740481C1C}"/>
                      </a:extLst>
                    </a:blip>
                    <a:srcRect/>
                    <a:stretch>
                      <a:fillRect/>
                    </a:stretch>
                  </pic:blipFill>
                  <pic:spPr bwMode="auto">
                    <a:xfrm>
                      <a:off x="0" y="0"/>
                      <a:ext cx="2112645" cy="6350"/>
                    </a:xfrm>
                    <a:prstGeom prst="rect">
                      <a:avLst/>
                    </a:prstGeom>
                    <a:noFill/>
                  </pic:spPr>
                </pic:pic>
              </a:graphicData>
            </a:graphic>
          </wp:anchor>
        </w:drawing>
      </w:r>
    </w:p>
    <w:p>
      <w:pPr>
        <w:spacing w:after="0" w:line="9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As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384810</wp:posOffset>
            </wp:positionV>
            <wp:extent cx="2108835" cy="2857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0">
                      <a:extLst>
                        <a:ext uri="{28A0092B-C50C-407E-A947-70E740481C1C}"/>
                      </a:extLst>
                    </a:blip>
                    <a:srcRect/>
                    <a:stretch>
                      <a:fillRect/>
                    </a:stretch>
                  </pic:blipFill>
                  <pic:spPr bwMode="auto">
                    <a:xfrm>
                      <a:off x="0" y="0"/>
                      <a:ext cx="2108835" cy="28575"/>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949325</wp:posOffset>
            </wp:positionV>
            <wp:extent cx="2108835" cy="635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1">
                      <a:extLst>
                        <a:ext uri="{28A0092B-C50C-407E-A947-70E740481C1C}"/>
                      </a:extLst>
                    </a:blip>
                    <a:srcRect/>
                    <a:stretch>
                      <a:fillRect/>
                    </a:stretch>
                  </pic:blipFill>
                  <pic:spPr bwMode="auto">
                    <a:xfrm>
                      <a:off x="0" y="0"/>
                      <a:ext cx="210883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22860</wp:posOffset>
            </wp:positionV>
            <wp:extent cx="2108835" cy="635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2">
                      <a:extLst>
                        <a:ext uri="{28A0092B-C50C-407E-A947-70E740481C1C}"/>
                      </a:extLst>
                    </a:blip>
                    <a:srcRect/>
                    <a:stretch>
                      <a:fillRect/>
                    </a:stretch>
                  </pic:blipFill>
                  <pic:spPr bwMode="auto">
                    <a:xfrm>
                      <a:off x="0" y="0"/>
                      <a:ext cx="2108835" cy="6350"/>
                    </a:xfrm>
                    <a:prstGeom prst="rect">
                      <a:avLst/>
                    </a:prstGeom>
                    <a:noFill/>
                  </pic:spPr>
                </pic:pic>
              </a:graphicData>
            </a:graphic>
          </wp:anchor>
        </w:drawing>
      </w:r>
    </w:p>
    <w:p>
      <w:pPr>
        <w:spacing w:after="0" w:line="6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41275</wp:posOffset>
            </wp:positionV>
            <wp:extent cx="2108835" cy="635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3">
                      <a:extLst>
                        <a:ext uri="{28A0092B-C50C-407E-A947-70E740481C1C}"/>
                      </a:extLst>
                    </a:blip>
                    <a:srcRect/>
                    <a:stretch>
                      <a:fillRect/>
                    </a:stretch>
                  </pic:blipFill>
                  <pic:spPr bwMode="auto">
                    <a:xfrm>
                      <a:off x="0" y="0"/>
                      <a:ext cx="2108835" cy="6350"/>
                    </a:xfrm>
                    <a:prstGeom prst="rect">
                      <a:avLst/>
                    </a:prstGeom>
                    <a:noFill/>
                  </pic:spPr>
                </pic:pic>
              </a:graphicData>
            </a:graphic>
          </wp:anchor>
        </w:drawing>
      </w:r>
    </w:p>
    <w:p>
      <w:pPr>
        <w:spacing w:after="0" w:line="104"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Depreciation for the period</w:t>
      </w:r>
    </w:p>
    <w:p>
      <w:pPr>
        <w:spacing w:after="0" w:line="11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Disposals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41275</wp:posOffset>
            </wp:positionV>
            <wp:extent cx="2108835" cy="635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04">
                      <a:extLst>
                        <a:ext uri="{28A0092B-C50C-407E-A947-70E740481C1C}"/>
                      </a:extLst>
                    </a:blip>
                    <a:srcRect/>
                    <a:stretch>
                      <a:fillRect/>
                    </a:stretch>
                  </pic:blipFill>
                  <pic:spPr bwMode="auto">
                    <a:xfrm>
                      <a:off x="0" y="0"/>
                      <a:ext cx="2108835" cy="6350"/>
                    </a:xfrm>
                    <a:prstGeom prst="rect">
                      <a:avLst/>
                    </a:prstGeom>
                    <a:noFill/>
                  </pic:spPr>
                </pic:pic>
              </a:graphicData>
            </a:graphic>
          </wp:anchor>
        </w:drawing>
      </w:r>
    </w:p>
    <w:p>
      <w:pPr>
        <w:spacing w:after="0" w:line="9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41275</wp:posOffset>
            </wp:positionV>
            <wp:extent cx="2108835" cy="635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5">
                      <a:extLst>
                        <a:ext uri="{28A0092B-C50C-407E-A947-70E740481C1C}"/>
                      </a:extLst>
                    </a:blip>
                    <a:srcRect/>
                    <a:stretch>
                      <a:fillRect/>
                    </a:stretch>
                  </pic:blipFill>
                  <pic:spPr bwMode="auto">
                    <a:xfrm>
                      <a:off x="0" y="0"/>
                      <a:ext cx="2108835" cy="6350"/>
                    </a:xfrm>
                    <a:prstGeom prst="rect">
                      <a:avLst/>
                    </a:prstGeom>
                    <a:noFill/>
                  </pic:spPr>
                </pic:pic>
              </a:graphicData>
            </a:graphic>
          </wp:anchor>
        </w:drawing>
      </w:r>
    </w:p>
    <w:p>
      <w:pPr>
        <w:spacing w:after="0" w:line="104"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Depreciation for the period</w:t>
      </w:r>
    </w:p>
    <w:p>
      <w:pPr>
        <w:spacing w:after="0" w:line="11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Disposals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41275</wp:posOffset>
            </wp:positionV>
            <wp:extent cx="2108835" cy="635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6">
                      <a:extLst>
                        <a:ext uri="{28A0092B-C50C-407E-A947-70E740481C1C}"/>
                      </a:extLst>
                    </a:blip>
                    <a:srcRect/>
                    <a:stretch>
                      <a:fillRect/>
                    </a:stretch>
                  </pic:blipFill>
                  <pic:spPr bwMode="auto">
                    <a:xfrm>
                      <a:off x="0" y="0"/>
                      <a:ext cx="2108835" cy="6350"/>
                    </a:xfrm>
                    <a:prstGeom prst="rect">
                      <a:avLst/>
                    </a:prstGeom>
                    <a:noFill/>
                  </pic:spPr>
                </pic:pic>
              </a:graphicData>
            </a:graphic>
          </wp:anchor>
        </w:drawing>
      </w:r>
    </w:p>
    <w:p>
      <w:pPr>
        <w:spacing w:after="0" w:line="9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As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641350</wp:posOffset>
            </wp:positionV>
            <wp:extent cx="2112645" cy="2857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7">
                      <a:extLst>
                        <a:ext uri="{28A0092B-C50C-407E-A947-70E740481C1C}"/>
                      </a:extLst>
                    </a:blip>
                    <a:srcRect/>
                    <a:stretch>
                      <a:fillRect/>
                    </a:stretch>
                  </pic:blipFill>
                  <pic:spPr bwMode="auto">
                    <a:xfrm>
                      <a:off x="0" y="0"/>
                      <a:ext cx="2112645" cy="28575"/>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1205865</wp:posOffset>
            </wp:positionV>
            <wp:extent cx="2112645" cy="635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8">
                      <a:extLst>
                        <a:ext uri="{28A0092B-C50C-407E-A947-70E740481C1C}"/>
                      </a:extLst>
                    </a:blip>
                    <a:srcRect/>
                    <a:stretch>
                      <a:fillRect/>
                    </a:stretch>
                  </pic:blipFill>
                  <pic:spPr bwMode="auto">
                    <a:xfrm>
                      <a:off x="0" y="0"/>
                      <a:ext cx="211264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Net book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22860</wp:posOffset>
            </wp:positionV>
            <wp:extent cx="2112645" cy="635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9">
                      <a:extLst>
                        <a:ext uri="{28A0092B-C50C-407E-A947-70E740481C1C}"/>
                      </a:extLst>
                    </a:blip>
                    <a:srcRect/>
                    <a:stretch>
                      <a:fillRect/>
                    </a:stretch>
                  </pic:blipFill>
                  <pic:spPr bwMode="auto">
                    <a:xfrm>
                      <a:off x="0" y="0"/>
                      <a:ext cx="2112645" cy="6350"/>
                    </a:xfrm>
                    <a:prstGeom prst="rect">
                      <a:avLst/>
                    </a:prstGeom>
                    <a:noFill/>
                  </pic:spPr>
                </pic:pic>
              </a:graphicData>
            </a:graphic>
          </wp:anchor>
        </w:drawing>
      </w:r>
    </w:p>
    <w:p>
      <w:pPr>
        <w:spacing w:after="0" w:line="6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at December 31, 2024</w:t>
      </w:r>
    </w:p>
    <w:p>
      <w:pPr>
        <w:spacing w:after="0" w:line="114"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As at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1880" w:type="dxa"/>
            <w:vAlign w:val="bottom"/>
          </w:tcPr>
          <w:p>
            <w:pPr>
              <w:jc w:val="right"/>
              <w:ind w:right="350"/>
              <w:spacing w:after="0"/>
              <w:rPr>
                <w:sz w:val="20"/>
                <w:szCs w:val="20"/>
                <w:color w:val="auto"/>
              </w:rPr>
            </w:pPr>
            <w:r>
              <w:rPr>
                <w:rFonts w:ascii="Arial" w:cs="Arial" w:eastAsia="Arial" w:hAnsi="Arial"/>
                <w:sz w:val="18"/>
                <w:szCs w:val="18"/>
                <w:b w:val="1"/>
                <w:bCs w:val="1"/>
                <w:color w:val="auto"/>
              </w:rPr>
              <w:t>Equipment</w:t>
            </w:r>
          </w:p>
        </w:tc>
        <w:tc>
          <w:tcPr>
            <w:tcW w:w="15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337"/>
        </w:trPr>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Buildings</w:t>
            </w:r>
          </w:p>
        </w:tc>
        <w:tc>
          <w:tcPr>
            <w:tcW w:w="1880" w:type="dxa"/>
            <w:vAlign w:val="bottom"/>
          </w:tcPr>
          <w:p>
            <w:pPr>
              <w:jc w:val="right"/>
              <w:ind w:right="350"/>
              <w:spacing w:after="0"/>
              <w:rPr>
                <w:sz w:val="20"/>
                <w:szCs w:val="20"/>
                <w:color w:val="auto"/>
              </w:rPr>
            </w:pPr>
            <w:r>
              <w:rPr>
                <w:rFonts w:ascii="Arial" w:cs="Arial" w:eastAsia="Arial" w:hAnsi="Arial"/>
                <w:sz w:val="18"/>
                <w:szCs w:val="18"/>
                <w:b w:val="1"/>
                <w:bCs w:val="1"/>
                <w:color w:val="auto"/>
              </w:rPr>
              <w:t>and machinery</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r>
              <w:rPr>
                <w:rFonts w:ascii="Arial" w:cs="Arial" w:eastAsia="Arial" w:hAnsi="Arial"/>
                <w:sz w:val="24"/>
                <w:szCs w:val="24"/>
                <w:b w:val="1"/>
                <w:bCs w:val="1"/>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T</w:t>
            </w:r>
          </w:p>
        </w:tc>
      </w:tr>
      <w:tr>
        <w:trPr>
          <w:trHeight w:val="221"/>
        </w:trPr>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8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9"/>
                <w:szCs w:val="19"/>
                <w:color w:val="auto"/>
              </w:rPr>
            </w:pPr>
          </w:p>
        </w:tc>
      </w:tr>
      <w:tr>
        <w:trPr>
          <w:trHeight w:val="612"/>
        </w:trPr>
        <w:tc>
          <w:tcPr>
            <w:tcW w:w="1000" w:type="dxa"/>
            <w:vAlign w:val="bottom"/>
          </w:tcPr>
          <w:p>
            <w:pPr>
              <w:jc w:val="right"/>
              <w:ind w:right="70"/>
              <w:spacing w:after="0"/>
              <w:rPr>
                <w:sz w:val="20"/>
                <w:szCs w:val="20"/>
                <w:color w:val="auto"/>
              </w:rPr>
            </w:pPr>
            <w:r>
              <w:rPr>
                <w:rFonts w:ascii="Arial" w:cs="Arial" w:eastAsia="Arial" w:hAnsi="Arial"/>
                <w:sz w:val="18"/>
                <w:szCs w:val="18"/>
                <w:color w:val="auto"/>
              </w:rPr>
              <w:t>5,203</w:t>
            </w:r>
          </w:p>
        </w:tc>
        <w:tc>
          <w:tcPr>
            <w:tcW w:w="1880" w:type="dxa"/>
            <w:vAlign w:val="bottom"/>
          </w:tcPr>
          <w:p>
            <w:pPr>
              <w:jc w:val="right"/>
              <w:ind w:right="350"/>
              <w:spacing w:after="0"/>
              <w:rPr>
                <w:sz w:val="20"/>
                <w:szCs w:val="20"/>
                <w:color w:val="auto"/>
              </w:rPr>
            </w:pPr>
            <w:r>
              <w:rPr>
                <w:rFonts w:ascii="Arial" w:cs="Arial" w:eastAsia="Arial" w:hAnsi="Arial"/>
                <w:sz w:val="18"/>
                <w:szCs w:val="18"/>
                <w:color w:val="auto"/>
              </w:rPr>
              <w:t>2,716</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3,456</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00" w:type="dxa"/>
            <w:vAlign w:val="bottom"/>
          </w:tcPr>
          <w:p>
            <w:pPr>
              <w:jc w:val="right"/>
              <w:ind w:right="70"/>
              <w:spacing w:after="0"/>
              <w:rPr>
                <w:sz w:val="20"/>
                <w:szCs w:val="20"/>
                <w:color w:val="auto"/>
              </w:rPr>
            </w:pPr>
            <w:r>
              <w:rPr>
                <w:rFonts w:ascii="Arial" w:cs="Arial" w:eastAsia="Arial" w:hAnsi="Arial"/>
                <w:sz w:val="18"/>
                <w:szCs w:val="18"/>
                <w:color w:val="auto"/>
              </w:rPr>
              <w:t>660</w:t>
            </w:r>
          </w:p>
        </w:tc>
        <w:tc>
          <w:tcPr>
            <w:tcW w:w="18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311</w:t>
            </w:r>
          </w:p>
        </w:tc>
        <w:tc>
          <w:tcPr>
            <w:tcW w:w="640" w:type="dxa"/>
            <w:vAlign w:val="bottom"/>
          </w:tcPr>
          <w:p>
            <w:pPr>
              <w:spacing w:after="0"/>
              <w:rPr>
                <w:sz w:val="24"/>
                <w:szCs w:val="24"/>
                <w:color w:val="auto"/>
              </w:rPr>
            </w:pPr>
          </w:p>
        </w:tc>
      </w:tr>
      <w:tr>
        <w:trPr>
          <w:trHeight w:val="314"/>
        </w:trPr>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(701)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000" w:type="dxa"/>
            <w:vAlign w:val="bottom"/>
          </w:tcPr>
          <w:p>
            <w:pPr>
              <w:jc w:val="right"/>
              <w:ind w:right="70"/>
              <w:spacing w:after="0"/>
              <w:rPr>
                <w:sz w:val="20"/>
                <w:szCs w:val="20"/>
                <w:color w:val="auto"/>
              </w:rPr>
            </w:pPr>
            <w:r>
              <w:rPr>
                <w:rFonts w:ascii="Arial" w:cs="Arial" w:eastAsia="Arial" w:hAnsi="Arial"/>
                <w:sz w:val="18"/>
                <w:szCs w:val="18"/>
                <w:color w:val="auto"/>
              </w:rPr>
              <w:t>5,863</w:t>
            </w:r>
          </w:p>
        </w:tc>
        <w:tc>
          <w:tcPr>
            <w:tcW w:w="1880" w:type="dxa"/>
            <w:vAlign w:val="bottom"/>
          </w:tcPr>
          <w:p>
            <w:pPr>
              <w:jc w:val="right"/>
              <w:ind w:right="350"/>
              <w:spacing w:after="0"/>
              <w:rPr>
                <w:sz w:val="20"/>
                <w:szCs w:val="20"/>
                <w:color w:val="auto"/>
              </w:rPr>
            </w:pPr>
            <w:r>
              <w:rPr>
                <w:rFonts w:ascii="Arial" w:cs="Arial" w:eastAsia="Arial" w:hAnsi="Arial"/>
                <w:sz w:val="18"/>
                <w:szCs w:val="18"/>
                <w:color w:val="auto"/>
              </w:rPr>
              <w:t>2,716</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3,066</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875</w:t>
            </w:r>
          </w:p>
        </w:tc>
        <w:tc>
          <w:tcPr>
            <w:tcW w:w="640" w:type="dxa"/>
            <w:vAlign w:val="bottom"/>
          </w:tcPr>
          <w:p>
            <w:pPr>
              <w:spacing w:after="0"/>
              <w:rPr>
                <w:sz w:val="24"/>
                <w:szCs w:val="24"/>
                <w:color w:val="auto"/>
              </w:rPr>
            </w:pPr>
          </w:p>
        </w:tc>
      </w:tr>
      <w:tr>
        <w:trPr>
          <w:trHeight w:val="314"/>
        </w:trPr>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(689)</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5,863</w:t>
            </w:r>
          </w:p>
        </w:tc>
        <w:tc>
          <w:tcPr>
            <w:tcW w:w="1880" w:type="dxa"/>
            <w:vAlign w:val="bottom"/>
          </w:tcPr>
          <w:p>
            <w:pPr>
              <w:jc w:val="right"/>
              <w:ind w:right="350"/>
              <w:spacing w:after="0"/>
              <w:rPr>
                <w:sz w:val="20"/>
                <w:szCs w:val="20"/>
                <w:color w:val="auto"/>
              </w:rPr>
            </w:pPr>
            <w:r>
              <w:rPr>
                <w:rFonts w:ascii="Arial" w:cs="Arial" w:eastAsia="Arial" w:hAnsi="Arial"/>
                <w:sz w:val="18"/>
                <w:szCs w:val="18"/>
                <w:b w:val="1"/>
                <w:bCs w:val="1"/>
                <w:color w:val="auto"/>
              </w:rPr>
              <w:t>2,716</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3,252</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881"/>
        </w:trPr>
        <w:tc>
          <w:tcPr>
            <w:tcW w:w="1000" w:type="dxa"/>
            <w:vAlign w:val="bottom"/>
          </w:tcPr>
          <w:p>
            <w:pPr>
              <w:spacing w:after="0"/>
              <w:rPr>
                <w:sz w:val="24"/>
                <w:szCs w:val="24"/>
                <w:color w:val="auto"/>
              </w:rPr>
            </w:pPr>
          </w:p>
        </w:tc>
        <w:tc>
          <w:tcPr>
            <w:tcW w:w="1880" w:type="dxa"/>
            <w:vAlign w:val="bottom"/>
          </w:tcPr>
          <w:p>
            <w:pPr>
              <w:jc w:val="right"/>
              <w:ind w:right="350"/>
              <w:spacing w:after="0"/>
              <w:rPr>
                <w:sz w:val="20"/>
                <w:szCs w:val="20"/>
                <w:color w:val="auto"/>
              </w:rPr>
            </w:pPr>
            <w:r>
              <w:rPr>
                <w:rFonts w:ascii="Arial" w:cs="Arial" w:eastAsia="Arial" w:hAnsi="Arial"/>
                <w:sz w:val="18"/>
                <w:szCs w:val="18"/>
                <w:b w:val="1"/>
                <w:bCs w:val="1"/>
                <w:color w:val="auto"/>
              </w:rPr>
              <w:t>Equipment</w:t>
            </w: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7"/>
        </w:trPr>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Buildings</w:t>
            </w:r>
          </w:p>
        </w:tc>
        <w:tc>
          <w:tcPr>
            <w:tcW w:w="1880" w:type="dxa"/>
            <w:vAlign w:val="bottom"/>
          </w:tcPr>
          <w:p>
            <w:pPr>
              <w:jc w:val="right"/>
              <w:ind w:right="350"/>
              <w:spacing w:after="0"/>
              <w:rPr>
                <w:sz w:val="20"/>
                <w:szCs w:val="20"/>
                <w:color w:val="auto"/>
              </w:rPr>
            </w:pPr>
            <w:r>
              <w:rPr>
                <w:rFonts w:ascii="Arial" w:cs="Arial" w:eastAsia="Arial" w:hAnsi="Arial"/>
                <w:sz w:val="18"/>
                <w:szCs w:val="18"/>
                <w:b w:val="1"/>
                <w:bCs w:val="1"/>
                <w:color w:val="auto"/>
              </w:rPr>
              <w:t>and machinery</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r>
              <w:rPr>
                <w:rFonts w:ascii="Arial" w:cs="Arial" w:eastAsia="Arial" w:hAnsi="Arial"/>
                <w:sz w:val="24"/>
                <w:szCs w:val="24"/>
                <w:b w:val="1"/>
                <w:bCs w:val="1"/>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T</w:t>
            </w:r>
          </w:p>
        </w:tc>
      </w:tr>
      <w:tr>
        <w:trPr>
          <w:trHeight w:val="221"/>
        </w:trPr>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8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9"/>
                <w:szCs w:val="19"/>
                <w:color w:val="auto"/>
              </w:rPr>
            </w:pPr>
          </w:p>
        </w:tc>
      </w:tr>
      <w:tr>
        <w:trPr>
          <w:trHeight w:val="612"/>
        </w:trPr>
        <w:tc>
          <w:tcPr>
            <w:tcW w:w="1000" w:type="dxa"/>
            <w:vAlign w:val="bottom"/>
          </w:tcPr>
          <w:p>
            <w:pPr>
              <w:jc w:val="right"/>
              <w:ind w:right="90"/>
              <w:spacing w:after="0"/>
              <w:rPr>
                <w:sz w:val="20"/>
                <w:szCs w:val="20"/>
                <w:color w:val="auto"/>
              </w:rPr>
            </w:pPr>
            <w:r>
              <w:rPr>
                <w:rFonts w:ascii="Arial" w:cs="Arial" w:eastAsia="Arial" w:hAnsi="Arial"/>
                <w:sz w:val="18"/>
                <w:szCs w:val="18"/>
                <w:color w:val="auto"/>
              </w:rPr>
              <w:t>346</w:t>
            </w:r>
          </w:p>
        </w:tc>
        <w:tc>
          <w:tcPr>
            <w:tcW w:w="1880" w:type="dxa"/>
            <w:vAlign w:val="bottom"/>
          </w:tcPr>
          <w:p>
            <w:pPr>
              <w:jc w:val="right"/>
              <w:ind w:right="350"/>
              <w:spacing w:after="0"/>
              <w:rPr>
                <w:sz w:val="20"/>
                <w:szCs w:val="20"/>
                <w:color w:val="auto"/>
              </w:rPr>
            </w:pPr>
            <w:r>
              <w:rPr>
                <w:rFonts w:ascii="Arial" w:cs="Arial" w:eastAsia="Arial" w:hAnsi="Arial"/>
                <w:sz w:val="18"/>
                <w:szCs w:val="18"/>
                <w:color w:val="auto"/>
              </w:rPr>
              <w:t>140</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1,644</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00" w:type="dxa"/>
            <w:vAlign w:val="bottom"/>
          </w:tcPr>
          <w:p>
            <w:pPr>
              <w:jc w:val="right"/>
              <w:ind w:right="90"/>
              <w:spacing w:after="0"/>
              <w:rPr>
                <w:sz w:val="20"/>
                <w:szCs w:val="20"/>
                <w:color w:val="auto"/>
              </w:rPr>
            </w:pPr>
            <w:r>
              <w:rPr>
                <w:rFonts w:ascii="Arial" w:cs="Arial" w:eastAsia="Arial" w:hAnsi="Arial"/>
                <w:sz w:val="18"/>
                <w:szCs w:val="18"/>
                <w:color w:val="auto"/>
              </w:rPr>
              <w:t>80</w:t>
            </w:r>
          </w:p>
        </w:tc>
        <w:tc>
          <w:tcPr>
            <w:tcW w:w="1880" w:type="dxa"/>
            <w:vAlign w:val="bottom"/>
          </w:tcPr>
          <w:p>
            <w:pPr>
              <w:jc w:val="right"/>
              <w:ind w:right="350"/>
              <w:spacing w:after="0"/>
              <w:rPr>
                <w:sz w:val="20"/>
                <w:szCs w:val="20"/>
                <w:color w:val="auto"/>
              </w:rPr>
            </w:pPr>
            <w:r>
              <w:rPr>
                <w:rFonts w:ascii="Arial" w:cs="Arial" w:eastAsia="Arial" w:hAnsi="Arial"/>
                <w:sz w:val="18"/>
                <w:szCs w:val="18"/>
                <w:color w:val="auto"/>
              </w:rPr>
              <w:t>27</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651</w:t>
            </w:r>
          </w:p>
        </w:tc>
        <w:tc>
          <w:tcPr>
            <w:tcW w:w="640" w:type="dxa"/>
            <w:vAlign w:val="bottom"/>
          </w:tcPr>
          <w:p>
            <w:pPr>
              <w:spacing w:after="0"/>
              <w:rPr>
                <w:sz w:val="24"/>
                <w:szCs w:val="24"/>
                <w:color w:val="auto"/>
              </w:rPr>
            </w:pPr>
          </w:p>
        </w:tc>
      </w:tr>
      <w:tr>
        <w:trPr>
          <w:trHeight w:val="314"/>
        </w:trPr>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(231)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000" w:type="dxa"/>
            <w:vAlign w:val="bottom"/>
          </w:tcPr>
          <w:p>
            <w:pPr>
              <w:jc w:val="right"/>
              <w:ind w:right="90"/>
              <w:spacing w:after="0"/>
              <w:rPr>
                <w:sz w:val="20"/>
                <w:szCs w:val="20"/>
                <w:color w:val="auto"/>
              </w:rPr>
            </w:pPr>
            <w:r>
              <w:rPr>
                <w:rFonts w:ascii="Arial" w:cs="Arial" w:eastAsia="Arial" w:hAnsi="Arial"/>
                <w:sz w:val="18"/>
                <w:szCs w:val="18"/>
                <w:color w:val="auto"/>
              </w:rPr>
              <w:t>426</w:t>
            </w:r>
          </w:p>
        </w:tc>
        <w:tc>
          <w:tcPr>
            <w:tcW w:w="1880" w:type="dxa"/>
            <w:vAlign w:val="bottom"/>
          </w:tcPr>
          <w:p>
            <w:pPr>
              <w:jc w:val="right"/>
              <w:ind w:right="350"/>
              <w:spacing w:after="0"/>
              <w:rPr>
                <w:sz w:val="20"/>
                <w:szCs w:val="20"/>
                <w:color w:val="auto"/>
              </w:rPr>
            </w:pPr>
            <w:r>
              <w:rPr>
                <w:rFonts w:ascii="Arial" w:cs="Arial" w:eastAsia="Arial" w:hAnsi="Arial"/>
                <w:sz w:val="18"/>
                <w:szCs w:val="18"/>
                <w:color w:val="auto"/>
              </w:rPr>
              <w:t>167</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2,064</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00" w:type="dxa"/>
            <w:vAlign w:val="bottom"/>
          </w:tcPr>
          <w:p>
            <w:pPr>
              <w:jc w:val="right"/>
              <w:ind w:right="90"/>
              <w:spacing w:after="0"/>
              <w:rPr>
                <w:sz w:val="20"/>
                <w:szCs w:val="20"/>
                <w:color w:val="auto"/>
              </w:rPr>
            </w:pPr>
            <w:r>
              <w:rPr>
                <w:rFonts w:ascii="Arial" w:cs="Arial" w:eastAsia="Arial" w:hAnsi="Arial"/>
                <w:sz w:val="18"/>
                <w:szCs w:val="18"/>
                <w:color w:val="auto"/>
              </w:rPr>
              <w:t>59</w:t>
            </w:r>
          </w:p>
        </w:tc>
        <w:tc>
          <w:tcPr>
            <w:tcW w:w="1880" w:type="dxa"/>
            <w:vAlign w:val="bottom"/>
          </w:tcPr>
          <w:p>
            <w:pPr>
              <w:jc w:val="right"/>
              <w:ind w:right="350"/>
              <w:spacing w:after="0"/>
              <w:rPr>
                <w:sz w:val="20"/>
                <w:szCs w:val="20"/>
                <w:color w:val="auto"/>
              </w:rPr>
            </w:pPr>
            <w:r>
              <w:rPr>
                <w:rFonts w:ascii="Arial" w:cs="Arial" w:eastAsia="Arial" w:hAnsi="Arial"/>
                <w:sz w:val="18"/>
                <w:szCs w:val="18"/>
                <w:color w:val="auto"/>
              </w:rPr>
              <w:t>20</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410</w:t>
            </w:r>
          </w:p>
        </w:tc>
        <w:tc>
          <w:tcPr>
            <w:tcW w:w="640" w:type="dxa"/>
            <w:vAlign w:val="bottom"/>
          </w:tcPr>
          <w:p>
            <w:pPr>
              <w:spacing w:after="0"/>
              <w:rPr>
                <w:sz w:val="24"/>
                <w:szCs w:val="24"/>
                <w:color w:val="auto"/>
              </w:rPr>
            </w:pPr>
          </w:p>
        </w:tc>
      </w:tr>
      <w:tr>
        <w:trPr>
          <w:trHeight w:val="314"/>
        </w:trPr>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(689)</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485</w:t>
            </w:r>
          </w:p>
        </w:tc>
        <w:tc>
          <w:tcPr>
            <w:tcW w:w="1880" w:type="dxa"/>
            <w:vAlign w:val="bottom"/>
          </w:tcPr>
          <w:p>
            <w:pPr>
              <w:jc w:val="right"/>
              <w:ind w:right="350"/>
              <w:spacing w:after="0"/>
              <w:rPr>
                <w:sz w:val="20"/>
                <w:szCs w:val="20"/>
                <w:color w:val="auto"/>
              </w:rPr>
            </w:pPr>
            <w:r>
              <w:rPr>
                <w:rFonts w:ascii="Arial" w:cs="Arial" w:eastAsia="Arial" w:hAnsi="Arial"/>
                <w:sz w:val="18"/>
                <w:szCs w:val="18"/>
                <w:b w:val="1"/>
                <w:bCs w:val="1"/>
                <w:color w:val="auto"/>
              </w:rPr>
              <w:t>187</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1,785</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-4114165</wp:posOffset>
            </wp:positionV>
            <wp:extent cx="3508375" cy="635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10">
                      <a:extLst>
                        <a:ext uri="{28A0092B-C50C-407E-A947-70E740481C1C}"/>
                      </a:extLst>
                    </a:blip>
                    <a:srcRect/>
                    <a:stretch>
                      <a:fillRect/>
                    </a:stretch>
                  </pic:blipFill>
                  <pic:spPr bwMode="auto">
                    <a:xfrm>
                      <a:off x="0" y="0"/>
                      <a:ext cx="3508375" cy="635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-3926205</wp:posOffset>
            </wp:positionV>
            <wp:extent cx="3508375" cy="635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11">
                      <a:extLst>
                        <a:ext uri="{28A0092B-C50C-407E-A947-70E740481C1C}"/>
                      </a:extLst>
                    </a:blip>
                    <a:srcRect/>
                    <a:stretch>
                      <a:fillRect/>
                    </a:stretch>
                  </pic:blipFill>
                  <pic:spPr bwMode="auto">
                    <a:xfrm>
                      <a:off x="0" y="0"/>
                      <a:ext cx="3508375" cy="635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-3719830</wp:posOffset>
            </wp:positionV>
            <wp:extent cx="3508375" cy="635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12">
                      <a:extLst>
                        <a:ext uri="{28A0092B-C50C-407E-A947-70E740481C1C}"/>
                      </a:extLst>
                    </a:blip>
                    <a:srcRect/>
                    <a:stretch>
                      <a:fillRect/>
                    </a:stretch>
                  </pic:blipFill>
                  <pic:spPr bwMode="auto">
                    <a:xfrm>
                      <a:off x="0" y="0"/>
                      <a:ext cx="3508375" cy="635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-3314700</wp:posOffset>
            </wp:positionV>
            <wp:extent cx="3508375" cy="635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13">
                      <a:extLst>
                        <a:ext uri="{28A0092B-C50C-407E-A947-70E740481C1C}"/>
                      </a:extLst>
                    </a:blip>
                    <a:srcRect/>
                    <a:stretch>
                      <a:fillRect/>
                    </a:stretch>
                  </pic:blipFill>
                  <pic:spPr bwMode="auto">
                    <a:xfrm>
                      <a:off x="0" y="0"/>
                      <a:ext cx="3508375" cy="635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-3108325</wp:posOffset>
            </wp:positionV>
            <wp:extent cx="3508375" cy="635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14">
                      <a:extLst>
                        <a:ext uri="{28A0092B-C50C-407E-A947-70E740481C1C}"/>
                      </a:extLst>
                    </a:blip>
                    <a:srcRect/>
                    <a:stretch>
                      <a:fillRect/>
                    </a:stretch>
                  </pic:blipFill>
                  <pic:spPr bwMode="auto">
                    <a:xfrm>
                      <a:off x="0" y="0"/>
                      <a:ext cx="3508375" cy="6350"/>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-2702560</wp:posOffset>
            </wp:positionV>
            <wp:extent cx="5621020" cy="2120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5">
                      <a:extLst>
                        <a:ext uri="{28A0092B-C50C-407E-A947-70E740481C1C}"/>
                      </a:extLst>
                    </a:blip>
                    <a:srcRect/>
                    <a:stretch>
                      <a:fillRect/>
                    </a:stretch>
                  </pic:blipFill>
                  <pic:spPr bwMode="auto">
                    <a:xfrm>
                      <a:off x="0" y="0"/>
                      <a:ext cx="5621020" cy="212090"/>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-2702560</wp:posOffset>
            </wp:positionV>
            <wp:extent cx="5621020" cy="2120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6">
                      <a:extLst>
                        <a:ext uri="{28A0092B-C50C-407E-A947-70E740481C1C}"/>
                      </a:extLst>
                    </a:blip>
                    <a:srcRect/>
                    <a:stretch>
                      <a:fillRect/>
                    </a:stretch>
                  </pic:blipFill>
                  <pic:spPr bwMode="auto">
                    <a:xfrm>
                      <a:off x="0" y="0"/>
                      <a:ext cx="5621020" cy="212090"/>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-2152650</wp:posOffset>
            </wp:positionV>
            <wp:extent cx="5621020" cy="177609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7">
                      <a:extLst>
                        <a:ext uri="{28A0092B-C50C-407E-A947-70E740481C1C}"/>
                      </a:extLst>
                    </a:blip>
                    <a:srcRect/>
                    <a:stretch>
                      <a:fillRect/>
                    </a:stretch>
                  </pic:blipFill>
                  <pic:spPr bwMode="auto">
                    <a:xfrm>
                      <a:off x="0" y="0"/>
                      <a:ext cx="5621020" cy="1776095"/>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-2152650</wp:posOffset>
            </wp:positionV>
            <wp:extent cx="5621020" cy="177609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8">
                      <a:extLst>
                        <a:ext uri="{28A0092B-C50C-407E-A947-70E740481C1C}"/>
                      </a:extLst>
                    </a:blip>
                    <a:srcRect/>
                    <a:stretch>
                      <a:fillRect/>
                    </a:stretch>
                  </pic:blipFill>
                  <pic:spPr bwMode="auto">
                    <a:xfrm>
                      <a:off x="0" y="0"/>
                      <a:ext cx="5621020" cy="1776095"/>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-177165</wp:posOffset>
            </wp:positionV>
            <wp:extent cx="5621020" cy="2120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9">
                      <a:extLst>
                        <a:ext uri="{28A0092B-C50C-407E-A947-70E740481C1C}"/>
                      </a:extLst>
                    </a:blip>
                    <a:srcRect/>
                    <a:stretch>
                      <a:fillRect/>
                    </a:stretch>
                  </pic:blipFill>
                  <pic:spPr bwMode="auto">
                    <a:xfrm>
                      <a:off x="0" y="0"/>
                      <a:ext cx="5621020" cy="212090"/>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-177165</wp:posOffset>
            </wp:positionV>
            <wp:extent cx="5621020" cy="2120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20">
                      <a:extLst>
                        <a:ext uri="{28A0092B-C50C-407E-A947-70E740481C1C}"/>
                      </a:extLst>
                    </a:blip>
                    <a:srcRect/>
                    <a:stretch>
                      <a:fillRect/>
                    </a:stretch>
                  </pic:blipFill>
                  <pic:spPr bwMode="auto">
                    <a:xfrm>
                      <a:off x="0" y="0"/>
                      <a:ext cx="5621020" cy="2120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628650</wp:posOffset>
            </wp:positionV>
            <wp:extent cx="3508375" cy="2857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21">
                      <a:extLst>
                        <a:ext uri="{28A0092B-C50C-407E-A947-70E740481C1C}"/>
                      </a:extLst>
                    </a:blip>
                    <a:srcRect/>
                    <a:stretch>
                      <a:fillRect/>
                    </a:stretch>
                  </pic:blipFill>
                  <pic:spPr bwMode="auto">
                    <a:xfrm>
                      <a:off x="0" y="0"/>
                      <a:ext cx="350837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1880" w:type="dxa"/>
            <w:vAlign w:val="bottom"/>
          </w:tcPr>
          <w:p>
            <w:pPr>
              <w:jc w:val="right"/>
              <w:ind w:right="350"/>
              <w:spacing w:after="0"/>
              <w:rPr>
                <w:sz w:val="20"/>
                <w:szCs w:val="20"/>
                <w:color w:val="auto"/>
              </w:rPr>
            </w:pPr>
            <w:r>
              <w:rPr>
                <w:rFonts w:ascii="Arial" w:cs="Arial" w:eastAsia="Arial" w:hAnsi="Arial"/>
                <w:sz w:val="18"/>
                <w:szCs w:val="18"/>
                <w:b w:val="1"/>
                <w:bCs w:val="1"/>
                <w:color w:val="auto"/>
              </w:rPr>
              <w:t>Equipment</w:t>
            </w: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37"/>
        </w:trPr>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Buildings</w:t>
            </w:r>
          </w:p>
        </w:tc>
        <w:tc>
          <w:tcPr>
            <w:tcW w:w="1880" w:type="dxa"/>
            <w:vAlign w:val="bottom"/>
          </w:tcPr>
          <w:p>
            <w:pPr>
              <w:jc w:val="right"/>
              <w:ind w:right="350"/>
              <w:spacing w:after="0"/>
              <w:rPr>
                <w:sz w:val="20"/>
                <w:szCs w:val="20"/>
                <w:color w:val="auto"/>
              </w:rPr>
            </w:pPr>
            <w:r>
              <w:rPr>
                <w:rFonts w:ascii="Arial" w:cs="Arial" w:eastAsia="Arial" w:hAnsi="Arial"/>
                <w:sz w:val="18"/>
                <w:szCs w:val="18"/>
                <w:b w:val="1"/>
                <w:bCs w:val="1"/>
                <w:color w:val="auto"/>
              </w:rPr>
              <w:t>and machinery</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r>
              <w:rPr>
                <w:rFonts w:ascii="Arial" w:cs="Arial" w:eastAsia="Arial" w:hAnsi="Arial"/>
                <w:sz w:val="24"/>
                <w:szCs w:val="24"/>
                <w:b w:val="1"/>
                <w:bCs w:val="1"/>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T</w:t>
            </w:r>
          </w:p>
        </w:tc>
      </w:tr>
      <w:tr>
        <w:trPr>
          <w:trHeight w:val="221"/>
        </w:trPr>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8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9"/>
                <w:szCs w:val="19"/>
                <w:color w:val="auto"/>
              </w:rPr>
            </w:pPr>
          </w:p>
        </w:tc>
      </w:tr>
      <w:tr>
        <w:trPr>
          <w:trHeight w:val="612"/>
        </w:trPr>
        <w:tc>
          <w:tcPr>
            <w:tcW w:w="980" w:type="dxa"/>
            <w:vAlign w:val="bottom"/>
          </w:tcPr>
          <w:p>
            <w:pPr>
              <w:jc w:val="right"/>
              <w:ind w:right="70"/>
              <w:spacing w:after="0"/>
              <w:rPr>
                <w:sz w:val="20"/>
                <w:szCs w:val="20"/>
                <w:color w:val="auto"/>
              </w:rPr>
            </w:pPr>
            <w:r>
              <w:rPr>
                <w:rFonts w:ascii="Arial" w:cs="Arial" w:eastAsia="Arial" w:hAnsi="Arial"/>
                <w:sz w:val="18"/>
                <w:szCs w:val="18"/>
                <w:color w:val="auto"/>
              </w:rPr>
              <w:t>5,437</w:t>
            </w:r>
          </w:p>
        </w:tc>
        <w:tc>
          <w:tcPr>
            <w:tcW w:w="1880" w:type="dxa"/>
            <w:vAlign w:val="bottom"/>
          </w:tcPr>
          <w:p>
            <w:pPr>
              <w:jc w:val="right"/>
              <w:ind w:right="350"/>
              <w:spacing w:after="0"/>
              <w:rPr>
                <w:sz w:val="20"/>
                <w:szCs w:val="20"/>
                <w:color w:val="auto"/>
              </w:rPr>
            </w:pPr>
            <w:r>
              <w:rPr>
                <w:rFonts w:ascii="Arial" w:cs="Arial" w:eastAsia="Arial" w:hAnsi="Arial"/>
                <w:sz w:val="18"/>
                <w:szCs w:val="18"/>
                <w:color w:val="auto"/>
              </w:rPr>
              <w:t>2,549</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1,002</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4"/>
        </w:trPr>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5,378</w:t>
            </w:r>
          </w:p>
        </w:tc>
        <w:tc>
          <w:tcPr>
            <w:tcW w:w="1880" w:type="dxa"/>
            <w:vAlign w:val="bottom"/>
          </w:tcPr>
          <w:p>
            <w:pPr>
              <w:jc w:val="right"/>
              <w:ind w:right="350"/>
              <w:spacing w:after="0"/>
              <w:rPr>
                <w:sz w:val="20"/>
                <w:szCs w:val="20"/>
                <w:color w:val="auto"/>
              </w:rPr>
            </w:pPr>
            <w:r>
              <w:rPr>
                <w:rFonts w:ascii="Arial" w:cs="Arial" w:eastAsia="Arial" w:hAnsi="Arial"/>
                <w:sz w:val="18"/>
                <w:szCs w:val="18"/>
                <w:b w:val="1"/>
                <w:bCs w:val="1"/>
                <w:color w:val="auto"/>
              </w:rPr>
              <w:t>2,529</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1,467</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-564515</wp:posOffset>
            </wp:positionV>
            <wp:extent cx="3508375" cy="635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22">
                      <a:extLst>
                        <a:ext uri="{28A0092B-C50C-407E-A947-70E740481C1C}"/>
                      </a:extLst>
                    </a:blip>
                    <a:srcRect/>
                    <a:stretch>
                      <a:fillRect/>
                    </a:stretch>
                  </pic:blipFill>
                  <pic:spPr bwMode="auto">
                    <a:xfrm>
                      <a:off x="0" y="0"/>
                      <a:ext cx="3508375" cy="635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-376555</wp:posOffset>
            </wp:positionV>
            <wp:extent cx="3508375" cy="635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23">
                      <a:extLst>
                        <a:ext uri="{28A0092B-C50C-407E-A947-70E740481C1C}"/>
                      </a:extLst>
                    </a:blip>
                    <a:srcRect/>
                    <a:stretch>
                      <a:fillRect/>
                    </a:stretch>
                  </pic:blipFill>
                  <pic:spPr bwMode="auto">
                    <a:xfrm>
                      <a:off x="0" y="0"/>
                      <a:ext cx="3508375" cy="6350"/>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-170815</wp:posOffset>
            </wp:positionV>
            <wp:extent cx="5621020" cy="20574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24">
                      <a:extLst>
                        <a:ext uri="{28A0092B-C50C-407E-A947-70E740481C1C}"/>
                      </a:extLst>
                    </a:blip>
                    <a:srcRect/>
                    <a:stretch>
                      <a:fillRect/>
                    </a:stretch>
                  </pic:blipFill>
                  <pic:spPr bwMode="auto">
                    <a:xfrm>
                      <a:off x="0" y="0"/>
                      <a:ext cx="56210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720"/>
            <w:col w:w="502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9 / 27</w:t>
      </w:r>
    </w:p>
    <w:p>
      <w:pPr>
        <w:sectPr>
          <w:pgSz w:w="11900" w:h="16838" w:orient="portrait"/>
          <w:cols w:equalWidth="0" w:num="1">
            <w:col w:w="10460"/>
          </w:cols>
          <w:pgMar w:left="1440" w:top="1440" w:right="6" w:bottom="0" w:gutter="0" w:footer="0" w:header="0"/>
          <w:type w:val="continuous"/>
        </w:sectPr>
      </w:pPr>
    </w:p>
    <w:bookmarkStart w:id="433" w:name="page434"/>
    <w:bookmarkEnd w:id="433"/>
    <w:p>
      <w:pPr>
        <w:ind w:left="1620" w:hanging="6"/>
        <w:spacing w:after="0" w:line="306" w:lineRule="auto"/>
        <w:tabs>
          <w:tab w:leader="none" w:pos="1732" w:val="left"/>
        </w:tabs>
        <w:numPr>
          <w:ilvl w:val="0"/>
          <w:numId w:val="165"/>
        </w:numPr>
        <w:rPr>
          <w:rFonts w:ascii="Arial" w:cs="Arial" w:eastAsia="Arial" w:hAnsi="Arial"/>
          <w:sz w:val="21"/>
          <w:szCs w:val="21"/>
          <w:color w:val="auto"/>
          <w:vertAlign w:val="superscript"/>
        </w:rPr>
      </w:pPr>
      <w:r>
        <w:rPr>
          <w:rFonts w:ascii="Arial" w:cs="Arial" w:eastAsia="Arial" w:hAnsi="Arial"/>
          <w:sz w:val="16"/>
          <w:szCs w:val="16"/>
          <w:color w:val="auto"/>
        </w:rPr>
        <w:t>The “Other” category includes right of use assets with a cost of $971 and $177 of accumulated depreciation as at Decemb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242570</wp:posOffset>
            </wp:positionV>
            <wp:extent cx="1676400" cy="1905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5">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206"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10 / 27</w:t>
      </w:r>
    </w:p>
    <w:p>
      <w:pPr>
        <w:sectPr>
          <w:pgSz w:w="11900" w:h="16838" w:orient="portrait"/>
          <w:cols w:equalWidth="0" w:num="1">
            <w:col w:w="10460"/>
          </w:cols>
          <w:pgMar w:left="1440" w:top="1206" w:right="6" w:bottom="0" w:gutter="0" w:footer="0" w:header="0"/>
          <w:type w:val="continuous"/>
        </w:sectPr>
      </w:pPr>
    </w:p>
    <w:bookmarkStart w:id="434" w:name="page435"/>
    <w:bookmarkEnd w:id="4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200" w:lineRule="exact"/>
        <w:rPr>
          <w:sz w:val="20"/>
          <w:szCs w:val="20"/>
          <w:color w:val="auto"/>
        </w:rPr>
      </w:pPr>
    </w:p>
    <w:p>
      <w:pPr>
        <w:spacing w:after="0" w:line="307" w:lineRule="exact"/>
        <w:rPr>
          <w:sz w:val="20"/>
          <w:szCs w:val="20"/>
          <w:color w:val="auto"/>
        </w:rPr>
      </w:pPr>
    </w:p>
    <w:p>
      <w:pPr>
        <w:ind w:left="1620" w:right="4380" w:hanging="726"/>
        <w:spacing w:after="0" w:line="554" w:lineRule="auto"/>
        <w:tabs>
          <w:tab w:leader="none" w:pos="1620" w:val="left"/>
        </w:tabs>
        <w:numPr>
          <w:ilvl w:val="0"/>
          <w:numId w:val="166"/>
        </w:numPr>
        <w:rPr>
          <w:rFonts w:ascii="Arial" w:cs="Arial" w:eastAsia="Arial" w:hAnsi="Arial"/>
          <w:sz w:val="19"/>
          <w:szCs w:val="19"/>
          <w:b w:val="1"/>
          <w:bCs w:val="1"/>
          <w:color w:val="153A57"/>
        </w:rPr>
      </w:pPr>
      <w:r>
        <w:rPr>
          <w:rFonts w:ascii="Arial" w:cs="Arial" w:eastAsia="Arial" w:hAnsi="Arial"/>
          <w:sz w:val="19"/>
          <w:szCs w:val="19"/>
          <w:b w:val="1"/>
          <w:bCs w:val="1"/>
          <w:color w:val="153A57"/>
        </w:rPr>
        <w:t xml:space="preserve">EXPLORATION AND EVALUATION ASSETS </w:t>
      </w:r>
      <w:r>
        <w:rPr>
          <w:rFonts w:ascii="Arial" w:cs="Arial" w:eastAsia="Arial" w:hAnsi="Arial"/>
          <w:sz w:val="19"/>
          <w:szCs w:val="19"/>
          <w:color w:val="000000"/>
        </w:rPr>
        <w:t>Exploration and evaluation assets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55245</wp:posOffset>
            </wp:positionV>
            <wp:extent cx="5621020" cy="2857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7">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155"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2420" w:type="dxa"/>
            <w:vAlign w:val="bottom"/>
          </w:tcPr>
          <w:p>
            <w:pPr>
              <w:jc w:val="right"/>
              <w:ind w:right="210"/>
              <w:spacing w:after="0"/>
              <w:rPr>
                <w:sz w:val="20"/>
                <w:szCs w:val="20"/>
                <w:color w:val="auto"/>
              </w:rPr>
            </w:pPr>
            <w:r>
              <w:rPr>
                <w:rFonts w:ascii="Arial" w:cs="Arial" w:eastAsia="Arial" w:hAnsi="Arial"/>
                <w:sz w:val="18"/>
                <w:szCs w:val="18"/>
                <w:b w:val="1"/>
                <w:bCs w:val="1"/>
                <w:color w:val="auto"/>
              </w:rPr>
              <w:t>Millennial Projects</w:t>
            </w:r>
          </w:p>
        </w:tc>
        <w:tc>
          <w:tcPr>
            <w:tcW w:w="1780" w:type="dxa"/>
            <w:vAlign w:val="bottom"/>
          </w:tcPr>
          <w:p>
            <w:pPr>
              <w:jc w:val="right"/>
              <w:ind w:right="330"/>
              <w:spacing w:after="0"/>
              <w:rPr>
                <w:sz w:val="20"/>
                <w:szCs w:val="20"/>
                <w:color w:val="auto"/>
              </w:rPr>
            </w:pPr>
            <w:r>
              <w:rPr>
                <w:rFonts w:ascii="Arial" w:cs="Arial" w:eastAsia="Arial" w:hAnsi="Arial"/>
                <w:sz w:val="18"/>
                <w:szCs w:val="18"/>
                <w:b w:val="1"/>
                <w:bCs w:val="1"/>
                <w:color w:val="auto"/>
              </w:rPr>
              <w:t>Other Claims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T</w:t>
            </w:r>
          </w:p>
        </w:tc>
      </w:tr>
      <w:tr>
        <w:trPr>
          <w:trHeight w:val="286"/>
        </w:trPr>
        <w:tc>
          <w:tcPr>
            <w:tcW w:w="3900" w:type="dxa"/>
            <w:vAlign w:val="bottom"/>
          </w:tcPr>
          <w:p>
            <w:pPr>
              <w:spacing w:after="0"/>
              <w:rPr>
                <w:sz w:val="24"/>
                <w:szCs w:val="24"/>
                <w:color w:val="auto"/>
              </w:rPr>
            </w:pPr>
          </w:p>
        </w:tc>
        <w:tc>
          <w:tcPr>
            <w:tcW w:w="24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7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4"/>
                <w:szCs w:val="24"/>
                <w:color w:val="auto"/>
              </w:rPr>
            </w:pPr>
          </w:p>
        </w:tc>
      </w:tr>
      <w:tr>
        <w:trPr>
          <w:trHeight w:val="296"/>
        </w:trPr>
        <w:tc>
          <w:tcPr>
            <w:tcW w:w="3900" w:type="dxa"/>
            <w:vAlign w:val="bottom"/>
          </w:tcPr>
          <w:p>
            <w:pPr>
              <w:spacing w:after="0"/>
              <w:rPr>
                <w:sz w:val="20"/>
                <w:szCs w:val="20"/>
                <w:color w:val="auto"/>
              </w:rPr>
            </w:pPr>
            <w:r>
              <w:rPr>
                <w:rFonts w:ascii="Arial" w:cs="Arial" w:eastAsia="Arial" w:hAnsi="Arial"/>
                <w:sz w:val="18"/>
                <w:szCs w:val="18"/>
                <w:b w:val="1"/>
                <w:bCs w:val="1"/>
                <w:color w:val="auto"/>
              </w:rPr>
              <w:t>Total exploration and evaluation assets</w:t>
            </w:r>
          </w:p>
        </w:tc>
        <w:tc>
          <w:tcPr>
            <w:tcW w:w="2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6"/>
        </w:trPr>
        <w:tc>
          <w:tcPr>
            <w:tcW w:w="3900" w:type="dxa"/>
            <w:vAlign w:val="bottom"/>
          </w:tcPr>
          <w:p>
            <w:pPr>
              <w:spacing w:after="0"/>
              <w:rPr>
                <w:sz w:val="20"/>
                <w:szCs w:val="20"/>
                <w:color w:val="auto"/>
              </w:rPr>
            </w:pPr>
            <w:r>
              <w:rPr>
                <w:rFonts w:ascii="Arial" w:cs="Arial" w:eastAsia="Arial" w:hAnsi="Arial"/>
                <w:sz w:val="18"/>
                <w:szCs w:val="18"/>
                <w:color w:val="auto"/>
              </w:rPr>
              <w:t>As at December 31, 2023</w:t>
            </w:r>
          </w:p>
        </w:tc>
        <w:tc>
          <w:tcPr>
            <w:tcW w:w="2420" w:type="dxa"/>
            <w:vAlign w:val="bottom"/>
          </w:tcPr>
          <w:p>
            <w:pPr>
              <w:jc w:val="right"/>
              <w:ind w:right="210"/>
              <w:spacing w:after="0"/>
              <w:rPr>
                <w:sz w:val="20"/>
                <w:szCs w:val="20"/>
                <w:color w:val="auto"/>
              </w:rPr>
            </w:pPr>
            <w:r>
              <w:rPr>
                <w:rFonts w:ascii="Arial" w:cs="Arial" w:eastAsia="Arial" w:hAnsi="Arial"/>
                <w:sz w:val="18"/>
                <w:szCs w:val="18"/>
                <w:color w:val="auto"/>
              </w:rPr>
              <w:t>341,707</w:t>
            </w:r>
          </w:p>
        </w:tc>
        <w:tc>
          <w:tcPr>
            <w:tcW w:w="1780" w:type="dxa"/>
            <w:vAlign w:val="bottom"/>
          </w:tcPr>
          <w:p>
            <w:pPr>
              <w:jc w:val="right"/>
              <w:ind w:right="330"/>
              <w:spacing w:after="0"/>
              <w:rPr>
                <w:sz w:val="20"/>
                <w:szCs w:val="20"/>
                <w:color w:val="auto"/>
              </w:rPr>
            </w:pPr>
            <w:r>
              <w:rPr>
                <w:rFonts w:ascii="Arial" w:cs="Arial" w:eastAsia="Arial" w:hAnsi="Arial"/>
                <w:sz w:val="18"/>
                <w:szCs w:val="18"/>
                <w:color w:val="auto"/>
              </w:rPr>
              <w:t>1,385</w:t>
            </w:r>
          </w:p>
        </w:tc>
        <w:tc>
          <w:tcPr>
            <w:tcW w:w="74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314"/>
        </w:trPr>
        <w:tc>
          <w:tcPr>
            <w:tcW w:w="3900" w:type="dxa"/>
            <w:vAlign w:val="bottom"/>
          </w:tcPr>
          <w:p>
            <w:pPr>
              <w:ind w:left="200"/>
              <w:spacing w:after="0"/>
              <w:rPr>
                <w:sz w:val="20"/>
                <w:szCs w:val="20"/>
                <w:color w:val="auto"/>
              </w:rPr>
            </w:pPr>
            <w:r>
              <w:rPr>
                <w:rFonts w:ascii="Arial" w:cs="Arial" w:eastAsia="Arial" w:hAnsi="Arial"/>
                <w:sz w:val="18"/>
                <w:szCs w:val="18"/>
                <w:color w:val="auto"/>
              </w:rPr>
              <w:t>Additions</w:t>
            </w:r>
          </w:p>
        </w:tc>
        <w:tc>
          <w:tcPr>
            <w:tcW w:w="2420" w:type="dxa"/>
            <w:vAlign w:val="bottom"/>
          </w:tcPr>
          <w:p>
            <w:pPr>
              <w:jc w:val="right"/>
              <w:ind w:right="210"/>
              <w:spacing w:after="0"/>
              <w:rPr>
                <w:sz w:val="20"/>
                <w:szCs w:val="20"/>
                <w:color w:val="auto"/>
              </w:rPr>
            </w:pPr>
            <w:r>
              <w:rPr>
                <w:rFonts w:ascii="Arial" w:cs="Arial" w:eastAsia="Arial" w:hAnsi="Arial"/>
                <w:sz w:val="18"/>
                <w:szCs w:val="18"/>
                <w:color w:val="auto"/>
              </w:rPr>
              <w:t>702</w:t>
            </w:r>
          </w:p>
        </w:tc>
        <w:tc>
          <w:tcPr>
            <w:tcW w:w="17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As at December 31, 2024</w:t>
            </w:r>
          </w:p>
        </w:tc>
        <w:tc>
          <w:tcPr>
            <w:tcW w:w="2420" w:type="dxa"/>
            <w:vAlign w:val="bottom"/>
          </w:tcPr>
          <w:p>
            <w:pPr>
              <w:jc w:val="right"/>
              <w:ind w:right="210"/>
              <w:spacing w:after="0"/>
              <w:rPr>
                <w:sz w:val="20"/>
                <w:szCs w:val="20"/>
                <w:color w:val="auto"/>
              </w:rPr>
            </w:pPr>
            <w:r>
              <w:rPr>
                <w:rFonts w:ascii="Arial" w:cs="Arial" w:eastAsia="Arial" w:hAnsi="Arial"/>
                <w:sz w:val="18"/>
                <w:szCs w:val="18"/>
                <w:color w:val="auto"/>
              </w:rPr>
              <w:t>342,409</w:t>
            </w:r>
          </w:p>
        </w:tc>
        <w:tc>
          <w:tcPr>
            <w:tcW w:w="1780" w:type="dxa"/>
            <w:vAlign w:val="bottom"/>
          </w:tcPr>
          <w:p>
            <w:pPr>
              <w:jc w:val="right"/>
              <w:ind w:right="330"/>
              <w:spacing w:after="0"/>
              <w:rPr>
                <w:sz w:val="20"/>
                <w:szCs w:val="20"/>
                <w:color w:val="auto"/>
              </w:rPr>
            </w:pPr>
            <w:r>
              <w:rPr>
                <w:rFonts w:ascii="Arial" w:cs="Arial" w:eastAsia="Arial" w:hAnsi="Arial"/>
                <w:sz w:val="18"/>
                <w:szCs w:val="18"/>
                <w:color w:val="auto"/>
              </w:rPr>
              <w:t>1,385</w:t>
            </w:r>
          </w:p>
        </w:tc>
        <w:tc>
          <w:tcPr>
            <w:tcW w:w="74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55"/>
        </w:trPr>
        <w:tc>
          <w:tcPr>
            <w:tcW w:w="39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70"/>
        </w:trPr>
        <w:tc>
          <w:tcPr>
            <w:tcW w:w="3900" w:type="dxa"/>
            <w:vAlign w:val="bottom"/>
            <w:shd w:val="clear" w:color="auto" w:fill="D9D9D9"/>
          </w:tcPr>
          <w:p>
            <w:pPr>
              <w:ind w:left="200"/>
              <w:spacing w:after="0"/>
              <w:rPr>
                <w:sz w:val="20"/>
                <w:szCs w:val="20"/>
                <w:color w:val="auto"/>
              </w:rPr>
            </w:pPr>
            <w:r>
              <w:rPr>
                <w:rFonts w:ascii="Arial" w:cs="Arial" w:eastAsia="Arial" w:hAnsi="Arial"/>
                <w:sz w:val="18"/>
                <w:szCs w:val="18"/>
                <w:color w:val="auto"/>
              </w:rPr>
              <w:t>Additions</w:t>
            </w:r>
          </w:p>
        </w:tc>
        <w:tc>
          <w:tcPr>
            <w:tcW w:w="2420" w:type="dxa"/>
            <w:vAlign w:val="bottom"/>
            <w:shd w:val="clear" w:color="auto" w:fill="D9D9D9"/>
          </w:tcPr>
          <w:p>
            <w:pPr>
              <w:jc w:val="right"/>
              <w:ind w:right="210"/>
              <w:spacing w:after="0"/>
              <w:rPr>
                <w:sz w:val="20"/>
                <w:szCs w:val="20"/>
                <w:color w:val="auto"/>
              </w:rPr>
            </w:pPr>
            <w:r>
              <w:rPr>
                <w:rFonts w:ascii="Arial" w:cs="Arial" w:eastAsia="Arial" w:hAnsi="Arial"/>
                <w:sz w:val="18"/>
                <w:szCs w:val="18"/>
                <w:color w:val="auto"/>
              </w:rPr>
              <w:t>229</w:t>
            </w:r>
          </w:p>
        </w:tc>
        <w:tc>
          <w:tcPr>
            <w:tcW w:w="1780" w:type="dxa"/>
            <w:vAlign w:val="bottom"/>
            <w:shd w:val="clear" w:color="auto" w:fill="D9D9D9"/>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shd w:val="clear" w:color="auto" w:fill="D9D9D9"/>
          </w:tcPr>
          <w:p>
            <w:pPr>
              <w:spacing w:after="0"/>
              <w:rPr>
                <w:sz w:val="23"/>
                <w:szCs w:val="23"/>
                <w:color w:val="auto"/>
              </w:rPr>
            </w:pPr>
          </w:p>
        </w:tc>
      </w:tr>
      <w:tr>
        <w:trPr>
          <w:trHeight w:val="323"/>
        </w:trPr>
        <w:tc>
          <w:tcPr>
            <w:tcW w:w="3900" w:type="dxa"/>
            <w:vAlign w:val="bottom"/>
            <w:shd w:val="clear" w:color="auto" w:fill="D9D9D9"/>
          </w:tcPr>
          <w:p>
            <w:pPr>
              <w:ind w:left="200"/>
              <w:spacing w:after="0"/>
              <w:rPr>
                <w:sz w:val="20"/>
                <w:szCs w:val="20"/>
                <w:color w:val="auto"/>
              </w:rPr>
            </w:pPr>
            <w:r>
              <w:rPr>
                <w:rFonts w:ascii="Arial" w:cs="Arial" w:eastAsia="Arial" w:hAnsi="Arial"/>
                <w:sz w:val="18"/>
                <w:szCs w:val="18"/>
                <w:color w:val="auto"/>
              </w:rPr>
              <w:t>Disposals</w:t>
            </w:r>
          </w:p>
        </w:tc>
        <w:tc>
          <w:tcPr>
            <w:tcW w:w="2420" w:type="dxa"/>
            <w:vAlign w:val="bottom"/>
            <w:shd w:val="clear" w:color="auto" w:fill="D9D9D9"/>
          </w:tcPr>
          <w:p>
            <w:pPr>
              <w:jc w:val="right"/>
              <w:ind w:right="150"/>
              <w:spacing w:after="0"/>
              <w:rPr>
                <w:sz w:val="20"/>
                <w:szCs w:val="20"/>
                <w:color w:val="auto"/>
              </w:rPr>
            </w:pPr>
            <w:r>
              <w:rPr>
                <w:rFonts w:ascii="Arial" w:cs="Arial" w:eastAsia="Arial" w:hAnsi="Arial"/>
                <w:sz w:val="18"/>
                <w:szCs w:val="18"/>
                <w:color w:val="auto"/>
              </w:rPr>
              <w:t>(3,009)</w:t>
            </w:r>
          </w:p>
        </w:tc>
        <w:tc>
          <w:tcPr>
            <w:tcW w:w="1780" w:type="dxa"/>
            <w:vAlign w:val="bottom"/>
            <w:shd w:val="clear" w:color="auto" w:fill="D9D9D9"/>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w:t>
            </w:r>
          </w:p>
        </w:tc>
      </w:tr>
      <w:tr>
        <w:trPr>
          <w:trHeight w:val="46"/>
        </w:trPr>
        <w:tc>
          <w:tcPr>
            <w:tcW w:w="3900" w:type="dxa"/>
            <w:vAlign w:val="bottom"/>
            <w:shd w:val="clear" w:color="auto" w:fill="D9D9D9"/>
          </w:tcPr>
          <w:p>
            <w:pPr>
              <w:spacing w:after="0"/>
              <w:rPr>
                <w:sz w:val="4"/>
                <w:szCs w:val="4"/>
                <w:color w:val="auto"/>
              </w:rPr>
            </w:pPr>
          </w:p>
        </w:tc>
        <w:tc>
          <w:tcPr>
            <w:tcW w:w="2420" w:type="dxa"/>
            <w:vAlign w:val="bottom"/>
            <w:shd w:val="clear" w:color="auto" w:fill="D9D9D9"/>
          </w:tcPr>
          <w:p>
            <w:pPr>
              <w:spacing w:after="0"/>
              <w:rPr>
                <w:sz w:val="4"/>
                <w:szCs w:val="4"/>
                <w:color w:val="auto"/>
              </w:rPr>
            </w:pPr>
          </w:p>
        </w:tc>
        <w:tc>
          <w:tcPr>
            <w:tcW w:w="1780" w:type="dxa"/>
            <w:vAlign w:val="bottom"/>
            <w:shd w:val="clear" w:color="auto" w:fill="D9D9D9"/>
          </w:tcPr>
          <w:p>
            <w:pPr>
              <w:spacing w:after="0"/>
              <w:rPr>
                <w:sz w:val="4"/>
                <w:szCs w:val="4"/>
                <w:color w:val="auto"/>
              </w:rPr>
            </w:pPr>
          </w:p>
        </w:tc>
        <w:tc>
          <w:tcPr>
            <w:tcW w:w="740" w:type="dxa"/>
            <w:vAlign w:val="bottom"/>
            <w:shd w:val="clear" w:color="auto" w:fill="D9D9D9"/>
          </w:tcPr>
          <w:p>
            <w:pPr>
              <w:spacing w:after="0"/>
              <w:rPr>
                <w:sz w:val="4"/>
                <w:szCs w:val="4"/>
                <w:color w:val="auto"/>
              </w:rPr>
            </w:pPr>
          </w:p>
        </w:tc>
      </w:tr>
      <w:tr>
        <w:trPr>
          <w:trHeight w:val="270"/>
        </w:trPr>
        <w:tc>
          <w:tcPr>
            <w:tcW w:w="3900" w:type="dxa"/>
            <w:vAlign w:val="bottom"/>
            <w:shd w:val="clear" w:color="auto" w:fill="D9D9D9"/>
          </w:tcPr>
          <w:p>
            <w:pPr>
              <w:spacing w:after="0"/>
              <w:rPr>
                <w:sz w:val="20"/>
                <w:szCs w:val="20"/>
                <w:color w:val="auto"/>
              </w:rPr>
            </w:pPr>
            <w:r>
              <w:rPr>
                <w:rFonts w:ascii="Arial" w:cs="Arial" w:eastAsia="Arial" w:hAnsi="Arial"/>
                <w:sz w:val="18"/>
                <w:szCs w:val="18"/>
                <w:b w:val="1"/>
                <w:bCs w:val="1"/>
                <w:color w:val="auto"/>
              </w:rPr>
              <w:t>As at December 31, 2025</w:t>
            </w:r>
          </w:p>
        </w:tc>
        <w:tc>
          <w:tcPr>
            <w:tcW w:w="2420" w:type="dxa"/>
            <w:vAlign w:val="bottom"/>
            <w:shd w:val="clear" w:color="auto" w:fill="D9D9D9"/>
          </w:tcPr>
          <w:p>
            <w:pPr>
              <w:jc w:val="right"/>
              <w:ind w:right="210"/>
              <w:spacing w:after="0"/>
              <w:rPr>
                <w:sz w:val="20"/>
                <w:szCs w:val="20"/>
                <w:color w:val="auto"/>
              </w:rPr>
            </w:pPr>
            <w:r>
              <w:rPr>
                <w:rFonts w:ascii="Arial" w:cs="Arial" w:eastAsia="Arial" w:hAnsi="Arial"/>
                <w:sz w:val="18"/>
                <w:szCs w:val="18"/>
                <w:b w:val="1"/>
                <w:bCs w:val="1"/>
                <w:color w:val="auto"/>
              </w:rPr>
              <w:t>339,629</w:t>
            </w:r>
          </w:p>
        </w:tc>
        <w:tc>
          <w:tcPr>
            <w:tcW w:w="1780" w:type="dxa"/>
            <w:vAlign w:val="bottom"/>
            <w:shd w:val="clear" w:color="auto" w:fill="D9D9D9"/>
          </w:tcPr>
          <w:p>
            <w:pPr>
              <w:jc w:val="right"/>
              <w:ind w:right="330"/>
              <w:spacing w:after="0"/>
              <w:rPr>
                <w:sz w:val="20"/>
                <w:szCs w:val="20"/>
                <w:color w:val="auto"/>
              </w:rPr>
            </w:pPr>
            <w:r>
              <w:rPr>
                <w:rFonts w:ascii="Arial" w:cs="Arial" w:eastAsia="Arial" w:hAnsi="Arial"/>
                <w:sz w:val="18"/>
                <w:szCs w:val="18"/>
                <w:b w:val="1"/>
                <w:bCs w:val="1"/>
                <w:color w:val="auto"/>
              </w:rPr>
              <w:t>1,385</w:t>
            </w:r>
          </w:p>
        </w:tc>
        <w:tc>
          <w:tcPr>
            <w:tcW w:w="740" w:type="dxa"/>
            <w:vAlign w:val="bottom"/>
            <w:shd w:val="clear" w:color="auto" w:fill="D9D9D9"/>
          </w:tcPr>
          <w:p>
            <w:pPr>
              <w:jc w:val="right"/>
              <w:spacing w:after="0"/>
              <w:rPr>
                <w:sz w:val="20"/>
                <w:szCs w:val="20"/>
                <w:color w:val="auto"/>
              </w:rPr>
            </w:pPr>
            <w:r>
              <w:rPr>
                <w:rFonts w:ascii="Arial" w:cs="Arial" w:eastAsia="Arial" w:hAnsi="Arial"/>
                <w:sz w:val="18"/>
                <w:szCs w:val="18"/>
                <w:b w:val="1"/>
                <w:bCs w:val="1"/>
                <w:color w:val="auto"/>
              </w:rPr>
              <w:t>341,</w:t>
            </w:r>
          </w:p>
        </w:tc>
      </w:tr>
      <w:tr>
        <w:trPr>
          <w:trHeight w:val="55"/>
        </w:trPr>
        <w:tc>
          <w:tcPr>
            <w:tcW w:w="3900" w:type="dxa"/>
            <w:vAlign w:val="bottom"/>
            <w:shd w:val="clear" w:color="auto" w:fill="D9D9D9"/>
          </w:tcPr>
          <w:p>
            <w:pPr>
              <w:spacing w:after="0"/>
              <w:rPr>
                <w:sz w:val="4"/>
                <w:szCs w:val="4"/>
                <w:color w:val="auto"/>
              </w:rPr>
            </w:pPr>
          </w:p>
        </w:tc>
        <w:tc>
          <w:tcPr>
            <w:tcW w:w="2420" w:type="dxa"/>
            <w:vAlign w:val="bottom"/>
            <w:shd w:val="clear" w:color="auto" w:fill="D9D9D9"/>
          </w:tcPr>
          <w:p>
            <w:pPr>
              <w:spacing w:after="0"/>
              <w:rPr>
                <w:sz w:val="4"/>
                <w:szCs w:val="4"/>
                <w:color w:val="auto"/>
              </w:rPr>
            </w:pPr>
          </w:p>
        </w:tc>
        <w:tc>
          <w:tcPr>
            <w:tcW w:w="1780" w:type="dxa"/>
            <w:vAlign w:val="bottom"/>
            <w:shd w:val="clear" w:color="auto" w:fill="D9D9D9"/>
          </w:tcPr>
          <w:p>
            <w:pPr>
              <w:spacing w:after="0"/>
              <w:rPr>
                <w:sz w:val="4"/>
                <w:szCs w:val="4"/>
                <w:color w:val="auto"/>
              </w:rPr>
            </w:pPr>
          </w:p>
        </w:tc>
        <w:tc>
          <w:tcPr>
            <w:tcW w:w="740" w:type="dxa"/>
            <w:vAlign w:val="bottom"/>
            <w:shd w:val="clear" w:color="auto" w:fill="D9D9D9"/>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-1416685</wp:posOffset>
            </wp:positionV>
            <wp:extent cx="5621020" cy="635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8">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-1228725</wp:posOffset>
            </wp:positionV>
            <wp:extent cx="5621020" cy="635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9">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-823595</wp:posOffset>
            </wp:positionV>
            <wp:extent cx="5621020" cy="635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30">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-617220</wp:posOffset>
            </wp:positionV>
            <wp:extent cx="5621020" cy="635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31">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-211455</wp:posOffset>
            </wp:positionV>
            <wp:extent cx="5621020" cy="635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32">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-5715</wp:posOffset>
            </wp:positionV>
            <wp:extent cx="5621020" cy="635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33">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320" w:lineRule="exact"/>
        <w:rPr>
          <w:sz w:val="20"/>
          <w:szCs w:val="20"/>
          <w:color w:val="auto"/>
        </w:rPr>
      </w:pPr>
    </w:p>
    <w:p>
      <w:pPr>
        <w:jc w:val="both"/>
        <w:ind w:left="1620"/>
        <w:spacing w:after="0" w:line="311" w:lineRule="auto"/>
        <w:rPr>
          <w:sz w:val="20"/>
          <w:szCs w:val="20"/>
          <w:color w:val="auto"/>
        </w:rPr>
      </w:pPr>
      <w:r>
        <w:rPr>
          <w:rFonts w:ascii="Arial" w:cs="Arial" w:eastAsia="Arial" w:hAnsi="Arial"/>
          <w:sz w:val="20"/>
          <w:szCs w:val="20"/>
          <w:color w:val="auto"/>
        </w:rPr>
        <w:t>In September 2025, the Company’s subsidiary, PGCo sold certain mineral property rights relatin mining claims located in the eastern part of the Cauchari salar in Argentina to Minera Exar for proc equal to its acquisition cost of $3,009, resulting in no gain or loss on disposal.</w:t>
      </w:r>
    </w:p>
    <w:p>
      <w:pPr>
        <w:spacing w:after="0" w:line="313" w:lineRule="exact"/>
        <w:rPr>
          <w:sz w:val="20"/>
          <w:szCs w:val="20"/>
          <w:color w:val="auto"/>
        </w:rPr>
      </w:pPr>
    </w:p>
    <w:p>
      <w:pPr>
        <w:jc w:val="both"/>
        <w:ind w:left="1620"/>
        <w:spacing w:after="0" w:line="334" w:lineRule="auto"/>
        <w:rPr>
          <w:sz w:val="20"/>
          <w:szCs w:val="20"/>
          <w:color w:val="auto"/>
        </w:rPr>
      </w:pPr>
      <w:r>
        <w:rPr>
          <w:rFonts w:ascii="Arial" w:cs="Arial" w:eastAsia="Arial" w:hAnsi="Arial"/>
          <w:sz w:val="19"/>
          <w:szCs w:val="19"/>
          <w:color w:val="auto"/>
        </w:rPr>
        <w:t>The Company has certain commitments for royalty and other payments to be made for Pastos Gra as set out below. These amounts will only be payable if the Company continues to hold the re claims, and the royalties will only be incurred if the Company commences production from the projec</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Pastos Grandes:</w:t>
      </w:r>
    </w:p>
    <w:p>
      <w:pPr>
        <w:spacing w:after="0" w:line="279" w:lineRule="exact"/>
        <w:rPr>
          <w:sz w:val="20"/>
          <w:szCs w:val="20"/>
          <w:color w:val="auto"/>
        </w:rPr>
      </w:pPr>
    </w:p>
    <w:p>
      <w:pPr>
        <w:ind w:left="1980" w:hanging="366"/>
        <w:spacing w:after="0" w:line="305" w:lineRule="auto"/>
        <w:tabs>
          <w:tab w:leader="none" w:pos="1980" w:val="left"/>
        </w:tabs>
        <w:numPr>
          <w:ilvl w:val="1"/>
          <w:numId w:val="167"/>
        </w:numPr>
        <w:rPr>
          <w:rFonts w:ascii="Arial" w:cs="Arial" w:eastAsia="Arial" w:hAnsi="Arial"/>
          <w:sz w:val="20"/>
          <w:szCs w:val="20"/>
          <w:color w:val="auto"/>
        </w:rPr>
      </w:pPr>
      <w:r>
        <w:rPr>
          <w:rFonts w:ascii="Arial" w:cs="Arial" w:eastAsia="Arial" w:hAnsi="Arial"/>
          <w:sz w:val="20"/>
          <w:szCs w:val="20"/>
          <w:color w:val="auto"/>
        </w:rPr>
        <w:t>1.5% royalty on gross operating revenues from production from certain Pastos Grandes cla payable to the original vendors of the project; and</w:t>
      </w:r>
    </w:p>
    <w:p>
      <w:pPr>
        <w:spacing w:after="0" w:line="208" w:lineRule="exact"/>
        <w:rPr>
          <w:rFonts w:ascii="Arial" w:cs="Arial" w:eastAsia="Arial" w:hAnsi="Arial"/>
          <w:sz w:val="20"/>
          <w:szCs w:val="20"/>
          <w:color w:val="auto"/>
        </w:rPr>
      </w:pPr>
    </w:p>
    <w:p>
      <w:pPr>
        <w:ind w:left="1980" w:hanging="366"/>
        <w:spacing w:after="0"/>
        <w:tabs>
          <w:tab w:leader="none" w:pos="1980" w:val="left"/>
        </w:tabs>
        <w:numPr>
          <w:ilvl w:val="1"/>
          <w:numId w:val="167"/>
        </w:numPr>
        <w:rPr>
          <w:rFonts w:ascii="Arial" w:cs="Arial" w:eastAsia="Arial" w:hAnsi="Arial"/>
          <w:sz w:val="20"/>
          <w:szCs w:val="20"/>
          <w:color w:val="auto"/>
        </w:rPr>
      </w:pPr>
      <w:r>
        <w:rPr>
          <w:rFonts w:ascii="Arial" w:cs="Arial" w:eastAsia="Arial" w:hAnsi="Arial"/>
          <w:sz w:val="20"/>
          <w:szCs w:val="20"/>
          <w:color w:val="auto"/>
        </w:rPr>
        <w:t>royalties of up to 3% of net-back income, payable to the Salta Province.</w:t>
      </w:r>
    </w:p>
    <w:p>
      <w:pPr>
        <w:spacing w:after="0" w:line="313" w:lineRule="exact"/>
        <w:rPr>
          <w:rFonts w:ascii="Arial" w:cs="Arial" w:eastAsia="Arial" w:hAnsi="Arial"/>
          <w:sz w:val="20"/>
          <w:szCs w:val="20"/>
          <w:color w:val="auto"/>
        </w:rPr>
      </w:pPr>
    </w:p>
    <w:p>
      <w:pPr>
        <w:ind w:left="1620" w:hanging="726"/>
        <w:spacing w:after="0"/>
        <w:tabs>
          <w:tab w:leader="none" w:pos="1620" w:val="left"/>
        </w:tabs>
        <w:numPr>
          <w:ilvl w:val="0"/>
          <w:numId w:val="167"/>
        </w:numPr>
        <w:rPr>
          <w:rFonts w:ascii="Arial" w:cs="Arial" w:eastAsia="Arial" w:hAnsi="Arial"/>
          <w:sz w:val="20"/>
          <w:szCs w:val="20"/>
          <w:b w:val="1"/>
          <w:bCs w:val="1"/>
          <w:color w:val="153A57"/>
        </w:rPr>
      </w:pPr>
      <w:r>
        <w:rPr>
          <w:rFonts w:ascii="Arial" w:cs="Arial" w:eastAsia="Arial" w:hAnsi="Arial"/>
          <w:sz w:val="20"/>
          <w:szCs w:val="20"/>
          <w:b w:val="1"/>
          <w:bCs w:val="1"/>
          <w:color w:val="153A57"/>
        </w:rPr>
        <w:t>EQUITY-SETTLEABLE CONVERTIBLE NOTES</w:t>
      </w:r>
    </w:p>
    <w:p>
      <w:pPr>
        <w:spacing w:after="0" w:line="293" w:lineRule="exact"/>
        <w:rPr>
          <w:rFonts w:ascii="Arial" w:cs="Arial" w:eastAsia="Arial" w:hAnsi="Arial"/>
          <w:sz w:val="20"/>
          <w:szCs w:val="20"/>
          <w:b w:val="1"/>
          <w:bCs w:val="1"/>
          <w:color w:val="153A57"/>
        </w:rPr>
      </w:pPr>
    </w:p>
    <w:p>
      <w:pPr>
        <w:jc w:val="both"/>
        <w:ind w:left="1620"/>
        <w:spacing w:after="0" w:line="312" w:lineRule="auto"/>
        <w:rPr>
          <w:rFonts w:ascii="Arial" w:cs="Arial" w:eastAsia="Arial" w:hAnsi="Arial"/>
          <w:sz w:val="20"/>
          <w:szCs w:val="20"/>
          <w:b w:val="1"/>
          <w:bCs w:val="1"/>
          <w:color w:val="153A57"/>
        </w:rPr>
      </w:pPr>
      <w:r>
        <w:rPr>
          <w:rFonts w:ascii="Arial" w:cs="Arial" w:eastAsia="Arial" w:hAnsi="Arial"/>
          <w:sz w:val="20"/>
          <w:szCs w:val="20"/>
          <w:color w:val="auto"/>
        </w:rPr>
        <w:t>On December 6, 2021, the Company closed an offering (the “Offering”) of $225,000 aggregate prin amount of 1.75% Convertible Notes due in 2027. On December 9, 2021, the initial purchasers unde Offering exercised in full their option to purchase up to an additional $33,750 aggregate principal am of the Convertible Notes, increasing the total Offering size to $258,750.</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11 / 27</w:t>
      </w:r>
    </w:p>
    <w:p>
      <w:pPr>
        <w:sectPr>
          <w:pgSz w:w="11900" w:h="16838" w:orient="portrait"/>
          <w:cols w:equalWidth="0" w:num="1">
            <w:col w:w="10460"/>
          </w:cols>
          <w:pgMar w:left="1440" w:top="1440" w:right="6" w:bottom="0" w:gutter="0" w:footer="0" w:header="0"/>
          <w:type w:val="continuous"/>
        </w:sectPr>
      </w:pPr>
    </w:p>
    <w:bookmarkStart w:id="435" w:name="page436"/>
    <w:bookmarkEnd w:id="435"/>
    <w:p>
      <w:pPr>
        <w:jc w:val="both"/>
        <w:ind w:left="1620"/>
        <w:spacing w:after="0" w:line="313" w:lineRule="auto"/>
        <w:rPr>
          <w:sz w:val="20"/>
          <w:szCs w:val="20"/>
          <w:color w:val="auto"/>
        </w:rPr>
      </w:pPr>
      <w:r>
        <w:rPr>
          <w:rFonts w:ascii="Arial" w:cs="Arial" w:eastAsia="Arial" w:hAnsi="Arial"/>
          <w:sz w:val="20"/>
          <w:szCs w:val="20"/>
          <w:color w:val="auto"/>
        </w:rPr>
        <w:t>The Convertible Notes represent financial instruments that include a debt host accounted for at amo cost, and a conversion option and a redemption option derivative, which are separated from the debt and accounted for at fair value, with changes in fair value recorded in the statement of comprehe loss. These derivatives are accounted for together as a single compound derivative when separated the debt host.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234315</wp:posOffset>
            </wp:positionV>
            <wp:extent cx="1676400" cy="19050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34">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12 / 27</w:t>
      </w:r>
    </w:p>
    <w:p>
      <w:pPr>
        <w:sectPr>
          <w:pgSz w:w="11900" w:h="16838" w:orient="portrait"/>
          <w:cols w:equalWidth="0" w:num="1">
            <w:col w:w="10460"/>
          </w:cols>
          <w:pgMar w:left="1440" w:top="1172" w:right="6" w:bottom="0" w:gutter="0" w:footer="0" w:header="0"/>
          <w:type w:val="continuous"/>
        </w:sectPr>
      </w:pPr>
    </w:p>
    <w:bookmarkStart w:id="436" w:name="page437"/>
    <w:bookmarkEnd w:id="4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200" w:lineRule="exact"/>
        <w:rPr>
          <w:sz w:val="20"/>
          <w:szCs w:val="20"/>
          <w:color w:val="auto"/>
        </w:rPr>
      </w:pPr>
    </w:p>
    <w:p>
      <w:pPr>
        <w:spacing w:after="0" w:line="300" w:lineRule="exact"/>
        <w:rPr>
          <w:sz w:val="20"/>
          <w:szCs w:val="20"/>
          <w:color w:val="auto"/>
        </w:rPr>
      </w:pPr>
    </w:p>
    <w:p>
      <w:pPr>
        <w:ind w:left="1620" w:hanging="726"/>
        <w:spacing w:after="0"/>
        <w:tabs>
          <w:tab w:leader="none" w:pos="1620" w:val="left"/>
        </w:tabs>
        <w:numPr>
          <w:ilvl w:val="0"/>
          <w:numId w:val="168"/>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EQUITY-SETTLEABLE CONVERTIBLE NOTES </w:t>
      </w:r>
      <w:r>
        <w:rPr>
          <w:rFonts w:ascii="Arial" w:cs="Arial" w:eastAsia="Arial" w:hAnsi="Arial"/>
          <w:sz w:val="20"/>
          <w:szCs w:val="20"/>
          <w:i w:val="1"/>
          <w:iCs w:val="1"/>
          <w:color w:val="153A57"/>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235585</wp:posOffset>
            </wp:positionV>
            <wp:extent cx="5621020" cy="2857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6">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right"/>
        <w:ind w:right="1060"/>
        <w:spacing w:after="0"/>
        <w:rPr>
          <w:sz w:val="20"/>
          <w:szCs w:val="20"/>
          <w:color w:val="auto"/>
        </w:rPr>
      </w:pPr>
      <w:r>
        <w:rPr>
          <w:rFonts w:ascii="Arial" w:cs="Arial" w:eastAsia="Arial" w:hAnsi="Arial"/>
          <w:sz w:val="18"/>
          <w:szCs w:val="18"/>
          <w:b w:val="1"/>
          <w:bCs w:val="1"/>
          <w:color w:val="auto"/>
        </w:rPr>
        <w:t>Convertible</w:t>
      </w:r>
    </w:p>
    <w:p>
      <w:pPr>
        <w:spacing w:after="0" w:line="65" w:lineRule="exact"/>
        <w:rPr>
          <w:sz w:val="20"/>
          <w:szCs w:val="20"/>
          <w:color w:val="auto"/>
        </w:rPr>
      </w:pPr>
    </w:p>
    <w:p>
      <w:pPr>
        <w:jc w:val="right"/>
        <w:ind w:right="1060"/>
        <w:spacing w:after="0"/>
        <w:rPr>
          <w:sz w:val="20"/>
          <w:szCs w:val="20"/>
          <w:color w:val="auto"/>
        </w:rPr>
      </w:pPr>
      <w:r>
        <w:rPr>
          <w:rFonts w:ascii="Arial" w:cs="Arial" w:eastAsia="Arial" w:hAnsi="Arial"/>
          <w:sz w:val="18"/>
          <w:szCs w:val="18"/>
          <w:b w:val="1"/>
          <w:bCs w:val="1"/>
          <w:color w:val="auto"/>
        </w:rPr>
        <w:t>note</w:t>
      </w:r>
    </w:p>
    <w:p>
      <w:pPr>
        <w:spacing w:after="0" w:line="65" w:lineRule="exact"/>
        <w:rPr>
          <w:sz w:val="20"/>
          <w:szCs w:val="20"/>
          <w:color w:val="auto"/>
        </w:rPr>
      </w:pPr>
    </w:p>
    <w:p>
      <w:pPr>
        <w:jc w:val="right"/>
        <w:spacing w:after="0"/>
        <w:tabs>
          <w:tab w:leader="none" w:pos="1820" w:val="left"/>
          <w:tab w:leader="none" w:pos="80" w:val="left"/>
        </w:tabs>
        <w:rPr>
          <w:sz w:val="20"/>
          <w:szCs w:val="20"/>
          <w:color w:val="auto"/>
        </w:rPr>
      </w:pPr>
      <w:r>
        <w:rPr>
          <w:rFonts w:ascii="Arial" w:cs="Arial" w:eastAsia="Arial" w:hAnsi="Arial"/>
          <w:sz w:val="18"/>
          <w:szCs w:val="18"/>
          <w:b w:val="1"/>
          <w:bCs w:val="1"/>
          <w:color w:val="auto"/>
        </w:rPr>
        <w:t>Debt host</w:t>
      </w:r>
      <w:r>
        <w:rPr>
          <w:sz w:val="20"/>
          <w:szCs w:val="20"/>
          <w:color w:val="auto"/>
        </w:rPr>
        <w:tab/>
      </w:r>
      <w:r>
        <w:rPr>
          <w:rFonts w:ascii="Arial" w:cs="Arial" w:eastAsia="Arial" w:hAnsi="Arial"/>
          <w:sz w:val="18"/>
          <w:szCs w:val="18"/>
          <w:b w:val="1"/>
          <w:bCs w:val="1"/>
          <w:color w:val="auto"/>
        </w:rPr>
        <w:t>derivative</w:t>
      </w:r>
      <w:r>
        <w:rPr>
          <w:sz w:val="20"/>
          <w:szCs w:val="20"/>
          <w:color w:val="auto"/>
        </w:rPr>
        <w:tab/>
      </w:r>
      <w:r>
        <w:rPr>
          <w:rFonts w:ascii="Arial" w:cs="Arial" w:eastAsia="Arial" w:hAnsi="Arial"/>
          <w:sz w:val="16"/>
          <w:szCs w:val="16"/>
          <w:b w:val="1"/>
          <w:bCs w:val="1"/>
          <w:color w:val="auto"/>
        </w:rPr>
        <w:t>T</w:t>
      </w:r>
    </w:p>
    <w:p>
      <w:pPr>
        <w:spacing w:after="0" w:line="79" w:lineRule="exact"/>
        <w:rPr>
          <w:sz w:val="20"/>
          <w:szCs w:val="20"/>
          <w:color w:val="auto"/>
        </w:rPr>
      </w:pPr>
    </w:p>
    <w:p>
      <w:pPr>
        <w:ind w:left="8040"/>
        <w:spacing w:after="0"/>
        <w:tabs>
          <w:tab w:leader="none" w:pos="93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22860</wp:posOffset>
            </wp:positionV>
            <wp:extent cx="5621020" cy="635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7">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6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22860</wp:posOffset>
            </wp:positionV>
            <wp:extent cx="5621020" cy="635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8">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41275</wp:posOffset>
            </wp:positionV>
            <wp:extent cx="3440430" cy="635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9">
                      <a:extLst>
                        <a:ext uri="{28A0092B-C50C-407E-A947-70E740481C1C}"/>
                      </a:extLst>
                    </a:blip>
                    <a:srcRect/>
                    <a:stretch>
                      <a:fillRect/>
                    </a:stretch>
                  </pic:blipFill>
                  <pic:spPr bwMode="auto">
                    <a:xfrm>
                      <a:off x="0" y="0"/>
                      <a:ext cx="3440430" cy="6350"/>
                    </a:xfrm>
                    <a:prstGeom prst="rect">
                      <a:avLst/>
                    </a:prstGeom>
                    <a:noFill/>
                  </pic:spPr>
                </pic:pic>
              </a:graphicData>
            </a:graphic>
          </wp:anchor>
        </w:drawing>
      </w:r>
    </w:p>
    <w:p>
      <w:pPr>
        <w:spacing w:after="0" w:line="9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Gain on change in fair value of convertible notes derivative</w:t>
      </w:r>
    </w:p>
    <w:p>
      <w:pPr>
        <w:spacing w:after="0" w:line="10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Accrued Interest</w:t>
      </w:r>
    </w:p>
    <w:p>
      <w:pPr>
        <w:spacing w:after="0" w:line="10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Interest payment</w:t>
      </w:r>
    </w:p>
    <w:p>
      <w:pPr>
        <w:spacing w:after="0" w:line="114" w:lineRule="exact"/>
        <w:rPr>
          <w:sz w:val="20"/>
          <w:szCs w:val="20"/>
          <w:color w:val="auto"/>
        </w:rPr>
      </w:pPr>
    </w:p>
    <w:p>
      <w:pPr>
        <w:ind w:left="1820" w:right="240"/>
        <w:spacing w:after="0" w:line="307" w:lineRule="auto"/>
        <w:rPr>
          <w:sz w:val="20"/>
          <w:szCs w:val="20"/>
          <w:color w:val="auto"/>
        </w:rPr>
      </w:pPr>
      <w:r>
        <w:rPr>
          <w:rFonts w:ascii="Arial" w:cs="Arial" w:eastAsia="Arial" w:hAnsi="Arial"/>
          <w:sz w:val="18"/>
          <w:szCs w:val="18"/>
          <w:color w:val="auto"/>
        </w:rPr>
        <w:t>Reclassification of short-term accrued interest to short-term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-12700</wp:posOffset>
            </wp:positionV>
            <wp:extent cx="3440430" cy="635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40">
                      <a:extLst>
                        <a:ext uri="{28A0092B-C50C-407E-A947-70E740481C1C}"/>
                      </a:extLst>
                    </a:blip>
                    <a:srcRect/>
                    <a:stretch>
                      <a:fillRect/>
                    </a:stretch>
                  </pic:blipFill>
                  <pic:spPr bwMode="auto">
                    <a:xfrm>
                      <a:off x="0" y="0"/>
                      <a:ext cx="3440430" cy="6350"/>
                    </a:xfrm>
                    <a:prstGeom prst="rect">
                      <a:avLst/>
                    </a:prstGeom>
                    <a:noFill/>
                  </pic:spPr>
                </pic:pic>
              </a:graphicData>
            </a:graphic>
          </wp:anchor>
        </w:drawing>
      </w:r>
    </w:p>
    <w:p>
      <w:pPr>
        <w:spacing w:after="0" w:line="1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41275</wp:posOffset>
            </wp:positionV>
            <wp:extent cx="5621020" cy="20574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41">
                      <a:extLst>
                        <a:ext uri="{28A0092B-C50C-407E-A947-70E740481C1C}"/>
                      </a:extLst>
                    </a:blip>
                    <a:srcRect/>
                    <a:stretch>
                      <a:fillRect/>
                    </a:stretch>
                  </pic:blipFill>
                  <pic:spPr bwMode="auto">
                    <a:xfrm>
                      <a:off x="0" y="0"/>
                      <a:ext cx="5621020" cy="205740"/>
                    </a:xfrm>
                    <a:prstGeom prst="rect">
                      <a:avLst/>
                    </a:prstGeom>
                    <a:noFill/>
                  </pic:spPr>
                </pic:pic>
              </a:graphicData>
            </a:graphic>
          </wp:anchor>
        </w:drawing>
      </w:r>
    </w:p>
    <w:p>
      <w:pPr>
        <w:spacing w:after="0" w:line="9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Loss on change in fair value of convertible notes derivative</w:t>
      </w:r>
    </w:p>
    <w:p>
      <w:pPr>
        <w:spacing w:after="0" w:line="10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Accrued Interest</w:t>
      </w:r>
    </w:p>
    <w:p>
      <w:pPr>
        <w:spacing w:after="0" w:line="10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Interest payment</w:t>
      </w:r>
    </w:p>
    <w:p>
      <w:pPr>
        <w:spacing w:after="0" w:line="114" w:lineRule="exact"/>
        <w:rPr>
          <w:sz w:val="20"/>
          <w:szCs w:val="20"/>
          <w:color w:val="auto"/>
        </w:rPr>
      </w:pPr>
    </w:p>
    <w:p>
      <w:pPr>
        <w:ind w:left="1820" w:right="240"/>
        <w:spacing w:after="0" w:line="307" w:lineRule="auto"/>
        <w:rPr>
          <w:sz w:val="20"/>
          <w:szCs w:val="20"/>
          <w:color w:val="auto"/>
        </w:rPr>
      </w:pPr>
      <w:r>
        <w:rPr>
          <w:rFonts w:ascii="Arial" w:cs="Arial" w:eastAsia="Arial" w:hAnsi="Arial"/>
          <w:sz w:val="18"/>
          <w:szCs w:val="18"/>
          <w:color w:val="auto"/>
        </w:rPr>
        <w:t>Reclassification of short-term accrued interest to short-term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-12700</wp:posOffset>
            </wp:positionV>
            <wp:extent cx="5621020" cy="2120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42">
                      <a:extLst>
                        <a:ext uri="{28A0092B-C50C-407E-A947-70E740481C1C}"/>
                      </a:extLst>
                    </a:blip>
                    <a:srcRect/>
                    <a:stretch>
                      <a:fillRect/>
                    </a:stretch>
                  </pic:blipFill>
                  <pic:spPr bwMode="auto">
                    <a:xfrm>
                      <a:off x="0" y="0"/>
                      <a:ext cx="5621020" cy="212090"/>
                    </a:xfrm>
                    <a:prstGeom prst="rect">
                      <a:avLst/>
                    </a:prstGeom>
                    <a:noFill/>
                  </pic:spPr>
                </pic:pic>
              </a:graphicData>
            </a:graphic>
          </wp:anchor>
        </w:drawing>
      </w:r>
    </w:p>
    <w:p>
      <w:pPr>
        <w:spacing w:after="0" w:line="1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at December 31, 2025</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310"/>
              <w:spacing w:after="0"/>
              <w:rPr>
                <w:sz w:val="20"/>
                <w:szCs w:val="20"/>
                <w:color w:val="auto"/>
              </w:rPr>
            </w:pPr>
            <w:r>
              <w:rPr>
                <w:rFonts w:ascii="Arial" w:cs="Arial" w:eastAsia="Arial" w:hAnsi="Arial"/>
                <w:sz w:val="18"/>
                <w:szCs w:val="18"/>
                <w:color w:val="auto"/>
                <w:w w:val="95"/>
              </w:rPr>
              <w:t>187,223</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13,138</w:t>
            </w:r>
          </w:p>
        </w:tc>
        <w:tc>
          <w:tcPr>
            <w:tcW w:w="6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324"/>
        </w:trPr>
        <w:tc>
          <w:tcPr>
            <w:tcW w:w="10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(12,530)</w:t>
            </w: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3"/>
        </w:trPr>
        <w:tc>
          <w:tcPr>
            <w:tcW w:w="1040" w:type="dxa"/>
            <w:vAlign w:val="bottom"/>
          </w:tcPr>
          <w:p>
            <w:pPr>
              <w:jc w:val="right"/>
              <w:ind w:right="310"/>
              <w:spacing w:after="0"/>
              <w:rPr>
                <w:sz w:val="20"/>
                <w:szCs w:val="20"/>
                <w:color w:val="auto"/>
              </w:rPr>
            </w:pPr>
            <w:r>
              <w:rPr>
                <w:rFonts w:ascii="Arial" w:cs="Arial" w:eastAsia="Arial" w:hAnsi="Arial"/>
                <w:sz w:val="18"/>
                <w:szCs w:val="18"/>
                <w:color w:val="auto"/>
              </w:rPr>
              <w:t>25,134</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4"/>
        </w:trPr>
        <w:tc>
          <w:tcPr>
            <w:tcW w:w="1040" w:type="dxa"/>
            <w:vAlign w:val="bottom"/>
          </w:tcPr>
          <w:p>
            <w:pPr>
              <w:jc w:val="right"/>
              <w:ind w:right="230"/>
              <w:spacing w:after="0"/>
              <w:rPr>
                <w:sz w:val="20"/>
                <w:szCs w:val="20"/>
                <w:color w:val="auto"/>
              </w:rPr>
            </w:pPr>
            <w:r>
              <w:rPr>
                <w:rFonts w:ascii="Arial" w:cs="Arial" w:eastAsia="Arial" w:hAnsi="Arial"/>
                <w:sz w:val="18"/>
                <w:szCs w:val="18"/>
                <w:color w:val="auto"/>
              </w:rPr>
              <w:t>(2,453)</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558"/>
        </w:trPr>
        <w:tc>
          <w:tcPr>
            <w:tcW w:w="1040" w:type="dxa"/>
            <w:vAlign w:val="bottom"/>
          </w:tcPr>
          <w:p>
            <w:pPr>
              <w:jc w:val="right"/>
              <w:ind w:right="230"/>
              <w:spacing w:after="0"/>
              <w:rPr>
                <w:sz w:val="20"/>
                <w:szCs w:val="20"/>
                <w:color w:val="auto"/>
              </w:rPr>
            </w:pPr>
            <w:r>
              <w:rPr>
                <w:rFonts w:ascii="Arial" w:cs="Arial" w:eastAsia="Arial" w:hAnsi="Arial"/>
                <w:sz w:val="18"/>
                <w:szCs w:val="18"/>
                <w:color w:val="auto"/>
              </w:rPr>
              <w:t>(2,075)</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6"/>
        </w:trPr>
        <w:tc>
          <w:tcPr>
            <w:tcW w:w="1040" w:type="dxa"/>
            <w:vAlign w:val="bottom"/>
          </w:tcPr>
          <w:p>
            <w:pPr>
              <w:jc w:val="right"/>
              <w:ind w:right="310"/>
              <w:spacing w:after="0"/>
              <w:rPr>
                <w:sz w:val="20"/>
                <w:szCs w:val="20"/>
                <w:color w:val="auto"/>
              </w:rPr>
            </w:pPr>
            <w:r>
              <w:rPr>
                <w:rFonts w:ascii="Arial" w:cs="Arial" w:eastAsia="Arial" w:hAnsi="Arial"/>
                <w:sz w:val="18"/>
                <w:szCs w:val="18"/>
                <w:color w:val="auto"/>
                <w:w w:val="95"/>
              </w:rPr>
              <w:t>207,829</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608</w:t>
            </w:r>
          </w:p>
        </w:tc>
        <w:tc>
          <w:tcPr>
            <w:tcW w:w="62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324"/>
        </w:trPr>
        <w:tc>
          <w:tcPr>
            <w:tcW w:w="10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2,416</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4"/>
        </w:trPr>
        <w:tc>
          <w:tcPr>
            <w:tcW w:w="1040" w:type="dxa"/>
            <w:vAlign w:val="bottom"/>
          </w:tcPr>
          <w:p>
            <w:pPr>
              <w:jc w:val="right"/>
              <w:ind w:right="310"/>
              <w:spacing w:after="0"/>
              <w:rPr>
                <w:sz w:val="20"/>
                <w:szCs w:val="20"/>
                <w:color w:val="auto"/>
              </w:rPr>
            </w:pPr>
            <w:r>
              <w:rPr>
                <w:rFonts w:ascii="Arial" w:cs="Arial" w:eastAsia="Arial" w:hAnsi="Arial"/>
                <w:sz w:val="18"/>
                <w:szCs w:val="18"/>
                <w:color w:val="auto"/>
              </w:rPr>
              <w:t>27,837</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4"/>
        </w:trPr>
        <w:tc>
          <w:tcPr>
            <w:tcW w:w="1040" w:type="dxa"/>
            <w:vAlign w:val="bottom"/>
          </w:tcPr>
          <w:p>
            <w:pPr>
              <w:jc w:val="right"/>
              <w:ind w:right="230"/>
              <w:spacing w:after="0"/>
              <w:rPr>
                <w:sz w:val="20"/>
                <w:szCs w:val="20"/>
                <w:color w:val="auto"/>
              </w:rPr>
            </w:pPr>
            <w:r>
              <w:rPr>
                <w:rFonts w:ascii="Arial" w:cs="Arial" w:eastAsia="Arial" w:hAnsi="Arial"/>
                <w:sz w:val="18"/>
                <w:szCs w:val="18"/>
                <w:color w:val="auto"/>
              </w:rPr>
              <w:t>(2,454)</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566"/>
        </w:trPr>
        <w:tc>
          <w:tcPr>
            <w:tcW w:w="1040" w:type="dxa"/>
            <w:vAlign w:val="bottom"/>
          </w:tcPr>
          <w:p>
            <w:pPr>
              <w:jc w:val="right"/>
              <w:ind w:right="230"/>
              <w:spacing w:after="0"/>
              <w:rPr>
                <w:sz w:val="20"/>
                <w:szCs w:val="20"/>
                <w:color w:val="auto"/>
              </w:rPr>
            </w:pPr>
            <w:r>
              <w:rPr>
                <w:rFonts w:ascii="Arial" w:cs="Arial" w:eastAsia="Arial" w:hAnsi="Arial"/>
                <w:sz w:val="18"/>
                <w:szCs w:val="18"/>
                <w:color w:val="auto"/>
              </w:rPr>
              <w:t>(2,075)</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6"/>
        </w:trPr>
        <w:tc>
          <w:tcPr>
            <w:tcW w:w="1040" w:type="dxa"/>
            <w:vAlign w:val="bottom"/>
          </w:tcPr>
          <w:p>
            <w:pPr>
              <w:jc w:val="right"/>
              <w:ind w:right="310"/>
              <w:spacing w:after="0"/>
              <w:rPr>
                <w:sz w:val="20"/>
                <w:szCs w:val="20"/>
                <w:color w:val="auto"/>
              </w:rPr>
            </w:pPr>
            <w:r>
              <w:rPr>
                <w:rFonts w:ascii="Arial" w:cs="Arial" w:eastAsia="Arial" w:hAnsi="Arial"/>
                <w:sz w:val="18"/>
                <w:szCs w:val="18"/>
                <w:color w:val="auto"/>
                <w:w w:val="95"/>
              </w:rPr>
              <w:t>231,137</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3,024</w:t>
            </w:r>
          </w:p>
        </w:tc>
        <w:tc>
          <w:tcPr>
            <w:tcW w:w="620" w:type="dxa"/>
            <w:vAlign w:val="bottom"/>
          </w:tcPr>
          <w:p>
            <w:pPr>
              <w:jc w:val="right"/>
              <w:spacing w:after="0"/>
              <w:rPr>
                <w:sz w:val="20"/>
                <w:szCs w:val="20"/>
                <w:color w:val="auto"/>
              </w:rPr>
            </w:pPr>
            <w:r>
              <w:rPr>
                <w:rFonts w:ascii="Arial" w:cs="Arial" w:eastAsia="Arial" w:hAnsi="Arial"/>
                <w:sz w:val="18"/>
                <w:szCs w:val="18"/>
                <w:color w:val="auto"/>
              </w:rPr>
              <w:t>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-2301875</wp:posOffset>
            </wp:positionV>
            <wp:extent cx="2180590" cy="635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43">
                      <a:extLst>
                        <a:ext uri="{28A0092B-C50C-407E-A947-70E740481C1C}"/>
                      </a:extLst>
                    </a:blip>
                    <a:srcRect/>
                    <a:stretch>
                      <a:fillRect/>
                    </a:stretch>
                  </pic:blipFill>
                  <pic:spPr bwMode="auto">
                    <a:xfrm>
                      <a:off x="0" y="0"/>
                      <a:ext cx="2180590" cy="6350"/>
                    </a:xfrm>
                    <a:prstGeom prst="rect">
                      <a:avLst/>
                    </a:prstGeom>
                    <a:noFill/>
                  </pic:spPr>
                </pic:pic>
              </a:graphicData>
            </a:graphic>
          </wp:anchor>
        </w:drawing>
        <w:drawing>
          <wp:anchor simplePos="0" relativeHeight="251657728" behindDoc="1" locked="0" layoutInCell="0" allowOverlap="1">
            <wp:simplePos x="0" y="0"/>
            <wp:positionH relativeFrom="column">
              <wp:posOffset>-297180</wp:posOffset>
            </wp:positionH>
            <wp:positionV relativeFrom="paragraph">
              <wp:posOffset>-1342390</wp:posOffset>
            </wp:positionV>
            <wp:extent cx="2180590" cy="635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44">
                      <a:extLst>
                        <a:ext uri="{28A0092B-C50C-407E-A947-70E740481C1C}"/>
                      </a:extLst>
                    </a:blip>
                    <a:srcRect/>
                    <a:stretch>
                      <a:fillRect/>
                    </a:stretch>
                  </pic:blipFill>
                  <pic:spPr bwMode="auto">
                    <a:xfrm>
                      <a:off x="0" y="0"/>
                      <a:ext cx="2180590" cy="6350"/>
                    </a:xfrm>
                    <a:prstGeom prst="rect">
                      <a:avLst/>
                    </a:prstGeom>
                    <a:noFill/>
                  </pic:spPr>
                </pic:pic>
              </a:graphicData>
            </a:graphic>
          </wp:anchor>
        </w:drawing>
        <w:drawing>
          <wp:anchor simplePos="0" relativeHeight="251657728" behindDoc="1" locked="0" layoutInCell="0" allowOverlap="1">
            <wp:simplePos x="0" y="0"/>
            <wp:positionH relativeFrom="column">
              <wp:posOffset>-297180</wp:posOffset>
            </wp:positionH>
            <wp:positionV relativeFrom="paragraph">
              <wp:posOffset>-1136650</wp:posOffset>
            </wp:positionV>
            <wp:extent cx="2180590" cy="635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5">
                      <a:extLst>
                        <a:ext uri="{28A0092B-C50C-407E-A947-70E740481C1C}"/>
                      </a:extLst>
                    </a:blip>
                    <a:srcRect/>
                    <a:stretch>
                      <a:fillRect/>
                    </a:stretch>
                  </pic:blipFill>
                  <pic:spPr bwMode="auto">
                    <a:xfrm>
                      <a:off x="0" y="0"/>
                      <a:ext cx="2180590" cy="6350"/>
                    </a:xfrm>
                    <a:prstGeom prst="rect">
                      <a:avLst/>
                    </a:prstGeom>
                    <a:noFill/>
                  </pic:spPr>
                </pic:pic>
              </a:graphicData>
            </a:graphic>
          </wp:anchor>
        </w:drawing>
        <w:drawing>
          <wp:anchor simplePos="0" relativeHeight="251657728" behindDoc="1" locked="0" layoutInCell="0" allowOverlap="1">
            <wp:simplePos x="0" y="0"/>
            <wp:positionH relativeFrom="column">
              <wp:posOffset>-297180</wp:posOffset>
            </wp:positionH>
            <wp:positionV relativeFrom="paragraph">
              <wp:posOffset>-1136650</wp:posOffset>
            </wp:positionV>
            <wp:extent cx="2180590" cy="635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6">
                      <a:extLst>
                        <a:ext uri="{28A0092B-C50C-407E-A947-70E740481C1C}"/>
                      </a:extLst>
                    </a:blip>
                    <a:srcRect/>
                    <a:stretch>
                      <a:fillRect/>
                    </a:stretch>
                  </pic:blipFill>
                  <pic:spPr bwMode="auto">
                    <a:xfrm>
                      <a:off x="0" y="0"/>
                      <a:ext cx="2180590" cy="6350"/>
                    </a:xfrm>
                    <a:prstGeom prst="rect">
                      <a:avLst/>
                    </a:prstGeom>
                    <a:noFill/>
                  </pic:spPr>
                </pic:pic>
              </a:graphicData>
            </a:graphic>
          </wp:anchor>
        </w:drawing>
        <w:drawing>
          <wp:anchor simplePos="0" relativeHeight="251657728" behindDoc="1" locked="0" layoutInCell="0" allowOverlap="1">
            <wp:simplePos x="0" y="0"/>
            <wp:positionH relativeFrom="column">
              <wp:posOffset>-297180</wp:posOffset>
            </wp:positionH>
            <wp:positionV relativeFrom="paragraph">
              <wp:posOffset>-177165</wp:posOffset>
            </wp:positionV>
            <wp:extent cx="2180590" cy="635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7">
                      <a:extLst>
                        <a:ext uri="{28A0092B-C50C-407E-A947-70E740481C1C}"/>
                      </a:extLst>
                    </a:blip>
                    <a:srcRect/>
                    <a:stretch>
                      <a:fillRect/>
                    </a:stretch>
                  </pic:blipFill>
                  <pic:spPr bwMode="auto">
                    <a:xfrm>
                      <a:off x="0" y="0"/>
                      <a:ext cx="2180590" cy="6350"/>
                    </a:xfrm>
                    <a:prstGeom prst="rect">
                      <a:avLst/>
                    </a:prstGeom>
                    <a:noFill/>
                  </pic:spPr>
                </pic:pic>
              </a:graphicData>
            </a:graphic>
          </wp:anchor>
        </w:drawing>
        <w:drawing>
          <wp:anchor simplePos="0" relativeHeight="251657728" behindDoc="1" locked="0" layoutInCell="0" allowOverlap="1">
            <wp:simplePos x="0" y="0"/>
            <wp:positionH relativeFrom="column">
              <wp:posOffset>-297180</wp:posOffset>
            </wp:positionH>
            <wp:positionV relativeFrom="paragraph">
              <wp:posOffset>-177165</wp:posOffset>
            </wp:positionV>
            <wp:extent cx="2180590" cy="635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8">
                      <a:extLst>
                        <a:ext uri="{28A0092B-C50C-407E-A947-70E740481C1C}"/>
                      </a:extLst>
                    </a:blip>
                    <a:srcRect/>
                    <a:stretch>
                      <a:fillRect/>
                    </a:stretch>
                  </pic:blipFill>
                  <pic:spPr bwMode="auto">
                    <a:xfrm>
                      <a:off x="0" y="0"/>
                      <a:ext cx="2180590"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80" w:space="720"/>
            <w:col w:w="2960"/>
          </w:cols>
          <w:pgMar w:left="1440" w:top="1440" w:right="6" w:bottom="0" w:gutter="0" w:footer="0" w:header="0"/>
          <w:type w:val="continuous"/>
        </w:sectPr>
      </w:pPr>
    </w:p>
    <w:p>
      <w:pPr>
        <w:spacing w:after="0" w:line="223" w:lineRule="exact"/>
        <w:rPr>
          <w:sz w:val="20"/>
          <w:szCs w:val="20"/>
          <w:color w:val="auto"/>
        </w:rPr>
      </w:pPr>
    </w:p>
    <w:p>
      <w:pPr>
        <w:jc w:val="both"/>
        <w:ind w:left="1620"/>
        <w:spacing w:after="0" w:line="311" w:lineRule="auto"/>
        <w:rPr>
          <w:sz w:val="20"/>
          <w:szCs w:val="20"/>
          <w:color w:val="auto"/>
        </w:rPr>
      </w:pPr>
      <w:r>
        <w:rPr>
          <w:rFonts w:ascii="Arial" w:cs="Arial" w:eastAsia="Arial" w:hAnsi="Arial"/>
          <w:sz w:val="20"/>
          <w:szCs w:val="20"/>
          <w:color w:val="auto"/>
        </w:rPr>
        <w:t>The fair value of the derivative as at December 31, 2025, was estimated using a partial differe equation method with Monte Carlo simulation. The significant inputs used in the valuation wer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193675</wp:posOffset>
            </wp:positionV>
            <wp:extent cx="5621020" cy="2857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9">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373"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840" w:type="dxa"/>
            <w:vAlign w:val="bottom"/>
          </w:tcPr>
          <w:p>
            <w:pPr>
              <w:spacing w:after="0"/>
              <w:rPr>
                <w:sz w:val="20"/>
                <w:szCs w:val="20"/>
                <w:color w:val="auto"/>
              </w:rPr>
            </w:pPr>
            <w:r>
              <w:rPr>
                <w:rFonts w:ascii="Arial" w:cs="Arial" w:eastAsia="Arial" w:hAnsi="Arial"/>
                <w:sz w:val="18"/>
                <w:szCs w:val="18"/>
                <w:b w:val="1"/>
                <w:bCs w:val="1"/>
                <w:color w:val="auto"/>
              </w:rPr>
              <w:t>Valuation input</w:t>
            </w:r>
          </w:p>
        </w:tc>
        <w:tc>
          <w:tcPr>
            <w:tcW w:w="3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Assumpti</w:t>
            </w:r>
          </w:p>
        </w:tc>
      </w:tr>
      <w:tr>
        <w:trPr>
          <w:trHeight w:val="324"/>
        </w:trPr>
        <w:tc>
          <w:tcPr>
            <w:tcW w:w="4840" w:type="dxa"/>
            <w:vAlign w:val="bottom"/>
          </w:tcPr>
          <w:p>
            <w:pPr>
              <w:spacing w:after="0"/>
              <w:rPr>
                <w:sz w:val="20"/>
                <w:szCs w:val="20"/>
                <w:color w:val="auto"/>
              </w:rPr>
            </w:pPr>
            <w:r>
              <w:rPr>
                <w:rFonts w:ascii="Arial" w:cs="Arial" w:eastAsia="Arial" w:hAnsi="Arial"/>
                <w:sz w:val="18"/>
                <w:szCs w:val="18"/>
                <w:color w:val="auto"/>
              </w:rPr>
              <w:t>Share price</w:t>
            </w:r>
          </w:p>
        </w:tc>
        <w:tc>
          <w:tcPr>
            <w:tcW w:w="31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4"/>
        </w:trPr>
        <w:tc>
          <w:tcPr>
            <w:tcW w:w="4840" w:type="dxa"/>
            <w:vAlign w:val="bottom"/>
          </w:tcPr>
          <w:p>
            <w:pPr>
              <w:spacing w:after="0"/>
              <w:rPr>
                <w:sz w:val="20"/>
                <w:szCs w:val="20"/>
                <w:color w:val="auto"/>
              </w:rPr>
            </w:pPr>
            <w:r>
              <w:rPr>
                <w:rFonts w:ascii="Arial" w:cs="Arial" w:eastAsia="Arial" w:hAnsi="Arial"/>
                <w:sz w:val="18"/>
                <w:szCs w:val="18"/>
                <w:color w:val="auto"/>
              </w:rPr>
              <w:t>Volatility</w:t>
            </w:r>
          </w:p>
        </w:tc>
        <w:tc>
          <w:tcPr>
            <w:tcW w:w="3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4"/>
        </w:trPr>
        <w:tc>
          <w:tcPr>
            <w:tcW w:w="4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4"/>
        </w:trPr>
        <w:tc>
          <w:tcPr>
            <w:tcW w:w="48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4"/>
        </w:trPr>
        <w:tc>
          <w:tcPr>
            <w:tcW w:w="4840" w:type="dxa"/>
            <w:vAlign w:val="bottom"/>
          </w:tcPr>
          <w:p>
            <w:pPr>
              <w:spacing w:after="0"/>
              <w:rPr>
                <w:sz w:val="20"/>
                <w:szCs w:val="20"/>
                <w:color w:val="auto"/>
              </w:rPr>
            </w:pPr>
            <w:r>
              <w:rPr>
                <w:rFonts w:ascii="Arial" w:cs="Arial" w:eastAsia="Arial" w:hAnsi="Arial"/>
                <w:sz w:val="18"/>
                <w:szCs w:val="18"/>
                <w:color w:val="auto"/>
              </w:rPr>
              <w:t>Credit spread</w:t>
            </w:r>
          </w:p>
        </w:tc>
        <w:tc>
          <w:tcPr>
            <w:tcW w:w="3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-981075</wp:posOffset>
            </wp:positionV>
            <wp:extent cx="5621020" cy="635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50">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22860</wp:posOffset>
            </wp:positionV>
            <wp:extent cx="5621020" cy="635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51">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366" w:lineRule="exact"/>
        <w:rPr>
          <w:sz w:val="20"/>
          <w:szCs w:val="20"/>
          <w:color w:val="auto"/>
        </w:rPr>
      </w:pPr>
    </w:p>
    <w:p>
      <w:pPr>
        <w:jc w:val="both"/>
        <w:ind w:left="1620"/>
        <w:spacing w:after="0" w:line="312" w:lineRule="auto"/>
        <w:rPr>
          <w:sz w:val="20"/>
          <w:szCs w:val="20"/>
          <w:color w:val="auto"/>
        </w:rPr>
      </w:pPr>
      <w:r>
        <w:rPr>
          <w:rFonts w:ascii="Arial" w:cs="Arial" w:eastAsia="Arial" w:hAnsi="Arial"/>
          <w:sz w:val="20"/>
          <w:szCs w:val="20"/>
          <w:color w:val="auto"/>
        </w:rPr>
        <w:t>The valuation of the embedded derivative is highly sensitive to changes in the Company’s share pric the assumed volatility of the Company’s share price. A loss on change in fair value for the year e December 31, 2025, of $2,416 was recognized in the statement of comprehensive loss (2024 - ga $12,530).</w:t>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13 / 27</w:t>
      </w:r>
    </w:p>
    <w:p>
      <w:pPr>
        <w:sectPr>
          <w:pgSz w:w="11900" w:h="16838" w:orient="portrait"/>
          <w:cols w:equalWidth="0" w:num="1">
            <w:col w:w="10460"/>
          </w:cols>
          <w:pgMar w:left="1440" w:top="1440" w:right="6" w:bottom="0" w:gutter="0" w:footer="0" w:header="0"/>
          <w:type w:val="continuous"/>
        </w:sectPr>
      </w:pPr>
    </w:p>
    <w:bookmarkStart w:id="437" w:name="page438"/>
    <w:bookmarkEnd w:id="437"/>
    <w:p>
      <w:pPr>
        <w:jc w:val="both"/>
        <w:ind w:left="1620"/>
        <w:spacing w:after="0" w:line="307" w:lineRule="auto"/>
        <w:rPr>
          <w:sz w:val="20"/>
          <w:szCs w:val="20"/>
          <w:color w:val="auto"/>
        </w:rPr>
      </w:pPr>
      <w:r>
        <w:rPr>
          <w:rFonts w:ascii="Arial" w:cs="Arial" w:eastAsia="Arial" w:hAnsi="Arial"/>
          <w:sz w:val="20"/>
          <w:szCs w:val="20"/>
          <w:color w:val="auto"/>
        </w:rPr>
        <w:t>Interest expense for the year ended December 31, 2025, of $27,837 w recorded as finance costs in the statement of comprehensive loss.</w:t>
      </w:r>
    </w:p>
    <w:p>
      <w:pPr>
        <w:spacing w:after="0" w:line="215" w:lineRule="exact"/>
        <w:rPr>
          <w:sz w:val="20"/>
          <w:szCs w:val="20"/>
          <w:color w:val="auto"/>
        </w:rPr>
      </w:pPr>
    </w:p>
    <w:p>
      <w:pPr>
        <w:jc w:val="both"/>
        <w:ind w:left="1620"/>
        <w:spacing w:after="0" w:line="313" w:lineRule="auto"/>
        <w:rPr>
          <w:sz w:val="20"/>
          <w:szCs w:val="20"/>
          <w:color w:val="auto"/>
        </w:rPr>
      </w:pPr>
      <w:r>
        <w:rPr>
          <w:rFonts w:ascii="Arial" w:cs="Arial" w:eastAsia="Arial" w:hAnsi="Arial"/>
          <w:sz w:val="20"/>
          <w:szCs w:val="20"/>
          <w:color w:val="auto"/>
        </w:rPr>
        <w:t>The Convertible Notes are convertible at the option of the holders upon satisfaction of certain condi that are beyond the control of the Company. If such conditions are satisfied, the Convertible Notes w be convertible at the option of the holders and upon conversion, the Notes may be settled, a Company’s election, in common shares of the Company, cash or a combination thereof. As a resul Company does not have the unconditional right to defer settlement of the Convertible Notes for more 12 months after the end of the reporting period and therefore presents the Convertible Notes with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236855</wp:posOffset>
            </wp:positionV>
            <wp:extent cx="1676400" cy="19050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52">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5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14 / 27</w:t>
      </w:r>
    </w:p>
    <w:p>
      <w:pPr>
        <w:sectPr>
          <w:pgSz w:w="11900" w:h="16838" w:orient="portrait"/>
          <w:cols w:equalWidth="0" w:num="1">
            <w:col w:w="10460"/>
          </w:cols>
          <w:pgMar w:left="1440" w:top="1172" w:right="6" w:bottom="0" w:gutter="0" w:footer="0" w:header="0"/>
          <w:type w:val="continuous"/>
        </w:sectPr>
      </w:pPr>
    </w:p>
    <w:bookmarkStart w:id="438" w:name="page439"/>
    <w:bookmarkEnd w:id="4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43" w:lineRule="exact"/>
        <w:rPr>
          <w:sz w:val="20"/>
          <w:szCs w:val="20"/>
          <w:color w:val="auto"/>
        </w:rPr>
      </w:pPr>
    </w:p>
    <w:p>
      <w:pPr>
        <w:ind w:left="1620" w:hanging="726"/>
        <w:spacing w:after="0"/>
        <w:tabs>
          <w:tab w:leader="none" w:pos="1620" w:val="left"/>
        </w:tabs>
        <w:numPr>
          <w:ilvl w:val="0"/>
          <w:numId w:val="169"/>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EQUITY-SETTLEABLE CONVERTIBLE NOTES </w:t>
      </w:r>
      <w:r>
        <w:rPr>
          <w:rFonts w:ascii="Arial" w:cs="Arial" w:eastAsia="Arial" w:hAnsi="Arial"/>
          <w:sz w:val="20"/>
          <w:szCs w:val="20"/>
          <w:i w:val="1"/>
          <w:iCs w:val="1"/>
          <w:color w:val="153A57"/>
        </w:rPr>
        <w:t>(continued)</w:t>
      </w:r>
    </w:p>
    <w:p>
      <w:pPr>
        <w:spacing w:after="0" w:line="286"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color w:val="auto"/>
        </w:rPr>
        <w:t>The Convertible Notes are unsecured and accrue interest payable semi-annually in arrears at a ra</w:t>
      </w:r>
    </w:p>
    <w:p>
      <w:pPr>
        <w:spacing w:after="0" w:line="71" w:lineRule="exact"/>
        <w:rPr>
          <w:rFonts w:ascii="Arial" w:cs="Arial" w:eastAsia="Arial" w:hAnsi="Arial"/>
          <w:sz w:val="20"/>
          <w:szCs w:val="20"/>
          <w:b w:val="1"/>
          <w:bCs w:val="1"/>
          <w:color w:val="153A57"/>
        </w:rPr>
      </w:pPr>
    </w:p>
    <w:p>
      <w:pPr>
        <w:jc w:val="both"/>
        <w:ind w:left="1620" w:right="40"/>
        <w:spacing w:after="0" w:line="274" w:lineRule="auto"/>
        <w:rPr>
          <w:rFonts w:ascii="Arial" w:cs="Arial" w:eastAsia="Arial" w:hAnsi="Arial"/>
          <w:sz w:val="20"/>
          <w:szCs w:val="20"/>
          <w:b w:val="1"/>
          <w:bCs w:val="1"/>
          <w:color w:val="153A57"/>
        </w:rPr>
      </w:pPr>
      <w:r>
        <w:rPr>
          <w:rFonts w:ascii="Arial" w:cs="Arial" w:eastAsia="Arial" w:hAnsi="Arial"/>
          <w:sz w:val="20"/>
          <w:szCs w:val="20"/>
          <w:color w:val="auto"/>
        </w:rPr>
        <w:t>1.75% per annum payable on January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and July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each year, beginning on July 15, 2022. to October 15, 2026, the Notes are convertible at the option of the holders during certain periods, the satisfaction of certain conditions including:</w:t>
      </w:r>
    </w:p>
    <w:p>
      <w:pPr>
        <w:spacing w:after="0" w:line="290" w:lineRule="exact"/>
        <w:rPr>
          <w:rFonts w:ascii="Arial" w:cs="Arial" w:eastAsia="Arial" w:hAnsi="Arial"/>
          <w:sz w:val="20"/>
          <w:szCs w:val="20"/>
          <w:b w:val="1"/>
          <w:bCs w:val="1"/>
          <w:color w:val="153A57"/>
        </w:rPr>
      </w:pPr>
    </w:p>
    <w:p>
      <w:pPr>
        <w:ind w:left="2700" w:hanging="366"/>
        <w:spacing w:after="0" w:line="368" w:lineRule="auto"/>
        <w:tabs>
          <w:tab w:leader="none" w:pos="2700" w:val="left"/>
        </w:tabs>
        <w:numPr>
          <w:ilvl w:val="1"/>
          <w:numId w:val="169"/>
        </w:numPr>
        <w:rPr>
          <w:rFonts w:ascii="Arial" w:cs="Arial" w:eastAsia="Arial" w:hAnsi="Arial"/>
          <w:sz w:val="20"/>
          <w:szCs w:val="20"/>
          <w:color w:val="auto"/>
        </w:rPr>
      </w:pPr>
      <w:r>
        <w:rPr>
          <w:rFonts w:ascii="Arial" w:cs="Arial" w:eastAsia="Arial" w:hAnsi="Arial"/>
          <w:sz w:val="20"/>
          <w:szCs w:val="20"/>
          <w:color w:val="auto"/>
        </w:rPr>
        <w:t>If the Notes’ trading price for any five consecutive trading day period was, on each day, than 98% of the conversion value of such Notes;</w:t>
      </w:r>
    </w:p>
    <w:p>
      <w:pPr>
        <w:spacing w:after="0" w:line="214" w:lineRule="exact"/>
        <w:rPr>
          <w:rFonts w:ascii="Arial" w:cs="Arial" w:eastAsia="Arial" w:hAnsi="Arial"/>
          <w:sz w:val="20"/>
          <w:szCs w:val="20"/>
          <w:color w:val="auto"/>
        </w:rPr>
      </w:pPr>
    </w:p>
    <w:p>
      <w:pPr>
        <w:jc w:val="both"/>
        <w:ind w:left="2700" w:hanging="366"/>
        <w:spacing w:after="0" w:line="373" w:lineRule="auto"/>
        <w:tabs>
          <w:tab w:leader="none" w:pos="2700" w:val="left"/>
        </w:tabs>
        <w:numPr>
          <w:ilvl w:val="1"/>
          <w:numId w:val="169"/>
        </w:numPr>
        <w:rPr>
          <w:rFonts w:ascii="Arial" w:cs="Arial" w:eastAsia="Arial" w:hAnsi="Arial"/>
          <w:sz w:val="20"/>
          <w:szCs w:val="20"/>
          <w:color w:val="auto"/>
        </w:rPr>
      </w:pPr>
      <w:r>
        <w:rPr>
          <w:rFonts w:ascii="Arial" w:cs="Arial" w:eastAsia="Arial" w:hAnsi="Arial"/>
          <w:sz w:val="20"/>
          <w:szCs w:val="20"/>
          <w:color w:val="auto"/>
        </w:rPr>
        <w:t>if the Company elects to (a) issue equity instruments to all holders of the Company’s co shares entitling them, for a period of not more than 45 calendar days after issue, to subs for or purchase common shares at a price per share that is less than the average rep sales prices of the common shares for the 10-trading day period ending the trading before the announcement of such issuance of equity instruments;</w:t>
      </w:r>
    </w:p>
    <w:p>
      <w:pPr>
        <w:spacing w:after="0" w:line="169" w:lineRule="exact"/>
        <w:rPr>
          <w:rFonts w:ascii="Arial" w:cs="Arial" w:eastAsia="Arial" w:hAnsi="Arial"/>
          <w:sz w:val="20"/>
          <w:szCs w:val="20"/>
          <w:color w:val="auto"/>
        </w:rPr>
      </w:pPr>
    </w:p>
    <w:p>
      <w:pPr>
        <w:jc w:val="both"/>
        <w:ind w:left="2700" w:right="40"/>
        <w:spacing w:after="0" w:line="312" w:lineRule="auto"/>
        <w:rPr>
          <w:rFonts w:ascii="Arial" w:cs="Arial" w:eastAsia="Arial" w:hAnsi="Arial"/>
          <w:sz w:val="20"/>
          <w:szCs w:val="20"/>
          <w:color w:val="auto"/>
        </w:rPr>
      </w:pPr>
      <w:r>
        <w:rPr>
          <w:rFonts w:ascii="Arial" w:cs="Arial" w:eastAsia="Arial" w:hAnsi="Arial"/>
          <w:sz w:val="20"/>
          <w:szCs w:val="20"/>
          <w:color w:val="auto"/>
        </w:rPr>
        <w:t>or (b) make a distribution to all holders of the Company’s common shares, whether distribution is of assets, securities, or rights to purchase the Company’s securities, and per share value exceeding at least 10% of the trading price of the common shares o date immediately preceding the announcement date of such distribution;</w:t>
      </w:r>
    </w:p>
    <w:p>
      <w:pPr>
        <w:spacing w:after="0" w:line="248" w:lineRule="exact"/>
        <w:rPr>
          <w:rFonts w:ascii="Arial" w:cs="Arial" w:eastAsia="Arial" w:hAnsi="Arial"/>
          <w:sz w:val="20"/>
          <w:szCs w:val="20"/>
          <w:color w:val="auto"/>
        </w:rPr>
      </w:pPr>
    </w:p>
    <w:p>
      <w:pPr>
        <w:ind w:left="2700" w:hanging="366"/>
        <w:spacing w:after="0"/>
        <w:tabs>
          <w:tab w:leader="none" w:pos="2700" w:val="left"/>
        </w:tabs>
        <w:numPr>
          <w:ilvl w:val="1"/>
          <w:numId w:val="169"/>
        </w:numPr>
        <w:rPr>
          <w:rFonts w:ascii="Arial" w:cs="Arial" w:eastAsia="Arial" w:hAnsi="Arial"/>
          <w:sz w:val="20"/>
          <w:szCs w:val="20"/>
          <w:color w:val="auto"/>
        </w:rPr>
      </w:pPr>
      <w:r>
        <w:rPr>
          <w:rFonts w:ascii="Arial" w:cs="Arial" w:eastAsia="Arial" w:hAnsi="Arial"/>
          <w:sz w:val="20"/>
          <w:szCs w:val="20"/>
          <w:color w:val="auto"/>
        </w:rPr>
        <w:t>upon the occurrence of certain significant business events;</w:t>
      </w:r>
    </w:p>
    <w:p>
      <w:pPr>
        <w:spacing w:after="0" w:line="337" w:lineRule="exact"/>
        <w:rPr>
          <w:rFonts w:ascii="Arial" w:cs="Arial" w:eastAsia="Arial" w:hAnsi="Arial"/>
          <w:sz w:val="20"/>
          <w:szCs w:val="20"/>
          <w:color w:val="auto"/>
        </w:rPr>
      </w:pPr>
    </w:p>
    <w:p>
      <w:pPr>
        <w:jc w:val="both"/>
        <w:ind w:left="2700" w:hanging="366"/>
        <w:spacing w:after="0" w:line="374" w:lineRule="auto"/>
        <w:tabs>
          <w:tab w:leader="none" w:pos="2700" w:val="left"/>
        </w:tabs>
        <w:numPr>
          <w:ilvl w:val="1"/>
          <w:numId w:val="169"/>
        </w:numPr>
        <w:rPr>
          <w:rFonts w:ascii="Arial" w:cs="Arial" w:eastAsia="Arial" w:hAnsi="Arial"/>
          <w:sz w:val="20"/>
          <w:szCs w:val="20"/>
          <w:color w:val="auto"/>
        </w:rPr>
      </w:pPr>
      <w:r>
        <w:rPr>
          <w:rFonts w:ascii="Arial" w:cs="Arial" w:eastAsia="Arial" w:hAnsi="Arial"/>
          <w:sz w:val="20"/>
          <w:szCs w:val="20"/>
          <w:color w:val="auto"/>
        </w:rPr>
        <w:t>if, at any time after the calendar quarter ending on March 31, 2022 (and only during calendar quarter), the last reported price of the Company’s common shares for at lea trading days (whether or not consecutive) during the last period of 30 trading days o immediately preceding calendar quarter is greater than or equal to 130% of the conve price on each applicable trading day (this has not occurred for the year ended Decembe 2025); or,</w:t>
      </w:r>
    </w:p>
    <w:p>
      <w:pPr>
        <w:spacing w:after="0" w:line="209" w:lineRule="exact"/>
        <w:rPr>
          <w:rFonts w:ascii="Arial" w:cs="Arial" w:eastAsia="Arial" w:hAnsi="Arial"/>
          <w:sz w:val="20"/>
          <w:szCs w:val="20"/>
          <w:color w:val="auto"/>
        </w:rPr>
      </w:pPr>
    </w:p>
    <w:p>
      <w:pPr>
        <w:ind w:left="2700" w:hanging="366"/>
        <w:spacing w:after="0" w:line="368" w:lineRule="auto"/>
        <w:tabs>
          <w:tab w:leader="none" w:pos="2700" w:val="left"/>
        </w:tabs>
        <w:numPr>
          <w:ilvl w:val="1"/>
          <w:numId w:val="169"/>
        </w:numPr>
        <w:rPr>
          <w:rFonts w:ascii="Arial" w:cs="Arial" w:eastAsia="Arial" w:hAnsi="Arial"/>
          <w:sz w:val="20"/>
          <w:szCs w:val="20"/>
          <w:color w:val="auto"/>
        </w:rPr>
      </w:pPr>
      <w:r>
        <w:rPr>
          <w:rFonts w:ascii="Arial" w:cs="Arial" w:eastAsia="Arial" w:hAnsi="Arial"/>
          <w:sz w:val="20"/>
          <w:szCs w:val="20"/>
          <w:color w:val="auto"/>
        </w:rPr>
        <w:t>upon a call for redemption by the Company, or upon the Company’s failure to pay redemption price therefor.</w:t>
      </w:r>
    </w:p>
    <w:p>
      <w:pPr>
        <w:spacing w:after="0" w:line="171" w:lineRule="exact"/>
        <w:rPr>
          <w:sz w:val="20"/>
          <w:szCs w:val="20"/>
          <w:color w:val="auto"/>
        </w:rPr>
      </w:pPr>
    </w:p>
    <w:p>
      <w:pPr>
        <w:jc w:val="both"/>
        <w:ind w:left="1600"/>
        <w:spacing w:after="0" w:line="334" w:lineRule="auto"/>
        <w:rPr>
          <w:sz w:val="20"/>
          <w:szCs w:val="20"/>
          <w:color w:val="auto"/>
        </w:rPr>
      </w:pPr>
      <w:r>
        <w:rPr>
          <w:rFonts w:ascii="Arial" w:cs="Arial" w:eastAsia="Arial" w:hAnsi="Arial"/>
          <w:sz w:val="19"/>
          <w:szCs w:val="19"/>
          <w:color w:val="auto"/>
        </w:rPr>
        <w:t>Thereafter, the Convertible Notes will be convertible at any time until the close of business on business day immediately preceding the maturity date. Upon conversion, the Convertible Notes ma settled, at the Company’s election, in common shares of the Company, cash or a combination thereo</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15 / 27</w:t>
      </w:r>
    </w:p>
    <w:p>
      <w:pPr>
        <w:sectPr>
          <w:pgSz w:w="11900" w:h="16838" w:orient="portrait"/>
          <w:cols w:equalWidth="0" w:num="1">
            <w:col w:w="10460"/>
          </w:cols>
          <w:pgMar w:left="1440" w:top="1440" w:right="6" w:bottom="0" w:gutter="0" w:footer="0" w:header="0"/>
          <w:type w:val="continuous"/>
        </w:sectPr>
      </w:pPr>
    </w:p>
    <w:bookmarkStart w:id="439" w:name="page440"/>
    <w:bookmarkEnd w:id="439"/>
    <w:p>
      <w:pPr>
        <w:jc w:val="both"/>
        <w:ind w:left="1600"/>
        <w:spacing w:after="0" w:line="313" w:lineRule="auto"/>
        <w:rPr>
          <w:sz w:val="20"/>
          <w:szCs w:val="20"/>
          <w:color w:val="auto"/>
        </w:rPr>
      </w:pPr>
      <w:r>
        <w:rPr>
          <w:rFonts w:ascii="Arial" w:cs="Arial" w:eastAsia="Arial" w:hAnsi="Arial"/>
          <w:sz w:val="20"/>
          <w:szCs w:val="20"/>
          <w:color w:val="auto"/>
        </w:rPr>
        <w:t>The Convertible Notes mature on January 15, 2027, unless earlier repurchased, redeemed or conve The Company may not redeem the Convertible Notes prior to December 6, 2024, except upon occurrence of certain changes to the laws governing Canadian withholding taxes. After Decemb 2024, the Company has the right to redeem the Convertible Notes at its option in certain circumsta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234315</wp:posOffset>
            </wp:positionV>
            <wp:extent cx="1676400" cy="19050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54">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5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16 / 27</w:t>
      </w:r>
    </w:p>
    <w:p>
      <w:pPr>
        <w:sectPr>
          <w:pgSz w:w="11900" w:h="16838" w:orient="portrait"/>
          <w:cols w:equalWidth="0" w:num="1">
            <w:col w:w="10460"/>
          </w:cols>
          <w:pgMar w:left="1440" w:top="1172" w:right="6" w:bottom="0" w:gutter="0" w:footer="0" w:header="0"/>
          <w:type w:val="continuous"/>
        </w:sectPr>
      </w:pPr>
    </w:p>
    <w:bookmarkStart w:id="440" w:name="page441"/>
    <w:bookmarkEnd w:id="4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00" w:lineRule="exact"/>
        <w:rPr>
          <w:sz w:val="20"/>
          <w:szCs w:val="20"/>
          <w:color w:val="auto"/>
        </w:rPr>
      </w:pPr>
    </w:p>
    <w:p>
      <w:pPr>
        <w:ind w:left="1620" w:hanging="726"/>
        <w:spacing w:after="0"/>
        <w:tabs>
          <w:tab w:leader="none" w:pos="1620" w:val="left"/>
        </w:tabs>
        <w:numPr>
          <w:ilvl w:val="0"/>
          <w:numId w:val="170"/>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EQUITY-SETTLEABLE CONVERTIBLE NOTES </w:t>
      </w:r>
      <w:r>
        <w:rPr>
          <w:rFonts w:ascii="Arial" w:cs="Arial" w:eastAsia="Arial" w:hAnsi="Arial"/>
          <w:sz w:val="20"/>
          <w:szCs w:val="20"/>
          <w:i w:val="1"/>
          <w:iCs w:val="1"/>
          <w:color w:val="153A57"/>
        </w:rPr>
        <w:t>(continued)</w:t>
      </w:r>
    </w:p>
    <w:p>
      <w:pPr>
        <w:spacing w:after="0" w:line="270" w:lineRule="exact"/>
        <w:rPr>
          <w:sz w:val="20"/>
          <w:szCs w:val="20"/>
          <w:color w:val="auto"/>
        </w:rPr>
      </w:pPr>
    </w:p>
    <w:p>
      <w:pPr>
        <w:ind w:left="2340"/>
        <w:spacing w:after="0"/>
        <w:tabs>
          <w:tab w:leader="none" w:pos="2680" w:val="left"/>
        </w:tabs>
        <w:rPr>
          <w:sz w:val="20"/>
          <w:szCs w:val="20"/>
          <w:color w:val="auto"/>
        </w:rPr>
      </w:pPr>
      <w:r>
        <w:rPr>
          <w:rFonts w:ascii="Arial" w:cs="Arial" w:eastAsia="Arial" w:hAnsi="Arial"/>
          <w:sz w:val="20"/>
          <w:szCs w:val="20"/>
          <w:color w:val="auto"/>
        </w:rPr>
        <w:t>(i)</w:t>
        <w:tab/>
        <w:t>on or after December 6, 2024, if the Company’s share price for at least 20 trading</w:t>
      </w:r>
    </w:p>
    <w:p>
      <w:pPr>
        <w:spacing w:after="0" w:line="70" w:lineRule="exact"/>
        <w:rPr>
          <w:sz w:val="20"/>
          <w:szCs w:val="20"/>
          <w:color w:val="auto"/>
        </w:rPr>
      </w:pPr>
    </w:p>
    <w:p>
      <w:pPr>
        <w:ind w:left="2700"/>
        <w:spacing w:after="0"/>
        <w:tabs>
          <w:tab w:leader="none" w:pos="6820" w:val="left"/>
        </w:tabs>
        <w:rPr>
          <w:sz w:val="20"/>
          <w:szCs w:val="20"/>
          <w:color w:val="auto"/>
        </w:rPr>
      </w:pPr>
      <w:r>
        <w:rPr>
          <w:rFonts w:ascii="Arial" w:cs="Arial" w:eastAsia="Arial" w:hAnsi="Arial"/>
          <w:sz w:val="20"/>
          <w:szCs w:val="20"/>
          <w:color w:val="auto"/>
        </w:rPr>
        <w:t>during</w:t>
      </w:r>
      <w:r>
        <w:rPr>
          <w:sz w:val="20"/>
          <w:szCs w:val="20"/>
          <w:color w:val="auto"/>
        </w:rPr>
        <w:tab/>
      </w:r>
      <w:r>
        <w:rPr>
          <w:rFonts w:ascii="Arial" w:cs="Arial" w:eastAsia="Arial" w:hAnsi="Arial"/>
          <w:sz w:val="20"/>
          <w:szCs w:val="20"/>
          <w:color w:val="auto"/>
        </w:rPr>
        <w:t>any</w:t>
      </w:r>
    </w:p>
    <w:p>
      <w:pPr>
        <w:spacing w:after="0" w:line="77" w:lineRule="exact"/>
        <w:rPr>
          <w:sz w:val="20"/>
          <w:szCs w:val="20"/>
          <w:color w:val="auto"/>
        </w:rPr>
      </w:pPr>
    </w:p>
    <w:p>
      <w:pPr>
        <w:ind w:left="2700" w:right="20"/>
        <w:spacing w:after="0" w:line="310" w:lineRule="auto"/>
        <w:rPr>
          <w:sz w:val="20"/>
          <w:szCs w:val="20"/>
          <w:color w:val="auto"/>
        </w:rPr>
      </w:pPr>
      <w:r>
        <w:rPr>
          <w:rFonts w:ascii="Arial" w:cs="Arial" w:eastAsia="Arial" w:hAnsi="Arial"/>
          <w:sz w:val="20"/>
          <w:szCs w:val="20"/>
          <w:color w:val="auto"/>
        </w:rPr>
        <w:t>30 consecutive trading day period ending on, and including, the last trading day o immediately preceding calendar quarter is over 130% of the conversion price on applicable trading day, at a redemption price equal to 100% of the principal plus accrue unpaid interest; and</w:t>
      </w:r>
    </w:p>
    <w:p>
      <w:pPr>
        <w:spacing w:after="0" w:line="212" w:lineRule="exact"/>
        <w:rPr>
          <w:sz w:val="20"/>
          <w:szCs w:val="20"/>
          <w:color w:val="auto"/>
        </w:rPr>
      </w:pPr>
    </w:p>
    <w:p>
      <w:pPr>
        <w:ind w:left="2700" w:right="20" w:hanging="366"/>
        <w:spacing w:after="0" w:line="305" w:lineRule="auto"/>
        <w:tabs>
          <w:tab w:leader="none" w:pos="270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if the Company becomes obligated to pay additional amounts as a result of its obligati bear the cost of Canadian or non-Canadian withholding tax, if applicable;</w:t>
      </w:r>
    </w:p>
    <w:p>
      <w:pPr>
        <w:spacing w:after="0" w:line="215" w:lineRule="exact"/>
        <w:rPr>
          <w:sz w:val="20"/>
          <w:szCs w:val="20"/>
          <w:color w:val="auto"/>
        </w:rPr>
      </w:pPr>
    </w:p>
    <w:p>
      <w:pPr>
        <w:ind w:left="1620" w:right="20"/>
        <w:spacing w:after="0" w:line="336" w:lineRule="auto"/>
        <w:rPr>
          <w:sz w:val="20"/>
          <w:szCs w:val="20"/>
          <w:color w:val="auto"/>
        </w:rPr>
      </w:pPr>
      <w:r>
        <w:rPr>
          <w:rFonts w:ascii="Arial" w:cs="Arial" w:eastAsia="Arial" w:hAnsi="Arial"/>
          <w:sz w:val="19"/>
          <w:szCs w:val="19"/>
          <w:color w:val="auto"/>
        </w:rPr>
        <w:t>Redemption can result in exercisability of the conversion option. Holders of Convertible Notes hav right to require the Company to repurchase their Convertible Notes upon the occurrence of certain e</w:t>
      </w:r>
    </w:p>
    <w:p>
      <w:pPr>
        <w:spacing w:after="0" w:line="192" w:lineRule="exact"/>
        <w:rPr>
          <w:sz w:val="20"/>
          <w:szCs w:val="20"/>
          <w:color w:val="auto"/>
        </w:rPr>
      </w:pPr>
    </w:p>
    <w:p>
      <w:pPr>
        <w:jc w:val="both"/>
        <w:ind w:left="1620"/>
        <w:spacing w:after="0" w:line="313" w:lineRule="auto"/>
        <w:rPr>
          <w:sz w:val="20"/>
          <w:szCs w:val="20"/>
          <w:color w:val="auto"/>
        </w:rPr>
      </w:pPr>
      <w:r>
        <w:rPr>
          <w:rFonts w:ascii="Arial" w:cs="Arial" w:eastAsia="Arial" w:hAnsi="Arial"/>
          <w:sz w:val="20"/>
          <w:szCs w:val="20"/>
          <w:color w:val="auto"/>
        </w:rPr>
        <w:t>Pursuant to the indenture governing the terms of the Convertible Notes, as amended by a supplemental indenture to reflect the name change of the Company in connection with the Separ and a second supplemental indenture to reflect the effects of the Continuation (the “Indenture”) holders of the Convertible Notes, at their election, were permitted to surrender the Convertible Note conversion (i) into common shares of the Company during the approximate 30-trading day period pr the closing of the Continuation and (ii) into common shares of the Company during the period from after the closing of the Continuation until approximately the 35th trading day after the closing o Continuation.</w:t>
      </w:r>
    </w:p>
    <w:p>
      <w:pPr>
        <w:spacing w:after="0" w:line="208"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The Conversion Rate (as defined in the Indenture) for the Convertible Notes was initially 21.</w:t>
      </w:r>
    </w:p>
    <w:p>
      <w:pPr>
        <w:spacing w:after="0" w:line="72"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common shares per $1,000 principal amount of the Convertible Notes.</w:t>
      </w:r>
    </w:p>
    <w:p>
      <w:pPr>
        <w:spacing w:after="0" w:line="279" w:lineRule="exact"/>
        <w:rPr>
          <w:sz w:val="20"/>
          <w:szCs w:val="20"/>
          <w:color w:val="auto"/>
        </w:rPr>
      </w:pPr>
    </w:p>
    <w:p>
      <w:pPr>
        <w:jc w:val="both"/>
        <w:ind w:left="1620"/>
        <w:spacing w:after="0" w:line="332" w:lineRule="auto"/>
        <w:rPr>
          <w:sz w:val="20"/>
          <w:szCs w:val="20"/>
          <w:color w:val="auto"/>
        </w:rPr>
      </w:pPr>
      <w:r>
        <w:rPr>
          <w:rFonts w:ascii="Arial" w:cs="Arial" w:eastAsia="Arial" w:hAnsi="Arial"/>
          <w:sz w:val="19"/>
          <w:szCs w:val="19"/>
          <w:color w:val="auto"/>
        </w:rPr>
        <w:t>Pursuant to the terms and conditions of the Indenture, the Conversion Rate for the Convertible Note adjusted on October 17, 2023, to 52.6019 common shares of the Company per $1,000 principal am of the Convertible Notes based on the trading prices of the Company’s common shares over preceding 10-trading day period due to the Separation transaction. The Conversion Rate for Convertible Notes was not adjusted as a result of the Continuation. None of the Convertible Notes surrendered for conversion during the permitted conversion period in connection with the Continuatio</w:t>
      </w:r>
    </w:p>
    <w:p>
      <w:pPr>
        <w:spacing w:after="0" w:line="234" w:lineRule="exact"/>
        <w:rPr>
          <w:sz w:val="20"/>
          <w:szCs w:val="20"/>
          <w:color w:val="auto"/>
        </w:rPr>
      </w:pPr>
    </w:p>
    <w:p>
      <w:pPr>
        <w:ind w:left="1620" w:hanging="726"/>
        <w:spacing w:after="0"/>
        <w:tabs>
          <w:tab w:leader="none" w:pos="1620" w:val="left"/>
        </w:tabs>
        <w:numPr>
          <w:ilvl w:val="0"/>
          <w:numId w:val="172"/>
        </w:numPr>
        <w:rPr>
          <w:rFonts w:ascii="Arial" w:cs="Arial" w:eastAsia="Arial" w:hAnsi="Arial"/>
          <w:sz w:val="20"/>
          <w:szCs w:val="20"/>
          <w:b w:val="1"/>
          <w:bCs w:val="1"/>
          <w:color w:val="153A57"/>
        </w:rPr>
      </w:pPr>
      <w:r>
        <w:rPr>
          <w:rFonts w:ascii="Arial" w:cs="Arial" w:eastAsia="Arial" w:hAnsi="Arial"/>
          <w:sz w:val="20"/>
          <w:szCs w:val="20"/>
          <w:b w:val="1"/>
          <w:bCs w:val="1"/>
          <w:color w:val="153A57"/>
        </w:rPr>
        <w:t>SHARE CAPITAL AND SHARE-BASED COMPENSATION</w:t>
      </w:r>
    </w:p>
    <w:p>
      <w:pPr>
        <w:spacing w:after="0" w:line="293" w:lineRule="exact"/>
        <w:rPr>
          <w:rFonts w:ascii="Arial" w:cs="Arial" w:eastAsia="Arial" w:hAnsi="Arial"/>
          <w:sz w:val="20"/>
          <w:szCs w:val="20"/>
          <w:b w:val="1"/>
          <w:bCs w:val="1"/>
          <w:color w:val="153A57"/>
        </w:rPr>
      </w:pPr>
    </w:p>
    <w:p>
      <w:pPr>
        <w:jc w:val="both"/>
        <w:ind w:left="1620"/>
        <w:spacing w:after="0" w:line="312" w:lineRule="auto"/>
        <w:rPr>
          <w:rFonts w:ascii="Arial" w:cs="Arial" w:eastAsia="Arial" w:hAnsi="Arial"/>
          <w:sz w:val="20"/>
          <w:szCs w:val="20"/>
          <w:b w:val="1"/>
          <w:bCs w:val="1"/>
          <w:color w:val="153A57"/>
        </w:rPr>
      </w:pPr>
      <w:r>
        <w:rPr>
          <w:rFonts w:ascii="Arial" w:cs="Arial" w:eastAsia="Arial" w:hAnsi="Arial"/>
          <w:sz w:val="20"/>
          <w:szCs w:val="20"/>
          <w:color w:val="auto"/>
        </w:rPr>
        <w:t>On January 23, 2025, the Company completed the Continuation from Canada to Switzerland. As a r of the Continuation, Lithium Argentina's shares were established with a nominal par value of $0.0 share, resulting in share capital of $1,619 and a capital reserve of $1,499,682. The number of sh outstanding remained unchanged.</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17 / 27</w:t>
      </w:r>
    </w:p>
    <w:p>
      <w:pPr>
        <w:sectPr>
          <w:pgSz w:w="11900" w:h="16838" w:orient="portrait"/>
          <w:cols w:equalWidth="0" w:num="1">
            <w:col w:w="10460"/>
          </w:cols>
          <w:pgMar w:left="1440" w:top="1440" w:right="6" w:bottom="0" w:gutter="0" w:footer="0" w:header="0"/>
          <w:type w:val="continuous"/>
        </w:sectPr>
      </w:pPr>
    </w:p>
    <w:bookmarkStart w:id="441" w:name="page442"/>
    <w:bookmarkEnd w:id="441"/>
    <w:p>
      <w:pPr>
        <w:jc w:val="both"/>
        <w:ind w:left="1620"/>
        <w:spacing w:after="0" w:line="311" w:lineRule="auto"/>
        <w:rPr>
          <w:sz w:val="20"/>
          <w:szCs w:val="20"/>
          <w:color w:val="auto"/>
        </w:rPr>
      </w:pPr>
      <w:r>
        <w:rPr>
          <w:rFonts w:ascii="Arial" w:cs="Arial" w:eastAsia="Arial" w:hAnsi="Arial"/>
          <w:sz w:val="20"/>
          <w:szCs w:val="20"/>
          <w:color w:val="auto"/>
        </w:rPr>
        <w:t>The share capital is fully paid-in, meaning that the entire issue price of the shares has been fully pa Lithium Argentina. Lithium Argentina has one class of shares outstanding, being the Common Sh The Common Shares are not convertible into shares of any other class or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235585</wp:posOffset>
            </wp:positionV>
            <wp:extent cx="1676400" cy="1905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6">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18 / 27</w:t>
      </w:r>
    </w:p>
    <w:p>
      <w:pPr>
        <w:sectPr>
          <w:pgSz w:w="11900" w:h="16838" w:orient="portrait"/>
          <w:cols w:equalWidth="0" w:num="1">
            <w:col w:w="10460"/>
          </w:cols>
          <w:pgMar w:left="1440" w:top="1172" w:right="6" w:bottom="0" w:gutter="0" w:footer="0" w:header="0"/>
          <w:type w:val="continuous"/>
        </w:sectPr>
      </w:pPr>
    </w:p>
    <w:bookmarkStart w:id="442" w:name="page443"/>
    <w:bookmarkEnd w:id="4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43" w:lineRule="exact"/>
        <w:rPr>
          <w:sz w:val="20"/>
          <w:szCs w:val="20"/>
          <w:color w:val="auto"/>
        </w:rPr>
      </w:pPr>
    </w:p>
    <w:p>
      <w:pPr>
        <w:ind w:left="1620" w:hanging="726"/>
        <w:spacing w:after="0"/>
        <w:tabs>
          <w:tab w:leader="none" w:pos="1620" w:val="left"/>
        </w:tabs>
        <w:numPr>
          <w:ilvl w:val="0"/>
          <w:numId w:val="173"/>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SHARE CAPITAL AND SHARE-BASED COMPENSATION </w:t>
      </w:r>
      <w:r>
        <w:rPr>
          <w:rFonts w:ascii="Arial" w:cs="Arial" w:eastAsia="Arial" w:hAnsi="Arial"/>
          <w:sz w:val="20"/>
          <w:szCs w:val="20"/>
          <w:i w:val="1"/>
          <w:iCs w:val="1"/>
          <w:color w:val="153A57"/>
        </w:rPr>
        <w:t>(continued)</w:t>
      </w:r>
    </w:p>
    <w:p>
      <w:pPr>
        <w:spacing w:after="0" w:line="286"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Equity Incentive Plan</w:t>
      </w:r>
    </w:p>
    <w:p>
      <w:pPr>
        <w:spacing w:after="0" w:line="278" w:lineRule="exact"/>
        <w:rPr>
          <w:rFonts w:ascii="Arial" w:cs="Arial" w:eastAsia="Arial" w:hAnsi="Arial"/>
          <w:sz w:val="20"/>
          <w:szCs w:val="20"/>
          <w:b w:val="1"/>
          <w:bCs w:val="1"/>
          <w:color w:val="153A57"/>
        </w:rPr>
      </w:pPr>
    </w:p>
    <w:p>
      <w:pPr>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The Company has an equity incentive plan (the “Plan”) whereby, from time to time at the discretion Board of Directors, eligible directors, officers, employees and consultants are awarded restricted s units (“RSUs”) and performance share units (“PSUs”) that convert automatically into common sh upon vesting, subject to any applicable deferral provisions under the terms of the Plan. In add independent directors are awarded deferred share units (“DSUs”), generally as partial compensatio their services as directors. DSUs may be redeemed by directors for common shares upon retireme termination from the Board.</w:t>
      </w:r>
    </w:p>
    <w:p>
      <w:pPr>
        <w:spacing w:after="0" w:line="213" w:lineRule="exact"/>
        <w:rPr>
          <w:rFonts w:ascii="Arial" w:cs="Arial" w:eastAsia="Arial" w:hAnsi="Arial"/>
          <w:sz w:val="20"/>
          <w:szCs w:val="20"/>
          <w:b w:val="1"/>
          <w:bCs w:val="1"/>
          <w:color w:val="153A57"/>
        </w:rPr>
      </w:pPr>
    </w:p>
    <w:p>
      <w:pPr>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The Plan also permits the grant of incentive stock options exercisable to purchase common shares Company (“stock options”). The Plan is a “rolling plan”, under which the aggregate number of com shares to be issued shall not exceed 8% of the outstanding shares from time to time.</w:t>
      </w:r>
    </w:p>
    <w:p>
      <w:pPr>
        <w:spacing w:after="0" w:line="204"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Restricted Share Units</w:t>
      </w:r>
    </w:p>
    <w:p>
      <w:pPr>
        <w:spacing w:after="0" w:line="278" w:lineRule="exact"/>
        <w:rPr>
          <w:rFonts w:ascii="Arial" w:cs="Arial" w:eastAsia="Arial" w:hAnsi="Arial"/>
          <w:sz w:val="20"/>
          <w:szCs w:val="20"/>
          <w:b w:val="1"/>
          <w:bCs w:val="1"/>
          <w:color w:val="153A57"/>
        </w:rPr>
      </w:pPr>
    </w:p>
    <w:p>
      <w:pPr>
        <w:jc w:val="both"/>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During the year ended December 31, 2025, the Company granted 4,529 RSUs (2024 – 1,913) t employees and consultants. The total estimated fair value of the RSUs granted was $12,560 (20 $7,346) based on the market value of the Company’s shares on the grant date. Subsequent to year the Company granted 1,405 RSUs to employees and consultants in lieu of annual performance bon with an estimated fair value of $10,859 based on the market price of the Company’s shares on the date.</w:t>
      </w:r>
    </w:p>
    <w:p>
      <w:pPr>
        <w:spacing w:after="0" w:line="211" w:lineRule="exact"/>
        <w:rPr>
          <w:rFonts w:ascii="Arial" w:cs="Arial" w:eastAsia="Arial" w:hAnsi="Arial"/>
          <w:sz w:val="20"/>
          <w:szCs w:val="20"/>
          <w:b w:val="1"/>
          <w:bCs w:val="1"/>
          <w:color w:val="153A57"/>
        </w:rPr>
      </w:pPr>
    </w:p>
    <w:p>
      <w:pPr>
        <w:jc w:val="both"/>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As at December 31, 2025, there was $8,678 (2024 – $6,969) of total unamortized compensation relating to unvested RSUs. During the year ended December 31, 2025, equity compensation exp related to RSUs of $11,027 was recognized in expenses (2024 – $3,118).</w:t>
      </w:r>
    </w:p>
    <w:p>
      <w:pPr>
        <w:spacing w:after="0" w:line="204"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color w:val="auto"/>
        </w:rPr>
        <w:t>A summary of changes to the number of outstanding RSUs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236220</wp:posOffset>
            </wp:positionV>
            <wp:extent cx="5621020" cy="2857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8">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00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Arial" w:cs="Arial" w:eastAsia="Arial" w:hAnsi="Arial"/>
                <w:sz w:val="18"/>
                <w:szCs w:val="18"/>
                <w:b w:val="1"/>
                <w:bCs w:val="1"/>
                <w:color w:val="auto"/>
              </w:rPr>
              <w:t>Number of R</w:t>
            </w:r>
          </w:p>
        </w:tc>
      </w:tr>
      <w:tr>
        <w:trPr>
          <w:trHeight w:val="272"/>
        </w:trPr>
        <w:tc>
          <w:tcPr>
            <w:tcW w:w="6000" w:type="dxa"/>
            <w:vAlign w:val="bottom"/>
          </w:tcPr>
          <w:p>
            <w:pPr>
              <w:spacing w:after="0"/>
              <w:rPr>
                <w:sz w:val="23"/>
                <w:szCs w:val="23"/>
                <w:color w:val="auto"/>
              </w:rPr>
            </w:pPr>
          </w:p>
        </w:tc>
        <w:tc>
          <w:tcPr>
            <w:tcW w:w="2840" w:type="dxa"/>
            <w:vAlign w:val="bottom"/>
          </w:tcPr>
          <w:p>
            <w:pPr>
              <w:jc w:val="right"/>
              <w:spacing w:after="0"/>
              <w:rPr>
                <w:sz w:val="20"/>
                <w:szCs w:val="20"/>
                <w:color w:val="auto"/>
              </w:rPr>
            </w:pPr>
            <w:r>
              <w:rPr>
                <w:rFonts w:ascii="Arial" w:cs="Arial" w:eastAsia="Arial" w:hAnsi="Arial"/>
                <w:sz w:val="18"/>
                <w:szCs w:val="18"/>
                <w:b w:val="1"/>
                <w:bCs w:val="1"/>
                <w:color w:val="auto"/>
              </w:rPr>
              <w:t>(in 00</w:t>
            </w:r>
          </w:p>
        </w:tc>
      </w:tr>
      <w:tr>
        <w:trPr>
          <w:trHeight w:val="324"/>
        </w:trPr>
        <w:tc>
          <w:tcPr>
            <w:tcW w:w="6000" w:type="dxa"/>
            <w:vAlign w:val="bottom"/>
          </w:tcPr>
          <w:p>
            <w:pPr>
              <w:spacing w:after="0"/>
              <w:rPr>
                <w:sz w:val="20"/>
                <w:szCs w:val="20"/>
                <w:color w:val="auto"/>
              </w:rPr>
            </w:pPr>
            <w:r>
              <w:rPr>
                <w:rFonts w:ascii="Arial" w:cs="Arial" w:eastAsia="Arial" w:hAnsi="Arial"/>
                <w:sz w:val="18"/>
                <w:szCs w:val="18"/>
                <w:color w:val="auto"/>
              </w:rPr>
              <w:t>Balance, RSUs outstanding as at December 31, 2023</w:t>
            </w:r>
          </w:p>
        </w:tc>
        <w:tc>
          <w:tcPr>
            <w:tcW w:w="2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6000" w:type="dxa"/>
            <w:vAlign w:val="bottom"/>
          </w:tcPr>
          <w:p>
            <w:pPr>
              <w:spacing w:after="0"/>
              <w:rPr>
                <w:sz w:val="20"/>
                <w:szCs w:val="20"/>
                <w:color w:val="auto"/>
              </w:rPr>
            </w:pPr>
            <w:r>
              <w:rPr>
                <w:rFonts w:ascii="Arial" w:cs="Arial" w:eastAsia="Arial" w:hAnsi="Arial"/>
                <w:sz w:val="18"/>
                <w:szCs w:val="18"/>
                <w:color w:val="auto"/>
              </w:rPr>
              <w:t>Converted into shares</w:t>
            </w:r>
          </w:p>
        </w:tc>
        <w:tc>
          <w:tcPr>
            <w:tcW w:w="2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4"/>
        </w:trPr>
        <w:tc>
          <w:tcPr>
            <w:tcW w:w="6000" w:type="dxa"/>
            <w:vAlign w:val="bottom"/>
          </w:tcPr>
          <w:p>
            <w:pPr>
              <w:spacing w:after="0"/>
              <w:rPr>
                <w:sz w:val="20"/>
                <w:szCs w:val="20"/>
                <w:color w:val="auto"/>
              </w:rPr>
            </w:pPr>
            <w:r>
              <w:rPr>
                <w:rFonts w:ascii="Arial" w:cs="Arial" w:eastAsia="Arial" w:hAnsi="Arial"/>
                <w:sz w:val="18"/>
                <w:szCs w:val="18"/>
                <w:color w:val="auto"/>
              </w:rPr>
              <w:t>Granted</w:t>
            </w:r>
          </w:p>
        </w:tc>
        <w:tc>
          <w:tcPr>
            <w:tcW w:w="2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4"/>
        </w:trPr>
        <w:tc>
          <w:tcPr>
            <w:tcW w:w="6000" w:type="dxa"/>
            <w:vAlign w:val="bottom"/>
          </w:tcPr>
          <w:p>
            <w:pPr>
              <w:spacing w:after="0"/>
              <w:rPr>
                <w:sz w:val="20"/>
                <w:szCs w:val="20"/>
                <w:color w:val="auto"/>
              </w:rPr>
            </w:pPr>
            <w:r>
              <w:rPr>
                <w:rFonts w:ascii="Arial" w:cs="Arial" w:eastAsia="Arial" w:hAnsi="Arial"/>
                <w:sz w:val="18"/>
                <w:szCs w:val="18"/>
                <w:color w:val="auto"/>
              </w:rPr>
              <w:t>Forfeited</w:t>
            </w:r>
          </w:p>
        </w:tc>
        <w:tc>
          <w:tcPr>
            <w:tcW w:w="2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6000" w:type="dxa"/>
            <w:vAlign w:val="bottom"/>
          </w:tcPr>
          <w:p>
            <w:pPr>
              <w:spacing w:after="0"/>
              <w:rPr>
                <w:sz w:val="20"/>
                <w:szCs w:val="20"/>
                <w:color w:val="auto"/>
              </w:rPr>
            </w:pPr>
            <w:r>
              <w:rPr>
                <w:rFonts w:ascii="Arial" w:cs="Arial" w:eastAsia="Arial" w:hAnsi="Arial"/>
                <w:sz w:val="18"/>
                <w:szCs w:val="18"/>
                <w:color w:val="auto"/>
              </w:rPr>
              <w:t>Balance, RSUs outstanding as at December 31, 2024</w:t>
            </w:r>
          </w:p>
        </w:tc>
        <w:tc>
          <w:tcPr>
            <w:tcW w:w="2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6"/>
        </w:trPr>
        <w:tc>
          <w:tcPr>
            <w:tcW w:w="6000" w:type="dxa"/>
            <w:vAlign w:val="bottom"/>
          </w:tcPr>
          <w:p>
            <w:pPr>
              <w:spacing w:after="0"/>
              <w:rPr>
                <w:sz w:val="4"/>
                <w:szCs w:val="4"/>
                <w:color w:val="auto"/>
              </w:rPr>
            </w:pPr>
          </w:p>
        </w:tc>
        <w:tc>
          <w:tcPr>
            <w:tcW w:w="2840" w:type="dxa"/>
            <w:vAlign w:val="bottom"/>
          </w:tcPr>
          <w:p>
            <w:pPr>
              <w:spacing w:after="0"/>
              <w:rPr>
                <w:sz w:val="4"/>
                <w:szCs w:val="4"/>
                <w:color w:val="auto"/>
              </w:rPr>
            </w:pPr>
          </w:p>
        </w:tc>
      </w:tr>
      <w:tr>
        <w:trPr>
          <w:trHeight w:val="278"/>
        </w:trPr>
        <w:tc>
          <w:tcPr>
            <w:tcW w:w="6000" w:type="dxa"/>
            <w:vAlign w:val="bottom"/>
            <w:shd w:val="clear" w:color="auto" w:fill="D9D9D9"/>
          </w:tcPr>
          <w:p>
            <w:pPr>
              <w:spacing w:after="0"/>
              <w:rPr>
                <w:sz w:val="20"/>
                <w:szCs w:val="20"/>
                <w:color w:val="auto"/>
              </w:rPr>
            </w:pPr>
            <w:r>
              <w:rPr>
                <w:rFonts w:ascii="Arial" w:cs="Arial" w:eastAsia="Arial" w:hAnsi="Arial"/>
                <w:sz w:val="18"/>
                <w:szCs w:val="18"/>
                <w:color w:val="auto"/>
              </w:rPr>
              <w:t>Converted into shares</w:t>
            </w:r>
          </w:p>
        </w:tc>
        <w:tc>
          <w:tcPr>
            <w:tcW w:w="28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r>
      <w:tr>
        <w:trPr>
          <w:trHeight w:val="314"/>
        </w:trPr>
        <w:tc>
          <w:tcPr>
            <w:tcW w:w="6000" w:type="dxa"/>
            <w:vAlign w:val="bottom"/>
            <w:shd w:val="clear" w:color="auto" w:fill="D9D9D9"/>
          </w:tcPr>
          <w:p>
            <w:pPr>
              <w:spacing w:after="0"/>
              <w:rPr>
                <w:sz w:val="20"/>
                <w:szCs w:val="20"/>
                <w:color w:val="auto"/>
              </w:rPr>
            </w:pPr>
            <w:r>
              <w:rPr>
                <w:rFonts w:ascii="Arial" w:cs="Arial" w:eastAsia="Arial" w:hAnsi="Arial"/>
                <w:sz w:val="18"/>
                <w:szCs w:val="18"/>
                <w:color w:val="auto"/>
              </w:rPr>
              <w:t>Granted</w:t>
            </w:r>
          </w:p>
        </w:tc>
        <w:tc>
          <w:tcPr>
            <w:tcW w:w="28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w:t>
            </w:r>
          </w:p>
        </w:tc>
      </w:tr>
      <w:tr>
        <w:trPr>
          <w:trHeight w:val="36"/>
        </w:trPr>
        <w:tc>
          <w:tcPr>
            <w:tcW w:w="6000" w:type="dxa"/>
            <w:vAlign w:val="bottom"/>
            <w:shd w:val="clear" w:color="auto" w:fill="D9D9D9"/>
          </w:tcPr>
          <w:p>
            <w:pPr>
              <w:spacing w:after="0"/>
              <w:rPr>
                <w:sz w:val="3"/>
                <w:szCs w:val="3"/>
                <w:color w:val="auto"/>
              </w:rPr>
            </w:pPr>
          </w:p>
        </w:tc>
        <w:tc>
          <w:tcPr>
            <w:tcW w:w="2840" w:type="dxa"/>
            <w:vAlign w:val="bottom"/>
            <w:shd w:val="clear" w:color="auto" w:fill="D9D9D9"/>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-1422400</wp:posOffset>
            </wp:positionV>
            <wp:extent cx="5621020" cy="635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9">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-1216025</wp:posOffset>
            </wp:positionV>
            <wp:extent cx="5621020" cy="635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60">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-610870</wp:posOffset>
            </wp:positionV>
            <wp:extent cx="5621020" cy="635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61">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-405130</wp:posOffset>
            </wp:positionV>
            <wp:extent cx="5621020" cy="635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62">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5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19 / 27</w:t>
      </w:r>
    </w:p>
    <w:p>
      <w:pPr>
        <w:sectPr>
          <w:pgSz w:w="11900" w:h="16838" w:orient="portrait"/>
          <w:cols w:equalWidth="0" w:num="1">
            <w:col w:w="10460"/>
          </w:cols>
          <w:pgMar w:left="1440" w:top="1440" w:right="6" w:bottom="0" w:gutter="0" w:footer="0" w:header="0"/>
          <w:type w:val="continuous"/>
        </w:sectPr>
      </w:pPr>
    </w:p>
    <w:bookmarkStart w:id="443" w:name="page444"/>
    <w:bookmarkEnd w:id="443"/>
    <w:tbl>
      <w:tblPr>
        <w:tblLayout w:type="fixed"/>
        <w:tblInd w:w="1620" w:type="dxa"/>
        <w:tblCellMar>
          <w:top w:w="0" w:type="dxa"/>
          <w:left w:w="0" w:type="dxa"/>
          <w:bottom w:w="0" w:type="dxa"/>
          <w:right w:w="0" w:type="dxa"/>
        </w:tblCellMar>
      </w:tblPr>
      <w:tr>
        <w:trPr>
          <w:trHeight w:val="207"/>
        </w:trPr>
        <w:tc>
          <w:tcPr>
            <w:tcW w:w="6480" w:type="dxa"/>
            <w:vAlign w:val="bottom"/>
          </w:tcPr>
          <w:p>
            <w:pPr>
              <w:spacing w:after="0"/>
              <w:rPr>
                <w:sz w:val="20"/>
                <w:szCs w:val="20"/>
                <w:color w:val="auto"/>
              </w:rPr>
            </w:pPr>
            <w:r>
              <w:rPr>
                <w:rFonts w:ascii="Arial" w:cs="Arial" w:eastAsia="Arial" w:hAnsi="Arial"/>
                <w:sz w:val="18"/>
                <w:szCs w:val="18"/>
                <w:color w:val="auto"/>
              </w:rPr>
              <w:t>Forfeited</w:t>
            </w:r>
          </w:p>
        </w:tc>
        <w:tc>
          <w:tcPr>
            <w:tcW w:w="2360" w:type="dxa"/>
            <w:vAlign w:val="bottom"/>
          </w:tcPr>
          <w:p>
            <w:pPr>
              <w:spacing w:after="0"/>
              <w:rPr>
                <w:sz w:val="17"/>
                <w:szCs w:val="17"/>
                <w:color w:val="auto"/>
              </w:rPr>
            </w:pPr>
          </w:p>
        </w:tc>
      </w:tr>
      <w:tr>
        <w:trPr>
          <w:trHeight w:val="324"/>
        </w:trPr>
        <w:tc>
          <w:tcPr>
            <w:tcW w:w="6480" w:type="dxa"/>
            <w:vAlign w:val="bottom"/>
          </w:tcPr>
          <w:p>
            <w:pPr>
              <w:spacing w:after="0"/>
              <w:rPr>
                <w:sz w:val="20"/>
                <w:szCs w:val="20"/>
                <w:color w:val="auto"/>
              </w:rPr>
            </w:pPr>
            <w:r>
              <w:rPr>
                <w:rFonts w:ascii="Arial" w:cs="Arial" w:eastAsia="Arial" w:hAnsi="Arial"/>
                <w:sz w:val="18"/>
                <w:szCs w:val="18"/>
                <w:color w:val="auto"/>
              </w:rPr>
              <w:t>Balance, RSUs outstanding as at December 31, 2025</w:t>
            </w:r>
          </w:p>
        </w:tc>
        <w:tc>
          <w:tcPr>
            <w:tcW w:w="236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472440</wp:posOffset>
            </wp:positionV>
            <wp:extent cx="1676400" cy="19050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63">
                      <a:extLst>
                        <a:ext uri="{28A0092B-C50C-407E-A947-70E740481C1C}"/>
                      </a:extLst>
                    </a:blip>
                    <a:srcRect/>
                    <a:stretch>
                      <a:fillRect/>
                    </a:stretch>
                  </pic:blipFill>
                  <pic:spPr bwMode="auto">
                    <a:xfrm>
                      <a:off x="0" y="0"/>
                      <a:ext cx="1676400" cy="19050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-182245</wp:posOffset>
            </wp:positionV>
            <wp:extent cx="5621020" cy="2120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64">
                      <a:extLst>
                        <a:ext uri="{28A0092B-C50C-407E-A947-70E740481C1C}"/>
                      </a:extLst>
                    </a:blip>
                    <a:srcRect/>
                    <a:stretch>
                      <a:fillRect/>
                    </a:stretch>
                  </pic:blipFill>
                  <pic:spPr bwMode="auto">
                    <a:xfrm>
                      <a:off x="0" y="0"/>
                      <a:ext cx="5621020"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6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20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20 / 27</w:t>
      </w:r>
    </w:p>
    <w:p>
      <w:pPr>
        <w:sectPr>
          <w:pgSz w:w="11900" w:h="16838" w:orient="portrait"/>
          <w:cols w:equalWidth="0" w:num="1">
            <w:col w:w="10460"/>
          </w:cols>
          <w:pgMar w:left="1440" w:top="1205" w:right="6" w:bottom="0" w:gutter="0" w:footer="0" w:header="0"/>
          <w:type w:val="continuous"/>
        </w:sectPr>
      </w:pPr>
    </w:p>
    <w:bookmarkStart w:id="444" w:name="page445"/>
    <w:bookmarkEnd w:id="4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200" w:lineRule="exact"/>
        <w:rPr>
          <w:sz w:val="20"/>
          <w:szCs w:val="20"/>
          <w:color w:val="auto"/>
        </w:rPr>
      </w:pPr>
    </w:p>
    <w:p>
      <w:pPr>
        <w:spacing w:after="0" w:line="300" w:lineRule="exact"/>
        <w:rPr>
          <w:sz w:val="20"/>
          <w:szCs w:val="20"/>
          <w:color w:val="auto"/>
        </w:rPr>
      </w:pPr>
    </w:p>
    <w:p>
      <w:pPr>
        <w:ind w:left="1620" w:hanging="726"/>
        <w:spacing w:after="0"/>
        <w:tabs>
          <w:tab w:leader="none" w:pos="1620" w:val="left"/>
        </w:tabs>
        <w:numPr>
          <w:ilvl w:val="0"/>
          <w:numId w:val="174"/>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SHARE CAPITAL AND SHARE-BASED COMPENSATION </w:t>
      </w:r>
      <w:r>
        <w:rPr>
          <w:rFonts w:ascii="Arial" w:cs="Arial" w:eastAsia="Arial" w:hAnsi="Arial"/>
          <w:sz w:val="20"/>
          <w:szCs w:val="20"/>
          <w:i w:val="1"/>
          <w:iCs w:val="1"/>
          <w:color w:val="153A57"/>
        </w:rPr>
        <w:t>(continued)</w:t>
      </w:r>
    </w:p>
    <w:p>
      <w:pPr>
        <w:spacing w:after="0" w:line="270"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Deferred Share Units</w:t>
      </w:r>
    </w:p>
    <w:p>
      <w:pPr>
        <w:spacing w:after="0" w:line="278" w:lineRule="exact"/>
        <w:rPr>
          <w:rFonts w:ascii="Arial" w:cs="Arial" w:eastAsia="Arial" w:hAnsi="Arial"/>
          <w:sz w:val="20"/>
          <w:szCs w:val="20"/>
          <w:b w:val="1"/>
          <w:bCs w:val="1"/>
          <w:color w:val="153A57"/>
        </w:rPr>
      </w:pPr>
    </w:p>
    <w:p>
      <w:pPr>
        <w:ind w:left="1620" w:right="20"/>
        <w:spacing w:after="0" w:line="307" w:lineRule="auto"/>
        <w:rPr>
          <w:rFonts w:ascii="Arial" w:cs="Arial" w:eastAsia="Arial" w:hAnsi="Arial"/>
          <w:sz w:val="20"/>
          <w:szCs w:val="20"/>
          <w:b w:val="1"/>
          <w:bCs w:val="1"/>
          <w:color w:val="153A57"/>
        </w:rPr>
      </w:pPr>
      <w:r>
        <w:rPr>
          <w:rFonts w:ascii="Arial" w:cs="Arial" w:eastAsia="Arial" w:hAnsi="Arial"/>
          <w:sz w:val="20"/>
          <w:szCs w:val="20"/>
          <w:color w:val="auto"/>
        </w:rPr>
        <w:t>During the year ended December 31, 2025, the Company granted 324 DSUs (2024 – 203) with a estimated fair value of $900 (2024 – $780).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196215</wp:posOffset>
            </wp:positionV>
            <wp:extent cx="5621020" cy="2857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6">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397"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Number of D</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 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28575</wp:posOffset>
            </wp:positionV>
            <wp:extent cx="5621020" cy="635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7">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Balance, DSUs outstanding as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22860</wp:posOffset>
            </wp:positionV>
            <wp:extent cx="5621020" cy="635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8">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9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22860</wp:posOffset>
            </wp:positionV>
            <wp:extent cx="5621020" cy="635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9">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9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Balance, DSUs outstanding as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22860</wp:posOffset>
            </wp:positionV>
            <wp:extent cx="5621020" cy="635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70">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9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22860</wp:posOffset>
            </wp:positionV>
            <wp:extent cx="5621020" cy="2120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71">
                      <a:extLst>
                        <a:ext uri="{28A0092B-C50C-407E-A947-70E740481C1C}"/>
                      </a:extLst>
                    </a:blip>
                    <a:srcRect/>
                    <a:stretch>
                      <a:fillRect/>
                    </a:stretch>
                  </pic:blipFill>
                  <pic:spPr bwMode="auto">
                    <a:xfrm>
                      <a:off x="0" y="0"/>
                      <a:ext cx="5621020" cy="212090"/>
                    </a:xfrm>
                    <a:prstGeom prst="rect">
                      <a:avLst/>
                    </a:prstGeom>
                    <a:noFill/>
                  </pic:spPr>
                </pic:pic>
              </a:graphicData>
            </a:graphic>
          </wp:anchor>
        </w:drawing>
      </w:r>
    </w:p>
    <w:p>
      <w:pPr>
        <w:spacing w:after="0" w:line="9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Balance, DSUs outstanding as at December 31, 2025</w:t>
      </w:r>
    </w:p>
    <w:p>
      <w:pPr>
        <w:spacing w:after="0" w:line="379" w:lineRule="exact"/>
        <w:rPr>
          <w:sz w:val="20"/>
          <w:szCs w:val="20"/>
          <w:color w:val="auto"/>
        </w:rPr>
      </w:pPr>
    </w:p>
    <w:p>
      <w:pPr>
        <w:ind w:left="1620"/>
        <w:spacing w:after="0"/>
        <w:rPr>
          <w:sz w:val="20"/>
          <w:szCs w:val="20"/>
          <w:color w:val="auto"/>
        </w:rPr>
      </w:pPr>
      <w:r>
        <w:rPr>
          <w:rFonts w:ascii="Arial" w:cs="Arial" w:eastAsia="Arial" w:hAnsi="Arial"/>
          <w:sz w:val="20"/>
          <w:szCs w:val="20"/>
          <w:b w:val="1"/>
          <w:bCs w:val="1"/>
          <w:i w:val="1"/>
          <w:iCs w:val="1"/>
          <w:color w:val="auto"/>
        </w:rPr>
        <w:t>Stock Options</w:t>
      </w:r>
    </w:p>
    <w:p>
      <w:pPr>
        <w:spacing w:after="0" w:line="381" w:lineRule="exact"/>
        <w:rPr>
          <w:sz w:val="20"/>
          <w:szCs w:val="20"/>
          <w:color w:val="auto"/>
        </w:rPr>
      </w:pPr>
    </w:p>
    <w:p>
      <w:pPr>
        <w:ind w:left="1620"/>
        <w:spacing w:after="0" w:line="307" w:lineRule="auto"/>
        <w:rPr>
          <w:sz w:val="20"/>
          <w:szCs w:val="20"/>
          <w:color w:val="auto"/>
        </w:rPr>
      </w:pPr>
      <w:r>
        <w:rPr>
          <w:rFonts w:ascii="Arial" w:cs="Arial" w:eastAsia="Arial" w:hAnsi="Arial"/>
          <w:sz w:val="20"/>
          <w:szCs w:val="20"/>
          <w:color w:val="auto"/>
        </w:rPr>
        <w:t>During the year ended December 31, 2025, no stock options were granted by the Company (20 1,225). None of the stock options were exercisable as at December 31, 2025.</w:t>
      </w:r>
    </w:p>
    <w:p>
      <w:pPr>
        <w:spacing w:after="0" w:line="310"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A summary of changes to outstanding stock options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236220</wp:posOffset>
            </wp:positionV>
            <wp:extent cx="5621020" cy="2857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72">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20" w:right="1980"/>
        <w:spacing w:after="0" w:line="369" w:lineRule="auto"/>
        <w:rPr>
          <w:sz w:val="20"/>
          <w:szCs w:val="20"/>
          <w:color w:val="auto"/>
        </w:rPr>
      </w:pPr>
      <w:r>
        <w:rPr>
          <w:rFonts w:ascii="Arial" w:cs="Arial" w:eastAsia="Arial" w:hAnsi="Arial"/>
          <w:sz w:val="18"/>
          <w:szCs w:val="18"/>
          <w:color w:val="auto"/>
        </w:rPr>
        <w:t>Balance, stock options outstanding as at December 31, 2023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-459105</wp:posOffset>
            </wp:positionV>
            <wp:extent cx="4504690" cy="635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73">
                      <a:extLst>
                        <a:ext uri="{28A0092B-C50C-407E-A947-70E740481C1C}"/>
                      </a:extLst>
                    </a:blip>
                    <a:srcRect/>
                    <a:stretch>
                      <a:fillRect/>
                    </a:stretch>
                  </pic:blipFill>
                  <pic:spPr bwMode="auto">
                    <a:xfrm>
                      <a:off x="0" y="0"/>
                      <a:ext cx="450469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-252730</wp:posOffset>
            </wp:positionV>
            <wp:extent cx="4504690" cy="635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74">
                      <a:extLst>
                        <a:ext uri="{28A0092B-C50C-407E-A947-70E740481C1C}"/>
                      </a:extLst>
                    </a:blip>
                    <a:srcRect/>
                    <a:stretch>
                      <a:fillRect/>
                    </a:stretch>
                  </pic:blipFill>
                  <pic:spPr bwMode="auto">
                    <a:xfrm>
                      <a:off x="0" y="0"/>
                      <a:ext cx="4504690" cy="6350"/>
                    </a:xfrm>
                    <a:prstGeom prst="rect">
                      <a:avLst/>
                    </a:prstGeom>
                    <a:noFill/>
                  </pic:spPr>
                </pic:pic>
              </a:graphicData>
            </a:graphic>
          </wp:anchor>
        </w:drawing>
      </w:r>
    </w:p>
    <w:p>
      <w:pPr>
        <w:ind w:left="1620"/>
        <w:spacing w:after="0" w:line="235" w:lineRule="auto"/>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23495</wp:posOffset>
            </wp:positionV>
            <wp:extent cx="4504690" cy="635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75">
                      <a:extLst>
                        <a:ext uri="{28A0092B-C50C-407E-A947-70E740481C1C}"/>
                      </a:extLst>
                    </a:blip>
                    <a:srcRect/>
                    <a:stretch>
                      <a:fillRect/>
                    </a:stretch>
                  </pic:blipFill>
                  <pic:spPr bwMode="auto">
                    <a:xfrm>
                      <a:off x="0" y="0"/>
                      <a:ext cx="4504690" cy="6350"/>
                    </a:xfrm>
                    <a:prstGeom prst="rect">
                      <a:avLst/>
                    </a:prstGeom>
                    <a:noFill/>
                  </pic:spPr>
                </pic:pic>
              </a:graphicData>
            </a:graphic>
          </wp:anchor>
        </w:drawing>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Balance, stock options outstanding as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26670</wp:posOffset>
            </wp:positionV>
            <wp:extent cx="4504690" cy="635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6">
                      <a:extLst>
                        <a:ext uri="{28A0092B-C50C-407E-A947-70E740481C1C}"/>
                      </a:extLst>
                    </a:blip>
                    <a:srcRect/>
                    <a:stretch>
                      <a:fillRect/>
                    </a:stretch>
                  </pic:blipFill>
                  <pic:spPr bwMode="auto">
                    <a:xfrm>
                      <a:off x="0" y="0"/>
                      <a:ext cx="450469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214630</wp:posOffset>
            </wp:positionV>
            <wp:extent cx="4504690" cy="635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7">
                      <a:extLst>
                        <a:ext uri="{28A0092B-C50C-407E-A947-70E740481C1C}"/>
                      </a:extLst>
                    </a:blip>
                    <a:srcRect/>
                    <a:stretch>
                      <a:fillRect/>
                    </a:stretch>
                  </pic:blipFill>
                  <pic:spPr bwMode="auto">
                    <a:xfrm>
                      <a:off x="0" y="0"/>
                      <a:ext cx="450469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Number of Opti</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 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1115695" cy="635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8">
                      <a:extLst>
                        <a:ext uri="{28A0092B-C50C-407E-A947-70E740481C1C}"/>
                      </a:extLst>
                    </a:blip>
                    <a:srcRect/>
                    <a:stretch>
                      <a:fillRect/>
                    </a:stretch>
                  </pic:blipFill>
                  <pic:spPr bwMode="auto">
                    <a:xfrm>
                      <a:off x="0" y="0"/>
                      <a:ext cx="1115695" cy="635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28575</wp:posOffset>
            </wp:positionV>
            <wp:extent cx="1115695" cy="635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9">
                      <a:extLst>
                        <a:ext uri="{28A0092B-C50C-407E-A947-70E740481C1C}"/>
                      </a:extLst>
                    </a:blip>
                    <a:srcRect/>
                    <a:stretch>
                      <a:fillRect/>
                    </a:stretch>
                  </pic:blipFill>
                  <pic:spPr bwMode="auto">
                    <a:xfrm>
                      <a:off x="0" y="0"/>
                      <a:ext cx="1115695" cy="6350"/>
                    </a:xfrm>
                    <a:prstGeom prst="rect">
                      <a:avLst/>
                    </a:prstGeom>
                    <a:noFill/>
                  </pic:spPr>
                </pic:pic>
              </a:graphicData>
            </a:graphic>
          </wp:anchor>
        </w:drawing>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28575</wp:posOffset>
            </wp:positionV>
            <wp:extent cx="1115695" cy="635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80">
                      <a:extLst>
                        <a:ext uri="{28A0092B-C50C-407E-A947-70E740481C1C}"/>
                      </a:extLst>
                    </a:blip>
                    <a:srcRect/>
                    <a:stretch>
                      <a:fillRect/>
                    </a:stretch>
                  </pic:blipFill>
                  <pic:spPr bwMode="auto">
                    <a:xfrm>
                      <a:off x="0" y="0"/>
                      <a:ext cx="1115695" cy="6350"/>
                    </a:xfrm>
                    <a:prstGeom prst="rect">
                      <a:avLst/>
                    </a:prstGeom>
                    <a:noFill/>
                  </pic:spPr>
                </pic:pic>
              </a:graphicData>
            </a:graphic>
          </wp:anchor>
        </w:drawing>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28575</wp:posOffset>
            </wp:positionV>
            <wp:extent cx="1115695" cy="635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81">
                      <a:extLst>
                        <a:ext uri="{28A0092B-C50C-407E-A947-70E740481C1C}"/>
                      </a:extLst>
                    </a:blip>
                    <a:srcRect/>
                    <a:stretch>
                      <a:fillRect/>
                    </a:stretch>
                  </pic:blipFill>
                  <pic:spPr bwMode="auto">
                    <a:xfrm>
                      <a:off x="0" y="0"/>
                      <a:ext cx="1115695" cy="635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216535</wp:posOffset>
            </wp:positionV>
            <wp:extent cx="1115695" cy="635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82">
                      <a:extLst>
                        <a:ext uri="{28A0092B-C50C-407E-A947-70E740481C1C}"/>
                      </a:extLst>
                    </a:blip>
                    <a:srcRect/>
                    <a:stretch>
                      <a:fillRect/>
                    </a:stretch>
                  </pic:blipFill>
                  <pic:spPr bwMode="auto">
                    <a:xfrm>
                      <a:off x="0" y="0"/>
                      <a:ext cx="1115695" cy="6350"/>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8440" w:space="720"/>
            <w:col w:w="1300"/>
          </w:cols>
          <w:pgMar w:left="1440" w:top="1440" w:right="6" w:bottom="0" w:gutter="0" w:footer="0" w:header="0"/>
          <w:type w:val="continuous"/>
        </w:sectPr>
      </w:pPr>
    </w:p>
    <w:p>
      <w:pPr>
        <w:spacing w:after="0" w:line="148" w:lineRule="exact"/>
        <w:rPr>
          <w:sz w:val="20"/>
          <w:szCs w:val="20"/>
          <w:color w:val="auto"/>
        </w:rPr>
      </w:pPr>
    </w:p>
    <w:tbl>
      <w:tblPr>
        <w:tblLayout w:type="fixed"/>
        <w:tblInd w:w="1620" w:type="dxa"/>
        <w:tblCellMar>
          <w:top w:w="0" w:type="dxa"/>
          <w:left w:w="0" w:type="dxa"/>
          <w:bottom w:w="0" w:type="dxa"/>
          <w:right w:w="0" w:type="dxa"/>
        </w:tblCellMar>
      </w:tblPr>
      <w:tr>
        <w:trPr>
          <w:trHeight w:val="270"/>
        </w:trPr>
        <w:tc>
          <w:tcPr>
            <w:tcW w:w="6780" w:type="dxa"/>
            <w:vAlign w:val="bottom"/>
            <w:shd w:val="clear" w:color="auto" w:fill="D9D9D9"/>
          </w:tcPr>
          <w:p>
            <w:pPr>
              <w:spacing w:after="0"/>
              <w:rPr>
                <w:sz w:val="20"/>
                <w:szCs w:val="20"/>
                <w:color w:val="auto"/>
              </w:rPr>
            </w:pPr>
            <w:r>
              <w:rPr>
                <w:rFonts w:ascii="Arial" w:cs="Arial" w:eastAsia="Arial" w:hAnsi="Arial"/>
                <w:sz w:val="18"/>
                <w:szCs w:val="18"/>
                <w:color w:val="auto"/>
              </w:rPr>
              <w:t>Balance, stock options outstanding as at December 31, 2025</w:t>
            </w:r>
          </w:p>
        </w:tc>
        <w:tc>
          <w:tcPr>
            <w:tcW w:w="20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w:t>
            </w:r>
          </w:p>
        </w:tc>
      </w:tr>
      <w:tr>
        <w:trPr>
          <w:trHeight w:val="55"/>
        </w:trPr>
        <w:tc>
          <w:tcPr>
            <w:tcW w:w="6780" w:type="dxa"/>
            <w:vAlign w:val="bottom"/>
            <w:shd w:val="clear" w:color="auto" w:fill="D9D9D9"/>
          </w:tcPr>
          <w:p>
            <w:pPr>
              <w:spacing w:after="0"/>
              <w:rPr>
                <w:sz w:val="4"/>
                <w:szCs w:val="4"/>
                <w:color w:val="auto"/>
              </w:rPr>
            </w:pPr>
          </w:p>
        </w:tc>
        <w:tc>
          <w:tcPr>
            <w:tcW w:w="2060" w:type="dxa"/>
            <w:vAlign w:val="bottom"/>
            <w:shd w:val="clear" w:color="auto" w:fill="D9D9D9"/>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-5715</wp:posOffset>
            </wp:positionV>
            <wp:extent cx="5621020" cy="635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83">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218" w:lineRule="exact"/>
        <w:rPr>
          <w:sz w:val="20"/>
          <w:szCs w:val="20"/>
          <w:color w:val="auto"/>
        </w:rPr>
      </w:pPr>
    </w:p>
    <w:p>
      <w:pPr>
        <w:jc w:val="both"/>
        <w:ind w:left="1620"/>
        <w:spacing w:after="0" w:line="312" w:lineRule="auto"/>
        <w:rPr>
          <w:sz w:val="20"/>
          <w:szCs w:val="20"/>
          <w:color w:val="auto"/>
        </w:rPr>
      </w:pPr>
      <w:r>
        <w:rPr>
          <w:rFonts w:ascii="Arial" w:cs="Arial" w:eastAsia="Arial" w:hAnsi="Arial"/>
          <w:sz w:val="20"/>
          <w:szCs w:val="20"/>
          <w:color w:val="auto"/>
        </w:rPr>
        <w:t>As at December 31, 2025, there was $1,368 (2024 – $4,179) of total unamortized compensation relating to unvested stock options. During the year ended December 31, 2025, stock-ba compensation expense related to stock options of $2,811 (2024 – $3,285) was recognized in oper expenses on the statement of comprehensive loss.</w:t>
      </w:r>
    </w:p>
    <w:p>
      <w:pPr>
        <w:spacing w:after="0" w:line="205" w:lineRule="exact"/>
        <w:rPr>
          <w:sz w:val="20"/>
          <w:szCs w:val="20"/>
          <w:color w:val="auto"/>
        </w:rPr>
      </w:pPr>
    </w:p>
    <w:p>
      <w:pPr>
        <w:ind w:left="1620"/>
        <w:spacing w:after="0"/>
        <w:rPr>
          <w:sz w:val="20"/>
          <w:szCs w:val="20"/>
          <w:color w:val="auto"/>
        </w:rPr>
      </w:pPr>
      <w:r>
        <w:rPr>
          <w:rFonts w:ascii="Arial" w:cs="Arial" w:eastAsia="Arial" w:hAnsi="Arial"/>
          <w:sz w:val="20"/>
          <w:szCs w:val="20"/>
          <w:b w:val="1"/>
          <w:bCs w:val="1"/>
          <w:i w:val="1"/>
          <w:iCs w:val="1"/>
          <w:color w:val="auto"/>
        </w:rPr>
        <w:t>Performance Share Units</w:t>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21 / 27</w:t>
      </w:r>
    </w:p>
    <w:p>
      <w:pPr>
        <w:sectPr>
          <w:pgSz w:w="11900" w:h="16838" w:orient="portrait"/>
          <w:cols w:equalWidth="0" w:num="1">
            <w:col w:w="10460"/>
          </w:cols>
          <w:pgMar w:left="1440" w:top="1440" w:right="6" w:bottom="0" w:gutter="0" w:footer="0" w:header="0"/>
          <w:type w:val="continuous"/>
        </w:sectPr>
      </w:pPr>
    </w:p>
    <w:bookmarkStart w:id="445" w:name="page446"/>
    <w:bookmarkEnd w:id="445"/>
    <w:p>
      <w:pPr>
        <w:jc w:val="both"/>
        <w:ind w:left="1620" w:right="20"/>
        <w:spacing w:after="0" w:line="311" w:lineRule="auto"/>
        <w:rPr>
          <w:sz w:val="20"/>
          <w:szCs w:val="20"/>
          <w:color w:val="auto"/>
        </w:rPr>
      </w:pPr>
      <w:r>
        <w:rPr>
          <w:rFonts w:ascii="Arial" w:cs="Arial" w:eastAsia="Arial" w:hAnsi="Arial"/>
          <w:sz w:val="20"/>
          <w:szCs w:val="20"/>
          <w:color w:val="auto"/>
        </w:rPr>
        <w:t>During the year ended December 31, 2025, the Company did not grant any PSUs (2024 – none). December 31, 2025, there was $108 (2024 – $412) of total unamortized compensation cost relati unvested PSUs.</w:t>
      </w:r>
    </w:p>
    <w:p>
      <w:pPr>
        <w:spacing w:after="0" w:line="212" w:lineRule="exact"/>
        <w:rPr>
          <w:sz w:val="20"/>
          <w:szCs w:val="20"/>
          <w:color w:val="auto"/>
        </w:rPr>
      </w:pPr>
    </w:p>
    <w:p>
      <w:pPr>
        <w:ind w:left="1620"/>
        <w:spacing w:after="0" w:line="307" w:lineRule="auto"/>
        <w:rPr>
          <w:sz w:val="20"/>
          <w:szCs w:val="20"/>
          <w:color w:val="auto"/>
        </w:rPr>
      </w:pPr>
      <w:r>
        <w:rPr>
          <w:rFonts w:ascii="Arial" w:cs="Arial" w:eastAsia="Arial" w:hAnsi="Arial"/>
          <w:sz w:val="20"/>
          <w:szCs w:val="20"/>
          <w:color w:val="auto"/>
        </w:rPr>
        <w:t>During the year ended December 31, 2025, equity compensation expense related to PSUs of $304 charged to operating expenses (2024 – $554).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237490</wp:posOffset>
            </wp:positionV>
            <wp:extent cx="1676400" cy="19050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84">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8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22 / 27</w:t>
      </w:r>
    </w:p>
    <w:p>
      <w:pPr>
        <w:sectPr>
          <w:pgSz w:w="11900" w:h="16838" w:orient="portrait"/>
          <w:cols w:equalWidth="0" w:num="1">
            <w:col w:w="10460"/>
          </w:cols>
          <w:pgMar w:left="1440" w:top="1172" w:right="6" w:bottom="0" w:gutter="0" w:footer="0" w:header="0"/>
          <w:type w:val="continuous"/>
        </w:sectPr>
      </w:pPr>
    </w:p>
    <w:bookmarkStart w:id="446" w:name="page447"/>
    <w:bookmarkEnd w:id="4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ectPr>
          <w:pgSz w:w="11900" w:h="16838" w:orient="portrait"/>
          <w:cols w:equalWidth="0" w:num="1">
            <w:col w:w="10460"/>
          </w:cols>
          <w:pgMar w:left="1440" w:top="1440" w:right="6" w:bottom="0" w:gutter="0" w:footer="0" w:header="0"/>
        </w:sectPr>
      </w:pPr>
    </w:p>
    <w:p>
      <w:pPr>
        <w:spacing w:after="0" w:line="350" w:lineRule="exact"/>
        <w:rPr>
          <w:sz w:val="20"/>
          <w:szCs w:val="20"/>
          <w:color w:val="auto"/>
        </w:rPr>
      </w:pPr>
    </w:p>
    <w:p>
      <w:pPr>
        <w:jc w:val="both"/>
        <w:ind w:left="1620" w:right="620" w:hanging="726"/>
        <w:spacing w:after="0" w:line="572" w:lineRule="auto"/>
        <w:tabs>
          <w:tab w:leader="none" w:pos="1620" w:val="left"/>
        </w:tabs>
        <w:numPr>
          <w:ilvl w:val="0"/>
          <w:numId w:val="175"/>
        </w:numPr>
        <w:rPr>
          <w:rFonts w:ascii="Arial" w:cs="Arial" w:eastAsia="Arial" w:hAnsi="Arial"/>
          <w:sz w:val="19"/>
          <w:szCs w:val="19"/>
          <w:b w:val="1"/>
          <w:bCs w:val="1"/>
          <w:color w:val="153A57"/>
        </w:rPr>
      </w:pPr>
      <w:r>
        <w:rPr>
          <w:rFonts w:ascii="Arial" w:cs="Arial" w:eastAsia="Arial" w:hAnsi="Arial"/>
          <w:sz w:val="19"/>
          <w:szCs w:val="19"/>
          <w:b w:val="1"/>
          <w:bCs w:val="1"/>
          <w:color w:val="153A57"/>
        </w:rPr>
        <w:t xml:space="preserve">SHARE CAPITAL AND SHARE-BASED COMPENSATION </w:t>
      </w:r>
      <w:r>
        <w:rPr>
          <w:rFonts w:ascii="Arial" w:cs="Arial" w:eastAsia="Arial" w:hAnsi="Arial"/>
          <w:sz w:val="19"/>
          <w:szCs w:val="19"/>
          <w:i w:val="1"/>
          <w:iCs w:val="1"/>
          <w:color w:val="153A57"/>
        </w:rPr>
        <w:t>(continued)</w:t>
      </w:r>
      <w:r>
        <w:rPr>
          <w:rFonts w:ascii="Arial" w:cs="Arial" w:eastAsia="Arial" w:hAnsi="Arial"/>
          <w:sz w:val="19"/>
          <w:szCs w:val="19"/>
          <w:b w:val="1"/>
          <w:bCs w:val="1"/>
          <w:color w:val="153A57"/>
        </w:rPr>
        <w:t xml:space="preserve"> </w:t>
      </w:r>
      <w:r>
        <w:rPr>
          <w:rFonts w:ascii="Arial" w:cs="Arial" w:eastAsia="Arial" w:hAnsi="Arial"/>
          <w:sz w:val="19"/>
          <w:szCs w:val="19"/>
          <w:color w:val="000000"/>
        </w:rPr>
        <w:t>A summary of changes to the number of outstanding PSUs is as follows:</w:t>
      </w:r>
    </w:p>
    <w:p>
      <w:pPr>
        <w:spacing w:after="0" w:line="200" w:lineRule="exact"/>
        <w:rPr>
          <w:rFonts w:ascii="Arial" w:cs="Arial" w:eastAsia="Arial" w:hAnsi="Arial"/>
          <w:sz w:val="19"/>
          <w:szCs w:val="19"/>
          <w:b w:val="1"/>
          <w:bCs w:val="1"/>
          <w:color w:val="153A57"/>
        </w:rPr>
      </w:pPr>
    </w:p>
    <w:p>
      <w:pPr>
        <w:spacing w:after="0" w:line="200" w:lineRule="exact"/>
        <w:rPr>
          <w:rFonts w:ascii="Arial" w:cs="Arial" w:eastAsia="Arial" w:hAnsi="Arial"/>
          <w:sz w:val="19"/>
          <w:szCs w:val="19"/>
          <w:b w:val="1"/>
          <w:bCs w:val="1"/>
          <w:color w:val="153A57"/>
        </w:rPr>
      </w:pPr>
    </w:p>
    <w:p>
      <w:pPr>
        <w:spacing w:after="0" w:line="360" w:lineRule="exact"/>
        <w:rPr>
          <w:rFonts w:ascii="Arial" w:cs="Arial" w:eastAsia="Arial" w:hAnsi="Arial"/>
          <w:sz w:val="19"/>
          <w:szCs w:val="19"/>
          <w:b w:val="1"/>
          <w:bCs w:val="1"/>
          <w:color w:val="153A57"/>
        </w:rPr>
      </w:pPr>
    </w:p>
    <w:p>
      <w:pPr>
        <w:ind w:left="1620" w:right="2760"/>
        <w:spacing w:after="0" w:line="369" w:lineRule="auto"/>
        <w:rPr>
          <w:rFonts w:ascii="Arial" w:cs="Arial" w:eastAsia="Arial" w:hAnsi="Arial"/>
          <w:sz w:val="19"/>
          <w:szCs w:val="19"/>
          <w:b w:val="1"/>
          <w:bCs w:val="1"/>
          <w:color w:val="153A57"/>
        </w:rPr>
      </w:pPr>
      <w:r>
        <w:rPr>
          <w:rFonts w:ascii="Arial" w:cs="Arial" w:eastAsia="Arial" w:hAnsi="Arial"/>
          <w:sz w:val="18"/>
          <w:szCs w:val="18"/>
          <w:color w:val="auto"/>
        </w:rPr>
        <w:t>Balance, PSUs outstanding as at December 31, 2023 Converted into shares</w:t>
      </w:r>
    </w:p>
    <w:p>
      <w:pPr>
        <w:spacing w:after="0" w:line="12" w:lineRule="exact"/>
        <w:rPr>
          <w:rFonts w:ascii="Arial" w:cs="Arial" w:eastAsia="Arial" w:hAnsi="Arial"/>
          <w:sz w:val="19"/>
          <w:szCs w:val="19"/>
          <w:b w:val="1"/>
          <w:bCs w:val="1"/>
          <w:color w:val="153A57"/>
        </w:rPr>
      </w:pPr>
    </w:p>
    <w:p>
      <w:pPr>
        <w:ind w:left="1620" w:right="2760"/>
        <w:spacing w:after="0" w:line="369" w:lineRule="auto"/>
        <w:rPr>
          <w:rFonts w:ascii="Arial" w:cs="Arial" w:eastAsia="Arial" w:hAnsi="Arial"/>
          <w:sz w:val="19"/>
          <w:szCs w:val="19"/>
          <w:b w:val="1"/>
          <w:bCs w:val="1"/>
          <w:color w:val="153A57"/>
        </w:rPr>
      </w:pPr>
      <w:r>
        <w:rPr>
          <w:rFonts w:ascii="Arial" w:cs="Arial" w:eastAsia="Arial" w:hAnsi="Arial"/>
          <w:sz w:val="18"/>
          <w:szCs w:val="18"/>
          <w:color w:val="auto"/>
        </w:rPr>
        <w:t>Balance, PSUs outstanding as at December 31, 2024 Converted into shares</w:t>
      </w:r>
    </w:p>
    <w:p>
      <w:pPr>
        <w:spacing w:after="0" w:line="6" w:lineRule="exact"/>
        <w:rPr>
          <w:rFonts w:ascii="Arial" w:cs="Arial" w:eastAsia="Arial" w:hAnsi="Arial"/>
          <w:sz w:val="19"/>
          <w:szCs w:val="19"/>
          <w:b w:val="1"/>
          <w:bCs w:val="1"/>
          <w:color w:val="153A57"/>
        </w:rPr>
      </w:pPr>
    </w:p>
    <w:p>
      <w:pPr>
        <w:ind w:left="1620"/>
        <w:spacing w:after="0"/>
        <w:rPr>
          <w:rFonts w:ascii="Arial" w:cs="Arial" w:eastAsia="Arial" w:hAnsi="Arial"/>
          <w:sz w:val="19"/>
          <w:szCs w:val="19"/>
          <w:b w:val="1"/>
          <w:bCs w:val="1"/>
          <w:color w:val="153A57"/>
        </w:rPr>
      </w:pPr>
      <w:r>
        <w:rPr>
          <w:rFonts w:ascii="Arial" w:cs="Arial" w:eastAsia="Arial" w:hAnsi="Arial"/>
          <w:sz w:val="18"/>
          <w:szCs w:val="18"/>
          <w:color w:val="auto"/>
        </w:rPr>
        <w:t>Balance, PSUs outstanding as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-1388745</wp:posOffset>
            </wp:positionV>
            <wp:extent cx="4504690" cy="2857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86">
                      <a:extLst>
                        <a:ext uri="{28A0092B-C50C-407E-A947-70E740481C1C}"/>
                      </a:extLst>
                    </a:blip>
                    <a:srcRect/>
                    <a:stretch>
                      <a:fillRect/>
                    </a:stretch>
                  </pic:blipFill>
                  <pic:spPr bwMode="auto">
                    <a:xfrm>
                      <a:off x="0" y="0"/>
                      <a:ext cx="4504690" cy="28575"/>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-800100</wp:posOffset>
            </wp:positionV>
            <wp:extent cx="4504690" cy="635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7">
                      <a:extLst>
                        <a:ext uri="{28A0092B-C50C-407E-A947-70E740481C1C}"/>
                      </a:extLst>
                    </a:blip>
                    <a:srcRect/>
                    <a:stretch>
                      <a:fillRect/>
                    </a:stretch>
                  </pic:blipFill>
                  <pic:spPr bwMode="auto">
                    <a:xfrm>
                      <a:off x="0" y="0"/>
                      <a:ext cx="450469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-1006475</wp:posOffset>
            </wp:positionV>
            <wp:extent cx="4504690" cy="635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8">
                      <a:extLst>
                        <a:ext uri="{28A0092B-C50C-407E-A947-70E740481C1C}"/>
                      </a:extLst>
                    </a:blip>
                    <a:srcRect/>
                    <a:stretch>
                      <a:fillRect/>
                    </a:stretch>
                  </pic:blipFill>
                  <pic:spPr bwMode="auto">
                    <a:xfrm>
                      <a:off x="0" y="0"/>
                      <a:ext cx="450469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-594360</wp:posOffset>
            </wp:positionV>
            <wp:extent cx="4504690" cy="635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9">
                      <a:extLst>
                        <a:ext uri="{28A0092B-C50C-407E-A947-70E740481C1C}"/>
                      </a:extLst>
                    </a:blip>
                    <a:srcRect/>
                    <a:stretch>
                      <a:fillRect/>
                    </a:stretch>
                  </pic:blipFill>
                  <pic:spPr bwMode="auto">
                    <a:xfrm>
                      <a:off x="0" y="0"/>
                      <a:ext cx="450469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-388620</wp:posOffset>
            </wp:positionV>
            <wp:extent cx="4504690" cy="635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90">
                      <a:extLst>
                        <a:ext uri="{28A0092B-C50C-407E-A947-70E740481C1C}"/>
                      </a:extLst>
                    </a:blip>
                    <a:srcRect/>
                    <a:stretch>
                      <a:fillRect/>
                    </a:stretch>
                  </pic:blipFill>
                  <pic:spPr bwMode="auto">
                    <a:xfrm>
                      <a:off x="0" y="0"/>
                      <a:ext cx="450469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-182245</wp:posOffset>
            </wp:positionV>
            <wp:extent cx="5621020" cy="2120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91">
                      <a:extLst>
                        <a:ext uri="{28A0092B-C50C-407E-A947-70E740481C1C}"/>
                      </a:extLst>
                    </a:blip>
                    <a:srcRect/>
                    <a:stretch>
                      <a:fillRect/>
                    </a:stretch>
                  </pic:blipFill>
                  <pic:spPr bwMode="auto">
                    <a:xfrm>
                      <a:off x="0" y="0"/>
                      <a:ext cx="5621020" cy="212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Number of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-186690</wp:posOffset>
            </wp:positionV>
            <wp:extent cx="1115695" cy="2857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92">
                      <a:extLst>
                        <a:ext uri="{28A0092B-C50C-407E-A947-70E740481C1C}"/>
                      </a:extLst>
                    </a:blip>
                    <a:srcRect/>
                    <a:stretch>
                      <a:fillRect/>
                    </a:stretch>
                  </pic:blipFill>
                  <pic:spPr bwMode="auto">
                    <a:xfrm>
                      <a:off x="0" y="0"/>
                      <a:ext cx="1115695" cy="28575"/>
                    </a:xfrm>
                    <a:prstGeom prst="rect">
                      <a:avLst/>
                    </a:prstGeom>
                    <a:noFill/>
                  </pic:spPr>
                </pic:pic>
              </a:graphicData>
            </a:graphic>
          </wp:anchor>
        </w:drawing>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 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22860</wp:posOffset>
            </wp:positionV>
            <wp:extent cx="1115695" cy="2120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93">
                      <a:extLst>
                        <a:ext uri="{28A0092B-C50C-407E-A947-70E740481C1C}"/>
                      </a:extLst>
                    </a:blip>
                    <a:srcRect/>
                    <a:stretch>
                      <a:fillRect/>
                    </a:stretch>
                  </pic:blipFill>
                  <pic:spPr bwMode="auto">
                    <a:xfrm>
                      <a:off x="0" y="0"/>
                      <a:ext cx="1115695" cy="2120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28575</wp:posOffset>
            </wp:positionV>
            <wp:extent cx="1115695" cy="635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94">
                      <a:extLst>
                        <a:ext uri="{28A0092B-C50C-407E-A947-70E740481C1C}"/>
                      </a:extLst>
                    </a:blip>
                    <a:srcRect/>
                    <a:stretch>
                      <a:fillRect/>
                    </a:stretch>
                  </pic:blipFill>
                  <pic:spPr bwMode="auto">
                    <a:xfrm>
                      <a:off x="0" y="0"/>
                      <a:ext cx="1115695" cy="635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234315</wp:posOffset>
            </wp:positionV>
            <wp:extent cx="1115695" cy="635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95">
                      <a:extLst>
                        <a:ext uri="{28A0092B-C50C-407E-A947-70E740481C1C}"/>
                      </a:extLst>
                    </a:blip>
                    <a:srcRect/>
                    <a:stretch>
                      <a:fillRect/>
                    </a:stretch>
                  </pic:blipFill>
                  <pic:spPr bwMode="auto">
                    <a:xfrm>
                      <a:off x="0" y="0"/>
                      <a:ext cx="1115695" cy="635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440055</wp:posOffset>
            </wp:positionV>
            <wp:extent cx="1115695" cy="635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96">
                      <a:extLst>
                        <a:ext uri="{28A0092B-C50C-407E-A947-70E740481C1C}"/>
                      </a:extLst>
                    </a:blip>
                    <a:srcRect/>
                    <a:stretch>
                      <a:fillRect/>
                    </a:stretch>
                  </pic:blipFill>
                  <pic:spPr bwMode="auto">
                    <a:xfrm>
                      <a:off x="0" y="0"/>
                      <a:ext cx="1115695" cy="635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440055</wp:posOffset>
            </wp:positionV>
            <wp:extent cx="1115695" cy="635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7">
                      <a:extLst>
                        <a:ext uri="{28A0092B-C50C-407E-A947-70E740481C1C}"/>
                      </a:extLst>
                    </a:blip>
                    <a:srcRect/>
                    <a:stretch>
                      <a:fillRect/>
                    </a:stretch>
                  </pic:blipFill>
                  <pic:spPr bwMode="auto">
                    <a:xfrm>
                      <a:off x="0" y="0"/>
                      <a:ext cx="1115695" cy="6350"/>
                    </a:xfrm>
                    <a:prstGeom prst="rect">
                      <a:avLst/>
                    </a:prstGeom>
                    <a:noFill/>
                  </pic:spPr>
                </pic:pic>
              </a:graphicData>
            </a:graphic>
          </wp:anchor>
        </w:drawing>
      </w:r>
    </w:p>
    <w:p>
      <w:pPr>
        <w:spacing w:after="0" w:line="1181" w:lineRule="exact"/>
        <w:rPr>
          <w:sz w:val="20"/>
          <w:szCs w:val="20"/>
          <w:color w:val="auto"/>
        </w:rPr>
      </w:pPr>
    </w:p>
    <w:p>
      <w:pPr>
        <w:sectPr>
          <w:pgSz w:w="11900" w:h="16838" w:orient="portrait"/>
          <w:cols w:equalWidth="0" w:num="2">
            <w:col w:w="8640" w:space="720"/>
            <w:col w:w="1100"/>
          </w:cols>
          <w:pgMar w:left="1440" w:top="1440" w:right="6" w:bottom="0" w:gutter="0" w:footer="0" w:header="0"/>
          <w:type w:val="continuous"/>
        </w:sectPr>
      </w:pPr>
    </w:p>
    <w:p>
      <w:pPr>
        <w:spacing w:after="0" w:line="223" w:lineRule="exact"/>
        <w:rPr>
          <w:sz w:val="20"/>
          <w:szCs w:val="20"/>
          <w:color w:val="auto"/>
        </w:rPr>
      </w:pPr>
    </w:p>
    <w:p>
      <w:pPr>
        <w:ind w:left="1620" w:hanging="726"/>
        <w:spacing w:after="0"/>
        <w:tabs>
          <w:tab w:leader="none" w:pos="1620" w:val="left"/>
        </w:tabs>
        <w:numPr>
          <w:ilvl w:val="0"/>
          <w:numId w:val="176"/>
        </w:numPr>
        <w:rPr>
          <w:rFonts w:ascii="Arial" w:cs="Arial" w:eastAsia="Arial" w:hAnsi="Arial"/>
          <w:sz w:val="20"/>
          <w:szCs w:val="20"/>
          <w:b w:val="1"/>
          <w:bCs w:val="1"/>
          <w:color w:val="153A57"/>
        </w:rPr>
      </w:pPr>
      <w:r>
        <w:rPr>
          <w:rFonts w:ascii="Arial" w:cs="Arial" w:eastAsia="Arial" w:hAnsi="Arial"/>
          <w:sz w:val="20"/>
          <w:szCs w:val="20"/>
          <w:b w:val="1"/>
          <w:bCs w:val="1"/>
          <w:color w:val="153A57"/>
        </w:rPr>
        <w:t>RELATED PARTY TRANSACTIONS</w:t>
      </w:r>
    </w:p>
    <w:p>
      <w:pPr>
        <w:spacing w:after="0" w:line="293" w:lineRule="exact"/>
        <w:rPr>
          <w:rFonts w:ascii="Arial" w:cs="Arial" w:eastAsia="Arial" w:hAnsi="Arial"/>
          <w:sz w:val="20"/>
          <w:szCs w:val="20"/>
          <w:b w:val="1"/>
          <w:bCs w:val="1"/>
          <w:color w:val="153A57"/>
        </w:rPr>
      </w:pPr>
    </w:p>
    <w:p>
      <w:pPr>
        <w:ind w:left="1620"/>
        <w:spacing w:after="0" w:line="307" w:lineRule="auto"/>
        <w:rPr>
          <w:rFonts w:ascii="Arial" w:cs="Arial" w:eastAsia="Arial" w:hAnsi="Arial"/>
          <w:sz w:val="20"/>
          <w:szCs w:val="20"/>
          <w:b w:val="1"/>
          <w:bCs w:val="1"/>
          <w:color w:val="153A57"/>
        </w:rPr>
      </w:pPr>
      <w:r>
        <w:rPr>
          <w:rFonts w:ascii="Arial" w:cs="Arial" w:eastAsia="Arial" w:hAnsi="Arial"/>
          <w:sz w:val="20"/>
          <w:szCs w:val="20"/>
          <w:color w:val="auto"/>
        </w:rPr>
        <w:t>Any transactions between the Company and its equity-accounted investees Minera Exar, Exar Ca and Sal de la Puna are considered related party transactions (refer Note 6, 7, 8 and 9).</w:t>
      </w:r>
    </w:p>
    <w:p>
      <w:pPr>
        <w:spacing w:after="0" w:line="215" w:lineRule="exact"/>
        <w:rPr>
          <w:rFonts w:ascii="Arial" w:cs="Arial" w:eastAsia="Arial" w:hAnsi="Arial"/>
          <w:sz w:val="20"/>
          <w:szCs w:val="20"/>
          <w:b w:val="1"/>
          <w:bCs w:val="1"/>
          <w:color w:val="153A57"/>
        </w:rPr>
      </w:pPr>
    </w:p>
    <w:p>
      <w:pPr>
        <w:jc w:val="both"/>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Minera Exar, one of the Company’s equity-accounted investee, has entered into the follo transactions with companies controlled by the family of its President, who is also a director of Lit Argentina:</w:t>
      </w:r>
    </w:p>
    <w:p>
      <w:pPr>
        <w:spacing w:after="0" w:line="175" w:lineRule="exact"/>
        <w:rPr>
          <w:rFonts w:ascii="Arial" w:cs="Arial" w:eastAsia="Arial" w:hAnsi="Arial"/>
          <w:sz w:val="20"/>
          <w:szCs w:val="20"/>
          <w:b w:val="1"/>
          <w:bCs w:val="1"/>
          <w:color w:val="153A57"/>
        </w:rPr>
      </w:pPr>
    </w:p>
    <w:p>
      <w:pPr>
        <w:jc w:val="both"/>
        <w:ind w:left="1980" w:hanging="366"/>
        <w:spacing w:after="0" w:line="368" w:lineRule="auto"/>
        <w:tabs>
          <w:tab w:leader="none" w:pos="1980" w:val="left"/>
        </w:tabs>
        <w:numPr>
          <w:ilvl w:val="1"/>
          <w:numId w:val="176"/>
        </w:numPr>
        <w:rPr>
          <w:rFonts w:ascii="Arial" w:cs="Arial" w:eastAsia="Arial" w:hAnsi="Arial"/>
          <w:sz w:val="20"/>
          <w:szCs w:val="20"/>
          <w:color w:val="auto"/>
        </w:rPr>
      </w:pPr>
      <w:r>
        <w:rPr>
          <w:rFonts w:ascii="Arial" w:cs="Arial" w:eastAsia="Arial" w:hAnsi="Arial"/>
          <w:sz w:val="20"/>
          <w:szCs w:val="20"/>
          <w:color w:val="auto"/>
        </w:rPr>
        <w:t>Option Agreement with Grupo Minero Los Boros S.A. on March 28, 2016, for the transfer to M Exar of title to certain mining properties that comprised a portion of the Cauchari-Olaroz project.</w:t>
      </w:r>
    </w:p>
    <w:p>
      <w:pPr>
        <w:spacing w:after="0" w:line="200" w:lineRule="exact"/>
        <w:rPr>
          <w:rFonts w:ascii="Arial" w:cs="Arial" w:eastAsia="Arial" w:hAnsi="Arial"/>
          <w:sz w:val="20"/>
          <w:szCs w:val="20"/>
          <w:color w:val="auto"/>
        </w:rPr>
      </w:pPr>
    </w:p>
    <w:p>
      <w:pPr>
        <w:spacing w:after="0" w:line="356" w:lineRule="exact"/>
        <w:rPr>
          <w:rFonts w:ascii="Arial" w:cs="Arial" w:eastAsia="Arial" w:hAnsi="Arial"/>
          <w:sz w:val="20"/>
          <w:szCs w:val="20"/>
          <w:color w:val="auto"/>
        </w:rPr>
      </w:pPr>
    </w:p>
    <w:p>
      <w:pPr>
        <w:ind w:left="1980" w:right="20" w:hanging="366"/>
        <w:spacing w:after="0" w:line="368" w:lineRule="auto"/>
        <w:tabs>
          <w:tab w:leader="none" w:pos="1980" w:val="left"/>
        </w:tabs>
        <w:numPr>
          <w:ilvl w:val="1"/>
          <w:numId w:val="176"/>
        </w:numPr>
        <w:rPr>
          <w:rFonts w:ascii="Arial" w:cs="Arial" w:eastAsia="Arial" w:hAnsi="Arial"/>
          <w:sz w:val="20"/>
          <w:szCs w:val="20"/>
          <w:color w:val="auto"/>
        </w:rPr>
      </w:pPr>
      <w:r>
        <w:rPr>
          <w:rFonts w:ascii="Arial" w:cs="Arial" w:eastAsia="Arial" w:hAnsi="Arial"/>
          <w:sz w:val="20"/>
          <w:szCs w:val="20"/>
          <w:color w:val="auto"/>
        </w:rPr>
        <w:t>Expenditures under the construction services contract for the Cauchari-Olaroz project with M Construcciones S.R.L. (“Magna”) were $42 for the year ended December 31, 2025.</w:t>
      </w:r>
    </w:p>
    <w:p>
      <w:pPr>
        <w:spacing w:after="0" w:line="200" w:lineRule="exact"/>
        <w:rPr>
          <w:sz w:val="20"/>
          <w:szCs w:val="20"/>
          <w:color w:val="auto"/>
        </w:rPr>
      </w:pPr>
    </w:p>
    <w:p>
      <w:pPr>
        <w:spacing w:after="0" w:line="230" w:lineRule="exact"/>
        <w:rPr>
          <w:sz w:val="20"/>
          <w:szCs w:val="20"/>
          <w:color w:val="auto"/>
        </w:rPr>
      </w:pPr>
    </w:p>
    <w:p>
      <w:pPr>
        <w:ind w:left="1620"/>
        <w:spacing w:after="0"/>
        <w:tabs>
          <w:tab w:leader="none" w:pos="1960" w:val="left"/>
          <w:tab w:leader="none" w:pos="3480" w:val="left"/>
          <w:tab w:leader="none" w:pos="5280" w:val="left"/>
          <w:tab w:leader="none" w:pos="6500" w:val="left"/>
          <w:tab w:leader="none" w:pos="7460" w:val="left"/>
          <w:tab w:leader="none" w:pos="928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Service</w:t>
      </w:r>
      <w:r>
        <w:rPr>
          <w:sz w:val="20"/>
          <w:szCs w:val="20"/>
          <w:color w:val="auto"/>
        </w:rPr>
        <w:tab/>
      </w:r>
      <w:r>
        <w:rPr>
          <w:rFonts w:ascii="Arial" w:cs="Arial" w:eastAsia="Arial" w:hAnsi="Arial"/>
          <w:sz w:val="20"/>
          <w:szCs w:val="20"/>
          <w:color w:val="auto"/>
        </w:rPr>
        <w:t>agreement</w:t>
      </w:r>
      <w:r>
        <w:rPr>
          <w:sz w:val="20"/>
          <w:szCs w:val="20"/>
          <w:color w:val="auto"/>
        </w:rPr>
        <w:tab/>
      </w:r>
      <w:r>
        <w:rPr>
          <w:rFonts w:ascii="Arial" w:cs="Arial" w:eastAsia="Arial" w:hAnsi="Arial"/>
          <w:sz w:val="20"/>
          <w:szCs w:val="20"/>
          <w:color w:val="auto"/>
        </w:rPr>
        <w:t>with</w:t>
      </w:r>
      <w:r>
        <w:rPr>
          <w:sz w:val="20"/>
          <w:szCs w:val="20"/>
          <w:color w:val="auto"/>
        </w:rPr>
        <w:tab/>
      </w: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consortium</w:t>
      </w:r>
      <w:r>
        <w:rPr>
          <w:sz w:val="20"/>
          <w:szCs w:val="20"/>
          <w:color w:val="auto"/>
        </w:rPr>
        <w:tab/>
      </w:r>
      <w:r>
        <w:rPr>
          <w:rFonts w:ascii="Arial" w:cs="Arial" w:eastAsia="Arial" w:hAnsi="Arial"/>
          <w:sz w:val="20"/>
          <w:szCs w:val="20"/>
          <w:color w:val="auto"/>
        </w:rPr>
        <w:t>owned</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49% by Magna. The agreement entered into Q1 2022, is for servicing of the evaporation pon</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Cauchari-Olaroz over a five-year term, for total consideration of $68,000 (excluding VAT). Durin</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year ended December 31, 2025, Minera Exar spent $19,935 (excluding VAT) on the servicing o</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evaporation ponds at Cauchari-Olaroz.</w:t>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23 / 27</w:t>
      </w:r>
    </w:p>
    <w:p>
      <w:pPr>
        <w:sectPr>
          <w:pgSz w:w="11900" w:h="16838" w:orient="portrait"/>
          <w:cols w:equalWidth="0" w:num="1">
            <w:col w:w="10460"/>
          </w:cols>
          <w:pgMar w:left="1440" w:top="1440" w:right="6" w:bottom="0" w:gutter="0" w:footer="0" w:header="0"/>
          <w:type w:val="continuous"/>
        </w:sectPr>
      </w:pPr>
    </w:p>
    <w:bookmarkStart w:id="447" w:name="page448"/>
    <w:bookmarkEnd w:id="447"/>
    <w:p>
      <w:pPr>
        <w:jc w:val="both"/>
        <w:ind w:left="1980" w:hanging="366"/>
        <w:spacing w:after="0" w:line="373" w:lineRule="auto"/>
        <w:tabs>
          <w:tab w:leader="none" w:pos="198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As at December 31, 2025, Minera Exar had trade payables to Exar Capital of $28,550 (202 $33,292) representing amounts paid by Exar Capital for the purchase of certain materials supplies on behalf of Minera Exar amounting to $41,483 (2024 – $33,293). These transaction settled by Minera Exar upon delivery of the goods and receipt of supplier documentation.</w:t>
      </w:r>
    </w:p>
    <w:p>
      <w:pPr>
        <w:spacing w:after="0" w:line="167" w:lineRule="exact"/>
        <w:rPr>
          <w:sz w:val="20"/>
          <w:szCs w:val="20"/>
          <w:color w:val="auto"/>
        </w:rPr>
      </w:pPr>
    </w:p>
    <w:p>
      <w:pPr>
        <w:ind w:left="1620" w:right="20"/>
        <w:spacing w:after="0" w:line="307" w:lineRule="auto"/>
        <w:rPr>
          <w:sz w:val="20"/>
          <w:szCs w:val="20"/>
          <w:color w:val="auto"/>
        </w:rPr>
      </w:pPr>
      <w:r>
        <w:rPr>
          <w:rFonts w:ascii="Arial" w:cs="Arial" w:eastAsia="Arial" w:hAnsi="Arial"/>
          <w:sz w:val="20"/>
          <w:szCs w:val="20"/>
          <w:color w:val="auto"/>
        </w:rPr>
        <w:t>The amounts due by Minera Exar to related parties arising from such transactions are unsecured interest bearing and have no specific terms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237490</wp:posOffset>
            </wp:positionV>
            <wp:extent cx="1676400" cy="19050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8">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33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24 / 27</w:t>
      </w:r>
    </w:p>
    <w:p>
      <w:pPr>
        <w:sectPr>
          <w:pgSz w:w="11900" w:h="16838" w:orient="portrait"/>
          <w:cols w:equalWidth="0" w:num="1">
            <w:col w:w="10460"/>
          </w:cols>
          <w:pgMar w:left="1440" w:top="1335" w:right="6" w:bottom="0" w:gutter="0" w:footer="0" w:header="0"/>
          <w:type w:val="continuous"/>
        </w:sectPr>
      </w:pPr>
    </w:p>
    <w:bookmarkStart w:id="448" w:name="page449"/>
    <w:bookmarkEnd w:id="4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00" w:lineRule="exact"/>
        <w:rPr>
          <w:sz w:val="20"/>
          <w:szCs w:val="20"/>
          <w:color w:val="auto"/>
        </w:rPr>
      </w:pPr>
    </w:p>
    <w:p>
      <w:pPr>
        <w:ind w:left="1620" w:hanging="726"/>
        <w:spacing w:after="0"/>
        <w:tabs>
          <w:tab w:leader="none" w:pos="1620" w:val="left"/>
        </w:tabs>
        <w:numPr>
          <w:ilvl w:val="0"/>
          <w:numId w:val="178"/>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RELATED PARTY TRANSACTIONS </w:t>
      </w:r>
      <w:r>
        <w:rPr>
          <w:rFonts w:ascii="Arial" w:cs="Arial" w:eastAsia="Arial" w:hAnsi="Arial"/>
          <w:sz w:val="20"/>
          <w:szCs w:val="20"/>
          <w:i w:val="1"/>
          <w:iCs w:val="1"/>
          <w:color w:val="153A57"/>
        </w:rPr>
        <w:t>(continued)</w:t>
      </w:r>
    </w:p>
    <w:p>
      <w:pPr>
        <w:spacing w:after="0" w:line="270"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Compensation of Key Management</w:t>
      </w:r>
    </w:p>
    <w:p>
      <w:pPr>
        <w:spacing w:after="0" w:line="278" w:lineRule="exact"/>
        <w:rPr>
          <w:rFonts w:ascii="Arial" w:cs="Arial" w:eastAsia="Arial" w:hAnsi="Arial"/>
          <w:sz w:val="20"/>
          <w:szCs w:val="20"/>
          <w:b w:val="1"/>
          <w:bCs w:val="1"/>
          <w:color w:val="153A57"/>
        </w:rPr>
      </w:pPr>
    </w:p>
    <w:p>
      <w:pPr>
        <w:ind w:left="1620" w:right="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Key management are the Company’s board of directors, and the executive management team. remuneration of directors and members of the executive management team and amounts due December 31,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193675</wp:posOffset>
            </wp:positionV>
            <wp:extent cx="5621020" cy="2857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00">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373"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46"/>
        </w:trPr>
        <w:tc>
          <w:tcPr>
            <w:tcW w:w="6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320" w:type="dxa"/>
            <w:vAlign w:val="bottom"/>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360" w:type="dxa"/>
            <w:vAlign w:val="bottom"/>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36"/>
        </w:trPr>
        <w:tc>
          <w:tcPr>
            <w:tcW w:w="6320" w:type="dxa"/>
            <w:vAlign w:val="bottom"/>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360" w:type="dxa"/>
            <w:vAlign w:val="bottom"/>
            <w:shd w:val="clear" w:color="auto" w:fill="D9D9D9"/>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Pr>
          <w:p>
            <w:pPr>
              <w:spacing w:after="0"/>
              <w:rPr>
                <w:sz w:val="21"/>
                <w:szCs w:val="21"/>
                <w:color w:val="auto"/>
              </w:rPr>
            </w:pPr>
          </w:p>
        </w:tc>
        <w:tc>
          <w:tcPr>
            <w:tcW w:w="1460" w:type="dxa"/>
            <w:vAlign w:val="bottom"/>
            <w:gridSpan w:val="2"/>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6320" w:type="dxa"/>
            <w:vAlign w:val="bottom"/>
            <w:vMerge w:val="restart"/>
          </w:tcPr>
          <w:p>
            <w:pPr>
              <w:spacing w:after="0"/>
              <w:rPr>
                <w:sz w:val="20"/>
                <w:szCs w:val="20"/>
                <w:color w:val="auto"/>
              </w:rPr>
            </w:pPr>
            <w:r>
              <w:rPr>
                <w:rFonts w:ascii="Arial" w:cs="Arial" w:eastAsia="Arial" w:hAnsi="Arial"/>
                <w:sz w:val="18"/>
                <w:szCs w:val="18"/>
                <w:color w:val="auto"/>
              </w:rPr>
              <w:t>Share based compensation</w:t>
            </w:r>
          </w:p>
        </w:tc>
        <w:tc>
          <w:tcPr>
            <w:tcW w:w="1460" w:type="dxa"/>
            <w:vAlign w:val="bottom"/>
            <w:gridSpan w:val="2"/>
            <w:shd w:val="clear" w:color="auto" w:fill="D9D9D9"/>
          </w:tcPr>
          <w:p>
            <w:pPr>
              <w:spacing w:after="0"/>
              <w:rPr>
                <w:sz w:val="4"/>
                <w:szCs w:val="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320" w:type="dxa"/>
            <w:vAlign w:val="bottom"/>
            <w:vMerge w:val="continue"/>
          </w:tcPr>
          <w:p>
            <w:pPr>
              <w:spacing w:after="0"/>
              <w:rPr>
                <w:sz w:val="23"/>
                <w:szCs w:val="23"/>
                <w:color w:val="auto"/>
              </w:rPr>
            </w:pPr>
          </w:p>
        </w:tc>
        <w:tc>
          <w:tcPr>
            <w:tcW w:w="100" w:type="dxa"/>
            <w:vAlign w:val="bottom"/>
            <w:shd w:val="clear" w:color="auto" w:fill="D9D9D9"/>
          </w:tcPr>
          <w:p>
            <w:pPr>
              <w:spacing w:after="0"/>
              <w:rPr>
                <w:sz w:val="23"/>
                <w:szCs w:val="23"/>
                <w:color w:val="auto"/>
              </w:rPr>
            </w:pPr>
          </w:p>
        </w:tc>
        <w:tc>
          <w:tcPr>
            <w:tcW w:w="13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14,189</w:t>
            </w:r>
          </w:p>
        </w:tc>
        <w:tc>
          <w:tcPr>
            <w:tcW w:w="10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6320" w:type="dxa"/>
            <w:vAlign w:val="bottom"/>
          </w:tcPr>
          <w:p>
            <w:pPr>
              <w:spacing w:after="0"/>
              <w:rPr>
                <w:sz w:val="20"/>
                <w:szCs w:val="20"/>
                <w:color w:val="auto"/>
              </w:rPr>
            </w:pPr>
            <w:r>
              <w:rPr>
                <w:rFonts w:ascii="Arial" w:cs="Arial" w:eastAsia="Arial" w:hAnsi="Arial"/>
                <w:sz w:val="18"/>
                <w:szCs w:val="18"/>
                <w:color w:val="auto"/>
              </w:rPr>
              <w:t>Salaries, bonuses, benefits and directors' fees included in general &amp;</w:t>
            </w:r>
          </w:p>
        </w:tc>
        <w:tc>
          <w:tcPr>
            <w:tcW w:w="100" w:type="dxa"/>
            <w:vAlign w:val="bottom"/>
            <w:shd w:val="clear" w:color="auto" w:fill="D9D9D9"/>
          </w:tcPr>
          <w:p>
            <w:pPr>
              <w:spacing w:after="0"/>
              <w:rPr>
                <w:sz w:val="24"/>
                <w:szCs w:val="24"/>
                <w:color w:val="auto"/>
              </w:rPr>
            </w:pPr>
          </w:p>
        </w:tc>
        <w:tc>
          <w:tcPr>
            <w:tcW w:w="1360" w:type="dxa"/>
            <w:vAlign w:val="bottom"/>
            <w:shd w:val="clear" w:color="auto" w:fill="D9D9D9"/>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32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00" w:type="dxa"/>
            <w:vAlign w:val="bottom"/>
            <w:shd w:val="clear" w:color="auto" w:fill="D9D9D9"/>
          </w:tcPr>
          <w:p>
            <w:pPr>
              <w:spacing w:after="0"/>
              <w:rPr>
                <w:sz w:val="23"/>
                <w:szCs w:val="23"/>
                <w:color w:val="auto"/>
              </w:rPr>
            </w:pPr>
          </w:p>
        </w:tc>
        <w:tc>
          <w:tcPr>
            <w:tcW w:w="13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3,739</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6"/>
        </w:trPr>
        <w:tc>
          <w:tcPr>
            <w:tcW w:w="6320" w:type="dxa"/>
            <w:vAlign w:val="bottom"/>
            <w:vMerge w:val="restart"/>
          </w:tcPr>
          <w:p>
            <w:pPr>
              <w:spacing w:after="0"/>
              <w:rPr>
                <w:sz w:val="20"/>
                <w:szCs w:val="20"/>
                <w:color w:val="auto"/>
              </w:rPr>
            </w:pPr>
            <w:r>
              <w:rPr>
                <w:rFonts w:ascii="Arial" w:cs="Arial" w:eastAsia="Arial" w:hAnsi="Arial"/>
                <w:sz w:val="18"/>
                <w:szCs w:val="18"/>
                <w:color w:val="auto"/>
              </w:rPr>
              <w:t>Salaries, bonuses and benefits included in exploration expenditures</w:t>
            </w:r>
          </w:p>
        </w:tc>
        <w:tc>
          <w:tcPr>
            <w:tcW w:w="100" w:type="dxa"/>
            <w:vAlign w:val="bottom"/>
            <w:shd w:val="clear" w:color="auto" w:fill="D9D9D9"/>
          </w:tcPr>
          <w:p>
            <w:pPr>
              <w:spacing w:after="0"/>
              <w:rPr>
                <w:sz w:val="3"/>
                <w:szCs w:val="3"/>
                <w:color w:val="auto"/>
              </w:rPr>
            </w:pPr>
          </w:p>
        </w:tc>
        <w:tc>
          <w:tcPr>
            <w:tcW w:w="1360" w:type="dxa"/>
            <w:vAlign w:val="bottom"/>
            <w:shd w:val="clear" w:color="auto" w:fill="D9D9D9"/>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vMerge w:val="continue"/>
          </w:tcPr>
          <w:p>
            <w:pPr>
              <w:spacing w:after="0"/>
              <w:rPr>
                <w:sz w:val="23"/>
                <w:szCs w:val="23"/>
                <w:color w:val="auto"/>
              </w:rPr>
            </w:pPr>
          </w:p>
        </w:tc>
        <w:tc>
          <w:tcPr>
            <w:tcW w:w="100" w:type="dxa"/>
            <w:vAlign w:val="bottom"/>
            <w:shd w:val="clear" w:color="auto" w:fill="D9D9D9"/>
          </w:tcPr>
          <w:p>
            <w:pPr>
              <w:spacing w:after="0"/>
              <w:rPr>
                <w:sz w:val="23"/>
                <w:szCs w:val="23"/>
                <w:color w:val="auto"/>
              </w:rPr>
            </w:pPr>
          </w:p>
        </w:tc>
        <w:tc>
          <w:tcPr>
            <w:tcW w:w="13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276</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4"/>
        </w:trPr>
        <w:tc>
          <w:tcPr>
            <w:tcW w:w="6320" w:type="dxa"/>
            <w:vAlign w:val="bottom"/>
          </w:tcPr>
          <w:p>
            <w:pPr>
              <w:spacing w:after="0"/>
              <w:rPr>
                <w:sz w:val="20"/>
                <w:szCs w:val="20"/>
                <w:color w:val="auto"/>
              </w:rPr>
            </w:pPr>
            <w:r>
              <w:rPr>
                <w:rFonts w:ascii="Arial" w:cs="Arial" w:eastAsia="Arial" w:hAnsi="Arial"/>
                <w:sz w:val="18"/>
                <w:szCs w:val="18"/>
                <w:color w:val="auto"/>
              </w:rPr>
              <w:t>Salaries and benefits capitalized to Investment in Cauchari-Olaroz project</w:t>
            </w:r>
          </w:p>
        </w:tc>
        <w:tc>
          <w:tcPr>
            <w:tcW w:w="100" w:type="dxa"/>
            <w:vAlign w:val="bottom"/>
            <w:shd w:val="clear" w:color="auto" w:fill="D9D9D9"/>
          </w:tcPr>
          <w:p>
            <w:pPr>
              <w:spacing w:after="0"/>
              <w:rPr>
                <w:sz w:val="24"/>
                <w:szCs w:val="24"/>
                <w:color w:val="auto"/>
              </w:rPr>
            </w:pPr>
          </w:p>
        </w:tc>
        <w:tc>
          <w:tcPr>
            <w:tcW w:w="13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6320" w:type="dxa"/>
            <w:vAlign w:val="bottom"/>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1360" w:type="dxa"/>
            <w:vAlign w:val="bottom"/>
            <w:shd w:val="clear" w:color="auto" w:fill="D9D9D9"/>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320" w:type="dxa"/>
            <w:vAlign w:val="bottom"/>
          </w:tcPr>
          <w:p>
            <w:pPr>
              <w:spacing w:after="0"/>
              <w:rPr>
                <w:sz w:val="23"/>
                <w:szCs w:val="23"/>
                <w:color w:val="auto"/>
              </w:rPr>
            </w:pPr>
          </w:p>
        </w:tc>
        <w:tc>
          <w:tcPr>
            <w:tcW w:w="100" w:type="dxa"/>
            <w:vAlign w:val="bottom"/>
            <w:shd w:val="clear" w:color="auto" w:fill="D9D9D9"/>
          </w:tcPr>
          <w:p>
            <w:pPr>
              <w:spacing w:after="0"/>
              <w:rPr>
                <w:sz w:val="23"/>
                <w:szCs w:val="23"/>
                <w:color w:val="auto"/>
              </w:rPr>
            </w:pPr>
          </w:p>
        </w:tc>
        <w:tc>
          <w:tcPr>
            <w:tcW w:w="136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18,204</w:t>
            </w: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55"/>
        </w:trPr>
        <w:tc>
          <w:tcPr>
            <w:tcW w:w="6320" w:type="dxa"/>
            <w:vAlign w:val="bottom"/>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1360" w:type="dxa"/>
            <w:vAlign w:val="bottom"/>
            <w:shd w:val="clear" w:color="auto" w:fill="D9D9D9"/>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5046980</wp:posOffset>
            </wp:positionH>
            <wp:positionV relativeFrom="paragraph">
              <wp:posOffset>-1540510</wp:posOffset>
            </wp:positionV>
            <wp:extent cx="1598295" cy="635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01">
                      <a:extLst>
                        <a:ext uri="{28A0092B-C50C-407E-A947-70E740481C1C}"/>
                      </a:extLst>
                    </a:blip>
                    <a:srcRect/>
                    <a:stretch>
                      <a:fillRect/>
                    </a:stretch>
                  </pic:blipFill>
                  <pic:spPr bwMode="auto">
                    <a:xfrm>
                      <a:off x="0" y="0"/>
                      <a:ext cx="1598295"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-1170940</wp:posOffset>
            </wp:positionV>
            <wp:extent cx="5621020" cy="635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02">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-211455</wp:posOffset>
            </wp:positionV>
            <wp:extent cx="5621020" cy="635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03">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-5715</wp:posOffset>
            </wp:positionV>
            <wp:extent cx="5621020" cy="635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04">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210820</wp:posOffset>
            </wp:positionV>
            <wp:extent cx="5621020" cy="2857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05">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312" w:lineRule="exact"/>
        <w:rPr>
          <w:sz w:val="20"/>
          <w:szCs w:val="20"/>
          <w:color w:val="auto"/>
        </w:rPr>
      </w:pPr>
    </w:p>
    <w:tbl>
      <w:tblPr>
        <w:tblLayout w:type="fixed"/>
        <w:tblInd w:w="1620" w:type="dxa"/>
        <w:tblCellMar>
          <w:top w:w="0" w:type="dxa"/>
          <w:left w:w="0" w:type="dxa"/>
          <w:bottom w:w="0" w:type="dxa"/>
          <w:right w:w="0" w:type="dxa"/>
        </w:tblCellMar>
      </w:tblPr>
      <w:tr>
        <w:trPr>
          <w:trHeight w:val="295"/>
        </w:trPr>
        <w:tc>
          <w:tcPr>
            <w:tcW w:w="6300" w:type="dxa"/>
            <w:vAlign w:val="bottom"/>
          </w:tcPr>
          <w:p>
            <w:pPr>
              <w:spacing w:after="0"/>
              <w:rPr>
                <w:sz w:val="24"/>
                <w:szCs w:val="24"/>
                <w:color w:val="auto"/>
              </w:rPr>
            </w:pPr>
          </w:p>
        </w:tc>
        <w:tc>
          <w:tcPr>
            <w:tcW w:w="1420" w:type="dxa"/>
            <w:vAlign w:val="bottom"/>
            <w:shd w:val="clear" w:color="auto" w:fill="DDDDDD"/>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December</w:t>
            </w:r>
          </w:p>
        </w:tc>
      </w:tr>
      <w:tr>
        <w:trPr>
          <w:trHeight w:val="272"/>
        </w:trPr>
        <w:tc>
          <w:tcPr>
            <w:tcW w:w="6300" w:type="dxa"/>
            <w:vAlign w:val="bottom"/>
          </w:tcPr>
          <w:p>
            <w:pPr>
              <w:spacing w:after="0"/>
              <w:rPr>
                <w:sz w:val="23"/>
                <w:szCs w:val="23"/>
                <w:color w:val="auto"/>
              </w:rPr>
            </w:pPr>
          </w:p>
        </w:tc>
        <w:tc>
          <w:tcPr>
            <w:tcW w:w="1420" w:type="dxa"/>
            <w:vAlign w:val="bottom"/>
            <w:shd w:val="clear" w:color="auto" w:fill="DDDDDD"/>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36"/>
        </w:trPr>
        <w:tc>
          <w:tcPr>
            <w:tcW w:w="6300" w:type="dxa"/>
            <w:vAlign w:val="bottom"/>
          </w:tcPr>
          <w:p>
            <w:pPr>
              <w:spacing w:after="0"/>
              <w:rPr>
                <w:sz w:val="3"/>
                <w:szCs w:val="3"/>
                <w:color w:val="auto"/>
              </w:rPr>
            </w:pPr>
          </w:p>
        </w:tc>
        <w:tc>
          <w:tcPr>
            <w:tcW w:w="1420" w:type="dxa"/>
            <w:vAlign w:val="bottom"/>
            <w:shd w:val="clear" w:color="auto" w:fill="DDDDDD"/>
          </w:tcPr>
          <w:p>
            <w:pPr>
              <w:spacing w:after="0"/>
              <w:rPr>
                <w:sz w:val="3"/>
                <w:szCs w:val="3"/>
                <w:color w:val="auto"/>
              </w:rPr>
            </w:pPr>
          </w:p>
        </w:tc>
        <w:tc>
          <w:tcPr>
            <w:tcW w:w="1120" w:type="dxa"/>
            <w:vAlign w:val="bottom"/>
          </w:tcPr>
          <w:p>
            <w:pPr>
              <w:spacing w:after="0"/>
              <w:rPr>
                <w:sz w:val="3"/>
                <w:szCs w:val="3"/>
                <w:color w:val="auto"/>
              </w:rPr>
            </w:pPr>
          </w:p>
        </w:tc>
      </w:tr>
      <w:tr>
        <w:trPr>
          <w:trHeight w:val="276"/>
        </w:trPr>
        <w:tc>
          <w:tcPr>
            <w:tcW w:w="6300" w:type="dxa"/>
            <w:vAlign w:val="bottom"/>
          </w:tcPr>
          <w:p>
            <w:pPr>
              <w:spacing w:after="0"/>
              <w:rPr>
                <w:sz w:val="24"/>
                <w:szCs w:val="24"/>
                <w:color w:val="auto"/>
              </w:rPr>
            </w:pPr>
          </w:p>
        </w:tc>
        <w:tc>
          <w:tcPr>
            <w:tcW w:w="1420" w:type="dxa"/>
            <w:vAlign w:val="bottom"/>
            <w:tcBorders>
              <w:bottom w:val="single" w:sz="8" w:color="DDDDDD"/>
            </w:tcBorders>
            <w:shd w:val="clear" w:color="auto" w:fill="DDDDDD"/>
          </w:tcPr>
          <w:p>
            <w:pPr>
              <w:jc w:val="right"/>
              <w:ind w:right="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spacing w:after="0"/>
              <w:rPr>
                <w:sz w:val="24"/>
                <w:szCs w:val="24"/>
                <w:color w:val="auto"/>
              </w:rPr>
            </w:pPr>
          </w:p>
        </w:tc>
      </w:tr>
      <w:tr>
        <w:trPr>
          <w:trHeight w:val="278"/>
        </w:trPr>
        <w:tc>
          <w:tcPr>
            <w:tcW w:w="6300" w:type="dxa"/>
            <w:vAlign w:val="bottom"/>
          </w:tcPr>
          <w:p>
            <w:pPr>
              <w:spacing w:after="0"/>
              <w:rPr>
                <w:sz w:val="20"/>
                <w:szCs w:val="20"/>
                <w:color w:val="auto"/>
              </w:rPr>
            </w:pPr>
            <w:r>
              <w:rPr>
                <w:rFonts w:ascii="Arial" w:cs="Arial" w:eastAsia="Arial" w:hAnsi="Arial"/>
                <w:sz w:val="18"/>
                <w:szCs w:val="18"/>
                <w:color w:val="auto"/>
              </w:rPr>
              <w:t>Total due to directors</w:t>
            </w:r>
          </w:p>
        </w:tc>
        <w:tc>
          <w:tcPr>
            <w:tcW w:w="142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101</w:t>
            </w:r>
          </w:p>
        </w:tc>
        <w:tc>
          <w:tcPr>
            <w:tcW w:w="1120" w:type="dxa"/>
            <w:vAlign w:val="bottom"/>
          </w:tcPr>
          <w:p>
            <w:pPr>
              <w:spacing w:after="0"/>
              <w:rPr>
                <w:sz w:val="24"/>
                <w:szCs w:val="24"/>
                <w:color w:val="auto"/>
              </w:rPr>
            </w:pPr>
          </w:p>
        </w:tc>
      </w:tr>
      <w:tr>
        <w:trPr>
          <w:trHeight w:val="46"/>
        </w:trPr>
        <w:tc>
          <w:tcPr>
            <w:tcW w:w="6300" w:type="dxa"/>
            <w:vAlign w:val="bottom"/>
          </w:tcPr>
          <w:p>
            <w:pPr>
              <w:spacing w:after="0"/>
              <w:rPr>
                <w:sz w:val="4"/>
                <w:szCs w:val="4"/>
                <w:color w:val="auto"/>
              </w:rPr>
            </w:pPr>
          </w:p>
        </w:tc>
        <w:tc>
          <w:tcPr>
            <w:tcW w:w="1420" w:type="dxa"/>
            <w:vAlign w:val="bottom"/>
            <w:shd w:val="clear" w:color="auto" w:fill="D9D9D9"/>
          </w:tcPr>
          <w:p>
            <w:pPr>
              <w:spacing w:after="0"/>
              <w:rPr>
                <w:sz w:val="4"/>
                <w:szCs w:val="4"/>
                <w:color w:val="auto"/>
              </w:rPr>
            </w:pPr>
          </w:p>
        </w:tc>
        <w:tc>
          <w:tcPr>
            <w:tcW w:w="11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-211455</wp:posOffset>
            </wp:positionV>
            <wp:extent cx="5621020" cy="635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06">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-5715</wp:posOffset>
            </wp:positionV>
            <wp:extent cx="5621020" cy="635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7">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320" w:lineRule="exact"/>
        <w:rPr>
          <w:sz w:val="20"/>
          <w:szCs w:val="20"/>
          <w:color w:val="auto"/>
        </w:rPr>
      </w:pPr>
    </w:p>
    <w:p>
      <w:pPr>
        <w:jc w:val="both"/>
        <w:ind w:left="1620"/>
        <w:spacing w:after="0" w:line="312" w:lineRule="auto"/>
        <w:rPr>
          <w:sz w:val="20"/>
          <w:szCs w:val="20"/>
          <w:color w:val="auto"/>
        </w:rPr>
      </w:pPr>
      <w:r>
        <w:rPr>
          <w:rFonts w:ascii="Arial" w:cs="Arial" w:eastAsia="Arial" w:hAnsi="Arial"/>
          <w:sz w:val="20"/>
          <w:szCs w:val="20"/>
          <w:color w:val="auto"/>
        </w:rPr>
        <w:t>As of January 23, 2025, the Company entered into new employment contracts with certain membe the executive management team. These contracts were implemented to ensure compliance with S law and include amendments to provisions related to termination and termination upon a chang control.</w:t>
      </w:r>
    </w:p>
    <w:p>
      <w:pPr>
        <w:spacing w:after="0" w:line="212" w:lineRule="exact"/>
        <w:rPr>
          <w:sz w:val="20"/>
          <w:szCs w:val="20"/>
          <w:color w:val="auto"/>
        </w:rPr>
      </w:pPr>
    </w:p>
    <w:p>
      <w:pPr>
        <w:jc w:val="both"/>
        <w:ind w:left="1620"/>
        <w:spacing w:after="0" w:line="311" w:lineRule="auto"/>
        <w:rPr>
          <w:sz w:val="20"/>
          <w:szCs w:val="20"/>
          <w:color w:val="auto"/>
        </w:rPr>
      </w:pPr>
      <w:r>
        <w:rPr>
          <w:rFonts w:ascii="Arial" w:cs="Arial" w:eastAsia="Arial" w:hAnsi="Arial"/>
          <w:sz w:val="20"/>
          <w:szCs w:val="20"/>
          <w:color w:val="auto"/>
        </w:rPr>
        <w:t>In consideration for entering into these new employment agreements, the affected execu management team members were granted restricted share units, with a total aggregate grant val $3,856 for all impacted individuals.</w:t>
      </w:r>
    </w:p>
    <w:p>
      <w:pPr>
        <w:spacing w:after="0" w:line="248" w:lineRule="exact"/>
        <w:rPr>
          <w:sz w:val="20"/>
          <w:szCs w:val="20"/>
          <w:color w:val="auto"/>
        </w:rPr>
      </w:pPr>
    </w:p>
    <w:p>
      <w:pPr>
        <w:ind w:left="1620" w:hanging="726"/>
        <w:spacing w:after="0"/>
        <w:tabs>
          <w:tab w:leader="none" w:pos="1620" w:val="left"/>
        </w:tabs>
        <w:numPr>
          <w:ilvl w:val="0"/>
          <w:numId w:val="179"/>
        </w:numPr>
        <w:rPr>
          <w:rFonts w:ascii="Arial" w:cs="Arial" w:eastAsia="Arial" w:hAnsi="Arial"/>
          <w:sz w:val="20"/>
          <w:szCs w:val="20"/>
          <w:b w:val="1"/>
          <w:bCs w:val="1"/>
          <w:color w:val="153A57"/>
        </w:rPr>
      </w:pPr>
      <w:r>
        <w:rPr>
          <w:rFonts w:ascii="Arial" w:cs="Arial" w:eastAsia="Arial" w:hAnsi="Arial"/>
          <w:sz w:val="20"/>
          <w:szCs w:val="20"/>
          <w:b w:val="1"/>
          <w:bCs w:val="1"/>
          <w:color w:val="153A57"/>
        </w:rPr>
        <w:t>GENERAL AND ADMINISTRATIVE EXPENSES</w:t>
      </w:r>
    </w:p>
    <w:p>
      <w:pPr>
        <w:spacing w:after="0" w:line="286"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color w:val="auto"/>
        </w:rPr>
        <w:t>The following table summarizes the Company’s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236220</wp:posOffset>
            </wp:positionV>
            <wp:extent cx="5621020" cy="2857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8">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3556000</wp:posOffset>
            </wp:positionH>
            <wp:positionV relativeFrom="paragraph">
              <wp:posOffset>22860</wp:posOffset>
            </wp:positionV>
            <wp:extent cx="3089910" cy="635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9">
                      <a:extLst>
                        <a:ext uri="{28A0092B-C50C-407E-A947-70E740481C1C}"/>
                      </a:extLst>
                    </a:blip>
                    <a:srcRect/>
                    <a:stretch>
                      <a:fillRect/>
                    </a:stretch>
                  </pic:blipFill>
                  <pic:spPr bwMode="auto">
                    <a:xfrm>
                      <a:off x="0" y="0"/>
                      <a:ext cx="3089910" cy="6350"/>
                    </a:xfrm>
                    <a:prstGeom prst="rect">
                      <a:avLst/>
                    </a:prstGeom>
                    <a:noFill/>
                  </pic:spPr>
                </pic:pic>
              </a:graphicData>
            </a:graphic>
          </wp:anchor>
        </w:drawing>
      </w:r>
    </w:p>
    <w:p>
      <w:pPr>
        <w:spacing w:after="0" w:line="26" w:lineRule="exact"/>
        <w:rPr>
          <w:sz w:val="20"/>
          <w:szCs w:val="20"/>
          <w:color w:val="auto"/>
        </w:rPr>
      </w:pPr>
    </w:p>
    <w:tbl>
      <w:tblPr>
        <w:tblLayout w:type="fixed"/>
        <w:tblInd w:w="5600" w:type="dxa"/>
        <w:tblCellMar>
          <w:top w:w="0" w:type="dxa"/>
          <w:left w:w="0" w:type="dxa"/>
          <w:bottom w:w="0" w:type="dxa"/>
          <w:right w:w="0" w:type="dxa"/>
        </w:tblCellMar>
      </w:tblPr>
      <w:tr>
        <w:trPr>
          <w:trHeight w:val="250"/>
        </w:trPr>
        <w:tc>
          <w:tcPr>
            <w:tcW w:w="1740" w:type="dxa"/>
            <w:vAlign w:val="bottom"/>
            <w:shd w:val="clear" w:color="auto" w:fill="D9D9D9"/>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2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2024</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36"/>
        </w:trPr>
        <w:tc>
          <w:tcPr>
            <w:tcW w:w="1740" w:type="dxa"/>
            <w:vAlign w:val="bottom"/>
            <w:shd w:val="clear" w:color="auto" w:fill="D9D9D9"/>
          </w:tcPr>
          <w:p>
            <w:pPr>
              <w:spacing w:after="0"/>
              <w:rPr>
                <w:sz w:val="3"/>
                <w:szCs w:val="3"/>
                <w:color w:val="auto"/>
              </w:rPr>
            </w:pPr>
          </w:p>
        </w:tc>
        <w:tc>
          <w:tcPr>
            <w:tcW w:w="23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0"/>
        </w:trPr>
        <w:tc>
          <w:tcPr>
            <w:tcW w:w="1740" w:type="dxa"/>
            <w:vAlign w:val="bottom"/>
            <w:shd w:val="clear" w:color="auto" w:fill="D9D9D9"/>
          </w:tcPr>
          <w:p>
            <w:pPr>
              <w:jc w:val="right"/>
              <w:ind w:right="10"/>
              <w:spacing w:after="0"/>
              <w:rPr>
                <w:sz w:val="20"/>
                <w:szCs w:val="20"/>
                <w:color w:val="auto"/>
              </w:rPr>
            </w:pPr>
            <w:r>
              <w:rPr>
                <w:rFonts w:ascii="Arial" w:cs="Arial" w:eastAsia="Arial" w:hAnsi="Arial"/>
                <w:sz w:val="18"/>
                <w:szCs w:val="18"/>
                <w:b w:val="1"/>
                <w:bCs w:val="1"/>
                <w:color w:val="auto"/>
              </w:rPr>
              <w:t>$</w:t>
            </w:r>
          </w:p>
        </w:tc>
        <w:tc>
          <w:tcPr>
            <w:tcW w:w="234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spacing w:after="0"/>
              <w:rPr>
                <w:sz w:val="21"/>
                <w:szCs w:val="21"/>
                <w:color w:val="auto"/>
              </w:rPr>
            </w:pPr>
          </w:p>
        </w:tc>
      </w:tr>
      <w:tr>
        <w:trPr>
          <w:trHeight w:val="46"/>
        </w:trPr>
        <w:tc>
          <w:tcPr>
            <w:tcW w:w="1740" w:type="dxa"/>
            <w:vAlign w:val="bottom"/>
            <w:shd w:val="clear" w:color="auto" w:fill="D9D9D9"/>
          </w:tcPr>
          <w:p>
            <w:pPr>
              <w:spacing w:after="0"/>
              <w:rPr>
                <w:sz w:val="4"/>
                <w:szCs w:val="4"/>
                <w:color w:val="auto"/>
              </w:rPr>
            </w:pPr>
          </w:p>
        </w:tc>
        <w:tc>
          <w:tcPr>
            <w:tcW w:w="2340" w:type="dxa"/>
            <w:vAlign w:val="bottom"/>
          </w:tcPr>
          <w:p>
            <w:pPr>
              <w:spacing w:after="0"/>
              <w:rPr>
                <w:sz w:val="4"/>
                <w:szCs w:val="4"/>
                <w:color w:val="auto"/>
              </w:rPr>
            </w:pPr>
          </w:p>
        </w:tc>
        <w:tc>
          <w:tcPr>
            <w:tcW w:w="78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-5715</wp:posOffset>
            </wp:positionV>
            <wp:extent cx="5621020" cy="635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10">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25 / 27</w:t>
      </w:r>
    </w:p>
    <w:p>
      <w:pPr>
        <w:sectPr>
          <w:pgSz w:w="11900" w:h="16838" w:orient="portrait"/>
          <w:cols w:equalWidth="0" w:num="1">
            <w:col w:w="10460"/>
          </w:cols>
          <w:pgMar w:left="1440" w:top="1440" w:right="6" w:bottom="0" w:gutter="0" w:footer="0" w:header="0"/>
          <w:type w:val="continuous"/>
        </w:sectPr>
      </w:pPr>
    </w:p>
    <w:bookmarkStart w:id="449" w:name="page450"/>
    <w:bookmarkEnd w:id="449"/>
    <w:tbl>
      <w:tblPr>
        <w:tblLayout w:type="fixed"/>
        <w:tblInd w:w="1620" w:type="dxa"/>
        <w:tblCellMar>
          <w:top w:w="0" w:type="dxa"/>
          <w:left w:w="0" w:type="dxa"/>
          <w:bottom w:w="0" w:type="dxa"/>
          <w:right w:w="0" w:type="dxa"/>
        </w:tblCellMar>
      </w:tblPr>
      <w:tr>
        <w:trPr>
          <w:trHeight w:val="270"/>
        </w:trPr>
        <w:tc>
          <w:tcPr>
            <w:tcW w:w="3980" w:type="dxa"/>
            <w:vAlign w:val="bottom"/>
          </w:tcPr>
          <w:p>
            <w:pPr>
              <w:spacing w:after="0"/>
              <w:rPr>
                <w:sz w:val="20"/>
                <w:szCs w:val="20"/>
                <w:color w:val="auto"/>
              </w:rPr>
            </w:pPr>
            <w:r>
              <w:rPr>
                <w:rFonts w:ascii="Arial" w:cs="Arial" w:eastAsia="Arial" w:hAnsi="Arial"/>
                <w:sz w:val="18"/>
                <w:szCs w:val="18"/>
                <w:color w:val="auto"/>
              </w:rPr>
              <w:t>Salaries, benefits and directors' fees</w:t>
            </w:r>
          </w:p>
        </w:tc>
        <w:tc>
          <w:tcPr>
            <w:tcW w:w="174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8,518</w:t>
            </w:r>
          </w:p>
        </w:tc>
        <w:tc>
          <w:tcPr>
            <w:tcW w:w="2260" w:type="dxa"/>
            <w:vAlign w:val="bottom"/>
          </w:tcPr>
          <w:p>
            <w:pPr>
              <w:jc w:val="right"/>
              <w:ind w:right="530"/>
              <w:spacing w:after="0"/>
              <w:rPr>
                <w:sz w:val="20"/>
                <w:szCs w:val="20"/>
                <w:color w:val="auto"/>
              </w:rPr>
            </w:pPr>
            <w:r>
              <w:rPr>
                <w:rFonts w:ascii="Arial" w:cs="Arial" w:eastAsia="Arial" w:hAnsi="Arial"/>
                <w:sz w:val="18"/>
                <w:szCs w:val="18"/>
                <w:color w:val="auto"/>
              </w:rPr>
              <w:t>6,017</w:t>
            </w: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4"/>
        </w:trPr>
        <w:tc>
          <w:tcPr>
            <w:tcW w:w="3980" w:type="dxa"/>
            <w:vAlign w:val="bottom"/>
          </w:tcPr>
          <w:p>
            <w:pPr>
              <w:spacing w:after="0"/>
              <w:rPr>
                <w:sz w:val="20"/>
                <w:szCs w:val="20"/>
                <w:color w:val="auto"/>
              </w:rPr>
            </w:pPr>
            <w:r>
              <w:rPr>
                <w:rFonts w:ascii="Arial" w:cs="Arial" w:eastAsia="Arial" w:hAnsi="Arial"/>
                <w:sz w:val="18"/>
                <w:szCs w:val="18"/>
                <w:color w:val="auto"/>
              </w:rPr>
              <w:t>Office and administration</w:t>
            </w:r>
          </w:p>
        </w:tc>
        <w:tc>
          <w:tcPr>
            <w:tcW w:w="174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2,277</w:t>
            </w:r>
          </w:p>
        </w:tc>
        <w:tc>
          <w:tcPr>
            <w:tcW w:w="2260" w:type="dxa"/>
            <w:vAlign w:val="bottom"/>
          </w:tcPr>
          <w:p>
            <w:pPr>
              <w:jc w:val="right"/>
              <w:ind w:right="530"/>
              <w:spacing w:after="0"/>
              <w:rPr>
                <w:sz w:val="20"/>
                <w:szCs w:val="20"/>
                <w:color w:val="auto"/>
              </w:rPr>
            </w:pPr>
            <w:r>
              <w:rPr>
                <w:rFonts w:ascii="Arial" w:cs="Arial" w:eastAsia="Arial" w:hAnsi="Arial"/>
                <w:sz w:val="18"/>
                <w:szCs w:val="18"/>
                <w:color w:val="auto"/>
              </w:rPr>
              <w:t>2,836</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4"/>
        </w:trPr>
        <w:tc>
          <w:tcPr>
            <w:tcW w:w="3980" w:type="dxa"/>
            <w:vAlign w:val="bottom"/>
          </w:tcPr>
          <w:p>
            <w:pPr>
              <w:spacing w:after="0"/>
              <w:rPr>
                <w:sz w:val="20"/>
                <w:szCs w:val="20"/>
                <w:color w:val="auto"/>
              </w:rPr>
            </w:pPr>
            <w:r>
              <w:rPr>
                <w:rFonts w:ascii="Arial" w:cs="Arial" w:eastAsia="Arial" w:hAnsi="Arial"/>
                <w:sz w:val="18"/>
                <w:szCs w:val="18"/>
                <w:color w:val="auto"/>
              </w:rPr>
              <w:t>Professional fees</w:t>
            </w:r>
          </w:p>
        </w:tc>
        <w:tc>
          <w:tcPr>
            <w:tcW w:w="174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3,283</w:t>
            </w:r>
          </w:p>
        </w:tc>
        <w:tc>
          <w:tcPr>
            <w:tcW w:w="2260" w:type="dxa"/>
            <w:vAlign w:val="bottom"/>
          </w:tcPr>
          <w:p>
            <w:pPr>
              <w:jc w:val="right"/>
              <w:ind w:right="530"/>
              <w:spacing w:after="0"/>
              <w:rPr>
                <w:sz w:val="20"/>
                <w:szCs w:val="20"/>
                <w:color w:val="auto"/>
              </w:rPr>
            </w:pPr>
            <w:r>
              <w:rPr>
                <w:rFonts w:ascii="Arial" w:cs="Arial" w:eastAsia="Arial" w:hAnsi="Arial"/>
                <w:sz w:val="18"/>
                <w:szCs w:val="18"/>
                <w:color w:val="auto"/>
              </w:rPr>
              <w:t>3,565</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4"/>
        </w:trPr>
        <w:tc>
          <w:tcPr>
            <w:tcW w:w="3980" w:type="dxa"/>
            <w:vAlign w:val="bottom"/>
          </w:tcPr>
          <w:p>
            <w:pPr>
              <w:spacing w:after="0"/>
              <w:rPr>
                <w:sz w:val="20"/>
                <w:szCs w:val="20"/>
                <w:color w:val="auto"/>
              </w:rPr>
            </w:pPr>
            <w:r>
              <w:rPr>
                <w:rFonts w:ascii="Arial" w:cs="Arial" w:eastAsia="Arial" w:hAnsi="Arial"/>
                <w:sz w:val="18"/>
                <w:szCs w:val="18"/>
                <w:color w:val="auto"/>
              </w:rPr>
              <w:t>Regulatory and filing fees</w:t>
            </w:r>
          </w:p>
        </w:tc>
        <w:tc>
          <w:tcPr>
            <w:tcW w:w="174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158</w:t>
            </w:r>
          </w:p>
        </w:tc>
        <w:tc>
          <w:tcPr>
            <w:tcW w:w="2260" w:type="dxa"/>
            <w:vAlign w:val="bottom"/>
          </w:tcPr>
          <w:p>
            <w:pPr>
              <w:jc w:val="right"/>
              <w:ind w:right="530"/>
              <w:spacing w:after="0"/>
              <w:rPr>
                <w:sz w:val="20"/>
                <w:szCs w:val="20"/>
                <w:color w:val="auto"/>
              </w:rPr>
            </w:pPr>
            <w:r>
              <w:rPr>
                <w:rFonts w:ascii="Arial" w:cs="Arial" w:eastAsia="Arial" w:hAnsi="Arial"/>
                <w:sz w:val="18"/>
                <w:szCs w:val="18"/>
                <w:color w:val="auto"/>
              </w:rPr>
              <w:t>381</w:t>
            </w:r>
          </w:p>
        </w:tc>
        <w:tc>
          <w:tcPr>
            <w:tcW w:w="860" w:type="dxa"/>
            <w:vAlign w:val="bottom"/>
          </w:tcPr>
          <w:p>
            <w:pPr>
              <w:spacing w:after="0"/>
              <w:rPr>
                <w:sz w:val="24"/>
                <w:szCs w:val="24"/>
                <w:color w:val="auto"/>
              </w:rPr>
            </w:pPr>
          </w:p>
        </w:tc>
      </w:tr>
      <w:tr>
        <w:trPr>
          <w:trHeight w:val="314"/>
        </w:trPr>
        <w:tc>
          <w:tcPr>
            <w:tcW w:w="3980" w:type="dxa"/>
            <w:vAlign w:val="bottom"/>
          </w:tcPr>
          <w:p>
            <w:pPr>
              <w:spacing w:after="0"/>
              <w:rPr>
                <w:sz w:val="20"/>
                <w:szCs w:val="20"/>
                <w:color w:val="auto"/>
              </w:rPr>
            </w:pPr>
            <w:r>
              <w:rPr>
                <w:rFonts w:ascii="Arial" w:cs="Arial" w:eastAsia="Arial" w:hAnsi="Arial"/>
                <w:sz w:val="18"/>
                <w:szCs w:val="18"/>
                <w:color w:val="auto"/>
              </w:rPr>
              <w:t>Travel</w:t>
            </w:r>
          </w:p>
        </w:tc>
        <w:tc>
          <w:tcPr>
            <w:tcW w:w="174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480</w:t>
            </w:r>
          </w:p>
        </w:tc>
        <w:tc>
          <w:tcPr>
            <w:tcW w:w="2260" w:type="dxa"/>
            <w:vAlign w:val="bottom"/>
          </w:tcPr>
          <w:p>
            <w:pPr>
              <w:jc w:val="right"/>
              <w:ind w:right="530"/>
              <w:spacing w:after="0"/>
              <w:rPr>
                <w:sz w:val="20"/>
                <w:szCs w:val="20"/>
                <w:color w:val="auto"/>
              </w:rPr>
            </w:pPr>
            <w:r>
              <w:rPr>
                <w:rFonts w:ascii="Arial" w:cs="Arial" w:eastAsia="Arial" w:hAnsi="Arial"/>
                <w:sz w:val="18"/>
                <w:szCs w:val="18"/>
                <w:color w:val="auto"/>
              </w:rPr>
              <w:t>531</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4"/>
        </w:trPr>
        <w:tc>
          <w:tcPr>
            <w:tcW w:w="3980" w:type="dxa"/>
            <w:vAlign w:val="bottom"/>
          </w:tcPr>
          <w:p>
            <w:pPr>
              <w:spacing w:after="0"/>
              <w:rPr>
                <w:sz w:val="20"/>
                <w:szCs w:val="20"/>
                <w:color w:val="auto"/>
              </w:rPr>
            </w:pPr>
            <w:r>
              <w:rPr>
                <w:rFonts w:ascii="Arial" w:cs="Arial" w:eastAsia="Arial" w:hAnsi="Arial"/>
                <w:sz w:val="18"/>
                <w:szCs w:val="18"/>
                <w:color w:val="auto"/>
              </w:rPr>
              <w:t>Investor relations</w:t>
            </w:r>
          </w:p>
        </w:tc>
        <w:tc>
          <w:tcPr>
            <w:tcW w:w="174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646</w:t>
            </w:r>
          </w:p>
        </w:tc>
        <w:tc>
          <w:tcPr>
            <w:tcW w:w="2260" w:type="dxa"/>
            <w:vAlign w:val="bottom"/>
          </w:tcPr>
          <w:p>
            <w:pPr>
              <w:jc w:val="right"/>
              <w:ind w:right="530"/>
              <w:spacing w:after="0"/>
              <w:rPr>
                <w:sz w:val="20"/>
                <w:szCs w:val="20"/>
                <w:color w:val="auto"/>
              </w:rPr>
            </w:pPr>
            <w:r>
              <w:rPr>
                <w:rFonts w:ascii="Arial" w:cs="Arial" w:eastAsia="Arial" w:hAnsi="Arial"/>
                <w:sz w:val="18"/>
                <w:szCs w:val="18"/>
                <w:color w:val="auto"/>
              </w:rPr>
              <w:t>764</w:t>
            </w:r>
          </w:p>
        </w:tc>
        <w:tc>
          <w:tcPr>
            <w:tcW w:w="860" w:type="dxa"/>
            <w:vAlign w:val="bottom"/>
          </w:tcPr>
          <w:p>
            <w:pPr>
              <w:spacing w:after="0"/>
              <w:rPr>
                <w:sz w:val="24"/>
                <w:szCs w:val="24"/>
                <w:color w:val="auto"/>
              </w:rPr>
            </w:pPr>
          </w:p>
        </w:tc>
      </w:tr>
      <w:tr>
        <w:trPr>
          <w:trHeight w:val="314"/>
        </w:trPr>
        <w:tc>
          <w:tcPr>
            <w:tcW w:w="3980" w:type="dxa"/>
            <w:vAlign w:val="bottom"/>
          </w:tcPr>
          <w:p>
            <w:pPr>
              <w:spacing w:after="0"/>
              <w:rPr>
                <w:sz w:val="20"/>
                <w:szCs w:val="20"/>
                <w:color w:val="auto"/>
              </w:rPr>
            </w:pPr>
            <w:r>
              <w:rPr>
                <w:rFonts w:ascii="Arial" w:cs="Arial" w:eastAsia="Arial" w:hAnsi="Arial"/>
                <w:sz w:val="18"/>
                <w:szCs w:val="18"/>
                <w:color w:val="auto"/>
              </w:rPr>
              <w:t>Depreciation</w:t>
            </w:r>
          </w:p>
        </w:tc>
        <w:tc>
          <w:tcPr>
            <w:tcW w:w="174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350</w:t>
            </w:r>
          </w:p>
        </w:tc>
        <w:tc>
          <w:tcPr>
            <w:tcW w:w="2260" w:type="dxa"/>
            <w:vAlign w:val="bottom"/>
          </w:tcPr>
          <w:p>
            <w:pPr>
              <w:jc w:val="right"/>
              <w:ind w:right="530"/>
              <w:spacing w:after="0"/>
              <w:rPr>
                <w:sz w:val="20"/>
                <w:szCs w:val="20"/>
                <w:color w:val="auto"/>
              </w:rPr>
            </w:pPr>
            <w:r>
              <w:rPr>
                <w:rFonts w:ascii="Arial" w:cs="Arial" w:eastAsia="Arial" w:hAnsi="Arial"/>
                <w:sz w:val="18"/>
                <w:szCs w:val="18"/>
                <w:color w:val="auto"/>
              </w:rPr>
              <w:t>560</w:t>
            </w:r>
          </w:p>
        </w:tc>
        <w:tc>
          <w:tcPr>
            <w:tcW w:w="860" w:type="dxa"/>
            <w:vAlign w:val="bottom"/>
          </w:tcPr>
          <w:p>
            <w:pPr>
              <w:spacing w:after="0"/>
              <w:rPr>
                <w:sz w:val="24"/>
                <w:szCs w:val="24"/>
                <w:color w:val="auto"/>
              </w:rPr>
            </w:pPr>
          </w:p>
        </w:tc>
      </w:tr>
      <w:tr>
        <w:trPr>
          <w:trHeight w:val="324"/>
        </w:trPr>
        <w:tc>
          <w:tcPr>
            <w:tcW w:w="3980" w:type="dxa"/>
            <w:vAlign w:val="bottom"/>
          </w:tcPr>
          <w:p>
            <w:pPr>
              <w:spacing w:after="0"/>
              <w:rPr>
                <w:sz w:val="24"/>
                <w:szCs w:val="24"/>
                <w:color w:val="auto"/>
              </w:rPr>
            </w:pPr>
          </w:p>
        </w:tc>
        <w:tc>
          <w:tcPr>
            <w:tcW w:w="174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15,712</w:t>
            </w:r>
          </w:p>
        </w:tc>
        <w:tc>
          <w:tcPr>
            <w:tcW w:w="2260" w:type="dxa"/>
            <w:vAlign w:val="bottom"/>
          </w:tcPr>
          <w:p>
            <w:pPr>
              <w:jc w:val="right"/>
              <w:ind w:right="530"/>
              <w:spacing w:after="0"/>
              <w:rPr>
                <w:sz w:val="20"/>
                <w:szCs w:val="20"/>
                <w:color w:val="auto"/>
              </w:rPr>
            </w:pPr>
            <w:r>
              <w:rPr>
                <w:rFonts w:ascii="Arial" w:cs="Arial" w:eastAsia="Arial" w:hAnsi="Arial"/>
                <w:sz w:val="18"/>
                <w:szCs w:val="18"/>
                <w:color w:val="auto"/>
              </w:rPr>
              <w:t>14,654</w:t>
            </w: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55"/>
        </w:trPr>
        <w:tc>
          <w:tcPr>
            <w:tcW w:w="3980" w:type="dxa"/>
            <w:vAlign w:val="bottom"/>
          </w:tcPr>
          <w:p>
            <w:pPr>
              <w:spacing w:after="0"/>
              <w:rPr>
                <w:sz w:val="4"/>
                <w:szCs w:val="4"/>
                <w:color w:val="auto"/>
              </w:rPr>
            </w:pPr>
          </w:p>
        </w:tc>
        <w:tc>
          <w:tcPr>
            <w:tcW w:w="1740" w:type="dxa"/>
            <w:vAlign w:val="bottom"/>
            <w:shd w:val="clear" w:color="auto" w:fill="D9D9D9"/>
          </w:tcPr>
          <w:p>
            <w:pPr>
              <w:spacing w:after="0"/>
              <w:rPr>
                <w:sz w:val="4"/>
                <w:szCs w:val="4"/>
                <w:color w:val="auto"/>
              </w:rPr>
            </w:pPr>
          </w:p>
        </w:tc>
        <w:tc>
          <w:tcPr>
            <w:tcW w:w="2260" w:type="dxa"/>
            <w:vAlign w:val="bottom"/>
          </w:tcPr>
          <w:p>
            <w:pPr>
              <w:spacing w:after="0"/>
              <w:rPr>
                <w:sz w:val="4"/>
                <w:szCs w:val="4"/>
                <w:color w:val="auto"/>
              </w:rPr>
            </w:pPr>
          </w:p>
        </w:tc>
        <w:tc>
          <w:tcPr>
            <w:tcW w:w="86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442595</wp:posOffset>
            </wp:positionV>
            <wp:extent cx="1676400" cy="19050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11">
                      <a:extLst>
                        <a:ext uri="{28A0092B-C50C-407E-A947-70E740481C1C}"/>
                      </a:extLst>
                    </a:blip>
                    <a:srcRect/>
                    <a:stretch>
                      <a:fillRect/>
                    </a:stretch>
                  </pic:blipFill>
                  <pic:spPr bwMode="auto">
                    <a:xfrm>
                      <a:off x="0" y="0"/>
                      <a:ext cx="1676400" cy="19050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-211455</wp:posOffset>
            </wp:positionV>
            <wp:extent cx="5621020" cy="635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12">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-5715</wp:posOffset>
            </wp:positionV>
            <wp:extent cx="5621020" cy="635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13">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1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33"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26 / 27</w:t>
      </w:r>
    </w:p>
    <w:p>
      <w:pPr>
        <w:sectPr>
          <w:pgSz w:w="11900" w:h="16838" w:orient="portrait"/>
          <w:cols w:equalWidth="0" w:num="1">
            <w:col w:w="10460"/>
          </w:cols>
          <w:pgMar w:left="1440" w:top="1133" w:right="6" w:bottom="0" w:gutter="0" w:footer="0" w:header="0"/>
          <w:type w:val="continuous"/>
        </w:sectPr>
      </w:pPr>
    </w:p>
    <w:bookmarkStart w:id="450" w:name="page451"/>
    <w:bookmarkEnd w:id="4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00" w:lineRule="exact"/>
        <w:rPr>
          <w:sz w:val="20"/>
          <w:szCs w:val="20"/>
          <w:color w:val="auto"/>
        </w:rPr>
      </w:pPr>
    </w:p>
    <w:p>
      <w:pPr>
        <w:ind w:left="1620" w:hanging="726"/>
        <w:spacing w:after="0"/>
        <w:tabs>
          <w:tab w:leader="none" w:pos="1620" w:val="left"/>
        </w:tabs>
        <w:numPr>
          <w:ilvl w:val="0"/>
          <w:numId w:val="180"/>
        </w:numPr>
        <w:rPr>
          <w:rFonts w:ascii="Arial" w:cs="Arial" w:eastAsia="Arial" w:hAnsi="Arial"/>
          <w:sz w:val="20"/>
          <w:szCs w:val="20"/>
          <w:b w:val="1"/>
          <w:bCs w:val="1"/>
          <w:color w:val="153A57"/>
        </w:rPr>
      </w:pPr>
      <w:r>
        <w:rPr>
          <w:rFonts w:ascii="Arial" w:cs="Arial" w:eastAsia="Arial" w:hAnsi="Arial"/>
          <w:sz w:val="20"/>
          <w:szCs w:val="20"/>
          <w:b w:val="1"/>
          <w:bCs w:val="1"/>
          <w:color w:val="153A57"/>
        </w:rPr>
        <w:t>EXPLORATION AND EVALUATION EXPENDITURES</w:t>
      </w:r>
    </w:p>
    <w:p>
      <w:pPr>
        <w:spacing w:after="0" w:line="270"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color w:val="auto"/>
        </w:rPr>
        <w:t>The following table summarizes the Company’s exploration and evaluation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254635</wp:posOffset>
            </wp:positionV>
            <wp:extent cx="5621020" cy="2857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15">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1620" w:type="dxa"/>
        <w:tblCellMar>
          <w:top w:w="0" w:type="dxa"/>
          <w:left w:w="0" w:type="dxa"/>
          <w:bottom w:w="0" w:type="dxa"/>
          <w:right w:w="0" w:type="dxa"/>
        </w:tblCellMar>
      </w:tblPr>
      <w:tr>
        <w:trPr>
          <w:trHeight w:val="184"/>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Years Ended December 31,</w:t>
            </w: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800" w:type="dxa"/>
            <w:vAlign w:val="bottom"/>
          </w:tcPr>
          <w:p>
            <w:pPr>
              <w:spacing w:after="0"/>
              <w:rPr>
                <w:sz w:val="20"/>
                <w:szCs w:val="20"/>
                <w:color w:val="auto"/>
              </w:rPr>
            </w:pPr>
          </w:p>
        </w:tc>
        <w:tc>
          <w:tcPr>
            <w:tcW w:w="100" w:type="dxa"/>
            <w:vAlign w:val="bottom"/>
            <w:tcBorders>
              <w:bottom w:val="single" w:sz="8" w:color="DDDDDD"/>
            </w:tcBorders>
            <w:shd w:val="clear" w:color="auto" w:fill="DDDDDD"/>
          </w:tcPr>
          <w:p>
            <w:pPr>
              <w:spacing w:after="0"/>
              <w:rPr>
                <w:sz w:val="20"/>
                <w:szCs w:val="20"/>
                <w:color w:val="auto"/>
              </w:rPr>
            </w:pPr>
          </w:p>
        </w:tc>
        <w:tc>
          <w:tcPr>
            <w:tcW w:w="700" w:type="dxa"/>
            <w:vAlign w:val="bottom"/>
            <w:tcBorders>
              <w:bottom w:val="single" w:sz="8" w:color="DDDDDD"/>
            </w:tcBorders>
            <w:shd w:val="clear" w:color="auto" w:fill="DDDDDD"/>
          </w:tcPr>
          <w:p>
            <w:pPr>
              <w:spacing w:after="0"/>
              <w:rPr>
                <w:sz w:val="20"/>
                <w:szCs w:val="20"/>
                <w:color w:val="auto"/>
              </w:rPr>
            </w:pPr>
          </w:p>
        </w:tc>
        <w:tc>
          <w:tcPr>
            <w:tcW w:w="100" w:type="dxa"/>
            <w:vAlign w:val="bottom"/>
            <w:tcBorders>
              <w:bottom w:val="single" w:sz="8" w:color="DDDDDD"/>
            </w:tcBorders>
            <w:shd w:val="clear" w:color="auto" w:fill="DDDDDD"/>
          </w:tcPr>
          <w:p>
            <w:pPr>
              <w:spacing w:after="0"/>
              <w:rPr>
                <w:sz w:val="20"/>
                <w:szCs w:val="20"/>
                <w:color w:val="auto"/>
              </w:rPr>
            </w:pPr>
          </w:p>
        </w:tc>
        <w:tc>
          <w:tcPr>
            <w:tcW w:w="640" w:type="dxa"/>
            <w:vAlign w:val="bottom"/>
            <w:tcBorders>
              <w:bottom w:val="single" w:sz="8" w:color="DDDDDD"/>
            </w:tcBorders>
            <w:shd w:val="clear" w:color="auto" w:fill="DDDDDD"/>
          </w:tcPr>
          <w:p>
            <w:pPr>
              <w:ind w:left="180"/>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DDDDD"/>
            </w:tcBorders>
            <w:shd w:val="clear" w:color="auto" w:fill="DDDDDD"/>
          </w:tcPr>
          <w:p>
            <w:pPr>
              <w:spacing w:after="0"/>
              <w:rPr>
                <w:sz w:val="20"/>
                <w:szCs w:val="20"/>
                <w:color w:val="auto"/>
              </w:rPr>
            </w:pPr>
          </w:p>
        </w:tc>
        <w:tc>
          <w:tcPr>
            <w:tcW w:w="100" w:type="dxa"/>
            <w:vAlign w:val="bottom"/>
            <w:tcBorders>
              <w:bottom w:val="single" w:sz="8" w:color="DDDDDD"/>
            </w:tcBorders>
            <w:shd w:val="clear" w:color="auto" w:fill="DDDDDD"/>
          </w:tcPr>
          <w:p>
            <w:pPr>
              <w:spacing w:after="0"/>
              <w:rPr>
                <w:sz w:val="20"/>
                <w:szCs w:val="20"/>
                <w:color w:val="auto"/>
              </w:rPr>
            </w:pPr>
          </w:p>
        </w:tc>
        <w:tc>
          <w:tcPr>
            <w:tcW w:w="820" w:type="dxa"/>
            <w:vAlign w:val="bottom"/>
            <w:tcBorders>
              <w:bottom w:val="single" w:sz="8" w:color="DDDDDD"/>
            </w:tcBorders>
            <w:shd w:val="clear" w:color="auto" w:fill="DDDDDD"/>
          </w:tcPr>
          <w:p>
            <w:pPr>
              <w:spacing w:after="0"/>
              <w:rPr>
                <w:sz w:val="20"/>
                <w:szCs w:val="20"/>
                <w:color w:val="auto"/>
              </w:rPr>
            </w:pPr>
          </w:p>
        </w:tc>
        <w:tc>
          <w:tcPr>
            <w:tcW w:w="80" w:type="dxa"/>
            <w:vAlign w:val="bottom"/>
            <w:tcBorders>
              <w:bottom w:val="single" w:sz="8" w:color="DDDDDD"/>
            </w:tcBorders>
            <w:shd w:val="clear" w:color="auto" w:fill="DDDDDD"/>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jc w:val="right"/>
              <w:ind w:right="240"/>
              <w:spacing w:after="0"/>
              <w:rPr>
                <w:sz w:val="20"/>
                <w:szCs w:val="20"/>
                <w:color w:val="auto"/>
              </w:rPr>
            </w:pPr>
            <w:r>
              <w:rPr>
                <w:rFonts w:ascii="Arial" w:cs="Arial" w:eastAsia="Arial" w:hAnsi="Arial"/>
                <w:sz w:val="16"/>
                <w:szCs w:val="16"/>
                <w:b w:val="1"/>
                <w:bCs w:val="1"/>
                <w:color w:val="auto"/>
              </w:rPr>
              <w:t>2024</w:t>
            </w: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jc w:val="right"/>
              <w:ind w:right="240"/>
              <w:spacing w:after="0"/>
              <w:rPr>
                <w:sz w:val="20"/>
                <w:szCs w:val="20"/>
                <w:color w:val="auto"/>
              </w:rPr>
            </w:pPr>
            <w:r>
              <w:rPr>
                <w:rFonts w:ascii="Arial" w:cs="Arial" w:eastAsia="Arial" w:hAnsi="Arial"/>
                <w:sz w:val="16"/>
                <w:szCs w:val="16"/>
                <w:b w:val="1"/>
                <w:bCs w:val="1"/>
                <w:color w:val="auto"/>
              </w:rPr>
              <w:t>2023</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800" w:type="dxa"/>
            <w:vAlign w:val="bottom"/>
          </w:tcPr>
          <w:p>
            <w:pPr>
              <w:spacing w:after="0"/>
              <w:rPr>
                <w:sz w:val="19"/>
                <w:szCs w:val="19"/>
                <w:color w:val="auto"/>
              </w:rPr>
            </w:pPr>
          </w:p>
        </w:tc>
        <w:tc>
          <w:tcPr>
            <w:tcW w:w="900" w:type="dxa"/>
            <w:vAlign w:val="bottom"/>
            <w:gridSpan w:val="3"/>
            <w:shd w:val="clear" w:color="auto" w:fill="D9D9D9"/>
          </w:tcPr>
          <w:p>
            <w:pPr>
              <w:ind w:left="20"/>
              <w:spacing w:after="0"/>
              <w:rPr>
                <w:sz w:val="20"/>
                <w:szCs w:val="20"/>
                <w:color w:val="auto"/>
              </w:rPr>
            </w:pPr>
            <w:r>
              <w:rPr>
                <w:rFonts w:ascii="Arial" w:cs="Arial" w:eastAsia="Arial" w:hAnsi="Arial"/>
                <w:sz w:val="16"/>
                <w:szCs w:val="16"/>
                <w:b w:val="1"/>
                <w:bCs w:val="1"/>
                <w:color w:val="auto"/>
              </w:rPr>
              <w:t>Millennial</w:t>
            </w:r>
          </w:p>
        </w:tc>
        <w:tc>
          <w:tcPr>
            <w:tcW w:w="64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8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w w:val="98"/>
              </w:rPr>
              <w:t>Millennial</w:t>
            </w: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Millennial</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1800" w:type="dxa"/>
            <w:vAlign w:val="bottom"/>
          </w:tcPr>
          <w:p>
            <w:pPr>
              <w:spacing w:after="0"/>
              <w:rPr>
                <w:sz w:val="23"/>
                <w:szCs w:val="23"/>
                <w:color w:val="auto"/>
              </w:rPr>
            </w:pPr>
          </w:p>
        </w:tc>
        <w:tc>
          <w:tcPr>
            <w:tcW w:w="100" w:type="dxa"/>
            <w:vAlign w:val="bottom"/>
            <w:tcBorders>
              <w:bottom w:val="single" w:sz="8" w:color="D9D9D9"/>
            </w:tcBorders>
            <w:shd w:val="clear" w:color="auto" w:fill="D9D9D9"/>
          </w:tcPr>
          <w:p>
            <w:pPr>
              <w:spacing w:after="0"/>
              <w:rPr>
                <w:sz w:val="23"/>
                <w:szCs w:val="23"/>
                <w:color w:val="auto"/>
              </w:rPr>
            </w:pPr>
          </w:p>
        </w:tc>
        <w:tc>
          <w:tcPr>
            <w:tcW w:w="800" w:type="dxa"/>
            <w:vAlign w:val="bottom"/>
            <w:tcBorders>
              <w:bottom w:val="single" w:sz="8" w:color="D9D9D9"/>
            </w:tcBorders>
            <w:gridSpan w:val="2"/>
            <w:shd w:val="clear" w:color="auto" w:fill="D9D9D9"/>
          </w:tcPr>
          <w:p>
            <w:pPr>
              <w:ind w:left="60"/>
              <w:spacing w:after="0"/>
              <w:rPr>
                <w:sz w:val="20"/>
                <w:szCs w:val="20"/>
                <w:color w:val="auto"/>
              </w:rPr>
            </w:pPr>
            <w:r>
              <w:rPr>
                <w:rFonts w:ascii="Arial" w:cs="Arial" w:eastAsia="Arial" w:hAnsi="Arial"/>
                <w:sz w:val="16"/>
                <w:szCs w:val="16"/>
                <w:b w:val="1"/>
                <w:bCs w:val="1"/>
                <w:color w:val="auto"/>
              </w:rPr>
              <w:t>Projects</w:t>
            </w:r>
          </w:p>
        </w:tc>
        <w:tc>
          <w:tcPr>
            <w:tcW w:w="640" w:type="dxa"/>
            <w:vAlign w:val="bottom"/>
            <w:tcBorders>
              <w:bottom w:val="single" w:sz="8" w:color="DDDDDD"/>
            </w:tcBorders>
            <w:shd w:val="clear" w:color="auto" w:fill="DDDDDD"/>
          </w:tcPr>
          <w:p>
            <w:pPr>
              <w:ind w:left="180"/>
              <w:spacing w:after="0"/>
              <w:rPr>
                <w:sz w:val="20"/>
                <w:szCs w:val="20"/>
                <w:color w:val="auto"/>
              </w:rPr>
            </w:pPr>
            <w:r>
              <w:rPr>
                <w:rFonts w:ascii="Arial" w:cs="Arial" w:eastAsia="Arial" w:hAnsi="Arial"/>
                <w:sz w:val="16"/>
                <w:szCs w:val="16"/>
                <w:b w:val="1"/>
                <w:bCs w:val="1"/>
                <w:color w:val="auto"/>
              </w:rPr>
              <w:t>Other</w:t>
            </w:r>
          </w:p>
        </w:tc>
        <w:tc>
          <w:tcPr>
            <w:tcW w:w="80" w:type="dxa"/>
            <w:vAlign w:val="bottom"/>
            <w:tcBorders>
              <w:bottom w:val="single" w:sz="8" w:color="DDDDDD"/>
            </w:tcBorders>
            <w:shd w:val="clear" w:color="auto" w:fill="DDDDDD"/>
          </w:tcPr>
          <w:p>
            <w:pPr>
              <w:spacing w:after="0"/>
              <w:rPr>
                <w:sz w:val="23"/>
                <w:szCs w:val="23"/>
                <w:color w:val="auto"/>
              </w:rPr>
            </w:pPr>
          </w:p>
        </w:tc>
        <w:tc>
          <w:tcPr>
            <w:tcW w:w="100" w:type="dxa"/>
            <w:vAlign w:val="bottom"/>
            <w:tcBorders>
              <w:bottom w:val="single" w:sz="8" w:color="DDDDDD"/>
            </w:tcBorders>
            <w:shd w:val="clear" w:color="auto" w:fill="DDDDDD"/>
          </w:tcPr>
          <w:p>
            <w:pPr>
              <w:spacing w:after="0"/>
              <w:rPr>
                <w:sz w:val="23"/>
                <w:szCs w:val="23"/>
                <w:color w:val="auto"/>
              </w:rPr>
            </w:pPr>
          </w:p>
        </w:tc>
        <w:tc>
          <w:tcPr>
            <w:tcW w:w="8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Total</w:t>
            </w:r>
          </w:p>
        </w:tc>
        <w:tc>
          <w:tcPr>
            <w:tcW w:w="80" w:type="dxa"/>
            <w:vAlign w:val="bottom"/>
            <w:tcBorders>
              <w:bottom w:val="single" w:sz="8" w:color="DDDDDD"/>
            </w:tcBorders>
            <w:shd w:val="clear" w:color="auto" w:fill="DDDDDD"/>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Projects</w:t>
            </w:r>
          </w:p>
        </w:tc>
        <w:tc>
          <w:tcPr>
            <w:tcW w:w="780" w:type="dxa"/>
            <w:vAlign w:val="bottom"/>
          </w:tcPr>
          <w:p>
            <w:pPr>
              <w:jc w:val="right"/>
              <w:ind w:right="60"/>
              <w:spacing w:after="0"/>
              <w:rPr>
                <w:sz w:val="20"/>
                <w:szCs w:val="20"/>
                <w:color w:val="auto"/>
              </w:rPr>
            </w:pPr>
            <w:r>
              <w:rPr>
                <w:rFonts w:ascii="Arial" w:cs="Arial" w:eastAsia="Arial" w:hAnsi="Arial"/>
                <w:sz w:val="16"/>
                <w:szCs w:val="16"/>
                <w:b w:val="1"/>
                <w:bCs w:val="1"/>
                <w:color w:val="auto"/>
              </w:rPr>
              <w:t>Other</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Projects</w:t>
            </w:r>
          </w:p>
        </w:tc>
        <w:tc>
          <w:tcPr>
            <w:tcW w:w="800" w:type="dxa"/>
            <w:vAlign w:val="bottom"/>
          </w:tcPr>
          <w:p>
            <w:pPr>
              <w:jc w:val="right"/>
              <w:ind w:right="100"/>
              <w:spacing w:after="0"/>
              <w:rPr>
                <w:sz w:val="20"/>
                <w:szCs w:val="20"/>
                <w:color w:val="auto"/>
              </w:rPr>
            </w:pPr>
            <w:r>
              <w:rPr>
                <w:rFonts w:ascii="Arial" w:cs="Arial" w:eastAsia="Arial" w:hAnsi="Arial"/>
                <w:sz w:val="16"/>
                <w:szCs w:val="16"/>
                <w:b w:val="1"/>
                <w:bCs w:val="1"/>
                <w:color w:val="auto"/>
              </w:rPr>
              <w:t>Other</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T</w:t>
            </w:r>
          </w:p>
        </w:tc>
        <w:tc>
          <w:tcPr>
            <w:tcW w:w="0" w:type="dxa"/>
            <w:vAlign w:val="bottom"/>
          </w:tcPr>
          <w:p>
            <w:pPr>
              <w:spacing w:after="0"/>
              <w:rPr>
                <w:sz w:val="1"/>
                <w:szCs w:val="1"/>
                <w:color w:val="auto"/>
              </w:rPr>
            </w:pPr>
          </w:p>
        </w:tc>
      </w:tr>
      <w:tr>
        <w:trPr>
          <w:trHeight w:val="222"/>
        </w:trPr>
        <w:tc>
          <w:tcPr>
            <w:tcW w:w="1800" w:type="dxa"/>
            <w:vAlign w:val="bottom"/>
          </w:tcPr>
          <w:p>
            <w:pPr>
              <w:spacing w:after="0"/>
              <w:rPr>
                <w:sz w:val="19"/>
                <w:szCs w:val="19"/>
                <w:color w:val="auto"/>
              </w:rPr>
            </w:pPr>
          </w:p>
        </w:tc>
        <w:tc>
          <w:tcPr>
            <w:tcW w:w="800" w:type="dxa"/>
            <w:vAlign w:val="bottom"/>
            <w:gridSpan w:val="2"/>
            <w:shd w:val="clear" w:color="auto" w:fill="DDDDDD"/>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DDDDDD"/>
          </w:tcPr>
          <w:p>
            <w:pPr>
              <w:spacing w:after="0"/>
              <w:rPr>
                <w:sz w:val="19"/>
                <w:szCs w:val="19"/>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DDDDDD"/>
          </w:tcPr>
          <w:p>
            <w:pPr>
              <w:spacing w:after="0"/>
              <w:rPr>
                <w:sz w:val="19"/>
                <w:szCs w:val="19"/>
                <w:color w:val="auto"/>
              </w:rPr>
            </w:pPr>
          </w:p>
        </w:tc>
        <w:tc>
          <w:tcPr>
            <w:tcW w:w="920" w:type="dxa"/>
            <w:vAlign w:val="bottom"/>
            <w:gridSpan w:val="2"/>
            <w:shd w:val="clear" w:color="auto" w:fill="DDDDDD"/>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DDDDDD"/>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1800" w:type="dxa"/>
            <w:vAlign w:val="bottom"/>
            <w:vMerge w:val="restart"/>
          </w:tcPr>
          <w:p>
            <w:pPr>
              <w:spacing w:after="0"/>
              <w:rPr>
                <w:sz w:val="20"/>
                <w:szCs w:val="20"/>
                <w:color w:val="auto"/>
              </w:rPr>
            </w:pPr>
            <w:r>
              <w:rPr>
                <w:rFonts w:ascii="Arial" w:cs="Arial" w:eastAsia="Arial" w:hAnsi="Arial"/>
                <w:sz w:val="16"/>
                <w:szCs w:val="16"/>
                <w:color w:val="auto"/>
              </w:rPr>
              <w:t>Consulting and salaries</w:t>
            </w:r>
          </w:p>
        </w:tc>
        <w:tc>
          <w:tcPr>
            <w:tcW w:w="100" w:type="dxa"/>
            <w:vAlign w:val="bottom"/>
            <w:shd w:val="clear" w:color="auto" w:fill="DDDDDD"/>
          </w:tcPr>
          <w:p>
            <w:pPr>
              <w:spacing w:after="0"/>
              <w:rPr>
                <w:sz w:val="3"/>
                <w:szCs w:val="3"/>
                <w:color w:val="auto"/>
              </w:rPr>
            </w:pPr>
          </w:p>
        </w:tc>
        <w:tc>
          <w:tcPr>
            <w:tcW w:w="700" w:type="dxa"/>
            <w:vAlign w:val="bottom"/>
            <w:vMerge w:val="restart"/>
            <w:shd w:val="clear" w:color="auto" w:fill="DDDDDD"/>
          </w:tcPr>
          <w:p>
            <w:pPr>
              <w:jc w:val="right"/>
              <w:spacing w:after="0"/>
              <w:rPr>
                <w:sz w:val="20"/>
                <w:szCs w:val="20"/>
                <w:color w:val="auto"/>
              </w:rPr>
            </w:pPr>
            <w:r>
              <w:rPr>
                <w:rFonts w:ascii="Arial" w:cs="Arial" w:eastAsia="Arial" w:hAnsi="Arial"/>
                <w:sz w:val="16"/>
                <w:szCs w:val="16"/>
                <w:color w:val="auto"/>
              </w:rPr>
              <w:t>2,307</w:t>
            </w:r>
          </w:p>
        </w:tc>
        <w:tc>
          <w:tcPr>
            <w:tcW w:w="100" w:type="dxa"/>
            <w:vAlign w:val="bottom"/>
            <w:shd w:val="clear" w:color="auto" w:fill="DDDDDD"/>
          </w:tcPr>
          <w:p>
            <w:pPr>
              <w:spacing w:after="0"/>
              <w:rPr>
                <w:sz w:val="3"/>
                <w:szCs w:val="3"/>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6"/>
                <w:szCs w:val="16"/>
                <w:color w:val="auto"/>
              </w:rPr>
              <w:t>1,489</w:t>
            </w:r>
          </w:p>
        </w:tc>
        <w:tc>
          <w:tcPr>
            <w:tcW w:w="80" w:type="dxa"/>
            <w:vAlign w:val="bottom"/>
            <w:shd w:val="clear" w:color="auto" w:fill="DDDDDD"/>
          </w:tcPr>
          <w:p>
            <w:pPr>
              <w:spacing w:after="0"/>
              <w:rPr>
                <w:sz w:val="3"/>
                <w:szCs w:val="3"/>
                <w:color w:val="auto"/>
              </w:rPr>
            </w:pPr>
          </w:p>
        </w:tc>
        <w:tc>
          <w:tcPr>
            <w:tcW w:w="100" w:type="dxa"/>
            <w:vAlign w:val="bottom"/>
            <w:shd w:val="clear" w:color="auto" w:fill="DDDDDD"/>
          </w:tcPr>
          <w:p>
            <w:pPr>
              <w:spacing w:after="0"/>
              <w:rPr>
                <w:sz w:val="3"/>
                <w:szCs w:val="3"/>
                <w:color w:val="auto"/>
              </w:rPr>
            </w:pPr>
          </w:p>
        </w:tc>
        <w:tc>
          <w:tcPr>
            <w:tcW w:w="820" w:type="dxa"/>
            <w:vAlign w:val="bottom"/>
            <w:vMerge w:val="restart"/>
            <w:shd w:val="clear" w:color="auto" w:fill="DDDDDD"/>
          </w:tcPr>
          <w:p>
            <w:pPr>
              <w:jc w:val="right"/>
              <w:spacing w:after="0"/>
              <w:rPr>
                <w:sz w:val="20"/>
                <w:szCs w:val="20"/>
                <w:color w:val="auto"/>
              </w:rPr>
            </w:pPr>
            <w:r>
              <w:rPr>
                <w:rFonts w:ascii="Arial" w:cs="Arial" w:eastAsia="Arial" w:hAnsi="Arial"/>
                <w:sz w:val="16"/>
                <w:szCs w:val="16"/>
                <w:color w:val="auto"/>
              </w:rPr>
              <w:t>3,796</w:t>
            </w:r>
          </w:p>
        </w:tc>
        <w:tc>
          <w:tcPr>
            <w:tcW w:w="80" w:type="dxa"/>
            <w:vAlign w:val="bottom"/>
            <w:shd w:val="clear" w:color="auto" w:fill="DDDDDD"/>
          </w:tcPr>
          <w:p>
            <w:pPr>
              <w:spacing w:after="0"/>
              <w:rPr>
                <w:sz w:val="3"/>
                <w:szCs w:val="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4,372</w:t>
            </w:r>
          </w:p>
        </w:tc>
        <w:tc>
          <w:tcPr>
            <w:tcW w:w="780" w:type="dxa"/>
            <w:vAlign w:val="bottom"/>
            <w:vMerge w:val="restart"/>
          </w:tcPr>
          <w:p>
            <w:pPr>
              <w:jc w:val="right"/>
              <w:ind w:right="60"/>
              <w:spacing w:after="0"/>
              <w:rPr>
                <w:sz w:val="20"/>
                <w:szCs w:val="20"/>
                <w:color w:val="auto"/>
              </w:rPr>
            </w:pPr>
            <w:r>
              <w:rPr>
                <w:rFonts w:ascii="Arial" w:cs="Arial" w:eastAsia="Arial" w:hAnsi="Arial"/>
                <w:sz w:val="16"/>
                <w:szCs w:val="16"/>
                <w:color w:val="auto"/>
              </w:rPr>
              <w:t>1,641</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6,013</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color w:val="auto"/>
              </w:rPr>
              <w:t>6,086</w:t>
            </w:r>
          </w:p>
        </w:tc>
        <w:tc>
          <w:tcPr>
            <w:tcW w:w="800" w:type="dxa"/>
            <w:vAlign w:val="bottom"/>
            <w:vMerge w:val="restart"/>
          </w:tcPr>
          <w:p>
            <w:pPr>
              <w:jc w:val="right"/>
              <w:ind w:right="100"/>
              <w:spacing w:after="0"/>
              <w:rPr>
                <w:sz w:val="20"/>
                <w:szCs w:val="20"/>
                <w:color w:val="auto"/>
              </w:rPr>
            </w:pPr>
            <w:r>
              <w:rPr>
                <w:rFonts w:ascii="Arial" w:cs="Arial" w:eastAsia="Arial" w:hAnsi="Arial"/>
                <w:sz w:val="16"/>
                <w:szCs w:val="16"/>
                <w:color w:val="auto"/>
              </w:rPr>
              <w:t>3,153</w:t>
            </w: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64"/>
        </w:trPr>
        <w:tc>
          <w:tcPr>
            <w:tcW w:w="1800" w:type="dxa"/>
            <w:vAlign w:val="bottom"/>
            <w:vMerge w:val="continue"/>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700" w:type="dxa"/>
            <w:vAlign w:val="bottom"/>
            <w:vMerge w:val="continue"/>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640" w:type="dxa"/>
            <w:vAlign w:val="bottom"/>
            <w:vMerge w:val="continue"/>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820" w:type="dxa"/>
            <w:vAlign w:val="bottom"/>
            <w:vMerge w:val="continue"/>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86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800" w:type="dxa"/>
            <w:vAlign w:val="bottom"/>
          </w:tcPr>
          <w:p>
            <w:pPr>
              <w:spacing w:after="0"/>
              <w:rPr>
                <w:sz w:val="20"/>
                <w:szCs w:val="20"/>
                <w:color w:val="auto"/>
              </w:rPr>
            </w:pPr>
            <w:r>
              <w:rPr>
                <w:rFonts w:ascii="Arial" w:cs="Arial" w:eastAsia="Arial" w:hAnsi="Arial"/>
                <w:sz w:val="16"/>
                <w:szCs w:val="16"/>
                <w:color w:val="auto"/>
              </w:rPr>
              <w:t>Permitting and</w:t>
            </w:r>
          </w:p>
        </w:tc>
        <w:tc>
          <w:tcPr>
            <w:tcW w:w="100" w:type="dxa"/>
            <w:vAlign w:val="bottom"/>
            <w:shd w:val="clear" w:color="auto" w:fill="DDDDDD"/>
          </w:tcPr>
          <w:p>
            <w:pPr>
              <w:spacing w:after="0"/>
              <w:rPr>
                <w:sz w:val="23"/>
                <w:szCs w:val="23"/>
                <w:color w:val="auto"/>
              </w:rPr>
            </w:pPr>
          </w:p>
        </w:tc>
        <w:tc>
          <w:tcPr>
            <w:tcW w:w="70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64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82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1800" w:type="dxa"/>
            <w:vAlign w:val="bottom"/>
          </w:tcPr>
          <w:p>
            <w:pPr>
              <w:spacing w:after="0"/>
              <w:rPr>
                <w:sz w:val="20"/>
                <w:szCs w:val="20"/>
                <w:color w:val="auto"/>
              </w:rPr>
            </w:pPr>
            <w:r>
              <w:rPr>
                <w:rFonts w:ascii="Arial" w:cs="Arial" w:eastAsia="Arial" w:hAnsi="Arial"/>
                <w:sz w:val="16"/>
                <w:szCs w:val="16"/>
                <w:color w:val="auto"/>
              </w:rPr>
              <w:t>environmental</w:t>
            </w:r>
          </w:p>
        </w:tc>
        <w:tc>
          <w:tcPr>
            <w:tcW w:w="100" w:type="dxa"/>
            <w:vAlign w:val="bottom"/>
            <w:shd w:val="clear" w:color="auto" w:fill="DDDDDD"/>
          </w:tcPr>
          <w:p>
            <w:pPr>
              <w:spacing w:after="0"/>
              <w:rPr>
                <w:sz w:val="20"/>
                <w:szCs w:val="20"/>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DDDDDD"/>
          </w:tcPr>
          <w:p>
            <w:pPr>
              <w:spacing w:after="0"/>
              <w:rPr>
                <w:sz w:val="20"/>
                <w:szCs w:val="20"/>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98</w:t>
            </w:r>
          </w:p>
        </w:tc>
        <w:tc>
          <w:tcPr>
            <w:tcW w:w="80" w:type="dxa"/>
            <w:vAlign w:val="bottom"/>
            <w:shd w:val="clear" w:color="auto" w:fill="DDDDDD"/>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222</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222</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800" w:type="dxa"/>
            <w:vAlign w:val="bottom"/>
            <w:vMerge w:val="restart"/>
          </w:tcPr>
          <w:p>
            <w:pPr>
              <w:spacing w:after="0"/>
              <w:rPr>
                <w:sz w:val="20"/>
                <w:szCs w:val="20"/>
                <w:color w:val="auto"/>
              </w:rPr>
            </w:pPr>
            <w:r>
              <w:rPr>
                <w:rFonts w:ascii="Arial" w:cs="Arial" w:eastAsia="Arial" w:hAnsi="Arial"/>
                <w:sz w:val="16"/>
                <w:szCs w:val="16"/>
                <w:color w:val="auto"/>
              </w:rPr>
              <w:t>Field supplies and other</w:t>
            </w:r>
          </w:p>
        </w:tc>
        <w:tc>
          <w:tcPr>
            <w:tcW w:w="100" w:type="dxa"/>
            <w:vAlign w:val="bottom"/>
            <w:shd w:val="clear" w:color="auto" w:fill="DDDDDD"/>
          </w:tcPr>
          <w:p>
            <w:pPr>
              <w:spacing w:after="0"/>
              <w:rPr>
                <w:sz w:val="2"/>
                <w:szCs w:val="2"/>
                <w:color w:val="auto"/>
              </w:rPr>
            </w:pPr>
          </w:p>
        </w:tc>
        <w:tc>
          <w:tcPr>
            <w:tcW w:w="700" w:type="dxa"/>
            <w:vAlign w:val="bottom"/>
            <w:shd w:val="clear" w:color="auto" w:fill="DDDDDD"/>
          </w:tcPr>
          <w:p>
            <w:pPr>
              <w:spacing w:after="0"/>
              <w:rPr>
                <w:sz w:val="2"/>
                <w:szCs w:val="2"/>
                <w:color w:val="auto"/>
              </w:rPr>
            </w:pPr>
          </w:p>
        </w:tc>
        <w:tc>
          <w:tcPr>
            <w:tcW w:w="100" w:type="dxa"/>
            <w:vAlign w:val="bottom"/>
            <w:shd w:val="clear" w:color="auto" w:fill="DDDDDD"/>
          </w:tcPr>
          <w:p>
            <w:pPr>
              <w:spacing w:after="0"/>
              <w:rPr>
                <w:sz w:val="2"/>
                <w:szCs w:val="2"/>
                <w:color w:val="auto"/>
              </w:rPr>
            </w:pPr>
          </w:p>
        </w:tc>
        <w:tc>
          <w:tcPr>
            <w:tcW w:w="640" w:type="dxa"/>
            <w:vAlign w:val="bottom"/>
            <w:shd w:val="clear" w:color="auto" w:fill="DDDDDD"/>
          </w:tcPr>
          <w:p>
            <w:pPr>
              <w:spacing w:after="0"/>
              <w:rPr>
                <w:sz w:val="2"/>
                <w:szCs w:val="2"/>
                <w:color w:val="auto"/>
              </w:rPr>
            </w:pPr>
          </w:p>
        </w:tc>
        <w:tc>
          <w:tcPr>
            <w:tcW w:w="80" w:type="dxa"/>
            <w:vAlign w:val="bottom"/>
            <w:shd w:val="clear" w:color="auto" w:fill="DDDDDD"/>
          </w:tcPr>
          <w:p>
            <w:pPr>
              <w:spacing w:after="0"/>
              <w:rPr>
                <w:sz w:val="2"/>
                <w:szCs w:val="2"/>
                <w:color w:val="auto"/>
              </w:rPr>
            </w:pPr>
          </w:p>
        </w:tc>
        <w:tc>
          <w:tcPr>
            <w:tcW w:w="100" w:type="dxa"/>
            <w:vAlign w:val="bottom"/>
            <w:shd w:val="clear" w:color="auto" w:fill="DDDDDD"/>
          </w:tcPr>
          <w:p>
            <w:pPr>
              <w:spacing w:after="0"/>
              <w:rPr>
                <w:sz w:val="2"/>
                <w:szCs w:val="2"/>
                <w:color w:val="auto"/>
              </w:rPr>
            </w:pPr>
          </w:p>
        </w:tc>
        <w:tc>
          <w:tcPr>
            <w:tcW w:w="820" w:type="dxa"/>
            <w:vAlign w:val="bottom"/>
            <w:shd w:val="clear" w:color="auto" w:fill="DDDDDD"/>
          </w:tcPr>
          <w:p>
            <w:pPr>
              <w:spacing w:after="0"/>
              <w:rPr>
                <w:sz w:val="2"/>
                <w:szCs w:val="2"/>
                <w:color w:val="auto"/>
              </w:rPr>
            </w:pPr>
          </w:p>
        </w:tc>
        <w:tc>
          <w:tcPr>
            <w:tcW w:w="80" w:type="dxa"/>
            <w:vAlign w:val="bottom"/>
            <w:shd w:val="clear" w:color="auto" w:fill="DDDDDD"/>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1800" w:type="dxa"/>
            <w:vAlign w:val="bottom"/>
            <w:vMerge w:val="continue"/>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1,761</w:t>
            </w:r>
          </w:p>
        </w:tc>
        <w:tc>
          <w:tcPr>
            <w:tcW w:w="10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1,761</w:t>
            </w:r>
          </w:p>
        </w:tc>
        <w:tc>
          <w:tcPr>
            <w:tcW w:w="80" w:type="dxa"/>
            <w:vAlign w:val="bottom"/>
            <w:shd w:val="clear" w:color="auto" w:fill="DDDDDD"/>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2,289</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2,289</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5,986</w:t>
            </w: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3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14"/>
        </w:trPr>
        <w:tc>
          <w:tcPr>
            <w:tcW w:w="1800" w:type="dxa"/>
            <w:vAlign w:val="bottom"/>
          </w:tcPr>
          <w:p>
            <w:pPr>
              <w:spacing w:after="0"/>
              <w:rPr>
                <w:sz w:val="20"/>
                <w:szCs w:val="20"/>
                <w:color w:val="auto"/>
              </w:rPr>
            </w:pPr>
            <w:r>
              <w:rPr>
                <w:rFonts w:ascii="Arial" w:cs="Arial" w:eastAsia="Arial" w:hAnsi="Arial"/>
                <w:sz w:val="16"/>
                <w:szCs w:val="16"/>
                <w:color w:val="auto"/>
              </w:rPr>
              <w:t>Depreciation</w:t>
            </w:r>
          </w:p>
        </w:tc>
        <w:tc>
          <w:tcPr>
            <w:tcW w:w="10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140</w:t>
            </w:r>
          </w:p>
        </w:tc>
        <w:tc>
          <w:tcPr>
            <w:tcW w:w="80" w:type="dxa"/>
            <w:vAlign w:val="bottom"/>
            <w:shd w:val="clear" w:color="auto" w:fill="DDDDDD"/>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207</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207</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468</w:t>
            </w: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800" w:type="dxa"/>
            <w:vAlign w:val="bottom"/>
          </w:tcPr>
          <w:p>
            <w:pPr>
              <w:spacing w:after="0"/>
              <w:rPr>
                <w:sz w:val="20"/>
                <w:szCs w:val="20"/>
                <w:color w:val="auto"/>
              </w:rPr>
            </w:pPr>
            <w:r>
              <w:rPr>
                <w:rFonts w:ascii="Arial" w:cs="Arial" w:eastAsia="Arial" w:hAnsi="Arial"/>
                <w:sz w:val="16"/>
                <w:szCs w:val="16"/>
                <w:color w:val="auto"/>
              </w:rPr>
              <w:t>Drilling and geological</w:t>
            </w:r>
          </w:p>
        </w:tc>
        <w:tc>
          <w:tcPr>
            <w:tcW w:w="100" w:type="dxa"/>
            <w:vAlign w:val="bottom"/>
            <w:shd w:val="clear" w:color="auto" w:fill="DDDDDD"/>
          </w:tcPr>
          <w:p>
            <w:pPr>
              <w:spacing w:after="0"/>
              <w:rPr>
                <w:sz w:val="22"/>
                <w:szCs w:val="22"/>
                <w:color w:val="auto"/>
              </w:rPr>
            </w:pPr>
          </w:p>
        </w:tc>
        <w:tc>
          <w:tcPr>
            <w:tcW w:w="70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64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82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1800" w:type="dxa"/>
            <w:vAlign w:val="bottom"/>
          </w:tcPr>
          <w:p>
            <w:pPr>
              <w:spacing w:after="0"/>
              <w:rPr>
                <w:sz w:val="20"/>
                <w:szCs w:val="20"/>
                <w:color w:val="auto"/>
              </w:rPr>
            </w:pPr>
            <w:r>
              <w:rPr>
                <w:rFonts w:ascii="Arial" w:cs="Arial" w:eastAsia="Arial" w:hAnsi="Arial"/>
                <w:sz w:val="16"/>
                <w:szCs w:val="16"/>
                <w:color w:val="auto"/>
              </w:rPr>
              <w:t>expenses</w:t>
            </w:r>
          </w:p>
        </w:tc>
        <w:tc>
          <w:tcPr>
            <w:tcW w:w="100" w:type="dxa"/>
            <w:vAlign w:val="bottom"/>
            <w:shd w:val="clear" w:color="auto" w:fill="DDDDDD"/>
          </w:tcPr>
          <w:p>
            <w:pPr>
              <w:spacing w:after="0"/>
              <w:rPr>
                <w:sz w:val="20"/>
                <w:szCs w:val="20"/>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894</w:t>
            </w:r>
          </w:p>
        </w:tc>
        <w:tc>
          <w:tcPr>
            <w:tcW w:w="100" w:type="dxa"/>
            <w:vAlign w:val="bottom"/>
            <w:shd w:val="clear" w:color="auto" w:fill="DDDDDD"/>
          </w:tcPr>
          <w:p>
            <w:pPr>
              <w:spacing w:after="0"/>
              <w:rPr>
                <w:sz w:val="20"/>
                <w:szCs w:val="20"/>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894</w:t>
            </w:r>
          </w:p>
        </w:tc>
        <w:tc>
          <w:tcPr>
            <w:tcW w:w="80" w:type="dxa"/>
            <w:vAlign w:val="bottom"/>
            <w:shd w:val="clear" w:color="auto" w:fill="DDDDDD"/>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1,347</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1,347</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5,511</w:t>
            </w: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08"/>
        </w:trPr>
        <w:tc>
          <w:tcPr>
            <w:tcW w:w="1800" w:type="dxa"/>
            <w:vAlign w:val="bottom"/>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5,200</w:t>
            </w:r>
          </w:p>
        </w:tc>
        <w:tc>
          <w:tcPr>
            <w:tcW w:w="10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1,489</w:t>
            </w:r>
          </w:p>
        </w:tc>
        <w:tc>
          <w:tcPr>
            <w:tcW w:w="8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6,689</w:t>
            </w:r>
          </w:p>
        </w:tc>
        <w:tc>
          <w:tcPr>
            <w:tcW w:w="80" w:type="dxa"/>
            <w:vAlign w:val="bottom"/>
            <w:shd w:val="clear" w:color="auto" w:fill="DDDDDD"/>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8,437</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1,641</w:t>
            </w:r>
          </w:p>
        </w:tc>
        <w:tc>
          <w:tcPr>
            <w:tcW w:w="680" w:type="dxa"/>
            <w:vAlign w:val="bottom"/>
          </w:tcPr>
          <w:p>
            <w:pPr>
              <w:jc w:val="right"/>
              <w:spacing w:after="0"/>
              <w:rPr>
                <w:sz w:val="20"/>
                <w:szCs w:val="20"/>
                <w:color w:val="auto"/>
              </w:rPr>
            </w:pPr>
            <w:r>
              <w:rPr>
                <w:rFonts w:ascii="Arial" w:cs="Arial" w:eastAsia="Arial" w:hAnsi="Arial"/>
                <w:sz w:val="16"/>
                <w:szCs w:val="16"/>
                <w:color w:val="auto"/>
              </w:rPr>
              <w:t>10,078</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18,051</w:t>
            </w: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3,163</w:t>
            </w:r>
          </w:p>
        </w:tc>
        <w:tc>
          <w:tcPr>
            <w:tcW w:w="3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61"/>
        </w:trPr>
        <w:tc>
          <w:tcPr>
            <w:tcW w:w="1800" w:type="dxa"/>
            <w:vAlign w:val="bottom"/>
          </w:tcPr>
          <w:p>
            <w:pPr>
              <w:spacing w:after="0"/>
              <w:rPr>
                <w:sz w:val="5"/>
                <w:szCs w:val="5"/>
                <w:color w:val="auto"/>
              </w:rPr>
            </w:pPr>
          </w:p>
        </w:tc>
        <w:tc>
          <w:tcPr>
            <w:tcW w:w="100" w:type="dxa"/>
            <w:vAlign w:val="bottom"/>
            <w:shd w:val="clear" w:color="auto" w:fill="DDDDDD"/>
          </w:tcPr>
          <w:p>
            <w:pPr>
              <w:spacing w:after="0"/>
              <w:rPr>
                <w:sz w:val="5"/>
                <w:szCs w:val="5"/>
                <w:color w:val="auto"/>
              </w:rPr>
            </w:pPr>
          </w:p>
        </w:tc>
        <w:tc>
          <w:tcPr>
            <w:tcW w:w="700" w:type="dxa"/>
            <w:vAlign w:val="bottom"/>
            <w:shd w:val="clear" w:color="auto" w:fill="DDDDDD"/>
          </w:tcPr>
          <w:p>
            <w:pPr>
              <w:spacing w:after="0"/>
              <w:rPr>
                <w:sz w:val="5"/>
                <w:szCs w:val="5"/>
                <w:color w:val="auto"/>
              </w:rPr>
            </w:pPr>
          </w:p>
        </w:tc>
        <w:tc>
          <w:tcPr>
            <w:tcW w:w="100" w:type="dxa"/>
            <w:vAlign w:val="bottom"/>
            <w:shd w:val="clear" w:color="auto" w:fill="DDDDDD"/>
          </w:tcPr>
          <w:p>
            <w:pPr>
              <w:spacing w:after="0"/>
              <w:rPr>
                <w:sz w:val="5"/>
                <w:szCs w:val="5"/>
                <w:color w:val="auto"/>
              </w:rPr>
            </w:pPr>
          </w:p>
        </w:tc>
        <w:tc>
          <w:tcPr>
            <w:tcW w:w="640" w:type="dxa"/>
            <w:vAlign w:val="bottom"/>
            <w:shd w:val="clear" w:color="auto" w:fill="DDDDDD"/>
          </w:tcPr>
          <w:p>
            <w:pPr>
              <w:spacing w:after="0"/>
              <w:rPr>
                <w:sz w:val="5"/>
                <w:szCs w:val="5"/>
                <w:color w:val="auto"/>
              </w:rPr>
            </w:pPr>
          </w:p>
        </w:tc>
        <w:tc>
          <w:tcPr>
            <w:tcW w:w="80" w:type="dxa"/>
            <w:vAlign w:val="bottom"/>
            <w:shd w:val="clear" w:color="auto" w:fill="DDDDDD"/>
          </w:tcPr>
          <w:p>
            <w:pPr>
              <w:spacing w:after="0"/>
              <w:rPr>
                <w:sz w:val="5"/>
                <w:szCs w:val="5"/>
                <w:color w:val="auto"/>
              </w:rPr>
            </w:pPr>
          </w:p>
        </w:tc>
        <w:tc>
          <w:tcPr>
            <w:tcW w:w="100" w:type="dxa"/>
            <w:vAlign w:val="bottom"/>
            <w:shd w:val="clear" w:color="auto" w:fill="DDDDDD"/>
          </w:tcPr>
          <w:p>
            <w:pPr>
              <w:spacing w:after="0"/>
              <w:rPr>
                <w:sz w:val="5"/>
                <w:szCs w:val="5"/>
                <w:color w:val="auto"/>
              </w:rPr>
            </w:pPr>
          </w:p>
        </w:tc>
        <w:tc>
          <w:tcPr>
            <w:tcW w:w="820" w:type="dxa"/>
            <w:vAlign w:val="bottom"/>
            <w:shd w:val="clear" w:color="auto" w:fill="DDDDDD"/>
          </w:tcPr>
          <w:p>
            <w:pPr>
              <w:spacing w:after="0"/>
              <w:rPr>
                <w:sz w:val="5"/>
                <w:szCs w:val="5"/>
                <w:color w:val="auto"/>
              </w:rPr>
            </w:pPr>
          </w:p>
        </w:tc>
        <w:tc>
          <w:tcPr>
            <w:tcW w:w="80" w:type="dxa"/>
            <w:vAlign w:val="bottom"/>
            <w:shd w:val="clear" w:color="auto" w:fill="DDDDDD"/>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2178050</wp:posOffset>
            </wp:positionH>
            <wp:positionV relativeFrom="paragraph">
              <wp:posOffset>-2101850</wp:posOffset>
            </wp:positionV>
            <wp:extent cx="4467860" cy="635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16">
                      <a:extLst>
                        <a:ext uri="{28A0092B-C50C-407E-A947-70E740481C1C}"/>
                      </a:extLst>
                    </a:blip>
                    <a:srcRect/>
                    <a:stretch>
                      <a:fillRect/>
                    </a:stretch>
                  </pic:blipFill>
                  <pic:spPr bwMode="auto">
                    <a:xfrm>
                      <a:off x="0" y="0"/>
                      <a:ext cx="446786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-1617345</wp:posOffset>
            </wp:positionV>
            <wp:extent cx="5621020" cy="635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7">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-1448435</wp:posOffset>
            </wp:positionV>
            <wp:extent cx="5621020" cy="635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8">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-211455</wp:posOffset>
            </wp:positionV>
            <wp:extent cx="5621020" cy="635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9">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-5715</wp:posOffset>
            </wp:positionV>
            <wp:extent cx="5621020" cy="635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20">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311" w:lineRule="exact"/>
        <w:rPr>
          <w:sz w:val="20"/>
          <w:szCs w:val="20"/>
          <w:color w:val="auto"/>
        </w:rPr>
      </w:pPr>
    </w:p>
    <w:p>
      <w:pPr>
        <w:ind w:left="1620" w:hanging="726"/>
        <w:spacing w:after="0"/>
        <w:tabs>
          <w:tab w:leader="none" w:pos="1620" w:val="left"/>
        </w:tabs>
        <w:numPr>
          <w:ilvl w:val="0"/>
          <w:numId w:val="181"/>
        </w:numPr>
        <w:rPr>
          <w:rFonts w:ascii="Arial" w:cs="Arial" w:eastAsia="Arial" w:hAnsi="Arial"/>
          <w:sz w:val="20"/>
          <w:szCs w:val="20"/>
          <w:b w:val="1"/>
          <w:bCs w:val="1"/>
          <w:color w:val="153A57"/>
        </w:rPr>
      </w:pPr>
      <w:r>
        <w:rPr>
          <w:rFonts w:ascii="Arial" w:cs="Arial" w:eastAsia="Arial" w:hAnsi="Arial"/>
          <w:sz w:val="20"/>
          <w:szCs w:val="20"/>
          <w:b w:val="1"/>
          <w:bCs w:val="1"/>
          <w:color w:val="153A57"/>
        </w:rPr>
        <w:t>FINANCE AND OTHER COSTS</w:t>
      </w:r>
    </w:p>
    <w:p>
      <w:pPr>
        <w:spacing w:after="0" w:line="270"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color w:val="auto"/>
        </w:rPr>
        <w:t>The following table summarizes the Company’s finance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236220</wp:posOffset>
            </wp:positionV>
            <wp:extent cx="5621020" cy="2857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21">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22860</wp:posOffset>
            </wp:positionV>
            <wp:extent cx="3608070" cy="635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22">
                      <a:extLst>
                        <a:ext uri="{28A0092B-C50C-407E-A947-70E740481C1C}"/>
                      </a:extLst>
                    </a:blip>
                    <a:srcRect/>
                    <a:stretch>
                      <a:fillRect/>
                    </a:stretch>
                  </pic:blipFill>
                  <pic:spPr bwMode="auto">
                    <a:xfrm>
                      <a:off x="0" y="0"/>
                      <a:ext cx="3608070" cy="6350"/>
                    </a:xfrm>
                    <a:prstGeom prst="rect">
                      <a:avLst/>
                    </a:prstGeom>
                    <a:noFill/>
                  </pic:spPr>
                </pic:pic>
              </a:graphicData>
            </a:graphic>
          </wp:anchor>
        </w:drawing>
      </w:r>
    </w:p>
    <w:p>
      <w:pPr>
        <w:spacing w:after="0" w:line="26" w:lineRule="exact"/>
        <w:rPr>
          <w:sz w:val="20"/>
          <w:szCs w:val="20"/>
          <w:color w:val="auto"/>
        </w:rPr>
      </w:pPr>
    </w:p>
    <w:tbl>
      <w:tblPr>
        <w:tblLayout w:type="fixed"/>
        <w:tblInd w:w="4780" w:type="dxa"/>
        <w:tblCellMar>
          <w:top w:w="0" w:type="dxa"/>
          <w:left w:w="0" w:type="dxa"/>
          <w:bottom w:w="0" w:type="dxa"/>
          <w:right w:w="0" w:type="dxa"/>
        </w:tblCellMar>
      </w:tblPr>
      <w:tr>
        <w:trPr>
          <w:trHeight w:val="250"/>
        </w:trPr>
        <w:tc>
          <w:tcPr>
            <w:tcW w:w="2100" w:type="dxa"/>
            <w:vAlign w:val="bottom"/>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2740" w:type="dxa"/>
            <w:vAlign w:val="bottom"/>
          </w:tcPr>
          <w:p>
            <w:pPr>
              <w:jc w:val="right"/>
              <w:ind w:right="670"/>
              <w:spacing w:after="0"/>
              <w:rPr>
                <w:sz w:val="20"/>
                <w:szCs w:val="20"/>
                <w:color w:val="auto"/>
              </w:rPr>
            </w:pPr>
            <w:r>
              <w:rPr>
                <w:rFonts w:ascii="Arial" w:cs="Arial" w:eastAsia="Arial" w:hAnsi="Arial"/>
                <w:sz w:val="18"/>
                <w:szCs w:val="18"/>
                <w:b w:val="1"/>
                <w:bCs w:val="1"/>
                <w:color w:val="auto"/>
              </w:rPr>
              <w:t>2024</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36"/>
        </w:trPr>
        <w:tc>
          <w:tcPr>
            <w:tcW w:w="2100" w:type="dxa"/>
            <w:vAlign w:val="bottom"/>
            <w:shd w:val="clear" w:color="auto" w:fill="D9D9D9"/>
          </w:tcPr>
          <w:p>
            <w:pPr>
              <w:spacing w:after="0"/>
              <w:rPr>
                <w:sz w:val="3"/>
                <w:szCs w:val="3"/>
                <w:color w:val="auto"/>
              </w:rPr>
            </w:pPr>
          </w:p>
        </w:tc>
        <w:tc>
          <w:tcPr>
            <w:tcW w:w="2740" w:type="dxa"/>
            <w:vAlign w:val="bottom"/>
          </w:tcPr>
          <w:p>
            <w:pPr>
              <w:spacing w:after="0"/>
              <w:rPr>
                <w:sz w:val="3"/>
                <w:szCs w:val="3"/>
                <w:color w:val="auto"/>
              </w:rPr>
            </w:pPr>
          </w:p>
        </w:tc>
        <w:tc>
          <w:tcPr>
            <w:tcW w:w="840" w:type="dxa"/>
            <w:vAlign w:val="bottom"/>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27 / 27</w:t>
      </w:r>
    </w:p>
    <w:p>
      <w:pPr>
        <w:sectPr>
          <w:pgSz w:w="11900" w:h="16838" w:orient="portrait"/>
          <w:cols w:equalWidth="0" w:num="1">
            <w:col w:w="10460"/>
          </w:cols>
          <w:pgMar w:left="1440" w:top="1440" w:right="6" w:bottom="0" w:gutter="0" w:footer="0" w:header="0"/>
          <w:type w:val="continuous"/>
        </w:sectPr>
      </w:pPr>
    </w:p>
    <w:bookmarkStart w:id="451" w:name="page452"/>
    <w:bookmarkEnd w:id="4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p>
    <w:p>
      <w:pPr>
        <w:spacing w:after="0" w:line="336" w:lineRule="exact"/>
        <w:rPr>
          <w:sz w:val="20"/>
          <w:szCs w:val="20"/>
          <w:color w:val="auto"/>
        </w:rPr>
      </w:pPr>
    </w:p>
    <w:p>
      <w:pPr>
        <w:ind w:left="6"/>
        <w:spacing w:after="0"/>
        <w:rPr>
          <w:sz w:val="20"/>
          <w:szCs w:val="20"/>
          <w:color w:val="auto"/>
        </w:rPr>
      </w:pPr>
      <w:r>
        <w:rPr>
          <w:rFonts w:ascii="Arial" w:cs="Arial" w:eastAsia="Arial" w:hAnsi="Arial"/>
          <w:sz w:val="18"/>
          <w:szCs w:val="18"/>
          <w:color w:val="auto"/>
        </w:rPr>
        <w:t>Interest on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27,837</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25,134</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22,623</w:t>
      </w:r>
    </w:p>
    <w:p>
      <w:pPr>
        <w:spacing w:after="0" w:line="345" w:lineRule="exact"/>
        <w:rPr>
          <w:sz w:val="20"/>
          <w:szCs w:val="20"/>
          <w:color w:val="auto"/>
        </w:rPr>
      </w:pPr>
    </w:p>
    <w:p>
      <w:pPr>
        <w:ind w:left="6"/>
        <w:spacing w:after="0"/>
        <w:rPr>
          <w:sz w:val="20"/>
          <w:szCs w:val="20"/>
          <w:color w:val="auto"/>
        </w:rPr>
      </w:pPr>
      <w:r>
        <w:rPr>
          <w:rFonts w:ascii="Arial" w:cs="Arial" w:eastAsia="Arial" w:hAnsi="Arial"/>
          <w:sz w:val="18"/>
          <w:szCs w:val="18"/>
          <w:color w:val="auto"/>
        </w:rPr>
        <w:t>Other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4,103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31,940</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25,176</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22,702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6" w:hanging="666"/>
        <w:spacing w:after="0"/>
        <w:tabs>
          <w:tab w:leader="none" w:pos="666" w:val="left"/>
        </w:tabs>
        <w:numPr>
          <w:ilvl w:val="0"/>
          <w:numId w:val="182"/>
        </w:numPr>
        <w:rPr>
          <w:rFonts w:ascii="Arial" w:cs="Arial" w:eastAsia="Arial" w:hAnsi="Arial"/>
          <w:sz w:val="20"/>
          <w:szCs w:val="20"/>
          <w:b w:val="1"/>
          <w:bCs w:val="1"/>
          <w:color w:val="153A57"/>
        </w:rPr>
      </w:pPr>
      <w:r>
        <w:rPr>
          <w:rFonts w:ascii="Arial" w:cs="Arial" w:eastAsia="Arial" w:hAnsi="Arial"/>
          <w:sz w:val="20"/>
          <w:szCs w:val="20"/>
          <w:b w:val="1"/>
          <w:bCs w:val="1"/>
          <w:color w:val="153A57"/>
        </w:rPr>
        <w:t>TRANSACTION COSTS</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 / 46</w:t>
      </w:r>
    </w:p>
    <w:p>
      <w:pPr>
        <w:sectPr>
          <w:pgSz w:w="11900" w:h="16838" w:orient="portrait"/>
          <w:cols w:equalWidth="0" w:num="1">
            <w:col w:w="9406"/>
          </w:cols>
          <w:pgMar w:left="1254" w:top="1440" w:right="1246" w:bottom="0" w:gutter="0" w:footer="0" w:header="0"/>
          <w:type w:val="continuous"/>
        </w:sectPr>
      </w:pPr>
    </w:p>
    <w:bookmarkStart w:id="452" w:name="page453"/>
    <w:bookmarkEnd w:id="452"/>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1253490</wp:posOffset>
            </wp:positionH>
            <wp:positionV relativeFrom="page">
              <wp:posOffset>929640</wp:posOffset>
            </wp:positionV>
            <wp:extent cx="5490210" cy="2857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23">
                      <a:extLst>
                        <a:ext uri="{28A0092B-C50C-407E-A947-70E740481C1C}"/>
                      </a:extLst>
                    </a:blip>
                    <a:srcRect/>
                    <a:stretch>
                      <a:fillRect/>
                    </a:stretch>
                  </pic:blipFill>
                  <pic:spPr bwMode="auto">
                    <a:xfrm>
                      <a:off x="0" y="0"/>
                      <a:ext cx="5490210" cy="28575"/>
                    </a:xfrm>
                    <a:prstGeom prst="rect">
                      <a:avLst/>
                    </a:prstGeom>
                    <a:noFill/>
                  </pic:spPr>
                </pic:pic>
              </a:graphicData>
            </a:graphic>
          </wp:anchor>
        </w:drawing>
      </w:r>
    </w:p>
    <w:tbl>
      <w:tblPr>
        <w:tblLayout w:type="fixed"/>
        <w:tblInd w:w="54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456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Pr>
          <w:p>
            <w:pPr>
              <w:spacing w:after="0"/>
              <w:rPr>
                <w:sz w:val="17"/>
                <w:szCs w:val="17"/>
                <w:color w:val="auto"/>
              </w:rPr>
            </w:pPr>
          </w:p>
        </w:tc>
      </w:tr>
      <w:tr>
        <w:trPr>
          <w:trHeight w:val="55"/>
        </w:trPr>
        <w:tc>
          <w:tcPr>
            <w:tcW w:w="29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2940" w:type="dxa"/>
            <w:vAlign w:val="bottom"/>
          </w:tcPr>
          <w:p>
            <w:pPr>
              <w:spacing w:after="0"/>
              <w:rPr>
                <w:sz w:val="21"/>
                <w:szCs w:val="21"/>
                <w:color w:val="auto"/>
              </w:rPr>
            </w:pPr>
          </w:p>
        </w:tc>
        <w:tc>
          <w:tcPr>
            <w:tcW w:w="1960" w:type="dxa"/>
            <w:vAlign w:val="bottom"/>
            <w:shd w:val="clear" w:color="auto" w:fill="D9D9D9"/>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2600" w:type="dxa"/>
            <w:vAlign w:val="bottom"/>
          </w:tcPr>
          <w:p>
            <w:pPr>
              <w:jc w:val="right"/>
              <w:ind w:right="650"/>
              <w:spacing w:after="0"/>
              <w:rPr>
                <w:sz w:val="20"/>
                <w:szCs w:val="20"/>
                <w:color w:val="auto"/>
              </w:rPr>
            </w:pPr>
            <w:r>
              <w:rPr>
                <w:rFonts w:ascii="Arial" w:cs="Arial" w:eastAsia="Arial" w:hAnsi="Arial"/>
                <w:sz w:val="18"/>
                <w:szCs w:val="18"/>
                <w:b w:val="1"/>
                <w:bCs w:val="1"/>
                <w:color w:val="auto"/>
              </w:rPr>
              <w:t>2024</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r>
      <w:tr>
        <w:trPr>
          <w:trHeight w:val="286"/>
        </w:trPr>
        <w:tc>
          <w:tcPr>
            <w:tcW w:w="2940" w:type="dxa"/>
            <w:vAlign w:val="bottom"/>
          </w:tcPr>
          <w:p>
            <w:pPr>
              <w:spacing w:after="0"/>
              <w:rPr>
                <w:sz w:val="24"/>
                <w:szCs w:val="24"/>
                <w:color w:val="auto"/>
              </w:rPr>
            </w:pPr>
          </w:p>
        </w:tc>
        <w:tc>
          <w:tcPr>
            <w:tcW w:w="1960" w:type="dxa"/>
            <w:vAlign w:val="bottom"/>
            <w:shd w:val="clear" w:color="auto" w:fill="D9D9D9"/>
          </w:tcPr>
          <w:p>
            <w:pPr>
              <w:jc w:val="right"/>
              <w:ind w:right="10"/>
              <w:spacing w:after="0"/>
              <w:rPr>
                <w:sz w:val="20"/>
                <w:szCs w:val="20"/>
                <w:color w:val="auto"/>
              </w:rPr>
            </w:pPr>
            <w:r>
              <w:rPr>
                <w:rFonts w:ascii="Arial" w:cs="Arial" w:eastAsia="Arial" w:hAnsi="Arial"/>
                <w:sz w:val="18"/>
                <w:szCs w:val="18"/>
                <w:b w:val="1"/>
                <w:bCs w:val="1"/>
                <w:color w:val="auto"/>
              </w:rPr>
              <w:t>$</w:t>
            </w:r>
          </w:p>
        </w:tc>
        <w:tc>
          <w:tcPr>
            <w:tcW w:w="2600" w:type="dxa"/>
            <w:vAlign w:val="bottom"/>
          </w:tcPr>
          <w:p>
            <w:pPr>
              <w:jc w:val="right"/>
              <w:ind w:right="6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324"/>
        </w:trPr>
        <w:tc>
          <w:tcPr>
            <w:tcW w:w="2940" w:type="dxa"/>
            <w:vAlign w:val="bottom"/>
          </w:tcPr>
          <w:p>
            <w:pPr>
              <w:spacing w:after="0"/>
              <w:rPr>
                <w:sz w:val="20"/>
                <w:szCs w:val="20"/>
                <w:color w:val="auto"/>
              </w:rPr>
            </w:pPr>
            <w:r>
              <w:rPr>
                <w:rFonts w:ascii="Arial" w:cs="Arial" w:eastAsia="Arial" w:hAnsi="Arial"/>
                <w:sz w:val="18"/>
                <w:szCs w:val="18"/>
                <w:color w:val="auto"/>
              </w:rPr>
              <w:t>Transaction costs</w:t>
            </w:r>
          </w:p>
        </w:tc>
        <w:tc>
          <w:tcPr>
            <w:tcW w:w="196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4,030</w:t>
            </w:r>
          </w:p>
        </w:tc>
        <w:tc>
          <w:tcPr>
            <w:tcW w:w="2600" w:type="dxa"/>
            <w:vAlign w:val="bottom"/>
          </w:tcPr>
          <w:p>
            <w:pPr>
              <w:jc w:val="right"/>
              <w:ind w:right="650"/>
              <w:spacing w:after="0"/>
              <w:rPr>
                <w:sz w:val="20"/>
                <w:szCs w:val="20"/>
                <w:color w:val="auto"/>
              </w:rPr>
            </w:pPr>
            <w:r>
              <w:rPr>
                <w:rFonts w:ascii="Arial" w:cs="Arial" w:eastAsia="Arial" w:hAnsi="Arial"/>
                <w:sz w:val="18"/>
                <w:szCs w:val="18"/>
                <w:color w:val="auto"/>
              </w:rPr>
              <w:t>6,818</w:t>
            </w:r>
          </w:p>
        </w:tc>
        <w:tc>
          <w:tcPr>
            <w:tcW w:w="1040" w:type="dxa"/>
            <w:vAlign w:val="bottom"/>
          </w:tcPr>
          <w:p>
            <w:pPr>
              <w:jc w:val="right"/>
              <w:spacing w:after="0"/>
              <w:rPr>
                <w:sz w:val="20"/>
                <w:szCs w:val="20"/>
                <w:color w:val="auto"/>
              </w:rPr>
            </w:pPr>
            <w:r>
              <w:rPr>
                <w:rFonts w:ascii="Arial" w:cs="Arial" w:eastAsia="Arial" w:hAnsi="Arial"/>
                <w:sz w:val="18"/>
                <w:szCs w:val="18"/>
                <w:color w:val="auto"/>
              </w:rPr>
              <w:t>7,569</w:t>
            </w:r>
          </w:p>
        </w:tc>
      </w:tr>
      <w:tr>
        <w:trPr>
          <w:trHeight w:val="316"/>
        </w:trPr>
        <w:tc>
          <w:tcPr>
            <w:tcW w:w="2940" w:type="dxa"/>
            <w:vAlign w:val="bottom"/>
          </w:tcPr>
          <w:p>
            <w:pPr>
              <w:spacing w:after="0"/>
              <w:rPr>
                <w:sz w:val="24"/>
                <w:szCs w:val="24"/>
                <w:color w:val="auto"/>
              </w:rPr>
            </w:pPr>
          </w:p>
        </w:tc>
        <w:tc>
          <w:tcPr>
            <w:tcW w:w="196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4,030</w:t>
            </w:r>
          </w:p>
        </w:tc>
        <w:tc>
          <w:tcPr>
            <w:tcW w:w="2600" w:type="dxa"/>
            <w:vAlign w:val="bottom"/>
          </w:tcPr>
          <w:p>
            <w:pPr>
              <w:jc w:val="right"/>
              <w:ind w:right="650"/>
              <w:spacing w:after="0"/>
              <w:rPr>
                <w:sz w:val="20"/>
                <w:szCs w:val="20"/>
                <w:color w:val="auto"/>
              </w:rPr>
            </w:pPr>
            <w:r>
              <w:rPr>
                <w:rFonts w:ascii="Arial" w:cs="Arial" w:eastAsia="Arial" w:hAnsi="Arial"/>
                <w:sz w:val="18"/>
                <w:szCs w:val="18"/>
                <w:color w:val="auto"/>
              </w:rPr>
              <w:t>6,818</w:t>
            </w:r>
          </w:p>
        </w:tc>
        <w:tc>
          <w:tcPr>
            <w:tcW w:w="1040" w:type="dxa"/>
            <w:vAlign w:val="bottom"/>
          </w:tcPr>
          <w:p>
            <w:pPr>
              <w:jc w:val="right"/>
              <w:spacing w:after="0"/>
              <w:rPr>
                <w:sz w:val="20"/>
                <w:szCs w:val="20"/>
                <w:color w:val="auto"/>
              </w:rPr>
            </w:pPr>
            <w:r>
              <w:rPr>
                <w:rFonts w:ascii="Arial" w:cs="Arial" w:eastAsia="Arial" w:hAnsi="Arial"/>
                <w:sz w:val="18"/>
                <w:szCs w:val="18"/>
                <w:color w:val="auto"/>
              </w:rPr>
              <w:t>7,569</w:t>
            </w:r>
          </w:p>
        </w:tc>
      </w:tr>
      <w:tr>
        <w:trPr>
          <w:trHeight w:val="55"/>
        </w:trPr>
        <w:tc>
          <w:tcPr>
            <w:tcW w:w="2940" w:type="dxa"/>
            <w:vAlign w:val="bottom"/>
          </w:tcPr>
          <w:p>
            <w:pPr>
              <w:spacing w:after="0"/>
              <w:rPr>
                <w:sz w:val="4"/>
                <w:szCs w:val="4"/>
                <w:color w:val="auto"/>
              </w:rPr>
            </w:pPr>
          </w:p>
        </w:tc>
        <w:tc>
          <w:tcPr>
            <w:tcW w:w="1960" w:type="dxa"/>
            <w:vAlign w:val="bottom"/>
            <w:shd w:val="clear" w:color="auto" w:fill="D9D9D9"/>
          </w:tcPr>
          <w:p>
            <w:pPr>
              <w:spacing w:after="0"/>
              <w:rPr>
                <w:sz w:val="4"/>
                <w:szCs w:val="4"/>
                <w:color w:val="auto"/>
              </w:rPr>
            </w:pPr>
          </w:p>
        </w:tc>
        <w:tc>
          <w:tcPr>
            <w:tcW w:w="2600" w:type="dxa"/>
            <w:vAlign w:val="bottom"/>
          </w:tcPr>
          <w:p>
            <w:pPr>
              <w:spacing w:after="0"/>
              <w:rPr>
                <w:sz w:val="4"/>
                <w:szCs w:val="4"/>
                <w:color w:val="auto"/>
              </w:rPr>
            </w:pPr>
          </w:p>
        </w:tc>
        <w:tc>
          <w:tcPr>
            <w:tcW w:w="104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2215515</wp:posOffset>
            </wp:positionH>
            <wp:positionV relativeFrom="paragraph">
              <wp:posOffset>-787400</wp:posOffset>
            </wp:positionV>
            <wp:extent cx="3613785" cy="635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24">
                      <a:extLst>
                        <a:ext uri="{28A0092B-C50C-407E-A947-70E740481C1C}"/>
                      </a:extLst>
                    </a:blip>
                    <a:srcRect/>
                    <a:stretch>
                      <a:fillRect/>
                    </a:stretch>
                  </pic:blipFill>
                  <pic:spPr bwMode="auto">
                    <a:xfrm>
                      <a:off x="0" y="0"/>
                      <a:ext cx="3613785" cy="635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-417830</wp:posOffset>
            </wp:positionV>
            <wp:extent cx="5490210" cy="635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25">
                      <a:extLst>
                        <a:ext uri="{28A0092B-C50C-407E-A947-70E740481C1C}"/>
                      </a:extLst>
                    </a:blip>
                    <a:srcRect/>
                    <a:stretch>
                      <a:fillRect/>
                    </a:stretch>
                  </pic:blipFill>
                  <pic:spPr bwMode="auto">
                    <a:xfrm>
                      <a:off x="0" y="0"/>
                      <a:ext cx="5490210" cy="635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-211455</wp:posOffset>
            </wp:positionV>
            <wp:extent cx="5490210" cy="635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26">
                      <a:extLst>
                        <a:ext uri="{28A0092B-C50C-407E-A947-70E740481C1C}"/>
                      </a:extLst>
                    </a:blip>
                    <a:srcRect/>
                    <a:stretch>
                      <a:fillRect/>
                    </a:stretch>
                  </pic:blipFill>
                  <pic:spPr bwMode="auto">
                    <a:xfrm>
                      <a:off x="0" y="0"/>
                      <a:ext cx="5490210" cy="635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-5715</wp:posOffset>
            </wp:positionV>
            <wp:extent cx="5490210" cy="635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7">
                      <a:extLst>
                        <a:ext uri="{28A0092B-C50C-407E-A947-70E740481C1C}"/>
                      </a:extLst>
                    </a:blip>
                    <a:srcRect/>
                    <a:stretch>
                      <a:fillRect/>
                    </a:stretch>
                  </pic:blipFill>
                  <pic:spPr bwMode="auto">
                    <a:xfrm>
                      <a:off x="0" y="0"/>
                      <a:ext cx="5490210" cy="6350"/>
                    </a:xfrm>
                    <a:prstGeom prst="rect">
                      <a:avLst/>
                    </a:prstGeom>
                    <a:noFill/>
                  </pic:spPr>
                </pic:pic>
              </a:graphicData>
            </a:graphic>
          </wp:anchor>
        </w:drawing>
      </w:r>
    </w:p>
    <w:p>
      <w:pPr>
        <w:spacing w:after="0" w:line="320" w:lineRule="exact"/>
        <w:rPr>
          <w:sz w:val="20"/>
          <w:szCs w:val="20"/>
          <w:color w:val="auto"/>
        </w:rPr>
      </w:pPr>
    </w:p>
    <w:p>
      <w:pPr>
        <w:jc w:val="both"/>
        <w:ind w:left="540"/>
        <w:spacing w:after="0" w:line="313" w:lineRule="auto"/>
        <w:rPr>
          <w:sz w:val="20"/>
          <w:szCs w:val="20"/>
          <w:color w:val="auto"/>
        </w:rPr>
      </w:pPr>
      <w:r>
        <w:rPr>
          <w:rFonts w:ascii="Arial" w:cs="Arial" w:eastAsia="Arial" w:hAnsi="Arial"/>
          <w:sz w:val="20"/>
          <w:szCs w:val="20"/>
          <w:color w:val="auto"/>
        </w:rPr>
        <w:t>Transaction costs for the year ended December 31, 2025, totaled $4,030, which included legal fees, consulting and advisory fees, and audit fees, primarily related to the Continuation, and the proposed joint venture transaction with Ganfeng to combine the Pozuelos-Pastos Grandes and Sal de la Puna lithium brine projects in Salta, Argentina. In comparison, transaction costs for the year ended December 31, 2024 amounted to $6,818, primarily related to the Separation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234315</wp:posOffset>
            </wp:positionV>
            <wp:extent cx="1676400" cy="19050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8">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140"/>
          </w:cols>
          <w:pgMar w:left="1440"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2 / 46</w:t>
      </w:r>
    </w:p>
    <w:p>
      <w:pPr>
        <w:sectPr>
          <w:pgSz w:w="11900" w:h="16838" w:orient="portrait"/>
          <w:cols w:equalWidth="0" w:num="1">
            <w:col w:w="9140"/>
          </w:cols>
          <w:pgMar w:left="1440" w:top="1440" w:right="1326" w:bottom="0" w:gutter="0" w:footer="0" w:header="0"/>
          <w:type w:val="continuous"/>
        </w:sectPr>
      </w:pPr>
    </w:p>
    <w:bookmarkStart w:id="453" w:name="page454"/>
    <w:bookmarkEnd w:id="4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200" w:lineRule="exact"/>
        <w:rPr>
          <w:sz w:val="20"/>
          <w:szCs w:val="20"/>
          <w:color w:val="auto"/>
        </w:rPr>
      </w:pPr>
    </w:p>
    <w:p>
      <w:pPr>
        <w:spacing w:after="0" w:line="300" w:lineRule="exact"/>
        <w:rPr>
          <w:sz w:val="20"/>
          <w:szCs w:val="20"/>
          <w:color w:val="auto"/>
        </w:rPr>
      </w:pPr>
    </w:p>
    <w:p>
      <w:pPr>
        <w:ind w:left="1620" w:hanging="726"/>
        <w:spacing w:after="0"/>
        <w:tabs>
          <w:tab w:leader="none" w:pos="1620" w:val="left"/>
        </w:tabs>
        <w:numPr>
          <w:ilvl w:val="0"/>
          <w:numId w:val="183"/>
        </w:numPr>
        <w:rPr>
          <w:rFonts w:ascii="Arial" w:cs="Arial" w:eastAsia="Arial" w:hAnsi="Arial"/>
          <w:sz w:val="20"/>
          <w:szCs w:val="20"/>
          <w:b w:val="1"/>
          <w:bCs w:val="1"/>
          <w:color w:val="153A57"/>
        </w:rPr>
      </w:pPr>
      <w:r>
        <w:rPr>
          <w:rFonts w:ascii="Arial" w:cs="Arial" w:eastAsia="Arial" w:hAnsi="Arial"/>
          <w:sz w:val="20"/>
          <w:szCs w:val="20"/>
          <w:b w:val="1"/>
          <w:bCs w:val="1"/>
          <w:color w:val="153A57"/>
        </w:rPr>
        <w:t>FINANCE AND OTHER INCOME</w:t>
      </w:r>
    </w:p>
    <w:p>
      <w:pPr>
        <w:spacing w:after="0" w:line="270"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color w:val="auto"/>
        </w:rPr>
        <w:t>The following table summarizes the Company’s finance and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235585</wp:posOffset>
            </wp:positionV>
            <wp:extent cx="5621020" cy="2857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30">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300" w:type="dxa"/>
            <w:vAlign w:val="bottom"/>
          </w:tcPr>
          <w:p>
            <w:pPr>
              <w:spacing w:after="0"/>
              <w:rPr>
                <w:sz w:val="17"/>
                <w:szCs w:val="17"/>
                <w:color w:val="auto"/>
              </w:rPr>
            </w:pPr>
          </w:p>
        </w:tc>
        <w:tc>
          <w:tcPr>
            <w:tcW w:w="39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Years Ended December 31,</w:t>
            </w:r>
          </w:p>
        </w:tc>
        <w:tc>
          <w:tcPr>
            <w:tcW w:w="600" w:type="dxa"/>
            <w:vAlign w:val="bottom"/>
          </w:tcPr>
          <w:p>
            <w:pPr>
              <w:spacing w:after="0"/>
              <w:rPr>
                <w:sz w:val="17"/>
                <w:szCs w:val="17"/>
                <w:color w:val="auto"/>
              </w:rPr>
            </w:pPr>
          </w:p>
        </w:tc>
      </w:tr>
      <w:tr>
        <w:trPr>
          <w:trHeight w:val="46"/>
        </w:trPr>
        <w:tc>
          <w:tcPr>
            <w:tcW w:w="4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4300" w:type="dxa"/>
            <w:vAlign w:val="bottom"/>
          </w:tcPr>
          <w:p>
            <w:pPr>
              <w:spacing w:after="0"/>
              <w:rPr>
                <w:sz w:val="21"/>
                <w:szCs w:val="21"/>
                <w:color w:val="auto"/>
              </w:rPr>
            </w:pPr>
          </w:p>
        </w:tc>
        <w:tc>
          <w:tcPr>
            <w:tcW w:w="1600" w:type="dxa"/>
            <w:vAlign w:val="bottom"/>
            <w:shd w:val="clear" w:color="auto" w:fill="D9D9D9"/>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2340" w:type="dxa"/>
            <w:vAlign w:val="bottom"/>
          </w:tcPr>
          <w:p>
            <w:pPr>
              <w:jc w:val="right"/>
              <w:ind w:right="750"/>
              <w:spacing w:after="0"/>
              <w:rPr>
                <w:sz w:val="20"/>
                <w:szCs w:val="20"/>
                <w:color w:val="auto"/>
              </w:rPr>
            </w:pPr>
            <w:r>
              <w:rPr>
                <w:rFonts w:ascii="Arial" w:cs="Arial" w:eastAsia="Arial" w:hAnsi="Arial"/>
                <w:sz w:val="18"/>
                <w:szCs w:val="18"/>
                <w:b w:val="1"/>
                <w:bCs w:val="1"/>
                <w:color w:val="auto"/>
              </w:rPr>
              <w:t>2024</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86"/>
        </w:trPr>
        <w:tc>
          <w:tcPr>
            <w:tcW w:w="4300" w:type="dxa"/>
            <w:vAlign w:val="bottom"/>
          </w:tcPr>
          <w:p>
            <w:pPr>
              <w:spacing w:after="0"/>
              <w:rPr>
                <w:sz w:val="24"/>
                <w:szCs w:val="24"/>
                <w:color w:val="auto"/>
              </w:rPr>
            </w:pPr>
          </w:p>
        </w:tc>
        <w:tc>
          <w:tcPr>
            <w:tcW w:w="1600" w:type="dxa"/>
            <w:vAlign w:val="bottom"/>
            <w:shd w:val="clear" w:color="auto" w:fill="D9D9D9"/>
          </w:tcPr>
          <w:p>
            <w:pPr>
              <w:jc w:val="right"/>
              <w:ind w:right="10"/>
              <w:spacing w:after="0"/>
              <w:rPr>
                <w:sz w:val="20"/>
                <w:szCs w:val="20"/>
                <w:color w:val="auto"/>
              </w:rPr>
            </w:pPr>
            <w:r>
              <w:rPr>
                <w:rFonts w:ascii="Arial" w:cs="Arial" w:eastAsia="Arial" w:hAnsi="Arial"/>
                <w:sz w:val="18"/>
                <w:szCs w:val="18"/>
                <w:b w:val="1"/>
                <w:bCs w:val="1"/>
                <w:color w:val="auto"/>
              </w:rPr>
              <w:t>$</w:t>
            </w:r>
          </w:p>
        </w:tc>
        <w:tc>
          <w:tcPr>
            <w:tcW w:w="2340" w:type="dxa"/>
            <w:vAlign w:val="bottom"/>
          </w:tcPr>
          <w:p>
            <w:pPr>
              <w:jc w:val="right"/>
              <w:ind w:right="75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4"/>
                <w:szCs w:val="24"/>
                <w:color w:val="auto"/>
              </w:rPr>
            </w:pPr>
          </w:p>
        </w:tc>
      </w:tr>
      <w:tr>
        <w:trPr>
          <w:trHeight w:val="324"/>
        </w:trPr>
        <w:tc>
          <w:tcPr>
            <w:tcW w:w="4300" w:type="dxa"/>
            <w:vAlign w:val="bottom"/>
          </w:tcPr>
          <w:p>
            <w:pPr>
              <w:spacing w:after="0"/>
              <w:rPr>
                <w:sz w:val="20"/>
                <w:szCs w:val="20"/>
                <w:color w:val="auto"/>
              </w:rPr>
            </w:pPr>
            <w:r>
              <w:rPr>
                <w:rFonts w:ascii="Arial" w:cs="Arial" w:eastAsia="Arial" w:hAnsi="Arial"/>
                <w:sz w:val="18"/>
                <w:szCs w:val="18"/>
                <w:color w:val="auto"/>
              </w:rPr>
              <w:t>Interest on loans to Exar Capital</w:t>
            </w:r>
          </w:p>
        </w:tc>
        <w:tc>
          <w:tcPr>
            <w:tcW w:w="16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39,939</w:t>
            </w:r>
          </w:p>
        </w:tc>
        <w:tc>
          <w:tcPr>
            <w:tcW w:w="2340" w:type="dxa"/>
            <w:vAlign w:val="bottom"/>
          </w:tcPr>
          <w:p>
            <w:pPr>
              <w:jc w:val="right"/>
              <w:ind w:right="750"/>
              <w:spacing w:after="0"/>
              <w:rPr>
                <w:sz w:val="20"/>
                <w:szCs w:val="20"/>
                <w:color w:val="auto"/>
              </w:rPr>
            </w:pPr>
            <w:r>
              <w:rPr>
                <w:rFonts w:ascii="Arial" w:cs="Arial" w:eastAsia="Arial" w:hAnsi="Arial"/>
                <w:sz w:val="18"/>
                <w:szCs w:val="18"/>
                <w:color w:val="auto"/>
              </w:rPr>
              <w:t>44,043</w:t>
            </w: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4"/>
        </w:trPr>
        <w:tc>
          <w:tcPr>
            <w:tcW w:w="4300" w:type="dxa"/>
            <w:vAlign w:val="bottom"/>
          </w:tcPr>
          <w:p>
            <w:pPr>
              <w:spacing w:after="0"/>
              <w:rPr>
                <w:sz w:val="20"/>
                <w:szCs w:val="20"/>
                <w:color w:val="auto"/>
              </w:rPr>
            </w:pPr>
            <w:r>
              <w:rPr>
                <w:rFonts w:ascii="Arial" w:cs="Arial" w:eastAsia="Arial" w:hAnsi="Arial"/>
                <w:sz w:val="18"/>
                <w:szCs w:val="18"/>
                <w:color w:val="auto"/>
              </w:rPr>
              <w:t>Interest on loans to Minera Exar</w:t>
            </w:r>
          </w:p>
        </w:tc>
        <w:tc>
          <w:tcPr>
            <w:tcW w:w="16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5,892</w:t>
            </w:r>
          </w:p>
        </w:tc>
        <w:tc>
          <w:tcPr>
            <w:tcW w:w="2340" w:type="dxa"/>
            <w:vAlign w:val="bottom"/>
          </w:tcPr>
          <w:p>
            <w:pPr>
              <w:jc w:val="right"/>
              <w:ind w:right="750"/>
              <w:spacing w:after="0"/>
              <w:rPr>
                <w:sz w:val="20"/>
                <w:szCs w:val="20"/>
                <w:color w:val="auto"/>
              </w:rPr>
            </w:pPr>
            <w:r>
              <w:rPr>
                <w:rFonts w:ascii="Arial" w:cs="Arial" w:eastAsia="Arial" w:hAnsi="Arial"/>
                <w:sz w:val="18"/>
                <w:szCs w:val="18"/>
                <w:color w:val="auto"/>
              </w:rPr>
              <w:t>2,355</w:t>
            </w:r>
          </w:p>
        </w:tc>
        <w:tc>
          <w:tcPr>
            <w:tcW w:w="600" w:type="dxa"/>
            <w:vAlign w:val="bottom"/>
          </w:tcPr>
          <w:p>
            <w:pPr>
              <w:spacing w:after="0"/>
              <w:rPr>
                <w:sz w:val="24"/>
                <w:szCs w:val="24"/>
                <w:color w:val="auto"/>
              </w:rPr>
            </w:pPr>
          </w:p>
        </w:tc>
      </w:tr>
      <w:tr>
        <w:trPr>
          <w:trHeight w:val="36"/>
        </w:trPr>
        <w:tc>
          <w:tcPr>
            <w:tcW w:w="4300" w:type="dxa"/>
            <w:vAlign w:val="bottom"/>
          </w:tcPr>
          <w:p>
            <w:pPr>
              <w:spacing w:after="0"/>
              <w:rPr>
                <w:sz w:val="3"/>
                <w:szCs w:val="3"/>
                <w:color w:val="auto"/>
              </w:rPr>
            </w:pPr>
          </w:p>
        </w:tc>
        <w:tc>
          <w:tcPr>
            <w:tcW w:w="1600" w:type="dxa"/>
            <w:vAlign w:val="bottom"/>
            <w:shd w:val="clear" w:color="auto" w:fill="D9D9D9"/>
          </w:tcPr>
          <w:p>
            <w:pPr>
              <w:spacing w:after="0"/>
              <w:rPr>
                <w:sz w:val="3"/>
                <w:szCs w:val="3"/>
                <w:color w:val="auto"/>
              </w:rPr>
            </w:pPr>
          </w:p>
        </w:tc>
        <w:tc>
          <w:tcPr>
            <w:tcW w:w="234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8"/>
        </w:trPr>
        <w:tc>
          <w:tcPr>
            <w:tcW w:w="4300" w:type="dxa"/>
            <w:vAlign w:val="bottom"/>
          </w:tcPr>
          <w:p>
            <w:pPr>
              <w:spacing w:after="0"/>
              <w:rPr>
                <w:sz w:val="20"/>
                <w:szCs w:val="20"/>
                <w:color w:val="auto"/>
              </w:rPr>
            </w:pPr>
            <w:r>
              <w:rPr>
                <w:rFonts w:ascii="Arial" w:cs="Arial" w:eastAsia="Arial" w:hAnsi="Arial"/>
                <w:sz w:val="18"/>
                <w:szCs w:val="18"/>
                <w:color w:val="auto"/>
              </w:rPr>
              <w:t>Interest on cash and cash equivalents</w:t>
            </w:r>
          </w:p>
        </w:tc>
        <w:tc>
          <w:tcPr>
            <w:tcW w:w="16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2,841</w:t>
            </w:r>
          </w:p>
        </w:tc>
        <w:tc>
          <w:tcPr>
            <w:tcW w:w="2340" w:type="dxa"/>
            <w:vAlign w:val="bottom"/>
          </w:tcPr>
          <w:p>
            <w:pPr>
              <w:jc w:val="right"/>
              <w:ind w:right="750"/>
              <w:spacing w:after="0"/>
              <w:rPr>
                <w:sz w:val="20"/>
                <w:szCs w:val="20"/>
                <w:color w:val="auto"/>
              </w:rPr>
            </w:pPr>
            <w:r>
              <w:rPr>
                <w:rFonts w:ascii="Arial" w:cs="Arial" w:eastAsia="Arial" w:hAnsi="Arial"/>
                <w:sz w:val="18"/>
                <w:szCs w:val="18"/>
                <w:color w:val="auto"/>
              </w:rPr>
              <w:t>4,217</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4"/>
        </w:trPr>
        <w:tc>
          <w:tcPr>
            <w:tcW w:w="4300" w:type="dxa"/>
            <w:vAlign w:val="bottom"/>
          </w:tcPr>
          <w:p>
            <w:pPr>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734</w:t>
            </w:r>
          </w:p>
        </w:tc>
        <w:tc>
          <w:tcPr>
            <w:tcW w:w="2340" w:type="dxa"/>
            <w:vAlign w:val="bottom"/>
          </w:tcPr>
          <w:p>
            <w:pPr>
              <w:jc w:val="right"/>
              <w:ind w:right="750"/>
              <w:spacing w:after="0"/>
              <w:rPr>
                <w:sz w:val="20"/>
                <w:szCs w:val="20"/>
                <w:color w:val="auto"/>
              </w:rPr>
            </w:pPr>
            <w:r>
              <w:rPr>
                <w:rFonts w:ascii="Arial" w:cs="Arial" w:eastAsia="Arial" w:hAnsi="Arial"/>
                <w:sz w:val="18"/>
                <w:szCs w:val="18"/>
                <w:color w:val="auto"/>
              </w:rPr>
              <w:t>1,172</w:t>
            </w:r>
          </w:p>
        </w:tc>
        <w:tc>
          <w:tcPr>
            <w:tcW w:w="600" w:type="dxa"/>
            <w:vAlign w:val="bottom"/>
          </w:tcPr>
          <w:p>
            <w:pPr>
              <w:spacing w:after="0"/>
              <w:rPr>
                <w:sz w:val="24"/>
                <w:szCs w:val="24"/>
                <w:color w:val="auto"/>
              </w:rPr>
            </w:pPr>
          </w:p>
        </w:tc>
      </w:tr>
      <w:tr>
        <w:trPr>
          <w:trHeight w:val="316"/>
        </w:trPr>
        <w:tc>
          <w:tcPr>
            <w:tcW w:w="4300" w:type="dxa"/>
            <w:vAlign w:val="bottom"/>
          </w:tcPr>
          <w:p>
            <w:pPr>
              <w:spacing w:after="0"/>
              <w:rPr>
                <w:sz w:val="24"/>
                <w:szCs w:val="24"/>
                <w:color w:val="auto"/>
              </w:rPr>
            </w:pPr>
          </w:p>
        </w:tc>
        <w:tc>
          <w:tcPr>
            <w:tcW w:w="16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49,406</w:t>
            </w:r>
          </w:p>
        </w:tc>
        <w:tc>
          <w:tcPr>
            <w:tcW w:w="2340" w:type="dxa"/>
            <w:vAlign w:val="bottom"/>
          </w:tcPr>
          <w:p>
            <w:pPr>
              <w:jc w:val="right"/>
              <w:ind w:right="750"/>
              <w:spacing w:after="0"/>
              <w:rPr>
                <w:sz w:val="20"/>
                <w:szCs w:val="20"/>
                <w:color w:val="auto"/>
              </w:rPr>
            </w:pPr>
            <w:r>
              <w:rPr>
                <w:rFonts w:ascii="Arial" w:cs="Arial" w:eastAsia="Arial" w:hAnsi="Arial"/>
                <w:sz w:val="18"/>
                <w:szCs w:val="18"/>
                <w:color w:val="auto"/>
              </w:rPr>
              <w:t>51,787</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55"/>
        </w:trPr>
        <w:tc>
          <w:tcPr>
            <w:tcW w:w="4300" w:type="dxa"/>
            <w:vAlign w:val="bottom"/>
          </w:tcPr>
          <w:p>
            <w:pPr>
              <w:spacing w:after="0"/>
              <w:rPr>
                <w:sz w:val="4"/>
                <w:szCs w:val="4"/>
                <w:color w:val="auto"/>
              </w:rPr>
            </w:pPr>
          </w:p>
        </w:tc>
        <w:tc>
          <w:tcPr>
            <w:tcW w:w="1600" w:type="dxa"/>
            <w:vAlign w:val="bottom"/>
            <w:shd w:val="clear" w:color="auto" w:fill="D9D9D9"/>
          </w:tcPr>
          <w:p>
            <w:pPr>
              <w:spacing w:after="0"/>
              <w:rPr>
                <w:sz w:val="4"/>
                <w:szCs w:val="4"/>
                <w:color w:val="auto"/>
              </w:rPr>
            </w:pPr>
          </w:p>
        </w:tc>
        <w:tc>
          <w:tcPr>
            <w:tcW w:w="2340" w:type="dxa"/>
            <w:vAlign w:val="bottom"/>
          </w:tcPr>
          <w:p>
            <w:pPr>
              <w:spacing w:after="0"/>
              <w:rPr>
                <w:sz w:val="4"/>
                <w:szCs w:val="4"/>
                <w:color w:val="auto"/>
              </w:rPr>
            </w:pPr>
          </w:p>
        </w:tc>
        <w:tc>
          <w:tcPr>
            <w:tcW w:w="60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-1386205</wp:posOffset>
            </wp:positionV>
            <wp:extent cx="2884170" cy="635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31">
                      <a:extLst>
                        <a:ext uri="{28A0092B-C50C-407E-A947-70E740481C1C}"/>
                      </a:extLst>
                    </a:blip>
                    <a:srcRect/>
                    <a:stretch>
                      <a:fillRect/>
                    </a:stretch>
                  </pic:blipFill>
                  <pic:spPr bwMode="auto">
                    <a:xfrm>
                      <a:off x="0" y="0"/>
                      <a:ext cx="288417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-1016635</wp:posOffset>
            </wp:positionV>
            <wp:extent cx="5621020" cy="635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32">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-211455</wp:posOffset>
            </wp:positionV>
            <wp:extent cx="5621020" cy="635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33">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-5715</wp:posOffset>
            </wp:positionV>
            <wp:extent cx="5621020" cy="635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34">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355" w:lineRule="exact"/>
        <w:rPr>
          <w:sz w:val="20"/>
          <w:szCs w:val="20"/>
          <w:color w:val="auto"/>
        </w:rPr>
      </w:pPr>
    </w:p>
    <w:p>
      <w:pPr>
        <w:ind w:left="1620" w:hanging="726"/>
        <w:spacing w:after="0"/>
        <w:tabs>
          <w:tab w:leader="none" w:pos="1620" w:val="left"/>
        </w:tabs>
        <w:numPr>
          <w:ilvl w:val="0"/>
          <w:numId w:val="184"/>
        </w:numPr>
        <w:rPr>
          <w:rFonts w:ascii="Arial" w:cs="Arial" w:eastAsia="Arial" w:hAnsi="Arial"/>
          <w:sz w:val="20"/>
          <w:szCs w:val="20"/>
          <w:b w:val="1"/>
          <w:bCs w:val="1"/>
          <w:color w:val="153A57"/>
        </w:rPr>
      </w:pPr>
      <w:r>
        <w:rPr>
          <w:rFonts w:ascii="Arial" w:cs="Arial" w:eastAsia="Arial" w:hAnsi="Arial"/>
          <w:sz w:val="20"/>
          <w:szCs w:val="20"/>
          <w:b w:val="1"/>
          <w:bCs w:val="1"/>
          <w:color w:val="153A57"/>
        </w:rPr>
        <w:t>SEGMENTED INFORMATION</w:t>
      </w:r>
    </w:p>
    <w:p>
      <w:pPr>
        <w:spacing w:after="0" w:line="293" w:lineRule="exact"/>
        <w:rPr>
          <w:rFonts w:ascii="Arial" w:cs="Arial" w:eastAsia="Arial" w:hAnsi="Arial"/>
          <w:sz w:val="20"/>
          <w:szCs w:val="20"/>
          <w:b w:val="1"/>
          <w:bCs w:val="1"/>
          <w:color w:val="153A57"/>
        </w:rPr>
      </w:pPr>
    </w:p>
    <w:p>
      <w:pPr>
        <w:jc w:val="both"/>
        <w:ind w:left="1620"/>
        <w:spacing w:after="0" w:line="312" w:lineRule="auto"/>
        <w:rPr>
          <w:rFonts w:ascii="Arial" w:cs="Arial" w:eastAsia="Arial" w:hAnsi="Arial"/>
          <w:sz w:val="20"/>
          <w:szCs w:val="20"/>
          <w:b w:val="1"/>
          <w:bCs w:val="1"/>
          <w:color w:val="153A57"/>
        </w:rPr>
      </w:pPr>
      <w:r>
        <w:rPr>
          <w:rFonts w:ascii="Arial" w:cs="Arial" w:eastAsia="Arial" w:hAnsi="Arial"/>
          <w:sz w:val="20"/>
          <w:szCs w:val="20"/>
          <w:color w:val="auto"/>
        </w:rPr>
        <w:t>The Company is engaged in production, exploration and development of mineral properties in Arge Operating segments are reported in a manner consistent with the internal reporting to the exec leadership team who act as the operating decision-makers. The Company has identified two oper segments which include Cauchari-Olaroz and Pastos Grandes Basin.</w:t>
      </w:r>
    </w:p>
    <w:p>
      <w:pPr>
        <w:spacing w:after="0" w:line="204"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color w:val="auto"/>
        </w:rPr>
        <w:t>The Company’s reportable segments and corporate assets are summarized in the following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236220</wp:posOffset>
            </wp:positionV>
            <wp:extent cx="5621020" cy="2857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35">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Pastos</w:t>
            </w: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72"/>
        </w:trPr>
        <w:tc>
          <w:tcPr>
            <w:tcW w:w="3800" w:type="dxa"/>
            <w:vAlign w:val="bottom"/>
          </w:tcPr>
          <w:p>
            <w:pPr>
              <w:spacing w:after="0"/>
              <w:rPr>
                <w:sz w:val="23"/>
                <w:szCs w:val="23"/>
                <w:color w:val="auto"/>
              </w:rPr>
            </w:pPr>
          </w:p>
        </w:tc>
        <w:tc>
          <w:tcPr>
            <w:tcW w:w="1660" w:type="dxa"/>
            <w:vAlign w:val="bottom"/>
          </w:tcPr>
          <w:p>
            <w:pPr>
              <w:jc w:val="right"/>
              <w:ind w:right="230"/>
              <w:spacing w:after="0"/>
              <w:rPr>
                <w:sz w:val="20"/>
                <w:szCs w:val="20"/>
                <w:color w:val="auto"/>
              </w:rPr>
            </w:pPr>
            <w:r>
              <w:rPr>
                <w:rFonts w:ascii="Arial" w:cs="Arial" w:eastAsia="Arial" w:hAnsi="Arial"/>
                <w:sz w:val="18"/>
                <w:szCs w:val="18"/>
                <w:b w:val="1"/>
                <w:bCs w:val="1"/>
                <w:color w:val="auto"/>
              </w:rPr>
              <w:t>Cauchari-</w:t>
            </w: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Grandes</w:t>
            </w:r>
          </w:p>
        </w:tc>
        <w:tc>
          <w:tcPr>
            <w:tcW w:w="13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2"/>
        </w:trPr>
        <w:tc>
          <w:tcPr>
            <w:tcW w:w="3800" w:type="dxa"/>
            <w:vAlign w:val="bottom"/>
          </w:tcPr>
          <w:p>
            <w:pPr>
              <w:spacing w:after="0"/>
              <w:rPr>
                <w:sz w:val="23"/>
                <w:szCs w:val="23"/>
                <w:color w:val="auto"/>
              </w:rPr>
            </w:pPr>
          </w:p>
        </w:tc>
        <w:tc>
          <w:tcPr>
            <w:tcW w:w="1660" w:type="dxa"/>
            <w:vAlign w:val="bottom"/>
          </w:tcPr>
          <w:p>
            <w:pPr>
              <w:jc w:val="right"/>
              <w:ind w:right="230"/>
              <w:spacing w:after="0"/>
              <w:rPr>
                <w:sz w:val="20"/>
                <w:szCs w:val="20"/>
                <w:color w:val="auto"/>
              </w:rPr>
            </w:pPr>
            <w:r>
              <w:rPr>
                <w:rFonts w:ascii="Arial" w:cs="Arial" w:eastAsia="Arial" w:hAnsi="Arial"/>
                <w:sz w:val="18"/>
                <w:szCs w:val="18"/>
                <w:b w:val="1"/>
                <w:bCs w:val="1"/>
                <w:color w:val="auto"/>
              </w:rPr>
              <w:t>Olaroz</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Basin</w:t>
            </w: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rPr>
              <w:t>Corporate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T</w:t>
            </w:r>
          </w:p>
        </w:tc>
      </w:tr>
      <w:tr>
        <w:trPr>
          <w:trHeight w:val="272"/>
        </w:trPr>
        <w:tc>
          <w:tcPr>
            <w:tcW w:w="3800" w:type="dxa"/>
            <w:vAlign w:val="bottom"/>
          </w:tcPr>
          <w:p>
            <w:pPr>
              <w:spacing w:after="0"/>
              <w:rPr>
                <w:sz w:val="23"/>
                <w:szCs w:val="23"/>
                <w:color w:val="auto"/>
              </w:rPr>
            </w:pPr>
          </w:p>
        </w:tc>
        <w:tc>
          <w:tcPr>
            <w:tcW w:w="16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3"/>
                <w:szCs w:val="23"/>
                <w:color w:val="auto"/>
              </w:rPr>
            </w:pPr>
          </w:p>
        </w:tc>
      </w:tr>
      <w:tr>
        <w:trPr>
          <w:trHeight w:val="46"/>
        </w:trPr>
        <w:tc>
          <w:tcPr>
            <w:tcW w:w="38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50"/>
        </w:trPr>
        <w:tc>
          <w:tcPr>
            <w:tcW w:w="3800" w:type="dxa"/>
            <w:vAlign w:val="bottom"/>
            <w:shd w:val="clear" w:color="auto" w:fill="D9D9D9"/>
          </w:tcPr>
          <w:p>
            <w:pPr>
              <w:spacing w:after="0"/>
              <w:rPr>
                <w:sz w:val="20"/>
                <w:szCs w:val="20"/>
                <w:color w:val="auto"/>
              </w:rPr>
            </w:pPr>
            <w:r>
              <w:rPr>
                <w:rFonts w:ascii="Arial" w:cs="Arial" w:eastAsia="Arial" w:hAnsi="Arial"/>
                <w:sz w:val="18"/>
                <w:szCs w:val="18"/>
                <w:b w:val="1"/>
                <w:bCs w:val="1"/>
                <w:i w:val="1"/>
                <w:iCs w:val="1"/>
                <w:color w:val="auto"/>
              </w:rPr>
              <w:t>As at December 31, 2025</w:t>
            </w:r>
          </w:p>
        </w:tc>
        <w:tc>
          <w:tcPr>
            <w:tcW w:w="1660" w:type="dxa"/>
            <w:vAlign w:val="bottom"/>
            <w:shd w:val="clear" w:color="auto" w:fill="D9D9D9"/>
          </w:tcPr>
          <w:p>
            <w:pPr>
              <w:spacing w:after="0"/>
              <w:rPr>
                <w:sz w:val="21"/>
                <w:szCs w:val="21"/>
                <w:color w:val="auto"/>
              </w:rPr>
            </w:pPr>
          </w:p>
        </w:tc>
        <w:tc>
          <w:tcPr>
            <w:tcW w:w="1320" w:type="dxa"/>
            <w:vAlign w:val="bottom"/>
            <w:shd w:val="clear" w:color="auto" w:fill="D9D9D9"/>
          </w:tcPr>
          <w:p>
            <w:pPr>
              <w:spacing w:after="0"/>
              <w:rPr>
                <w:sz w:val="21"/>
                <w:szCs w:val="21"/>
                <w:color w:val="auto"/>
              </w:rPr>
            </w:pPr>
          </w:p>
        </w:tc>
        <w:tc>
          <w:tcPr>
            <w:tcW w:w="1360" w:type="dxa"/>
            <w:vAlign w:val="bottom"/>
            <w:shd w:val="clear" w:color="auto" w:fill="D9D9D9"/>
          </w:tcPr>
          <w:p>
            <w:pPr>
              <w:spacing w:after="0"/>
              <w:rPr>
                <w:sz w:val="21"/>
                <w:szCs w:val="21"/>
                <w:color w:val="auto"/>
              </w:rPr>
            </w:pPr>
          </w:p>
        </w:tc>
        <w:tc>
          <w:tcPr>
            <w:tcW w:w="700" w:type="dxa"/>
            <w:vAlign w:val="bottom"/>
            <w:shd w:val="clear" w:color="auto" w:fill="D9D9D9"/>
          </w:tcPr>
          <w:p>
            <w:pPr>
              <w:spacing w:after="0"/>
              <w:rPr>
                <w:sz w:val="21"/>
                <w:szCs w:val="21"/>
                <w:color w:val="auto"/>
              </w:rPr>
            </w:pPr>
          </w:p>
        </w:tc>
      </w:tr>
      <w:tr>
        <w:trPr>
          <w:trHeight w:val="36"/>
        </w:trPr>
        <w:tc>
          <w:tcPr>
            <w:tcW w:w="3800" w:type="dxa"/>
            <w:vAlign w:val="bottom"/>
            <w:shd w:val="clear" w:color="auto" w:fill="D9D9D9"/>
          </w:tcPr>
          <w:p>
            <w:pPr>
              <w:spacing w:after="0"/>
              <w:rPr>
                <w:sz w:val="3"/>
                <w:szCs w:val="3"/>
                <w:color w:val="auto"/>
              </w:rPr>
            </w:pPr>
          </w:p>
        </w:tc>
        <w:tc>
          <w:tcPr>
            <w:tcW w:w="1660" w:type="dxa"/>
            <w:vAlign w:val="bottom"/>
            <w:shd w:val="clear" w:color="auto" w:fill="D9D9D9"/>
          </w:tcPr>
          <w:p>
            <w:pPr>
              <w:spacing w:after="0"/>
              <w:rPr>
                <w:sz w:val="3"/>
                <w:szCs w:val="3"/>
                <w:color w:val="auto"/>
              </w:rPr>
            </w:pPr>
          </w:p>
        </w:tc>
        <w:tc>
          <w:tcPr>
            <w:tcW w:w="1320" w:type="dxa"/>
            <w:vAlign w:val="bottom"/>
            <w:shd w:val="clear" w:color="auto" w:fill="D9D9D9"/>
          </w:tcPr>
          <w:p>
            <w:pPr>
              <w:spacing w:after="0"/>
              <w:rPr>
                <w:sz w:val="3"/>
                <w:szCs w:val="3"/>
                <w:color w:val="auto"/>
              </w:rPr>
            </w:pPr>
          </w:p>
        </w:tc>
        <w:tc>
          <w:tcPr>
            <w:tcW w:w="1360" w:type="dxa"/>
            <w:vAlign w:val="bottom"/>
            <w:shd w:val="clear" w:color="auto" w:fill="D9D9D9"/>
          </w:tcPr>
          <w:p>
            <w:pPr>
              <w:spacing w:after="0"/>
              <w:rPr>
                <w:sz w:val="3"/>
                <w:szCs w:val="3"/>
                <w:color w:val="auto"/>
              </w:rPr>
            </w:pPr>
          </w:p>
        </w:tc>
        <w:tc>
          <w:tcPr>
            <w:tcW w:w="700" w:type="dxa"/>
            <w:vAlign w:val="bottom"/>
            <w:shd w:val="clear" w:color="auto" w:fill="D9D9D9"/>
          </w:tcPr>
          <w:p>
            <w:pPr>
              <w:spacing w:after="0"/>
              <w:rPr>
                <w:sz w:val="3"/>
                <w:szCs w:val="3"/>
                <w:color w:val="auto"/>
              </w:rPr>
            </w:pPr>
          </w:p>
        </w:tc>
      </w:tr>
      <w:tr>
        <w:trPr>
          <w:trHeight w:val="270"/>
        </w:trPr>
        <w:tc>
          <w:tcPr>
            <w:tcW w:w="3800" w:type="dxa"/>
            <w:vAlign w:val="bottom"/>
            <w:shd w:val="clear" w:color="auto" w:fill="D9D9D9"/>
          </w:tcPr>
          <w:p>
            <w:pPr>
              <w:spacing w:after="0"/>
              <w:rPr>
                <w:sz w:val="20"/>
                <w:szCs w:val="20"/>
                <w:color w:val="auto"/>
              </w:rPr>
            </w:pPr>
            <w:r>
              <w:rPr>
                <w:rFonts w:ascii="Arial" w:cs="Arial" w:eastAsia="Arial" w:hAnsi="Arial"/>
                <w:sz w:val="18"/>
                <w:szCs w:val="18"/>
                <w:color w:val="auto"/>
              </w:rPr>
              <w:t>Property, plant and equipment</w:t>
            </w:r>
          </w:p>
        </w:tc>
        <w:tc>
          <w:tcPr>
            <w:tcW w:w="1660" w:type="dxa"/>
            <w:vAlign w:val="bottom"/>
            <w:shd w:val="clear" w:color="auto" w:fill="D9D9D9"/>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9D9D9"/>
          </w:tcPr>
          <w:p>
            <w:pPr>
              <w:jc w:val="right"/>
              <w:ind w:right="190"/>
              <w:spacing w:after="0"/>
              <w:rPr>
                <w:sz w:val="20"/>
                <w:szCs w:val="20"/>
                <w:color w:val="auto"/>
              </w:rPr>
            </w:pPr>
            <w:r>
              <w:rPr>
                <w:rFonts w:ascii="Arial" w:cs="Arial" w:eastAsia="Arial" w:hAnsi="Arial"/>
                <w:sz w:val="18"/>
                <w:szCs w:val="18"/>
                <w:color w:val="auto"/>
              </w:rPr>
              <w:t>8,444</w:t>
            </w:r>
          </w:p>
        </w:tc>
        <w:tc>
          <w:tcPr>
            <w:tcW w:w="1360" w:type="dxa"/>
            <w:vAlign w:val="bottom"/>
            <w:shd w:val="clear" w:color="auto" w:fill="D9D9D9"/>
          </w:tcPr>
          <w:p>
            <w:pPr>
              <w:jc w:val="right"/>
              <w:ind w:right="210"/>
              <w:spacing w:after="0"/>
              <w:rPr>
                <w:sz w:val="20"/>
                <w:szCs w:val="20"/>
                <w:color w:val="auto"/>
              </w:rPr>
            </w:pPr>
            <w:r>
              <w:rPr>
                <w:rFonts w:ascii="Arial" w:cs="Arial" w:eastAsia="Arial" w:hAnsi="Arial"/>
                <w:sz w:val="18"/>
                <w:szCs w:val="18"/>
                <w:color w:val="auto"/>
              </w:rPr>
              <w:t>930</w:t>
            </w:r>
          </w:p>
        </w:tc>
        <w:tc>
          <w:tcPr>
            <w:tcW w:w="7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9,</w:t>
            </w:r>
          </w:p>
        </w:tc>
      </w:tr>
      <w:tr>
        <w:trPr>
          <w:trHeight w:val="45"/>
        </w:trPr>
        <w:tc>
          <w:tcPr>
            <w:tcW w:w="3800" w:type="dxa"/>
            <w:vAlign w:val="bottom"/>
            <w:shd w:val="clear" w:color="auto" w:fill="D9D9D9"/>
          </w:tcPr>
          <w:p>
            <w:pPr>
              <w:spacing w:after="0"/>
              <w:rPr>
                <w:sz w:val="3"/>
                <w:szCs w:val="3"/>
                <w:color w:val="auto"/>
              </w:rPr>
            </w:pPr>
          </w:p>
        </w:tc>
        <w:tc>
          <w:tcPr>
            <w:tcW w:w="1660" w:type="dxa"/>
            <w:vAlign w:val="bottom"/>
            <w:shd w:val="clear" w:color="auto" w:fill="D9D9D9"/>
          </w:tcPr>
          <w:p>
            <w:pPr>
              <w:spacing w:after="0"/>
              <w:rPr>
                <w:sz w:val="3"/>
                <w:szCs w:val="3"/>
                <w:color w:val="auto"/>
              </w:rPr>
            </w:pPr>
          </w:p>
        </w:tc>
        <w:tc>
          <w:tcPr>
            <w:tcW w:w="1320" w:type="dxa"/>
            <w:vAlign w:val="bottom"/>
            <w:shd w:val="clear" w:color="auto" w:fill="D9D9D9"/>
          </w:tcPr>
          <w:p>
            <w:pPr>
              <w:spacing w:after="0"/>
              <w:rPr>
                <w:sz w:val="3"/>
                <w:szCs w:val="3"/>
                <w:color w:val="auto"/>
              </w:rPr>
            </w:pPr>
          </w:p>
        </w:tc>
        <w:tc>
          <w:tcPr>
            <w:tcW w:w="1360" w:type="dxa"/>
            <w:vAlign w:val="bottom"/>
            <w:shd w:val="clear" w:color="auto" w:fill="D9D9D9"/>
          </w:tcPr>
          <w:p>
            <w:pPr>
              <w:spacing w:after="0"/>
              <w:rPr>
                <w:sz w:val="3"/>
                <w:szCs w:val="3"/>
                <w:color w:val="auto"/>
              </w:rPr>
            </w:pPr>
          </w:p>
        </w:tc>
        <w:tc>
          <w:tcPr>
            <w:tcW w:w="700" w:type="dxa"/>
            <w:vAlign w:val="bottom"/>
            <w:shd w:val="clear" w:color="auto" w:fill="D9D9D9"/>
          </w:tcPr>
          <w:p>
            <w:pPr>
              <w:spacing w:after="0"/>
              <w:rPr>
                <w:sz w:val="3"/>
                <w:szCs w:val="3"/>
                <w:color w:val="auto"/>
              </w:rPr>
            </w:pPr>
          </w:p>
        </w:tc>
      </w:tr>
      <w:tr>
        <w:trPr>
          <w:trHeight w:val="270"/>
        </w:trPr>
        <w:tc>
          <w:tcPr>
            <w:tcW w:w="3800" w:type="dxa"/>
            <w:vAlign w:val="bottom"/>
            <w:shd w:val="clear" w:color="auto" w:fill="D9D9D9"/>
          </w:tcPr>
          <w:p>
            <w:pPr>
              <w:spacing w:after="0"/>
              <w:rPr>
                <w:sz w:val="20"/>
                <w:szCs w:val="20"/>
                <w:color w:val="auto"/>
              </w:rPr>
            </w:pPr>
            <w:r>
              <w:rPr>
                <w:rFonts w:ascii="Arial" w:cs="Arial" w:eastAsia="Arial" w:hAnsi="Arial"/>
                <w:sz w:val="18"/>
                <w:szCs w:val="18"/>
                <w:color w:val="auto"/>
              </w:rPr>
              <w:t>Exploration and evaluation assets</w:t>
            </w:r>
          </w:p>
        </w:tc>
        <w:tc>
          <w:tcPr>
            <w:tcW w:w="1660" w:type="dxa"/>
            <w:vAlign w:val="bottom"/>
            <w:shd w:val="clear" w:color="auto" w:fill="D9D9D9"/>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9D9D9"/>
          </w:tcPr>
          <w:p>
            <w:pPr>
              <w:jc w:val="right"/>
              <w:ind w:right="190"/>
              <w:spacing w:after="0"/>
              <w:rPr>
                <w:sz w:val="20"/>
                <w:szCs w:val="20"/>
                <w:color w:val="auto"/>
              </w:rPr>
            </w:pPr>
            <w:r>
              <w:rPr>
                <w:rFonts w:ascii="Arial" w:cs="Arial" w:eastAsia="Arial" w:hAnsi="Arial"/>
                <w:sz w:val="18"/>
                <w:szCs w:val="18"/>
                <w:color w:val="auto"/>
              </w:rPr>
              <w:t>340,999</w:t>
            </w:r>
          </w:p>
        </w:tc>
        <w:tc>
          <w:tcPr>
            <w:tcW w:w="1360" w:type="dxa"/>
            <w:vAlign w:val="bottom"/>
            <w:shd w:val="clear" w:color="auto" w:fill="D9D9D9"/>
          </w:tcPr>
          <w:p>
            <w:pPr>
              <w:jc w:val="right"/>
              <w:ind w:right="210"/>
              <w:spacing w:after="0"/>
              <w:rPr>
                <w:sz w:val="20"/>
                <w:szCs w:val="20"/>
                <w:color w:val="auto"/>
              </w:rPr>
            </w:pPr>
            <w:r>
              <w:rPr>
                <w:rFonts w:ascii="Arial" w:cs="Arial" w:eastAsia="Arial" w:hAnsi="Arial"/>
                <w:sz w:val="18"/>
                <w:szCs w:val="18"/>
                <w:color w:val="auto"/>
              </w:rPr>
              <w:t>15</w:t>
            </w:r>
          </w:p>
        </w:tc>
        <w:tc>
          <w:tcPr>
            <w:tcW w:w="7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341,</w:t>
            </w:r>
          </w:p>
        </w:tc>
      </w:tr>
      <w:tr>
        <w:trPr>
          <w:trHeight w:val="314"/>
        </w:trPr>
        <w:tc>
          <w:tcPr>
            <w:tcW w:w="3800" w:type="dxa"/>
            <w:vAlign w:val="bottom"/>
            <w:shd w:val="clear" w:color="auto" w:fill="D9D9D9"/>
          </w:tcPr>
          <w:p>
            <w:pPr>
              <w:spacing w:after="0"/>
              <w:rPr>
                <w:sz w:val="20"/>
                <w:szCs w:val="20"/>
                <w:color w:val="auto"/>
              </w:rPr>
            </w:pPr>
            <w:r>
              <w:rPr>
                <w:rFonts w:ascii="Arial" w:cs="Arial" w:eastAsia="Arial" w:hAnsi="Arial"/>
                <w:sz w:val="18"/>
                <w:szCs w:val="18"/>
                <w:color w:val="auto"/>
              </w:rPr>
              <w:t>Total assets</w:t>
            </w:r>
          </w:p>
        </w:tc>
        <w:tc>
          <w:tcPr>
            <w:tcW w:w="1660" w:type="dxa"/>
            <w:vAlign w:val="bottom"/>
            <w:shd w:val="clear" w:color="auto" w:fill="D9D9D9"/>
          </w:tcPr>
          <w:p>
            <w:pPr>
              <w:jc w:val="right"/>
              <w:ind w:right="230"/>
              <w:spacing w:after="0"/>
              <w:rPr>
                <w:sz w:val="20"/>
                <w:szCs w:val="20"/>
                <w:color w:val="auto"/>
              </w:rPr>
            </w:pPr>
            <w:r>
              <w:rPr>
                <w:rFonts w:ascii="Arial" w:cs="Arial" w:eastAsia="Arial" w:hAnsi="Arial"/>
                <w:sz w:val="18"/>
                <w:szCs w:val="18"/>
                <w:color w:val="auto"/>
              </w:rPr>
              <w:t>409,762</w:t>
            </w:r>
          </w:p>
        </w:tc>
        <w:tc>
          <w:tcPr>
            <w:tcW w:w="1320" w:type="dxa"/>
            <w:vAlign w:val="bottom"/>
            <w:shd w:val="clear" w:color="auto" w:fill="D9D9D9"/>
          </w:tcPr>
          <w:p>
            <w:pPr>
              <w:jc w:val="right"/>
              <w:ind w:right="190"/>
              <w:spacing w:after="0"/>
              <w:rPr>
                <w:sz w:val="20"/>
                <w:szCs w:val="20"/>
                <w:color w:val="auto"/>
              </w:rPr>
            </w:pPr>
            <w:r>
              <w:rPr>
                <w:rFonts w:ascii="Arial" w:cs="Arial" w:eastAsia="Arial" w:hAnsi="Arial"/>
                <w:sz w:val="18"/>
                <w:szCs w:val="18"/>
                <w:color w:val="auto"/>
              </w:rPr>
              <w:t>606,805</w:t>
            </w:r>
          </w:p>
        </w:tc>
        <w:tc>
          <w:tcPr>
            <w:tcW w:w="1360" w:type="dxa"/>
            <w:vAlign w:val="bottom"/>
            <w:shd w:val="clear" w:color="auto" w:fill="D9D9D9"/>
          </w:tcPr>
          <w:p>
            <w:pPr>
              <w:jc w:val="right"/>
              <w:ind w:right="210"/>
              <w:spacing w:after="0"/>
              <w:rPr>
                <w:sz w:val="20"/>
                <w:szCs w:val="20"/>
                <w:color w:val="auto"/>
              </w:rPr>
            </w:pPr>
            <w:r>
              <w:rPr>
                <w:rFonts w:ascii="Arial" w:cs="Arial" w:eastAsia="Arial" w:hAnsi="Arial"/>
                <w:sz w:val="18"/>
                <w:szCs w:val="18"/>
                <w:color w:val="auto"/>
              </w:rPr>
              <w:t>83,213</w:t>
            </w:r>
          </w:p>
        </w:tc>
        <w:tc>
          <w:tcPr>
            <w:tcW w:w="7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1,099,</w:t>
            </w:r>
          </w:p>
        </w:tc>
      </w:tr>
      <w:tr>
        <w:trPr>
          <w:trHeight w:val="45"/>
        </w:trPr>
        <w:tc>
          <w:tcPr>
            <w:tcW w:w="3800" w:type="dxa"/>
            <w:vAlign w:val="bottom"/>
            <w:shd w:val="clear" w:color="auto" w:fill="D9D9D9"/>
          </w:tcPr>
          <w:p>
            <w:pPr>
              <w:spacing w:after="0"/>
              <w:rPr>
                <w:sz w:val="3"/>
                <w:szCs w:val="3"/>
                <w:color w:val="auto"/>
              </w:rPr>
            </w:pPr>
          </w:p>
        </w:tc>
        <w:tc>
          <w:tcPr>
            <w:tcW w:w="1660" w:type="dxa"/>
            <w:vAlign w:val="bottom"/>
            <w:shd w:val="clear" w:color="auto" w:fill="D9D9D9"/>
          </w:tcPr>
          <w:p>
            <w:pPr>
              <w:spacing w:after="0"/>
              <w:rPr>
                <w:sz w:val="3"/>
                <w:szCs w:val="3"/>
                <w:color w:val="auto"/>
              </w:rPr>
            </w:pPr>
          </w:p>
        </w:tc>
        <w:tc>
          <w:tcPr>
            <w:tcW w:w="1320" w:type="dxa"/>
            <w:vAlign w:val="bottom"/>
            <w:shd w:val="clear" w:color="auto" w:fill="D9D9D9"/>
          </w:tcPr>
          <w:p>
            <w:pPr>
              <w:spacing w:after="0"/>
              <w:rPr>
                <w:sz w:val="3"/>
                <w:szCs w:val="3"/>
                <w:color w:val="auto"/>
              </w:rPr>
            </w:pPr>
          </w:p>
        </w:tc>
        <w:tc>
          <w:tcPr>
            <w:tcW w:w="1360" w:type="dxa"/>
            <w:vAlign w:val="bottom"/>
            <w:shd w:val="clear" w:color="auto" w:fill="D9D9D9"/>
          </w:tcPr>
          <w:p>
            <w:pPr>
              <w:spacing w:after="0"/>
              <w:rPr>
                <w:sz w:val="3"/>
                <w:szCs w:val="3"/>
                <w:color w:val="auto"/>
              </w:rPr>
            </w:pPr>
          </w:p>
        </w:tc>
        <w:tc>
          <w:tcPr>
            <w:tcW w:w="700" w:type="dxa"/>
            <w:vAlign w:val="bottom"/>
            <w:shd w:val="clear" w:color="auto" w:fill="D9D9D9"/>
          </w:tcPr>
          <w:p>
            <w:pPr>
              <w:spacing w:after="0"/>
              <w:rPr>
                <w:sz w:val="3"/>
                <w:szCs w:val="3"/>
                <w:color w:val="auto"/>
              </w:rPr>
            </w:pPr>
          </w:p>
        </w:tc>
      </w:tr>
      <w:tr>
        <w:trPr>
          <w:trHeight w:val="278"/>
        </w:trPr>
        <w:tc>
          <w:tcPr>
            <w:tcW w:w="3800" w:type="dxa"/>
            <w:vAlign w:val="bottom"/>
            <w:shd w:val="clear" w:color="auto" w:fill="D9D9D9"/>
          </w:tcPr>
          <w:p>
            <w:pPr>
              <w:spacing w:after="0"/>
              <w:rPr>
                <w:sz w:val="20"/>
                <w:szCs w:val="20"/>
                <w:color w:val="auto"/>
              </w:rPr>
            </w:pPr>
            <w:r>
              <w:rPr>
                <w:rFonts w:ascii="Arial" w:cs="Arial" w:eastAsia="Arial" w:hAnsi="Arial"/>
                <w:sz w:val="18"/>
                <w:szCs w:val="18"/>
                <w:color w:val="auto"/>
              </w:rPr>
              <w:t>Total liabilities</w:t>
            </w:r>
          </w:p>
        </w:tc>
        <w:tc>
          <w:tcPr>
            <w:tcW w:w="1660" w:type="dxa"/>
            <w:vAlign w:val="bottom"/>
            <w:shd w:val="clear" w:color="auto" w:fill="D9D9D9"/>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9D9D9"/>
          </w:tcPr>
          <w:p>
            <w:pPr>
              <w:jc w:val="right"/>
              <w:ind w:right="110"/>
              <w:spacing w:after="0"/>
              <w:rPr>
                <w:sz w:val="20"/>
                <w:szCs w:val="20"/>
                <w:color w:val="auto"/>
              </w:rPr>
            </w:pPr>
            <w:r>
              <w:rPr>
                <w:rFonts w:ascii="Arial" w:cs="Arial" w:eastAsia="Arial" w:hAnsi="Arial"/>
                <w:sz w:val="18"/>
                <w:szCs w:val="18"/>
                <w:color w:val="auto"/>
              </w:rPr>
              <w:t>(14,869)</w:t>
            </w:r>
          </w:p>
        </w:tc>
        <w:tc>
          <w:tcPr>
            <w:tcW w:w="1360" w:type="dxa"/>
            <w:vAlign w:val="bottom"/>
            <w:shd w:val="clear" w:color="auto" w:fill="D9D9D9"/>
          </w:tcPr>
          <w:p>
            <w:pPr>
              <w:jc w:val="right"/>
              <w:ind w:right="150"/>
              <w:spacing w:after="0"/>
              <w:rPr>
                <w:sz w:val="20"/>
                <w:szCs w:val="20"/>
                <w:color w:val="auto"/>
              </w:rPr>
            </w:pPr>
            <w:r>
              <w:rPr>
                <w:rFonts w:ascii="Arial" w:cs="Arial" w:eastAsia="Arial" w:hAnsi="Arial"/>
                <w:sz w:val="18"/>
                <w:szCs w:val="18"/>
                <w:color w:val="auto"/>
              </w:rPr>
              <w:t>(267,978)</w:t>
            </w:r>
          </w:p>
        </w:tc>
        <w:tc>
          <w:tcPr>
            <w:tcW w:w="7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(282,</w:t>
            </w:r>
          </w:p>
        </w:tc>
      </w:tr>
      <w:tr>
        <w:trPr>
          <w:trHeight w:val="296"/>
        </w:trPr>
        <w:tc>
          <w:tcPr>
            <w:tcW w:w="3800" w:type="dxa"/>
            <w:vAlign w:val="bottom"/>
            <w:shd w:val="clear" w:color="auto" w:fill="D9D9D9"/>
          </w:tcPr>
          <w:p>
            <w:pPr>
              <w:spacing w:after="0"/>
              <w:rPr>
                <w:sz w:val="20"/>
                <w:szCs w:val="20"/>
                <w:color w:val="auto"/>
              </w:rPr>
            </w:pPr>
            <w:r>
              <w:rPr>
                <w:rFonts w:ascii="Arial" w:cs="Arial" w:eastAsia="Arial" w:hAnsi="Arial"/>
                <w:sz w:val="18"/>
                <w:szCs w:val="18"/>
                <w:b w:val="1"/>
                <w:bCs w:val="1"/>
                <w:i w:val="1"/>
                <w:iCs w:val="1"/>
                <w:color w:val="auto"/>
              </w:rPr>
              <w:t>For the year ended December 31, 2025</w:t>
            </w:r>
          </w:p>
        </w:tc>
        <w:tc>
          <w:tcPr>
            <w:tcW w:w="1660" w:type="dxa"/>
            <w:vAlign w:val="bottom"/>
            <w:shd w:val="clear" w:color="auto" w:fill="D9D9D9"/>
          </w:tcPr>
          <w:p>
            <w:pPr>
              <w:spacing w:after="0"/>
              <w:rPr>
                <w:sz w:val="24"/>
                <w:szCs w:val="24"/>
                <w:color w:val="auto"/>
              </w:rPr>
            </w:pPr>
          </w:p>
        </w:tc>
        <w:tc>
          <w:tcPr>
            <w:tcW w:w="1320" w:type="dxa"/>
            <w:vAlign w:val="bottom"/>
            <w:shd w:val="clear" w:color="auto" w:fill="D9D9D9"/>
          </w:tcPr>
          <w:p>
            <w:pPr>
              <w:spacing w:after="0"/>
              <w:rPr>
                <w:sz w:val="24"/>
                <w:szCs w:val="24"/>
                <w:color w:val="auto"/>
              </w:rPr>
            </w:pPr>
          </w:p>
        </w:tc>
        <w:tc>
          <w:tcPr>
            <w:tcW w:w="136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r>
      <w:tr>
        <w:trPr>
          <w:trHeight w:val="36"/>
        </w:trPr>
        <w:tc>
          <w:tcPr>
            <w:tcW w:w="3800" w:type="dxa"/>
            <w:vAlign w:val="bottom"/>
            <w:shd w:val="clear" w:color="auto" w:fill="D9D9D9"/>
          </w:tcPr>
          <w:p>
            <w:pPr>
              <w:spacing w:after="0"/>
              <w:rPr>
                <w:sz w:val="3"/>
                <w:szCs w:val="3"/>
                <w:color w:val="auto"/>
              </w:rPr>
            </w:pPr>
          </w:p>
        </w:tc>
        <w:tc>
          <w:tcPr>
            <w:tcW w:w="1660" w:type="dxa"/>
            <w:vAlign w:val="bottom"/>
            <w:shd w:val="clear" w:color="auto" w:fill="D9D9D9"/>
          </w:tcPr>
          <w:p>
            <w:pPr>
              <w:spacing w:after="0"/>
              <w:rPr>
                <w:sz w:val="3"/>
                <w:szCs w:val="3"/>
                <w:color w:val="auto"/>
              </w:rPr>
            </w:pPr>
          </w:p>
        </w:tc>
        <w:tc>
          <w:tcPr>
            <w:tcW w:w="1320" w:type="dxa"/>
            <w:vAlign w:val="bottom"/>
            <w:shd w:val="clear" w:color="auto" w:fill="D9D9D9"/>
          </w:tcPr>
          <w:p>
            <w:pPr>
              <w:spacing w:after="0"/>
              <w:rPr>
                <w:sz w:val="3"/>
                <w:szCs w:val="3"/>
                <w:color w:val="auto"/>
              </w:rPr>
            </w:pPr>
          </w:p>
        </w:tc>
        <w:tc>
          <w:tcPr>
            <w:tcW w:w="1360" w:type="dxa"/>
            <w:vAlign w:val="bottom"/>
            <w:shd w:val="clear" w:color="auto" w:fill="D9D9D9"/>
          </w:tcPr>
          <w:p>
            <w:pPr>
              <w:spacing w:after="0"/>
              <w:rPr>
                <w:sz w:val="3"/>
                <w:szCs w:val="3"/>
                <w:color w:val="auto"/>
              </w:rPr>
            </w:pPr>
          </w:p>
        </w:tc>
        <w:tc>
          <w:tcPr>
            <w:tcW w:w="700" w:type="dxa"/>
            <w:vAlign w:val="bottom"/>
            <w:shd w:val="clear" w:color="auto" w:fill="D9D9D9"/>
          </w:tcPr>
          <w:p>
            <w:pPr>
              <w:spacing w:after="0"/>
              <w:rPr>
                <w:sz w:val="3"/>
                <w:szCs w:val="3"/>
                <w:color w:val="auto"/>
              </w:rPr>
            </w:pPr>
          </w:p>
        </w:tc>
      </w:tr>
      <w:tr>
        <w:trPr>
          <w:trHeight w:val="270"/>
        </w:trPr>
        <w:tc>
          <w:tcPr>
            <w:tcW w:w="3800" w:type="dxa"/>
            <w:vAlign w:val="bottom"/>
            <w:shd w:val="clear" w:color="auto" w:fill="D9D9D9"/>
          </w:tcPr>
          <w:p>
            <w:pPr>
              <w:spacing w:after="0"/>
              <w:rPr>
                <w:sz w:val="20"/>
                <w:szCs w:val="20"/>
                <w:color w:val="auto"/>
              </w:rPr>
            </w:pPr>
            <w:r>
              <w:rPr>
                <w:rFonts w:ascii="Arial" w:cs="Arial" w:eastAsia="Arial" w:hAnsi="Arial"/>
                <w:sz w:val="18"/>
                <w:szCs w:val="18"/>
                <w:color w:val="auto"/>
              </w:rPr>
              <w:t>Property, plant and equipment additions</w:t>
            </w:r>
          </w:p>
        </w:tc>
        <w:tc>
          <w:tcPr>
            <w:tcW w:w="1660" w:type="dxa"/>
            <w:vAlign w:val="bottom"/>
            <w:shd w:val="clear" w:color="auto" w:fill="D9D9D9"/>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9D9D9"/>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9D9D9"/>
          </w:tcPr>
          <w:p>
            <w:pPr>
              <w:jc w:val="right"/>
              <w:ind w:right="210"/>
              <w:spacing w:after="0"/>
              <w:rPr>
                <w:sz w:val="20"/>
                <w:szCs w:val="20"/>
                <w:color w:val="auto"/>
              </w:rPr>
            </w:pPr>
            <w:r>
              <w:rPr>
                <w:rFonts w:ascii="Arial" w:cs="Arial" w:eastAsia="Arial" w:hAnsi="Arial"/>
                <w:sz w:val="18"/>
                <w:szCs w:val="18"/>
                <w:color w:val="auto"/>
              </w:rPr>
              <w:t>875</w:t>
            </w:r>
          </w:p>
        </w:tc>
        <w:tc>
          <w:tcPr>
            <w:tcW w:w="700" w:type="dxa"/>
            <w:vAlign w:val="bottom"/>
            <w:shd w:val="clear" w:color="auto" w:fill="D9D9D9"/>
          </w:tcPr>
          <w:p>
            <w:pPr>
              <w:spacing w:after="0"/>
              <w:rPr>
                <w:sz w:val="23"/>
                <w:szCs w:val="23"/>
                <w:color w:val="auto"/>
              </w:rPr>
            </w:pPr>
          </w:p>
        </w:tc>
      </w:tr>
      <w:tr>
        <w:trPr>
          <w:trHeight w:val="45"/>
        </w:trPr>
        <w:tc>
          <w:tcPr>
            <w:tcW w:w="3800" w:type="dxa"/>
            <w:vAlign w:val="bottom"/>
            <w:shd w:val="clear" w:color="auto" w:fill="D9D9D9"/>
          </w:tcPr>
          <w:p>
            <w:pPr>
              <w:spacing w:after="0"/>
              <w:rPr>
                <w:sz w:val="3"/>
                <w:szCs w:val="3"/>
                <w:color w:val="auto"/>
              </w:rPr>
            </w:pPr>
          </w:p>
        </w:tc>
        <w:tc>
          <w:tcPr>
            <w:tcW w:w="1660" w:type="dxa"/>
            <w:vAlign w:val="bottom"/>
            <w:shd w:val="clear" w:color="auto" w:fill="D9D9D9"/>
          </w:tcPr>
          <w:p>
            <w:pPr>
              <w:spacing w:after="0"/>
              <w:rPr>
                <w:sz w:val="3"/>
                <w:szCs w:val="3"/>
                <w:color w:val="auto"/>
              </w:rPr>
            </w:pPr>
          </w:p>
        </w:tc>
        <w:tc>
          <w:tcPr>
            <w:tcW w:w="1320" w:type="dxa"/>
            <w:vAlign w:val="bottom"/>
            <w:shd w:val="clear" w:color="auto" w:fill="D9D9D9"/>
          </w:tcPr>
          <w:p>
            <w:pPr>
              <w:spacing w:after="0"/>
              <w:rPr>
                <w:sz w:val="3"/>
                <w:szCs w:val="3"/>
                <w:color w:val="auto"/>
              </w:rPr>
            </w:pPr>
          </w:p>
        </w:tc>
        <w:tc>
          <w:tcPr>
            <w:tcW w:w="1360" w:type="dxa"/>
            <w:vAlign w:val="bottom"/>
            <w:shd w:val="clear" w:color="auto" w:fill="D9D9D9"/>
          </w:tcPr>
          <w:p>
            <w:pPr>
              <w:spacing w:after="0"/>
              <w:rPr>
                <w:sz w:val="3"/>
                <w:szCs w:val="3"/>
                <w:color w:val="auto"/>
              </w:rPr>
            </w:pPr>
          </w:p>
        </w:tc>
        <w:tc>
          <w:tcPr>
            <w:tcW w:w="700" w:type="dxa"/>
            <w:vAlign w:val="bottom"/>
            <w:shd w:val="clear" w:color="auto" w:fill="D9D9D9"/>
          </w:tcPr>
          <w:p>
            <w:pPr>
              <w:spacing w:after="0"/>
              <w:rPr>
                <w:sz w:val="3"/>
                <w:szCs w:val="3"/>
                <w:color w:val="auto"/>
              </w:rPr>
            </w:pPr>
          </w:p>
        </w:tc>
      </w:tr>
      <w:tr>
        <w:trPr>
          <w:trHeight w:val="278"/>
        </w:trPr>
        <w:tc>
          <w:tcPr>
            <w:tcW w:w="3800" w:type="dxa"/>
            <w:vAlign w:val="bottom"/>
            <w:shd w:val="clear" w:color="auto" w:fill="D9D9D9"/>
          </w:tcPr>
          <w:p>
            <w:pPr>
              <w:spacing w:after="0"/>
              <w:rPr>
                <w:sz w:val="20"/>
                <w:szCs w:val="20"/>
                <w:color w:val="auto"/>
              </w:rPr>
            </w:pPr>
            <w:r>
              <w:rPr>
                <w:rFonts w:ascii="Arial" w:cs="Arial" w:eastAsia="Arial" w:hAnsi="Arial"/>
                <w:sz w:val="18"/>
                <w:szCs w:val="18"/>
                <w:color w:val="auto"/>
              </w:rPr>
              <w:t>Loss</w:t>
            </w:r>
          </w:p>
        </w:tc>
        <w:tc>
          <w:tcPr>
            <w:tcW w:w="1660" w:type="dxa"/>
            <w:vAlign w:val="bottom"/>
            <w:shd w:val="clear" w:color="auto" w:fill="D9D9D9"/>
          </w:tcPr>
          <w:p>
            <w:pPr>
              <w:jc w:val="right"/>
              <w:ind w:right="150"/>
              <w:spacing w:after="0"/>
              <w:rPr>
                <w:sz w:val="20"/>
                <w:szCs w:val="20"/>
                <w:color w:val="auto"/>
              </w:rPr>
            </w:pPr>
            <w:r>
              <w:rPr>
                <w:rFonts w:ascii="Arial" w:cs="Arial" w:eastAsia="Arial" w:hAnsi="Arial"/>
                <w:sz w:val="18"/>
                <w:szCs w:val="18"/>
                <w:color w:val="auto"/>
              </w:rPr>
              <w:t>(39,766)</w:t>
            </w:r>
          </w:p>
        </w:tc>
        <w:tc>
          <w:tcPr>
            <w:tcW w:w="1320" w:type="dxa"/>
            <w:vAlign w:val="bottom"/>
            <w:shd w:val="clear" w:color="auto" w:fill="D9D9D9"/>
          </w:tcPr>
          <w:p>
            <w:pPr>
              <w:jc w:val="right"/>
              <w:ind w:right="110"/>
              <w:spacing w:after="0"/>
              <w:rPr>
                <w:sz w:val="20"/>
                <w:szCs w:val="20"/>
                <w:color w:val="auto"/>
              </w:rPr>
            </w:pPr>
            <w:r>
              <w:rPr>
                <w:rFonts w:ascii="Arial" w:cs="Arial" w:eastAsia="Arial" w:hAnsi="Arial"/>
                <w:sz w:val="18"/>
                <w:szCs w:val="18"/>
                <w:color w:val="auto"/>
              </w:rPr>
              <w:t>(5,564)</w:t>
            </w:r>
          </w:p>
        </w:tc>
        <w:tc>
          <w:tcPr>
            <w:tcW w:w="1360" w:type="dxa"/>
            <w:vAlign w:val="bottom"/>
            <w:shd w:val="clear" w:color="auto" w:fill="D9D9D9"/>
          </w:tcPr>
          <w:p>
            <w:pPr>
              <w:jc w:val="right"/>
              <w:ind w:right="150"/>
              <w:spacing w:after="0"/>
              <w:rPr>
                <w:sz w:val="20"/>
                <w:szCs w:val="20"/>
                <w:color w:val="auto"/>
              </w:rPr>
            </w:pPr>
            <w:r>
              <w:rPr>
                <w:rFonts w:ascii="Arial" w:cs="Arial" w:eastAsia="Arial" w:hAnsi="Arial"/>
                <w:sz w:val="18"/>
                <w:szCs w:val="18"/>
                <w:color w:val="auto"/>
              </w:rPr>
              <w:t>(31,550)</w:t>
            </w:r>
          </w:p>
        </w:tc>
        <w:tc>
          <w:tcPr>
            <w:tcW w:w="7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(76,</w:t>
            </w:r>
          </w:p>
        </w:tc>
      </w:tr>
      <w:tr>
        <w:trPr>
          <w:trHeight w:val="36"/>
        </w:trPr>
        <w:tc>
          <w:tcPr>
            <w:tcW w:w="3800" w:type="dxa"/>
            <w:vAlign w:val="bottom"/>
            <w:shd w:val="clear" w:color="auto" w:fill="D9D9D9"/>
          </w:tcPr>
          <w:p>
            <w:pPr>
              <w:spacing w:after="0"/>
              <w:rPr>
                <w:sz w:val="3"/>
                <w:szCs w:val="3"/>
                <w:color w:val="auto"/>
              </w:rPr>
            </w:pPr>
          </w:p>
        </w:tc>
        <w:tc>
          <w:tcPr>
            <w:tcW w:w="1660" w:type="dxa"/>
            <w:vAlign w:val="bottom"/>
            <w:shd w:val="clear" w:color="auto" w:fill="D9D9D9"/>
          </w:tcPr>
          <w:p>
            <w:pPr>
              <w:spacing w:after="0"/>
              <w:rPr>
                <w:sz w:val="3"/>
                <w:szCs w:val="3"/>
                <w:color w:val="auto"/>
              </w:rPr>
            </w:pPr>
          </w:p>
        </w:tc>
        <w:tc>
          <w:tcPr>
            <w:tcW w:w="1320" w:type="dxa"/>
            <w:vAlign w:val="bottom"/>
            <w:shd w:val="clear" w:color="auto" w:fill="D9D9D9"/>
          </w:tcPr>
          <w:p>
            <w:pPr>
              <w:spacing w:after="0"/>
              <w:rPr>
                <w:sz w:val="3"/>
                <w:szCs w:val="3"/>
                <w:color w:val="auto"/>
              </w:rPr>
            </w:pPr>
          </w:p>
        </w:tc>
        <w:tc>
          <w:tcPr>
            <w:tcW w:w="1360" w:type="dxa"/>
            <w:vAlign w:val="bottom"/>
            <w:shd w:val="clear" w:color="auto" w:fill="D9D9D9"/>
          </w:tcPr>
          <w:p>
            <w:pPr>
              <w:spacing w:after="0"/>
              <w:rPr>
                <w:sz w:val="3"/>
                <w:szCs w:val="3"/>
                <w:color w:val="auto"/>
              </w:rPr>
            </w:pPr>
          </w:p>
        </w:tc>
        <w:tc>
          <w:tcPr>
            <w:tcW w:w="700" w:type="dxa"/>
            <w:vAlign w:val="bottom"/>
            <w:shd w:val="clear" w:color="auto" w:fill="D9D9D9"/>
          </w:tcPr>
          <w:p>
            <w:pPr>
              <w:spacing w:after="0"/>
              <w:rPr>
                <w:sz w:val="3"/>
                <w:szCs w:val="3"/>
                <w:color w:val="auto"/>
              </w:rPr>
            </w:pPr>
          </w:p>
        </w:tc>
      </w:tr>
      <w:tr>
        <w:trPr>
          <w:trHeight w:val="278"/>
        </w:trPr>
        <w:tc>
          <w:tcPr>
            <w:tcW w:w="3800" w:type="dxa"/>
            <w:vAlign w:val="bottom"/>
            <w:shd w:val="clear" w:color="auto" w:fill="D9D9D9"/>
          </w:tcPr>
          <w:p>
            <w:pPr>
              <w:spacing w:after="0"/>
              <w:rPr>
                <w:sz w:val="20"/>
                <w:szCs w:val="20"/>
                <w:color w:val="auto"/>
              </w:rPr>
            </w:pPr>
            <w:r>
              <w:rPr>
                <w:rFonts w:ascii="Arial" w:cs="Arial" w:eastAsia="Arial" w:hAnsi="Arial"/>
                <w:sz w:val="18"/>
                <w:szCs w:val="18"/>
                <w:color w:val="auto"/>
              </w:rPr>
              <w:t>Exploration expenditures</w:t>
            </w:r>
          </w:p>
        </w:tc>
        <w:tc>
          <w:tcPr>
            <w:tcW w:w="1660" w:type="dxa"/>
            <w:vAlign w:val="bottom"/>
            <w:shd w:val="clear" w:color="auto" w:fill="D9D9D9"/>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9D9D9"/>
          </w:tcPr>
          <w:p>
            <w:pPr>
              <w:jc w:val="right"/>
              <w:ind w:right="110"/>
              <w:spacing w:after="0"/>
              <w:rPr>
                <w:sz w:val="20"/>
                <w:szCs w:val="20"/>
                <w:color w:val="auto"/>
              </w:rPr>
            </w:pPr>
            <w:r>
              <w:rPr>
                <w:rFonts w:ascii="Arial" w:cs="Arial" w:eastAsia="Arial" w:hAnsi="Arial"/>
                <w:sz w:val="18"/>
                <w:szCs w:val="18"/>
                <w:color w:val="auto"/>
              </w:rPr>
              <w:t>(6,333)</w:t>
            </w:r>
          </w:p>
        </w:tc>
        <w:tc>
          <w:tcPr>
            <w:tcW w:w="1360" w:type="dxa"/>
            <w:vAlign w:val="bottom"/>
            <w:shd w:val="clear" w:color="auto" w:fill="D9D9D9"/>
          </w:tcPr>
          <w:p>
            <w:pPr>
              <w:jc w:val="right"/>
              <w:ind w:right="150"/>
              <w:spacing w:after="0"/>
              <w:rPr>
                <w:sz w:val="20"/>
                <w:szCs w:val="20"/>
                <w:color w:val="auto"/>
              </w:rPr>
            </w:pPr>
            <w:r>
              <w:rPr>
                <w:rFonts w:ascii="Arial" w:cs="Arial" w:eastAsia="Arial" w:hAnsi="Arial"/>
                <w:sz w:val="18"/>
                <w:szCs w:val="18"/>
                <w:color w:val="auto"/>
              </w:rPr>
              <w:t>(356)</w:t>
            </w:r>
          </w:p>
        </w:tc>
        <w:tc>
          <w:tcPr>
            <w:tcW w:w="7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(6,</w:t>
            </w:r>
          </w:p>
        </w:tc>
      </w:tr>
      <w:tr>
        <w:trPr>
          <w:trHeight w:val="36"/>
        </w:trPr>
        <w:tc>
          <w:tcPr>
            <w:tcW w:w="3800" w:type="dxa"/>
            <w:vAlign w:val="bottom"/>
            <w:shd w:val="clear" w:color="auto" w:fill="D9D9D9"/>
          </w:tcPr>
          <w:p>
            <w:pPr>
              <w:spacing w:after="0"/>
              <w:rPr>
                <w:sz w:val="3"/>
                <w:szCs w:val="3"/>
                <w:color w:val="auto"/>
              </w:rPr>
            </w:pPr>
          </w:p>
        </w:tc>
        <w:tc>
          <w:tcPr>
            <w:tcW w:w="1660" w:type="dxa"/>
            <w:vAlign w:val="bottom"/>
            <w:shd w:val="clear" w:color="auto" w:fill="D9D9D9"/>
          </w:tcPr>
          <w:p>
            <w:pPr>
              <w:spacing w:after="0"/>
              <w:rPr>
                <w:sz w:val="3"/>
                <w:szCs w:val="3"/>
                <w:color w:val="auto"/>
              </w:rPr>
            </w:pPr>
          </w:p>
        </w:tc>
        <w:tc>
          <w:tcPr>
            <w:tcW w:w="1320" w:type="dxa"/>
            <w:vAlign w:val="bottom"/>
            <w:shd w:val="clear" w:color="auto" w:fill="D9D9D9"/>
          </w:tcPr>
          <w:p>
            <w:pPr>
              <w:spacing w:after="0"/>
              <w:rPr>
                <w:sz w:val="3"/>
                <w:szCs w:val="3"/>
                <w:color w:val="auto"/>
              </w:rPr>
            </w:pPr>
          </w:p>
        </w:tc>
        <w:tc>
          <w:tcPr>
            <w:tcW w:w="1360" w:type="dxa"/>
            <w:vAlign w:val="bottom"/>
            <w:shd w:val="clear" w:color="auto" w:fill="D9D9D9"/>
          </w:tcPr>
          <w:p>
            <w:pPr>
              <w:spacing w:after="0"/>
              <w:rPr>
                <w:sz w:val="3"/>
                <w:szCs w:val="3"/>
                <w:color w:val="auto"/>
              </w:rPr>
            </w:pPr>
          </w:p>
        </w:tc>
        <w:tc>
          <w:tcPr>
            <w:tcW w:w="700" w:type="dxa"/>
            <w:vAlign w:val="bottom"/>
            <w:shd w:val="clear" w:color="auto" w:fill="D9D9D9"/>
          </w:tcPr>
          <w:p>
            <w:pPr>
              <w:spacing w:after="0"/>
              <w:rPr>
                <w:sz w:val="3"/>
                <w:szCs w:val="3"/>
                <w:color w:val="auto"/>
              </w:rPr>
            </w:pPr>
          </w:p>
        </w:tc>
      </w:tr>
      <w:tr>
        <w:trPr>
          <w:trHeight w:val="278"/>
        </w:trPr>
        <w:tc>
          <w:tcPr>
            <w:tcW w:w="3800" w:type="dxa"/>
            <w:vAlign w:val="bottom"/>
            <w:shd w:val="clear" w:color="auto" w:fill="D9D9D9"/>
          </w:tcPr>
          <w:p>
            <w:pPr>
              <w:spacing w:after="0"/>
              <w:rPr>
                <w:sz w:val="20"/>
                <w:szCs w:val="20"/>
                <w:color w:val="auto"/>
              </w:rPr>
            </w:pPr>
            <w:r>
              <w:rPr>
                <w:rFonts w:ascii="Arial" w:cs="Arial" w:eastAsia="Arial" w:hAnsi="Arial"/>
                <w:sz w:val="18"/>
                <w:szCs w:val="18"/>
                <w:color w:val="auto"/>
              </w:rPr>
              <w:t>Depreciation</w:t>
            </w:r>
          </w:p>
        </w:tc>
        <w:tc>
          <w:tcPr>
            <w:tcW w:w="1660" w:type="dxa"/>
            <w:vAlign w:val="bottom"/>
            <w:shd w:val="clear" w:color="auto" w:fill="D9D9D9"/>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9D9D9"/>
          </w:tcPr>
          <w:p>
            <w:pPr>
              <w:jc w:val="right"/>
              <w:ind w:right="110"/>
              <w:spacing w:after="0"/>
              <w:rPr>
                <w:sz w:val="20"/>
                <w:szCs w:val="20"/>
                <w:color w:val="auto"/>
              </w:rPr>
            </w:pPr>
            <w:r>
              <w:rPr>
                <w:rFonts w:ascii="Arial" w:cs="Arial" w:eastAsia="Arial" w:hAnsi="Arial"/>
                <w:sz w:val="18"/>
                <w:szCs w:val="18"/>
                <w:color w:val="auto"/>
              </w:rPr>
              <w:t>(140)</w:t>
            </w:r>
          </w:p>
        </w:tc>
        <w:tc>
          <w:tcPr>
            <w:tcW w:w="1360" w:type="dxa"/>
            <w:vAlign w:val="bottom"/>
            <w:shd w:val="clear" w:color="auto" w:fill="D9D9D9"/>
          </w:tcPr>
          <w:p>
            <w:pPr>
              <w:jc w:val="right"/>
              <w:ind w:right="150"/>
              <w:spacing w:after="0"/>
              <w:rPr>
                <w:sz w:val="20"/>
                <w:szCs w:val="20"/>
                <w:color w:val="auto"/>
              </w:rPr>
            </w:pPr>
            <w:r>
              <w:rPr>
                <w:rFonts w:ascii="Arial" w:cs="Arial" w:eastAsia="Arial" w:hAnsi="Arial"/>
                <w:sz w:val="18"/>
                <w:szCs w:val="18"/>
                <w:color w:val="auto"/>
              </w:rPr>
              <w:t>(349)</w:t>
            </w:r>
          </w:p>
        </w:tc>
        <w:tc>
          <w:tcPr>
            <w:tcW w:w="7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r>
      <w:tr>
        <w:trPr>
          <w:trHeight w:val="314"/>
        </w:trPr>
        <w:tc>
          <w:tcPr>
            <w:tcW w:w="3800" w:type="dxa"/>
            <w:vAlign w:val="bottom"/>
            <w:shd w:val="clear" w:color="auto" w:fill="D9D9D9"/>
          </w:tcPr>
          <w:p>
            <w:pPr>
              <w:spacing w:after="0"/>
              <w:rPr>
                <w:sz w:val="20"/>
                <w:szCs w:val="20"/>
                <w:color w:val="auto"/>
              </w:rPr>
            </w:pPr>
            <w:r>
              <w:rPr>
                <w:rFonts w:ascii="Arial" w:cs="Arial" w:eastAsia="Arial" w:hAnsi="Arial"/>
                <w:sz w:val="18"/>
                <w:szCs w:val="18"/>
                <w:color w:val="auto"/>
              </w:rPr>
              <w:t>Interest expense</w:t>
            </w:r>
          </w:p>
        </w:tc>
        <w:tc>
          <w:tcPr>
            <w:tcW w:w="1660" w:type="dxa"/>
            <w:vAlign w:val="bottom"/>
            <w:shd w:val="clear" w:color="auto" w:fill="D9D9D9"/>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9D9D9"/>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9D9D9"/>
          </w:tcPr>
          <w:p>
            <w:pPr>
              <w:jc w:val="right"/>
              <w:ind w:right="150"/>
              <w:spacing w:after="0"/>
              <w:rPr>
                <w:sz w:val="20"/>
                <w:szCs w:val="20"/>
                <w:color w:val="auto"/>
              </w:rPr>
            </w:pPr>
            <w:r>
              <w:rPr>
                <w:rFonts w:ascii="Arial" w:cs="Arial" w:eastAsia="Arial" w:hAnsi="Arial"/>
                <w:sz w:val="18"/>
                <w:szCs w:val="18"/>
                <w:color w:val="auto"/>
              </w:rPr>
              <w:t>(27,837)</w:t>
            </w:r>
          </w:p>
        </w:tc>
        <w:tc>
          <w:tcPr>
            <w:tcW w:w="7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(27,</w:t>
            </w:r>
          </w:p>
        </w:tc>
      </w:tr>
      <w:tr>
        <w:trPr>
          <w:trHeight w:val="46"/>
        </w:trPr>
        <w:tc>
          <w:tcPr>
            <w:tcW w:w="3800" w:type="dxa"/>
            <w:vAlign w:val="bottom"/>
            <w:shd w:val="clear" w:color="auto" w:fill="D9D9D9"/>
          </w:tcPr>
          <w:p>
            <w:pPr>
              <w:spacing w:after="0"/>
              <w:rPr>
                <w:sz w:val="4"/>
                <w:szCs w:val="4"/>
                <w:color w:val="auto"/>
              </w:rPr>
            </w:pPr>
          </w:p>
        </w:tc>
        <w:tc>
          <w:tcPr>
            <w:tcW w:w="1660" w:type="dxa"/>
            <w:vAlign w:val="bottom"/>
            <w:shd w:val="clear" w:color="auto" w:fill="D9D9D9"/>
          </w:tcPr>
          <w:p>
            <w:pPr>
              <w:spacing w:after="0"/>
              <w:rPr>
                <w:sz w:val="4"/>
                <w:szCs w:val="4"/>
                <w:color w:val="auto"/>
              </w:rPr>
            </w:pPr>
          </w:p>
        </w:tc>
        <w:tc>
          <w:tcPr>
            <w:tcW w:w="1320" w:type="dxa"/>
            <w:vAlign w:val="bottom"/>
            <w:shd w:val="clear" w:color="auto" w:fill="D9D9D9"/>
          </w:tcPr>
          <w:p>
            <w:pPr>
              <w:spacing w:after="0"/>
              <w:rPr>
                <w:sz w:val="4"/>
                <w:szCs w:val="4"/>
                <w:color w:val="auto"/>
              </w:rPr>
            </w:pPr>
          </w:p>
        </w:tc>
        <w:tc>
          <w:tcPr>
            <w:tcW w:w="1360" w:type="dxa"/>
            <w:vAlign w:val="bottom"/>
            <w:shd w:val="clear" w:color="auto" w:fill="D9D9D9"/>
          </w:tcPr>
          <w:p>
            <w:pPr>
              <w:spacing w:after="0"/>
              <w:rPr>
                <w:sz w:val="4"/>
                <w:szCs w:val="4"/>
                <w:color w:val="auto"/>
              </w:rPr>
            </w:pPr>
          </w:p>
        </w:tc>
        <w:tc>
          <w:tcPr>
            <w:tcW w:w="700" w:type="dxa"/>
            <w:vAlign w:val="bottom"/>
            <w:shd w:val="clear" w:color="auto" w:fill="D9D9D9"/>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-2178685</wp:posOffset>
            </wp:positionV>
            <wp:extent cx="5621020" cy="635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36">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-1191895</wp:posOffset>
            </wp:positionV>
            <wp:extent cx="5621020" cy="635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7">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-5715</wp:posOffset>
            </wp:positionV>
            <wp:extent cx="5621020" cy="635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8">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 / 46</w:t>
      </w:r>
    </w:p>
    <w:p>
      <w:pPr>
        <w:sectPr>
          <w:pgSz w:w="11900" w:h="16838" w:orient="portrait"/>
          <w:cols w:equalWidth="0" w:num="1">
            <w:col w:w="10460"/>
          </w:cols>
          <w:pgMar w:left="1440" w:top="1440" w:right="6" w:bottom="0" w:gutter="0" w:footer="0" w:header="0"/>
          <w:type w:val="continuous"/>
        </w:sectPr>
      </w:pPr>
    </w:p>
    <w:bookmarkStart w:id="454" w:name="page455"/>
    <w:bookmarkEnd w:id="4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1482090</wp:posOffset>
            </wp:positionH>
            <wp:positionV relativeFrom="page">
              <wp:posOffset>1162685</wp:posOffset>
            </wp:positionV>
            <wp:extent cx="1676400" cy="19050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9">
                      <a:clrChange>
                        <a:clrFrom>
                          <a:srgbClr val="FFFFFF"/>
                        </a:clrFrom>
                        <a:clrTo>
                          <a:srgbClr val="FFFFFF">
                            <a:alpha val="0"/>
                          </a:srgbClr>
                        </a:clrTo>
                      </a:clrChange>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33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979170</wp:posOffset>
            </wp:positionV>
            <wp:extent cx="6764020" cy="1905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4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 / 46</w:t>
      </w:r>
    </w:p>
    <w:p>
      <w:pPr>
        <w:sectPr>
          <w:pgSz w:w="11900" w:h="16838" w:orient="portrait"/>
          <w:cols w:equalWidth="0" w:num="1">
            <w:col w:w="9026"/>
          </w:cols>
          <w:pgMar w:left="1440" w:top="1440" w:right="1440" w:bottom="0" w:gutter="0" w:footer="0" w:header="0"/>
          <w:type w:val="continuous"/>
        </w:sectPr>
      </w:pPr>
    </w:p>
    <w:bookmarkStart w:id="455" w:name="page456"/>
    <w:bookmarkEnd w:id="4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00" w:lineRule="exact"/>
        <w:rPr>
          <w:sz w:val="20"/>
          <w:szCs w:val="20"/>
          <w:color w:val="auto"/>
        </w:rPr>
      </w:pPr>
    </w:p>
    <w:p>
      <w:pPr>
        <w:ind w:left="1620" w:hanging="726"/>
        <w:spacing w:after="0"/>
        <w:tabs>
          <w:tab w:leader="none" w:pos="1620" w:val="left"/>
        </w:tabs>
        <w:numPr>
          <w:ilvl w:val="0"/>
          <w:numId w:val="185"/>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SEGMENTED INFORMATION </w:t>
      </w:r>
      <w:r>
        <w:rPr>
          <w:rFonts w:ascii="Arial" w:cs="Arial" w:eastAsia="Arial" w:hAnsi="Arial"/>
          <w:sz w:val="20"/>
          <w:szCs w:val="20"/>
          <w:i w:val="1"/>
          <w:iCs w:val="1"/>
          <w:color w:val="153A57"/>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235585</wp:posOffset>
            </wp:positionV>
            <wp:extent cx="5621020" cy="2857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41">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Pastos</w:t>
            </w: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72"/>
        </w:trPr>
        <w:tc>
          <w:tcPr>
            <w:tcW w:w="3800" w:type="dxa"/>
            <w:vAlign w:val="bottom"/>
          </w:tcPr>
          <w:p>
            <w:pPr>
              <w:spacing w:after="0"/>
              <w:rPr>
                <w:sz w:val="23"/>
                <w:szCs w:val="23"/>
                <w:color w:val="auto"/>
              </w:rPr>
            </w:pPr>
          </w:p>
        </w:tc>
        <w:tc>
          <w:tcPr>
            <w:tcW w:w="1660" w:type="dxa"/>
            <w:vAlign w:val="bottom"/>
          </w:tcPr>
          <w:p>
            <w:pPr>
              <w:jc w:val="right"/>
              <w:ind w:right="230"/>
              <w:spacing w:after="0"/>
              <w:rPr>
                <w:sz w:val="20"/>
                <w:szCs w:val="20"/>
                <w:color w:val="auto"/>
              </w:rPr>
            </w:pPr>
            <w:r>
              <w:rPr>
                <w:rFonts w:ascii="Arial" w:cs="Arial" w:eastAsia="Arial" w:hAnsi="Arial"/>
                <w:sz w:val="18"/>
                <w:szCs w:val="18"/>
                <w:b w:val="1"/>
                <w:bCs w:val="1"/>
                <w:color w:val="auto"/>
              </w:rPr>
              <w:t>Cauchari-</w:t>
            </w: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Grandes</w:t>
            </w:r>
          </w:p>
        </w:tc>
        <w:tc>
          <w:tcPr>
            <w:tcW w:w="13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2"/>
        </w:trPr>
        <w:tc>
          <w:tcPr>
            <w:tcW w:w="3800" w:type="dxa"/>
            <w:vAlign w:val="bottom"/>
          </w:tcPr>
          <w:p>
            <w:pPr>
              <w:spacing w:after="0"/>
              <w:rPr>
                <w:sz w:val="23"/>
                <w:szCs w:val="23"/>
                <w:color w:val="auto"/>
              </w:rPr>
            </w:pPr>
          </w:p>
        </w:tc>
        <w:tc>
          <w:tcPr>
            <w:tcW w:w="1660" w:type="dxa"/>
            <w:vAlign w:val="bottom"/>
          </w:tcPr>
          <w:p>
            <w:pPr>
              <w:jc w:val="right"/>
              <w:ind w:right="230"/>
              <w:spacing w:after="0"/>
              <w:rPr>
                <w:sz w:val="20"/>
                <w:szCs w:val="20"/>
                <w:color w:val="auto"/>
              </w:rPr>
            </w:pPr>
            <w:r>
              <w:rPr>
                <w:rFonts w:ascii="Arial" w:cs="Arial" w:eastAsia="Arial" w:hAnsi="Arial"/>
                <w:sz w:val="18"/>
                <w:szCs w:val="18"/>
                <w:b w:val="1"/>
                <w:bCs w:val="1"/>
                <w:color w:val="auto"/>
              </w:rPr>
              <w:t>Olaroz</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Basin</w:t>
            </w: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rPr>
              <w:t>Corporate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T</w:t>
            </w:r>
          </w:p>
        </w:tc>
      </w:tr>
      <w:tr>
        <w:trPr>
          <w:trHeight w:val="272"/>
        </w:trPr>
        <w:tc>
          <w:tcPr>
            <w:tcW w:w="3800" w:type="dxa"/>
            <w:vAlign w:val="bottom"/>
          </w:tcPr>
          <w:p>
            <w:pPr>
              <w:spacing w:after="0"/>
              <w:rPr>
                <w:sz w:val="23"/>
                <w:szCs w:val="23"/>
                <w:color w:val="auto"/>
              </w:rPr>
            </w:pPr>
          </w:p>
        </w:tc>
        <w:tc>
          <w:tcPr>
            <w:tcW w:w="16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3"/>
                <w:szCs w:val="23"/>
                <w:color w:val="auto"/>
              </w:rPr>
            </w:pPr>
          </w:p>
        </w:tc>
      </w:tr>
      <w:tr>
        <w:trPr>
          <w:trHeight w:val="296"/>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As at December 31, 2024</w:t>
            </w: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06"/>
        </w:trPr>
        <w:tc>
          <w:tcPr>
            <w:tcW w:w="38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8,584</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404</w:t>
            </w: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4"/>
        </w:trPr>
        <w:tc>
          <w:tcPr>
            <w:tcW w:w="3800" w:type="dxa"/>
            <w:vAlign w:val="bottom"/>
          </w:tcPr>
          <w:p>
            <w:pPr>
              <w:spacing w:after="0"/>
              <w:rPr>
                <w:sz w:val="20"/>
                <w:szCs w:val="20"/>
                <w:color w:val="auto"/>
              </w:rPr>
            </w:pPr>
            <w:r>
              <w:rPr>
                <w:rFonts w:ascii="Arial" w:cs="Arial" w:eastAsia="Arial" w:hAnsi="Arial"/>
                <w:sz w:val="18"/>
                <w:szCs w:val="18"/>
                <w:color w:val="auto"/>
              </w:rPr>
              <w:t>Exploration and evaluation assets</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343,779</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15</w:t>
            </w:r>
          </w:p>
        </w:tc>
        <w:tc>
          <w:tcPr>
            <w:tcW w:w="70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314"/>
        </w:trPr>
        <w:tc>
          <w:tcPr>
            <w:tcW w:w="3800" w:type="dxa"/>
            <w:vAlign w:val="bottom"/>
          </w:tcPr>
          <w:p>
            <w:pPr>
              <w:spacing w:after="0"/>
              <w:rPr>
                <w:sz w:val="20"/>
                <w:szCs w:val="20"/>
                <w:color w:val="auto"/>
              </w:rPr>
            </w:pPr>
            <w:r>
              <w:rPr>
                <w:rFonts w:ascii="Arial" w:cs="Arial" w:eastAsia="Arial" w:hAnsi="Arial"/>
                <w:sz w:val="18"/>
                <w:szCs w:val="18"/>
                <w:color w:val="auto"/>
              </w:rPr>
              <w:t>Total assets</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421,270</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614,286</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95,667</w:t>
            </w:r>
          </w:p>
        </w:tc>
        <w:tc>
          <w:tcPr>
            <w:tcW w:w="700" w:type="dxa"/>
            <w:vAlign w:val="bottom"/>
          </w:tcPr>
          <w:p>
            <w:pPr>
              <w:jc w:val="right"/>
              <w:spacing w:after="0"/>
              <w:rPr>
                <w:sz w:val="20"/>
                <w:szCs w:val="20"/>
                <w:color w:val="auto"/>
              </w:rPr>
            </w:pPr>
            <w:r>
              <w:rPr>
                <w:rFonts w:ascii="Arial" w:cs="Arial" w:eastAsia="Arial" w:hAnsi="Arial"/>
                <w:sz w:val="18"/>
                <w:szCs w:val="18"/>
                <w:color w:val="auto"/>
              </w:rPr>
              <w:t>1,131,</w:t>
            </w:r>
          </w:p>
        </w:tc>
      </w:tr>
      <w:tr>
        <w:trPr>
          <w:trHeight w:val="323"/>
        </w:trPr>
        <w:tc>
          <w:tcPr>
            <w:tcW w:w="3800" w:type="dxa"/>
            <w:vAlign w:val="bottom"/>
          </w:tcPr>
          <w:p>
            <w:pPr>
              <w:spacing w:after="0"/>
              <w:rPr>
                <w:sz w:val="20"/>
                <w:szCs w:val="20"/>
                <w:color w:val="auto"/>
              </w:rPr>
            </w:pPr>
            <w:r>
              <w:rPr>
                <w:rFonts w:ascii="Arial" w:cs="Arial" w:eastAsia="Arial" w:hAnsi="Arial"/>
                <w:sz w:val="18"/>
                <w:szCs w:val="18"/>
                <w:color w:val="auto"/>
              </w:rPr>
              <w:t>Total liabilities</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(575)</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(239,718)</w:t>
            </w:r>
          </w:p>
        </w:tc>
        <w:tc>
          <w:tcPr>
            <w:tcW w:w="70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96"/>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For the year ended December 31, 2024</w:t>
            </w: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06"/>
        </w:trPr>
        <w:tc>
          <w:tcPr>
            <w:tcW w:w="3800" w:type="dxa"/>
            <w:vAlign w:val="bottom"/>
          </w:tcPr>
          <w:p>
            <w:pPr>
              <w:spacing w:after="0"/>
              <w:rPr>
                <w:sz w:val="20"/>
                <w:szCs w:val="20"/>
                <w:color w:val="auto"/>
              </w:rPr>
            </w:pPr>
            <w:r>
              <w:rPr>
                <w:rFonts w:ascii="Arial" w:cs="Arial" w:eastAsia="Arial" w:hAnsi="Arial"/>
                <w:sz w:val="18"/>
                <w:szCs w:val="18"/>
                <w:color w:val="auto"/>
              </w:rPr>
              <w:t>Property, plant and equipment additions</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764</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207</w:t>
            </w:r>
          </w:p>
        </w:tc>
        <w:tc>
          <w:tcPr>
            <w:tcW w:w="700" w:type="dxa"/>
            <w:vAlign w:val="bottom"/>
          </w:tcPr>
          <w:p>
            <w:pPr>
              <w:spacing w:after="0"/>
              <w:rPr>
                <w:sz w:val="24"/>
                <w:szCs w:val="24"/>
                <w:color w:val="auto"/>
              </w:rPr>
            </w:pPr>
          </w:p>
        </w:tc>
      </w:tr>
      <w:tr>
        <w:trPr>
          <w:trHeight w:val="323"/>
        </w:trPr>
        <w:tc>
          <w:tcPr>
            <w:tcW w:w="3800" w:type="dxa"/>
            <w:vAlign w:val="bottom"/>
          </w:tcPr>
          <w:p>
            <w:pPr>
              <w:spacing w:after="0"/>
              <w:rPr>
                <w:sz w:val="20"/>
                <w:szCs w:val="20"/>
                <w:color w:val="auto"/>
              </w:rPr>
            </w:pPr>
            <w:r>
              <w:rPr>
                <w:rFonts w:ascii="Arial" w:cs="Arial" w:eastAsia="Arial" w:hAnsi="Arial"/>
                <w:sz w:val="18"/>
                <w:szCs w:val="18"/>
                <w:color w:val="auto"/>
              </w:rPr>
              <w:t>(Loss)/income</w:t>
            </w: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(28,232)</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4,614</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8,378</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4"/>
        </w:trPr>
        <w:tc>
          <w:tcPr>
            <w:tcW w:w="3800" w:type="dxa"/>
            <w:vAlign w:val="bottom"/>
          </w:tcPr>
          <w:p>
            <w:pPr>
              <w:spacing w:after="0"/>
              <w:rPr>
                <w:sz w:val="20"/>
                <w:szCs w:val="20"/>
                <w:color w:val="auto"/>
              </w:rPr>
            </w:pPr>
            <w:r>
              <w:rPr>
                <w:rFonts w:ascii="Arial" w:cs="Arial" w:eastAsia="Arial" w:hAnsi="Arial"/>
                <w:sz w:val="18"/>
                <w:szCs w:val="18"/>
                <w:color w:val="auto"/>
              </w:rPr>
              <w:t>Exploration expenditures</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(9,819)</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(259)</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4"/>
        </w:trPr>
        <w:tc>
          <w:tcPr>
            <w:tcW w:w="3800" w:type="dxa"/>
            <w:vAlign w:val="bottom"/>
          </w:tcPr>
          <w:p>
            <w:pPr>
              <w:spacing w:after="0"/>
              <w:rPr>
                <w:sz w:val="20"/>
                <w:szCs w:val="20"/>
                <w:color w:val="auto"/>
              </w:rPr>
            </w:pPr>
            <w:r>
              <w:rPr>
                <w:rFonts w:ascii="Arial" w:cs="Arial" w:eastAsia="Arial" w:hAnsi="Arial"/>
                <w:sz w:val="18"/>
                <w:szCs w:val="18"/>
                <w:color w:val="auto"/>
              </w:rPr>
              <w:t>Depreciation</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(208)</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(550)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4"/>
        </w:trPr>
        <w:tc>
          <w:tcPr>
            <w:tcW w:w="3800" w:type="dxa"/>
            <w:vAlign w:val="bottom"/>
          </w:tcPr>
          <w:p>
            <w:pPr>
              <w:spacing w:after="0"/>
              <w:rPr>
                <w:sz w:val="20"/>
                <w:szCs w:val="20"/>
                <w:color w:val="auto"/>
              </w:rPr>
            </w:pPr>
            <w:r>
              <w:rPr>
                <w:rFonts w:ascii="Arial" w:cs="Arial" w:eastAsia="Arial" w:hAnsi="Arial"/>
                <w:sz w:val="18"/>
                <w:szCs w:val="18"/>
                <w:color w:val="auto"/>
              </w:rPr>
              <w:t>Interest expense</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(25,176)</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-2148840</wp:posOffset>
            </wp:positionV>
            <wp:extent cx="5621020" cy="635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42">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-1162685</wp:posOffset>
            </wp:positionV>
            <wp:extent cx="5621020" cy="635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43">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22860</wp:posOffset>
            </wp:positionV>
            <wp:extent cx="5621020" cy="635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44">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359"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The Company’s non-current assets are segmented geographically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236220</wp:posOffset>
            </wp:positionV>
            <wp:extent cx="5621020" cy="2857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45">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440" w:type="dxa"/>
            <w:vAlign w:val="bottom"/>
          </w:tcPr>
          <w:p>
            <w:pPr>
              <w:spacing w:after="0"/>
              <w:rPr>
                <w:sz w:val="18"/>
                <w:szCs w:val="18"/>
                <w:color w:val="auto"/>
              </w:rPr>
            </w:pPr>
          </w:p>
        </w:tc>
        <w:tc>
          <w:tcPr>
            <w:tcW w:w="2560" w:type="dxa"/>
            <w:vAlign w:val="bottom"/>
          </w:tcPr>
          <w:p>
            <w:pPr>
              <w:jc w:val="right"/>
              <w:ind w:right="410"/>
              <w:spacing w:after="0"/>
              <w:rPr>
                <w:sz w:val="20"/>
                <w:szCs w:val="20"/>
                <w:color w:val="auto"/>
              </w:rPr>
            </w:pPr>
            <w:r>
              <w:rPr>
                <w:rFonts w:ascii="Arial" w:cs="Arial" w:eastAsia="Arial" w:hAnsi="Arial"/>
                <w:sz w:val="18"/>
                <w:szCs w:val="18"/>
                <w:b w:val="1"/>
                <w:bCs w:val="1"/>
                <w:color w:val="auto"/>
              </w:rPr>
              <w:t>Canada</w:t>
            </w:r>
          </w:p>
        </w:tc>
        <w:tc>
          <w:tcPr>
            <w:tcW w:w="1920" w:type="dxa"/>
            <w:vAlign w:val="bottom"/>
          </w:tcPr>
          <w:p>
            <w:pPr>
              <w:jc w:val="right"/>
              <w:ind w:right="510"/>
              <w:spacing w:after="0"/>
              <w:rPr>
                <w:sz w:val="20"/>
                <w:szCs w:val="20"/>
                <w:color w:val="auto"/>
              </w:rPr>
            </w:pPr>
            <w:r>
              <w:rPr>
                <w:rFonts w:ascii="Arial" w:cs="Arial" w:eastAsia="Arial" w:hAnsi="Arial"/>
                <w:sz w:val="18"/>
                <w:szCs w:val="18"/>
                <w:b w:val="1"/>
                <w:bCs w:val="1"/>
                <w:color w:val="auto"/>
              </w:rPr>
              <w:t>Argentina</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T</w:t>
            </w:r>
          </w:p>
        </w:tc>
      </w:tr>
      <w:tr>
        <w:trPr>
          <w:trHeight w:val="272"/>
        </w:trPr>
        <w:tc>
          <w:tcPr>
            <w:tcW w:w="3440" w:type="dxa"/>
            <w:vAlign w:val="bottom"/>
          </w:tcPr>
          <w:p>
            <w:pPr>
              <w:spacing w:after="0"/>
              <w:rPr>
                <w:sz w:val="23"/>
                <w:szCs w:val="23"/>
                <w:color w:val="auto"/>
              </w:rPr>
            </w:pPr>
          </w:p>
        </w:tc>
        <w:tc>
          <w:tcPr>
            <w:tcW w:w="256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23"/>
                <w:szCs w:val="23"/>
                <w:color w:val="auto"/>
              </w:rPr>
            </w:pPr>
          </w:p>
        </w:tc>
      </w:tr>
      <w:tr>
        <w:trPr>
          <w:trHeight w:val="332"/>
        </w:trPr>
        <w:tc>
          <w:tcPr>
            <w:tcW w:w="3440" w:type="dxa"/>
            <w:vAlign w:val="bottom"/>
          </w:tcPr>
          <w:p>
            <w:pPr>
              <w:spacing w:after="0"/>
              <w:rPr>
                <w:sz w:val="20"/>
                <w:szCs w:val="20"/>
                <w:color w:val="auto"/>
              </w:rPr>
            </w:pPr>
            <w:r>
              <w:rPr>
                <w:rFonts w:ascii="Arial" w:cs="Arial" w:eastAsia="Arial" w:hAnsi="Arial"/>
                <w:sz w:val="18"/>
                <w:szCs w:val="18"/>
                <w:i w:val="1"/>
                <w:iCs w:val="1"/>
                <w:color w:val="auto"/>
              </w:rPr>
              <w:t xml:space="preserve">Non-current assets </w:t>
            </w:r>
            <w:r>
              <w:rPr>
                <w:rFonts w:ascii="Arial" w:cs="Arial" w:eastAsia="Arial" w:hAnsi="Arial"/>
                <w:sz w:val="24"/>
                <w:szCs w:val="24"/>
                <w:i w:val="1"/>
                <w:iCs w:val="1"/>
                <w:color w:val="auto"/>
                <w:vertAlign w:val="superscript"/>
              </w:rPr>
              <w:t>(1)</w:t>
            </w:r>
          </w:p>
        </w:tc>
        <w:tc>
          <w:tcPr>
            <w:tcW w:w="2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4"/>
        </w:trPr>
        <w:tc>
          <w:tcPr>
            <w:tcW w:w="344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8"/>
                <w:szCs w:val="18"/>
                <w:color w:val="auto"/>
              </w:rPr>
              <w:t>As at December 31, 2025</w:t>
            </w:r>
          </w:p>
        </w:tc>
        <w:tc>
          <w:tcPr>
            <w:tcW w:w="2560" w:type="dxa"/>
            <w:vAlign w:val="bottom"/>
            <w:tcBorders>
              <w:bottom w:val="single" w:sz="8" w:color="DDDDDD"/>
            </w:tcBorders>
            <w:shd w:val="clear" w:color="auto" w:fill="DDDDDD"/>
          </w:tcPr>
          <w:p>
            <w:pPr>
              <w:jc w:val="right"/>
              <w:ind w:right="410"/>
              <w:spacing w:after="0"/>
              <w:rPr>
                <w:sz w:val="20"/>
                <w:szCs w:val="20"/>
                <w:color w:val="auto"/>
              </w:rPr>
            </w:pPr>
            <w:r>
              <w:rPr>
                <w:rFonts w:ascii="Arial" w:cs="Arial" w:eastAsia="Arial" w:hAnsi="Arial"/>
                <w:sz w:val="18"/>
                <w:szCs w:val="18"/>
                <w:color w:val="auto"/>
              </w:rPr>
              <w:t>343</w:t>
            </w:r>
          </w:p>
        </w:tc>
        <w:tc>
          <w:tcPr>
            <w:tcW w:w="1920" w:type="dxa"/>
            <w:vAlign w:val="bottom"/>
            <w:tcBorders>
              <w:bottom w:val="single" w:sz="8" w:color="DDDDDD"/>
            </w:tcBorders>
            <w:shd w:val="clear" w:color="auto" w:fill="DDDDDD"/>
          </w:tcPr>
          <w:p>
            <w:pPr>
              <w:jc w:val="right"/>
              <w:ind w:right="510"/>
              <w:spacing w:after="0"/>
              <w:rPr>
                <w:sz w:val="20"/>
                <w:szCs w:val="20"/>
                <w:color w:val="auto"/>
              </w:rPr>
            </w:pPr>
            <w:r>
              <w:rPr>
                <w:rFonts w:ascii="Arial" w:cs="Arial" w:eastAsia="Arial" w:hAnsi="Arial"/>
                <w:sz w:val="18"/>
                <w:szCs w:val="18"/>
                <w:color w:val="auto"/>
              </w:rPr>
              <w:t>443,408</w:t>
            </w:r>
          </w:p>
        </w:tc>
        <w:tc>
          <w:tcPr>
            <w:tcW w:w="9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8"/>
                <w:szCs w:val="18"/>
                <w:color w:val="auto"/>
              </w:rPr>
              <w:t>443,</w:t>
            </w:r>
          </w:p>
        </w:tc>
      </w:tr>
      <w:tr>
        <w:trPr>
          <w:trHeight w:val="278"/>
        </w:trPr>
        <w:tc>
          <w:tcPr>
            <w:tcW w:w="3440" w:type="dxa"/>
            <w:vAlign w:val="bottom"/>
          </w:tcPr>
          <w:p>
            <w:pPr>
              <w:spacing w:after="0"/>
              <w:rPr>
                <w:sz w:val="20"/>
                <w:szCs w:val="20"/>
                <w:color w:val="auto"/>
              </w:rPr>
            </w:pPr>
            <w:r>
              <w:rPr>
                <w:rFonts w:ascii="Arial" w:cs="Arial" w:eastAsia="Arial" w:hAnsi="Arial"/>
                <w:sz w:val="18"/>
                <w:szCs w:val="18"/>
                <w:color w:val="auto"/>
              </w:rPr>
              <w:t>As at December 31, 2024</w:t>
            </w:r>
          </w:p>
        </w:tc>
        <w:tc>
          <w:tcPr>
            <w:tcW w:w="2560" w:type="dxa"/>
            <w:vAlign w:val="bottom"/>
          </w:tcPr>
          <w:p>
            <w:pPr>
              <w:jc w:val="right"/>
              <w:ind w:right="410"/>
              <w:spacing w:after="0"/>
              <w:rPr>
                <w:sz w:val="20"/>
                <w:szCs w:val="20"/>
                <w:color w:val="auto"/>
              </w:rPr>
            </w:pPr>
            <w:r>
              <w:rPr>
                <w:rFonts w:ascii="Arial" w:cs="Arial" w:eastAsia="Arial" w:hAnsi="Arial"/>
                <w:sz w:val="18"/>
                <w:szCs w:val="18"/>
                <w:color w:val="auto"/>
              </w:rPr>
              <w:t>244</w:t>
            </w:r>
          </w:p>
        </w:tc>
        <w:tc>
          <w:tcPr>
            <w:tcW w:w="1920" w:type="dxa"/>
            <w:vAlign w:val="bottom"/>
          </w:tcPr>
          <w:p>
            <w:pPr>
              <w:jc w:val="right"/>
              <w:ind w:right="510"/>
              <w:spacing w:after="0"/>
              <w:rPr>
                <w:sz w:val="20"/>
                <w:szCs w:val="20"/>
                <w:color w:val="auto"/>
              </w:rPr>
            </w:pPr>
            <w:r>
              <w:rPr>
                <w:rFonts w:ascii="Arial" w:cs="Arial" w:eastAsia="Arial" w:hAnsi="Arial"/>
                <w:sz w:val="18"/>
                <w:szCs w:val="18"/>
                <w:color w:val="auto"/>
              </w:rPr>
              <w:t>385,457</w:t>
            </w:r>
          </w:p>
        </w:tc>
        <w:tc>
          <w:tcPr>
            <w:tcW w:w="920" w:type="dxa"/>
            <w:vAlign w:val="bottom"/>
          </w:tcPr>
          <w:p>
            <w:pPr>
              <w:jc w:val="right"/>
              <w:spacing w:after="0"/>
              <w:rPr>
                <w:sz w:val="20"/>
                <w:szCs w:val="20"/>
                <w:color w:val="auto"/>
              </w:rPr>
            </w:pPr>
            <w:r>
              <w:rPr>
                <w:rFonts w:ascii="Arial" w:cs="Arial" w:eastAsia="Arial" w:hAnsi="Arial"/>
                <w:sz w:val="18"/>
                <w:szCs w:val="18"/>
                <w:color w:val="auto"/>
              </w:rPr>
              <w:t>385,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-563880</wp:posOffset>
            </wp:positionV>
            <wp:extent cx="5621020" cy="635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46">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22860</wp:posOffset>
            </wp:positionV>
            <wp:extent cx="5621020" cy="635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47">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336" w:lineRule="exact"/>
        <w:rPr>
          <w:sz w:val="20"/>
          <w:szCs w:val="20"/>
          <w:color w:val="auto"/>
        </w:rPr>
      </w:pPr>
    </w:p>
    <w:p>
      <w:pPr>
        <w:ind w:left="1700" w:hanging="86"/>
        <w:spacing w:after="0"/>
        <w:tabs>
          <w:tab w:leader="none" w:pos="1700" w:val="left"/>
        </w:tabs>
        <w:numPr>
          <w:ilvl w:val="0"/>
          <w:numId w:val="186"/>
        </w:numPr>
        <w:rPr>
          <w:rFonts w:ascii="Arial" w:cs="Arial" w:eastAsia="Arial" w:hAnsi="Arial"/>
          <w:sz w:val="21"/>
          <w:szCs w:val="21"/>
          <w:color w:val="auto"/>
          <w:vertAlign w:val="superscript"/>
        </w:rPr>
      </w:pPr>
      <w:r>
        <w:rPr>
          <w:rFonts w:ascii="Arial" w:cs="Arial" w:eastAsia="Arial" w:hAnsi="Arial"/>
          <w:sz w:val="16"/>
          <w:szCs w:val="16"/>
          <w:color w:val="auto"/>
        </w:rPr>
        <w:t>Non-current assets attributed to geographical locations exclude financial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284480</wp:posOffset>
            </wp:positionV>
            <wp:extent cx="1676400" cy="19050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8">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 / 46</w:t>
      </w:r>
    </w:p>
    <w:p>
      <w:pPr>
        <w:sectPr>
          <w:pgSz w:w="11900" w:h="16838" w:orient="portrait"/>
          <w:cols w:equalWidth="0" w:num="1">
            <w:col w:w="10460"/>
          </w:cols>
          <w:pgMar w:left="1440" w:top="1440" w:right="6" w:bottom="0" w:gutter="0" w:footer="0" w:header="0"/>
          <w:type w:val="continuous"/>
        </w:sectPr>
      </w:pPr>
    </w:p>
    <w:bookmarkStart w:id="456" w:name="page457"/>
    <w:bookmarkEnd w:id="4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200" w:lineRule="exact"/>
        <w:rPr>
          <w:sz w:val="20"/>
          <w:szCs w:val="20"/>
          <w:color w:val="auto"/>
        </w:rPr>
      </w:pPr>
    </w:p>
    <w:p>
      <w:pPr>
        <w:spacing w:after="0" w:line="307" w:lineRule="exact"/>
        <w:rPr>
          <w:sz w:val="20"/>
          <w:szCs w:val="20"/>
          <w:color w:val="auto"/>
        </w:rPr>
      </w:pPr>
    </w:p>
    <w:p>
      <w:pPr>
        <w:ind w:left="1620" w:right="2540" w:hanging="726"/>
        <w:spacing w:after="0" w:line="514" w:lineRule="auto"/>
        <w:tabs>
          <w:tab w:leader="none" w:pos="1620" w:val="left"/>
        </w:tabs>
        <w:numPr>
          <w:ilvl w:val="0"/>
          <w:numId w:val="187"/>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SUPPLEMENTAL DISCLOSURE WITH RESPECT TO CASH FLOWS </w:t>
      </w:r>
      <w:r>
        <w:rPr>
          <w:rFonts w:ascii="Arial" w:cs="Arial" w:eastAsia="Arial" w:hAnsi="Arial"/>
          <w:sz w:val="20"/>
          <w:szCs w:val="20"/>
          <w:b w:val="1"/>
          <w:bCs w:val="1"/>
          <w:i w:val="1"/>
          <w:iCs w:val="1"/>
          <w:color w:val="000000"/>
        </w:rPr>
        <w:t>2025 Restructuring of loans</w:t>
      </w:r>
    </w:p>
    <w:p>
      <w:pPr>
        <w:spacing w:after="0" w:line="16" w:lineRule="exact"/>
        <w:rPr>
          <w:rFonts w:ascii="Arial" w:cs="Arial" w:eastAsia="Arial" w:hAnsi="Arial"/>
          <w:sz w:val="20"/>
          <w:szCs w:val="20"/>
          <w:b w:val="1"/>
          <w:bCs w:val="1"/>
          <w:color w:val="153A57"/>
        </w:rPr>
      </w:pPr>
    </w:p>
    <w:p>
      <w:pPr>
        <w:ind w:left="1620" w:right="20"/>
        <w:spacing w:after="0" w:line="307" w:lineRule="auto"/>
        <w:rPr>
          <w:rFonts w:ascii="Arial" w:cs="Arial" w:eastAsia="Arial" w:hAnsi="Arial"/>
          <w:sz w:val="20"/>
          <w:szCs w:val="20"/>
          <w:b w:val="1"/>
          <w:bCs w:val="1"/>
          <w:color w:val="153A57"/>
        </w:rPr>
      </w:pPr>
      <w:r>
        <w:rPr>
          <w:rFonts w:ascii="Arial" w:cs="Arial" w:eastAsia="Arial" w:hAnsi="Arial"/>
          <w:sz w:val="20"/>
          <w:szCs w:val="20"/>
          <w:color w:val="auto"/>
        </w:rPr>
        <w:t>As part of the Restructuring of loans (Note 7), the following non-cash activities occurred during the ended December 31, 2025:</w:t>
      </w:r>
    </w:p>
    <w:p>
      <w:pPr>
        <w:spacing w:after="0" w:line="215" w:lineRule="exact"/>
        <w:rPr>
          <w:rFonts w:ascii="Arial" w:cs="Arial" w:eastAsia="Arial" w:hAnsi="Arial"/>
          <w:sz w:val="20"/>
          <w:szCs w:val="20"/>
          <w:b w:val="1"/>
          <w:bCs w:val="1"/>
          <w:color w:val="153A57"/>
        </w:rPr>
      </w:pPr>
    </w:p>
    <w:p>
      <w:pPr>
        <w:ind w:left="2340" w:right="240" w:hanging="366"/>
        <w:spacing w:after="0" w:line="305" w:lineRule="auto"/>
        <w:tabs>
          <w:tab w:leader="none" w:pos="2340" w:val="left"/>
        </w:tabs>
        <w:numPr>
          <w:ilvl w:val="1"/>
          <w:numId w:val="187"/>
        </w:numPr>
        <w:rPr>
          <w:rFonts w:ascii="Arial" w:cs="Arial" w:eastAsia="Arial" w:hAnsi="Arial"/>
          <w:sz w:val="20"/>
          <w:szCs w:val="20"/>
          <w:color w:val="auto"/>
        </w:rPr>
      </w:pPr>
      <w:r>
        <w:rPr>
          <w:rFonts w:ascii="Arial" w:cs="Arial" w:eastAsia="Arial" w:hAnsi="Arial"/>
          <w:sz w:val="20"/>
          <w:szCs w:val="20"/>
          <w:color w:val="auto"/>
        </w:rPr>
        <w:t>Reduction in investment arising from capital contribution allocated to JEMSE of $8,668 (non-cash investing activity).</w:t>
      </w:r>
    </w:p>
    <w:p>
      <w:pPr>
        <w:spacing w:after="0" w:line="215" w:lineRule="exact"/>
        <w:rPr>
          <w:rFonts w:ascii="Arial" w:cs="Arial" w:eastAsia="Arial" w:hAnsi="Arial"/>
          <w:sz w:val="20"/>
          <w:szCs w:val="20"/>
          <w:color w:val="auto"/>
        </w:rPr>
      </w:pPr>
    </w:p>
    <w:p>
      <w:pPr>
        <w:ind w:left="2340" w:hanging="366"/>
        <w:spacing w:after="0" w:line="305" w:lineRule="auto"/>
        <w:tabs>
          <w:tab w:leader="none" w:pos="2340" w:val="left"/>
        </w:tabs>
        <w:numPr>
          <w:ilvl w:val="1"/>
          <w:numId w:val="187"/>
        </w:numPr>
        <w:rPr>
          <w:rFonts w:ascii="Arial" w:cs="Arial" w:eastAsia="Arial" w:hAnsi="Arial"/>
          <w:sz w:val="20"/>
          <w:szCs w:val="20"/>
          <w:color w:val="auto"/>
        </w:rPr>
      </w:pPr>
      <w:r>
        <w:rPr>
          <w:rFonts w:ascii="Arial" w:cs="Arial" w:eastAsia="Arial" w:hAnsi="Arial"/>
          <w:sz w:val="20"/>
          <w:szCs w:val="20"/>
          <w:color w:val="auto"/>
        </w:rPr>
        <w:t>Capitalization of loans to investment in Cauchari-Olaroz Project of $99,422 (non-cash inve activity).</w:t>
      </w:r>
    </w:p>
    <w:p>
      <w:pPr>
        <w:spacing w:after="0" w:line="208" w:lineRule="exact"/>
        <w:rPr>
          <w:rFonts w:ascii="Arial" w:cs="Arial" w:eastAsia="Arial" w:hAnsi="Arial"/>
          <w:sz w:val="20"/>
          <w:szCs w:val="20"/>
          <w:color w:val="auto"/>
        </w:rPr>
      </w:pPr>
    </w:p>
    <w:p>
      <w:pPr>
        <w:ind w:left="2340" w:hanging="366"/>
        <w:spacing w:after="0"/>
        <w:tabs>
          <w:tab w:leader="none" w:pos="2340" w:val="left"/>
        </w:tabs>
        <w:numPr>
          <w:ilvl w:val="1"/>
          <w:numId w:val="187"/>
        </w:numPr>
        <w:rPr>
          <w:rFonts w:ascii="Arial" w:cs="Arial" w:eastAsia="Arial" w:hAnsi="Arial"/>
          <w:sz w:val="20"/>
          <w:szCs w:val="20"/>
          <w:color w:val="auto"/>
        </w:rPr>
      </w:pPr>
      <w:r>
        <w:rPr>
          <w:rFonts w:ascii="Arial" w:cs="Arial" w:eastAsia="Arial" w:hAnsi="Arial"/>
          <w:sz w:val="20"/>
          <w:szCs w:val="20"/>
          <w:color w:val="auto"/>
        </w:rPr>
        <w:t>Derecognition of existing loans upon extinguishment of $308,314 (non-cash investing activit</w:t>
      </w:r>
    </w:p>
    <w:p>
      <w:pPr>
        <w:spacing w:after="0" w:line="277" w:lineRule="exact"/>
        <w:rPr>
          <w:rFonts w:ascii="Arial" w:cs="Arial" w:eastAsia="Arial" w:hAnsi="Arial"/>
          <w:sz w:val="20"/>
          <w:szCs w:val="20"/>
          <w:color w:val="auto"/>
        </w:rPr>
      </w:pPr>
    </w:p>
    <w:p>
      <w:pPr>
        <w:ind w:left="2340" w:right="20" w:hanging="366"/>
        <w:spacing w:after="0" w:line="305" w:lineRule="auto"/>
        <w:tabs>
          <w:tab w:leader="none" w:pos="2340" w:val="left"/>
        </w:tabs>
        <w:numPr>
          <w:ilvl w:val="1"/>
          <w:numId w:val="187"/>
        </w:numPr>
        <w:rPr>
          <w:rFonts w:ascii="Arial" w:cs="Arial" w:eastAsia="Arial" w:hAnsi="Arial"/>
          <w:sz w:val="20"/>
          <w:szCs w:val="20"/>
          <w:color w:val="auto"/>
        </w:rPr>
      </w:pPr>
      <w:r>
        <w:rPr>
          <w:rFonts w:ascii="Arial" w:cs="Arial" w:eastAsia="Arial" w:hAnsi="Arial"/>
          <w:sz w:val="20"/>
          <w:szCs w:val="20"/>
          <w:color w:val="auto"/>
        </w:rPr>
        <w:t>Recognition of new loans at fair value upon restructuring of $299,635 (non-cash inve activity).</w:t>
      </w:r>
    </w:p>
    <w:p>
      <w:pPr>
        <w:spacing w:after="0" w:line="368" w:lineRule="exact"/>
        <w:rPr>
          <w:sz w:val="20"/>
          <w:szCs w:val="20"/>
          <w:color w:val="auto"/>
        </w:rPr>
      </w:pPr>
    </w:p>
    <w:p>
      <w:pPr>
        <w:ind w:left="1620"/>
        <w:spacing w:after="0"/>
        <w:rPr>
          <w:sz w:val="20"/>
          <w:szCs w:val="20"/>
          <w:color w:val="auto"/>
        </w:rPr>
      </w:pPr>
      <w:r>
        <w:rPr>
          <w:rFonts w:ascii="Arial" w:cs="Arial" w:eastAsia="Arial" w:hAnsi="Arial"/>
          <w:sz w:val="20"/>
          <w:szCs w:val="20"/>
          <w:b w:val="1"/>
          <w:bCs w:val="1"/>
          <w:i w:val="1"/>
          <w:iCs w:val="1"/>
          <w:color w:val="auto"/>
        </w:rPr>
        <w:t>2025 PGCo-Minera Exar loan amendments</w:t>
      </w:r>
    </w:p>
    <w:p>
      <w:pPr>
        <w:spacing w:after="0" w:line="279" w:lineRule="exact"/>
        <w:rPr>
          <w:sz w:val="20"/>
          <w:szCs w:val="20"/>
          <w:color w:val="auto"/>
        </w:rPr>
      </w:pPr>
    </w:p>
    <w:p>
      <w:pPr>
        <w:ind w:left="1620" w:right="40"/>
        <w:spacing w:after="0" w:line="307" w:lineRule="auto"/>
        <w:rPr>
          <w:sz w:val="20"/>
          <w:szCs w:val="20"/>
          <w:color w:val="auto"/>
        </w:rPr>
      </w:pPr>
      <w:r>
        <w:rPr>
          <w:rFonts w:ascii="Arial" w:cs="Arial" w:eastAsia="Arial" w:hAnsi="Arial"/>
          <w:sz w:val="20"/>
          <w:szCs w:val="20"/>
          <w:color w:val="auto"/>
        </w:rPr>
        <w:t>As part of PGCo-Minera Exar loan amendment (Note 10), the following non-cash activities occ during the year ended December 31, 2025:</w:t>
      </w:r>
    </w:p>
    <w:p>
      <w:pPr>
        <w:spacing w:after="0" w:line="215" w:lineRule="exact"/>
        <w:rPr>
          <w:sz w:val="20"/>
          <w:szCs w:val="20"/>
          <w:color w:val="auto"/>
        </w:rPr>
      </w:pPr>
    </w:p>
    <w:p>
      <w:pPr>
        <w:ind w:left="2340" w:hanging="366"/>
        <w:spacing w:after="0"/>
        <w:tabs>
          <w:tab w:leader="none" w:pos="234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Derecognition of existing loans upon extinguishment of $72,445 (non-cash investing activity)</w:t>
      </w:r>
    </w:p>
    <w:p>
      <w:pPr>
        <w:spacing w:after="0" w:line="281" w:lineRule="exact"/>
        <w:rPr>
          <w:rFonts w:ascii="Arial" w:cs="Arial" w:eastAsia="Arial" w:hAnsi="Arial"/>
          <w:sz w:val="19"/>
          <w:szCs w:val="19"/>
          <w:color w:val="auto"/>
        </w:rPr>
      </w:pPr>
    </w:p>
    <w:p>
      <w:pPr>
        <w:ind w:left="2340" w:hanging="366"/>
        <w:spacing w:after="0"/>
        <w:tabs>
          <w:tab w:leader="none" w:pos="234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Recognition of new loans at fair value upon restructuring of $70,735 (non-cash investing acti</w:t>
      </w: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Arial" w:cs="Arial" w:eastAsia="Arial" w:hAnsi="Arial"/>
          <w:sz w:val="20"/>
          <w:szCs w:val="20"/>
          <w:b w:val="1"/>
          <w:bCs w:val="1"/>
          <w:i w:val="1"/>
          <w:iCs w:val="1"/>
          <w:color w:val="auto"/>
        </w:rPr>
        <w:t>2025 PGCo Share Premium Reduction and Shareholder Distribution</w:t>
      </w:r>
    </w:p>
    <w:p>
      <w:pPr>
        <w:spacing w:after="0" w:line="279" w:lineRule="exact"/>
        <w:rPr>
          <w:sz w:val="20"/>
          <w:szCs w:val="20"/>
          <w:color w:val="auto"/>
        </w:rPr>
      </w:pPr>
    </w:p>
    <w:p>
      <w:pPr>
        <w:ind w:left="1620"/>
        <w:spacing w:after="0" w:line="307" w:lineRule="auto"/>
        <w:rPr>
          <w:sz w:val="20"/>
          <w:szCs w:val="20"/>
          <w:color w:val="auto"/>
        </w:rPr>
      </w:pPr>
      <w:r>
        <w:rPr>
          <w:rFonts w:ascii="Arial" w:cs="Arial" w:eastAsia="Arial" w:hAnsi="Arial"/>
          <w:sz w:val="20"/>
          <w:szCs w:val="20"/>
          <w:color w:val="auto"/>
        </w:rPr>
        <w:t>As part of PGCo Share Premium Reduction and Shareholder Distribution (Note 10), the following cash activity occurred during the year ended December 31, 2025:</w:t>
      </w:r>
    </w:p>
    <w:p>
      <w:pPr>
        <w:spacing w:after="0" w:line="215" w:lineRule="exact"/>
        <w:rPr>
          <w:sz w:val="20"/>
          <w:szCs w:val="20"/>
          <w:color w:val="auto"/>
        </w:rPr>
      </w:pPr>
    </w:p>
    <w:p>
      <w:pPr>
        <w:jc w:val="both"/>
        <w:ind w:left="2340" w:hanging="366"/>
        <w:spacing w:after="0" w:line="309" w:lineRule="auto"/>
        <w:tabs>
          <w:tab w:leader="none" w:pos="234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Recognition of a shareholder distribution payable to the non-controlling shareholder (Ganfen $12,859 and a corresponding reduction in non-controlling interest, representing a non-financing activity with non-controlling shareholders</w:t>
      </w:r>
    </w:p>
    <w:p>
      <w:pPr>
        <w:spacing w:after="0" w:line="200" w:lineRule="exact"/>
        <w:rPr>
          <w:rFonts w:ascii="Arial" w:cs="Arial" w:eastAsia="Arial" w:hAnsi="Arial"/>
          <w:sz w:val="20"/>
          <w:szCs w:val="20"/>
          <w:color w:val="auto"/>
        </w:rPr>
      </w:pPr>
    </w:p>
    <w:p>
      <w:pPr>
        <w:spacing w:after="0" w:line="350" w:lineRule="exact"/>
        <w:rPr>
          <w:rFonts w:ascii="Arial" w:cs="Arial" w:eastAsia="Arial" w:hAnsi="Arial"/>
          <w:sz w:val="20"/>
          <w:szCs w:val="20"/>
          <w:color w:val="auto"/>
        </w:rPr>
      </w:pPr>
    </w:p>
    <w:p>
      <w:pPr>
        <w:ind w:left="1620" w:hanging="726"/>
        <w:spacing w:after="0"/>
        <w:tabs>
          <w:tab w:leader="none" w:pos="1620" w:val="left"/>
        </w:tabs>
        <w:numPr>
          <w:ilvl w:val="0"/>
          <w:numId w:val="189"/>
        </w:numPr>
        <w:rPr>
          <w:rFonts w:ascii="Arial" w:cs="Arial" w:eastAsia="Arial" w:hAnsi="Arial"/>
          <w:sz w:val="20"/>
          <w:szCs w:val="20"/>
          <w:b w:val="1"/>
          <w:bCs w:val="1"/>
          <w:color w:val="153A57"/>
        </w:rPr>
      </w:pPr>
      <w:r>
        <w:rPr>
          <w:rFonts w:ascii="Arial" w:cs="Arial" w:eastAsia="Arial" w:hAnsi="Arial"/>
          <w:sz w:val="20"/>
          <w:szCs w:val="20"/>
          <w:b w:val="1"/>
          <w:bCs w:val="1"/>
          <w:color w:val="153A57"/>
        </w:rPr>
        <w:t>INCOME TAXES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 / 46</w:t>
      </w:r>
    </w:p>
    <w:p>
      <w:pPr>
        <w:sectPr>
          <w:pgSz w:w="11900" w:h="16838" w:orient="portrait"/>
          <w:cols w:equalWidth="0" w:num="1">
            <w:col w:w="10460"/>
          </w:cols>
          <w:pgMar w:left="1440" w:top="1440" w:right="6" w:bottom="0" w:gutter="0" w:footer="0" w:header="0"/>
          <w:type w:val="continuous"/>
        </w:sectPr>
      </w:pPr>
    </w:p>
    <w:bookmarkStart w:id="457" w:name="page458"/>
    <w:bookmarkEnd w:id="457"/>
    <w:p>
      <w:pPr>
        <w:jc w:val="both"/>
        <w:ind w:left="1620"/>
        <w:spacing w:after="0" w:line="313" w:lineRule="auto"/>
        <w:rPr>
          <w:sz w:val="20"/>
          <w:szCs w:val="20"/>
          <w:color w:val="auto"/>
        </w:rPr>
      </w:pPr>
      <w:r>
        <w:rPr>
          <w:rFonts w:ascii="Arial" w:cs="Arial" w:eastAsia="Arial" w:hAnsi="Arial"/>
          <w:sz w:val="20"/>
          <w:szCs w:val="20"/>
          <w:color w:val="auto"/>
        </w:rPr>
        <w:t>In January 2025, the Company completed its corporate continuation from Canada to Switzerland. result, the corporate headquarters is now subject to Swiss taxation, and the Canadian tax losses other Canadian tax attributes are no longer available to offset future taxable income at the corp level. The Company continues to be subject to income taxes in other jurisdictions, including Can Argentina, and the Netherlands, through its subsidiaries.</w:t>
      </w:r>
    </w:p>
    <w:p>
      <w:pPr>
        <w:spacing w:after="0" w:line="210" w:lineRule="exact"/>
        <w:rPr>
          <w:sz w:val="20"/>
          <w:szCs w:val="20"/>
          <w:color w:val="auto"/>
        </w:rPr>
      </w:pPr>
    </w:p>
    <w:p>
      <w:pPr>
        <w:jc w:val="both"/>
        <w:ind w:left="1620"/>
        <w:spacing w:after="0" w:line="307" w:lineRule="auto"/>
        <w:rPr>
          <w:sz w:val="20"/>
          <w:szCs w:val="20"/>
          <w:color w:val="auto"/>
        </w:rPr>
      </w:pPr>
      <w:r>
        <w:rPr>
          <w:rFonts w:ascii="Arial" w:cs="Arial" w:eastAsia="Arial" w:hAnsi="Arial"/>
          <w:sz w:val="20"/>
          <w:szCs w:val="20"/>
          <w:color w:val="auto"/>
        </w:rPr>
        <w:t>Upon continuation, the Company remeasured the tax basis of its corporate-level assets and liabiliti accordance with Swiss tax legislation.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237490</wp:posOffset>
            </wp:positionV>
            <wp:extent cx="1676400" cy="19050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50">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5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 / 46</w:t>
      </w:r>
    </w:p>
    <w:p>
      <w:pPr>
        <w:sectPr>
          <w:pgSz w:w="11900" w:h="16838" w:orient="portrait"/>
          <w:cols w:equalWidth="0" w:num="1">
            <w:col w:w="10460"/>
          </w:cols>
          <w:pgMar w:left="1440" w:top="1172" w:right="6" w:bottom="0" w:gutter="0" w:footer="0" w:header="0"/>
          <w:type w:val="continuous"/>
        </w:sectPr>
      </w:pPr>
    </w:p>
    <w:bookmarkStart w:id="458" w:name="page459"/>
    <w:bookmarkEnd w:id="4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43" w:lineRule="exact"/>
        <w:rPr>
          <w:sz w:val="20"/>
          <w:szCs w:val="20"/>
          <w:color w:val="auto"/>
        </w:rPr>
      </w:pPr>
    </w:p>
    <w:p>
      <w:pPr>
        <w:ind w:left="1620" w:hanging="726"/>
        <w:spacing w:after="0"/>
        <w:tabs>
          <w:tab w:leader="none" w:pos="1620" w:val="left"/>
        </w:tabs>
        <w:numPr>
          <w:ilvl w:val="0"/>
          <w:numId w:val="190"/>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INCOME TAXES </w:t>
      </w:r>
      <w:r>
        <w:rPr>
          <w:rFonts w:ascii="Arial" w:cs="Arial" w:eastAsia="Arial" w:hAnsi="Arial"/>
          <w:sz w:val="20"/>
          <w:szCs w:val="20"/>
          <w:i w:val="1"/>
          <w:iCs w:val="1"/>
          <w:color w:val="153A57"/>
        </w:rPr>
        <w:t>(continued)</w:t>
      </w:r>
    </w:p>
    <w:p>
      <w:pPr>
        <w:spacing w:after="0" w:line="395" w:lineRule="exact"/>
        <w:rPr>
          <w:rFonts w:ascii="Arial" w:cs="Arial" w:eastAsia="Arial" w:hAnsi="Arial"/>
          <w:sz w:val="20"/>
          <w:szCs w:val="20"/>
          <w:b w:val="1"/>
          <w:bCs w:val="1"/>
          <w:color w:val="153A57"/>
        </w:rPr>
      </w:pPr>
    </w:p>
    <w:p>
      <w:pPr>
        <w:ind w:left="1620" w:right="100"/>
        <w:spacing w:after="0" w:line="307" w:lineRule="auto"/>
        <w:rPr>
          <w:rFonts w:ascii="Arial" w:cs="Arial" w:eastAsia="Arial" w:hAnsi="Arial"/>
          <w:sz w:val="20"/>
          <w:szCs w:val="20"/>
          <w:b w:val="1"/>
          <w:bCs w:val="1"/>
          <w:color w:val="153A57"/>
        </w:rPr>
      </w:pPr>
      <w:r>
        <w:rPr>
          <w:rFonts w:ascii="Arial" w:cs="Arial" w:eastAsia="Arial" w:hAnsi="Arial"/>
          <w:sz w:val="20"/>
          <w:szCs w:val="20"/>
          <w:color w:val="auto"/>
        </w:rPr>
        <w:t>Income tax expense recognized in the consolidated statement of comprehensive loss is comprised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196215</wp:posOffset>
            </wp:positionV>
            <wp:extent cx="5621020" cy="2857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52">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37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00" w:type="dxa"/>
            <w:vAlign w:val="bottom"/>
            <w:gridSpan w:val="2"/>
          </w:tcPr>
          <w:p>
            <w:pPr>
              <w:ind w:left="840"/>
              <w:spacing w:after="0"/>
              <w:rPr>
                <w:sz w:val="20"/>
                <w:szCs w:val="20"/>
                <w:color w:val="auto"/>
              </w:rPr>
            </w:pPr>
            <w:r>
              <w:rPr>
                <w:rFonts w:ascii="Arial" w:cs="Arial" w:eastAsia="Arial" w:hAnsi="Arial"/>
                <w:sz w:val="18"/>
                <w:szCs w:val="18"/>
                <w:b w:val="1"/>
                <w:bCs w:val="1"/>
                <w:color w:val="auto"/>
              </w:rPr>
              <w:t>Years ended December 31,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5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80" w:type="dxa"/>
            <w:vAlign w:val="bottom"/>
            <w:shd w:val="clear" w:color="auto" w:fill="D9D9D9"/>
          </w:tcPr>
          <w:p>
            <w:pPr>
              <w:spacing w:after="0"/>
              <w:rPr>
                <w:sz w:val="21"/>
                <w:szCs w:val="21"/>
                <w:color w:val="auto"/>
              </w:rPr>
            </w:pPr>
          </w:p>
        </w:tc>
        <w:tc>
          <w:tcPr>
            <w:tcW w:w="1900" w:type="dxa"/>
            <w:vAlign w:val="bottom"/>
            <w:shd w:val="clear" w:color="auto" w:fill="D9D9D9"/>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14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36"/>
        </w:trPr>
        <w:tc>
          <w:tcPr>
            <w:tcW w:w="5020" w:type="dxa"/>
            <w:vAlign w:val="bottom"/>
          </w:tcPr>
          <w:p>
            <w:pPr>
              <w:spacing w:after="0"/>
              <w:rPr>
                <w:sz w:val="3"/>
                <w:szCs w:val="3"/>
                <w:color w:val="auto"/>
              </w:rPr>
            </w:pPr>
          </w:p>
        </w:tc>
        <w:tc>
          <w:tcPr>
            <w:tcW w:w="80" w:type="dxa"/>
            <w:vAlign w:val="bottom"/>
            <w:shd w:val="clear" w:color="auto" w:fill="D9D9D9"/>
          </w:tcPr>
          <w:p>
            <w:pPr>
              <w:spacing w:after="0"/>
              <w:rPr>
                <w:sz w:val="3"/>
                <w:szCs w:val="3"/>
                <w:color w:val="auto"/>
              </w:rPr>
            </w:pPr>
          </w:p>
        </w:tc>
        <w:tc>
          <w:tcPr>
            <w:tcW w:w="1900" w:type="dxa"/>
            <w:vAlign w:val="bottom"/>
            <w:shd w:val="clear" w:color="auto" w:fill="D9D9D9"/>
          </w:tcPr>
          <w:p>
            <w:pPr>
              <w:spacing w:after="0"/>
              <w:rPr>
                <w:sz w:val="3"/>
                <w:szCs w:val="3"/>
                <w:color w:val="auto"/>
              </w:rPr>
            </w:pPr>
          </w:p>
        </w:tc>
        <w:tc>
          <w:tcPr>
            <w:tcW w:w="1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Pr>
          <w:p>
            <w:pPr>
              <w:spacing w:after="0"/>
              <w:rPr>
                <w:sz w:val="21"/>
                <w:szCs w:val="21"/>
                <w:color w:val="auto"/>
              </w:rPr>
            </w:pPr>
          </w:p>
        </w:tc>
        <w:tc>
          <w:tcPr>
            <w:tcW w:w="1980" w:type="dxa"/>
            <w:vAlign w:val="bottom"/>
            <w:gridSpan w:val="2"/>
            <w:shd w:val="clear" w:color="auto" w:fill="D9D9D9"/>
          </w:tcPr>
          <w:p>
            <w:pPr>
              <w:jc w:val="right"/>
              <w:ind w:right="1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5020" w:type="dxa"/>
            <w:vAlign w:val="bottom"/>
            <w:vMerge w:val="restart"/>
          </w:tcPr>
          <w:p>
            <w:pPr>
              <w:spacing w:after="0"/>
              <w:rPr>
                <w:sz w:val="20"/>
                <w:szCs w:val="20"/>
                <w:color w:val="auto"/>
              </w:rPr>
            </w:pPr>
            <w:r>
              <w:rPr>
                <w:rFonts w:ascii="Arial" w:cs="Arial" w:eastAsia="Arial" w:hAnsi="Arial"/>
                <w:sz w:val="18"/>
                <w:szCs w:val="18"/>
                <w:color w:val="auto"/>
              </w:rPr>
              <w:t>Current income tax expense</w:t>
            </w:r>
          </w:p>
        </w:tc>
        <w:tc>
          <w:tcPr>
            <w:tcW w:w="1980" w:type="dxa"/>
            <w:vAlign w:val="bottom"/>
            <w:gridSpan w:val="2"/>
            <w:shd w:val="clear" w:color="auto" w:fill="D9D9D9"/>
          </w:tcPr>
          <w:p>
            <w:pPr>
              <w:spacing w:after="0"/>
              <w:rPr>
                <w:sz w:val="4"/>
                <w:szCs w:val="4"/>
                <w:color w:val="auto"/>
              </w:rPr>
            </w:pPr>
          </w:p>
        </w:tc>
        <w:tc>
          <w:tcPr>
            <w:tcW w:w="1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5020" w:type="dxa"/>
            <w:vAlign w:val="bottom"/>
            <w:vMerge w:val="continue"/>
          </w:tcPr>
          <w:p>
            <w:pPr>
              <w:spacing w:after="0"/>
              <w:rPr>
                <w:sz w:val="24"/>
                <w:szCs w:val="24"/>
                <w:color w:val="auto"/>
              </w:rPr>
            </w:pPr>
          </w:p>
        </w:tc>
        <w:tc>
          <w:tcPr>
            <w:tcW w:w="80" w:type="dxa"/>
            <w:vAlign w:val="bottom"/>
            <w:tcBorders>
              <w:bottom w:val="single" w:sz="8" w:color="D9D9D9"/>
            </w:tcBorders>
            <w:shd w:val="clear" w:color="auto" w:fill="D9D9D9"/>
          </w:tcPr>
          <w:p>
            <w:pPr>
              <w:spacing w:after="0"/>
              <w:rPr>
                <w:sz w:val="24"/>
                <w:szCs w:val="24"/>
                <w:color w:val="auto"/>
              </w:rPr>
            </w:pPr>
          </w:p>
        </w:tc>
        <w:tc>
          <w:tcPr>
            <w:tcW w:w="1900" w:type="dxa"/>
            <w:vAlign w:val="bottom"/>
            <w:tcBorders>
              <w:bottom w:val="single" w:sz="8" w:color="D9D9D9"/>
            </w:tcBorders>
            <w:shd w:val="clear" w:color="auto" w:fill="D9D9D9"/>
          </w:tcPr>
          <w:p>
            <w:pPr>
              <w:jc w:val="right"/>
              <w:ind w:right="10"/>
              <w:spacing w:after="0"/>
              <w:rPr>
                <w:sz w:val="20"/>
                <w:szCs w:val="20"/>
                <w:color w:val="auto"/>
              </w:rPr>
            </w:pPr>
            <w:r>
              <w:rPr>
                <w:rFonts w:ascii="Arial" w:cs="Arial" w:eastAsia="Arial" w:hAnsi="Arial"/>
                <w:sz w:val="18"/>
                <w:szCs w:val="18"/>
                <w:color w:val="auto"/>
              </w:rPr>
              <w:t>48</w:t>
            </w: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Deferred income tax expense/(recovery)</w:t>
            </w:r>
          </w:p>
        </w:tc>
        <w:tc>
          <w:tcPr>
            <w:tcW w:w="80" w:type="dxa"/>
            <w:vAlign w:val="bottom"/>
            <w:shd w:val="clear" w:color="auto" w:fill="DDDDDD"/>
          </w:tcPr>
          <w:p>
            <w:pPr>
              <w:spacing w:after="0"/>
              <w:rPr>
                <w:sz w:val="23"/>
                <w:szCs w:val="23"/>
                <w:color w:val="auto"/>
              </w:rPr>
            </w:pPr>
          </w:p>
        </w:tc>
        <w:tc>
          <w:tcPr>
            <w:tcW w:w="1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420</w:t>
            </w:r>
          </w:p>
        </w:tc>
        <w:tc>
          <w:tcPr>
            <w:tcW w:w="14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55"/>
        </w:trPr>
        <w:tc>
          <w:tcPr>
            <w:tcW w:w="5020" w:type="dxa"/>
            <w:vAlign w:val="bottom"/>
            <w:vMerge w:val="restart"/>
          </w:tcPr>
          <w:p>
            <w:pPr>
              <w:spacing w:after="0"/>
              <w:rPr>
                <w:sz w:val="20"/>
                <w:szCs w:val="20"/>
                <w:color w:val="auto"/>
              </w:rPr>
            </w:pPr>
            <w:r>
              <w:rPr>
                <w:rFonts w:ascii="Arial" w:cs="Arial" w:eastAsia="Arial" w:hAnsi="Arial"/>
                <w:sz w:val="18"/>
                <w:szCs w:val="18"/>
                <w:b w:val="1"/>
                <w:bCs w:val="1"/>
                <w:color w:val="auto"/>
              </w:rPr>
              <w:t>Total income tax expense/(recovery)</w:t>
            </w:r>
          </w:p>
        </w:tc>
        <w:tc>
          <w:tcPr>
            <w:tcW w:w="80" w:type="dxa"/>
            <w:vAlign w:val="bottom"/>
            <w:shd w:val="clear" w:color="auto" w:fill="DDDDDD"/>
          </w:tcPr>
          <w:p>
            <w:pPr>
              <w:spacing w:after="0"/>
              <w:rPr>
                <w:sz w:val="4"/>
                <w:szCs w:val="4"/>
                <w:color w:val="auto"/>
              </w:rPr>
            </w:pPr>
          </w:p>
        </w:tc>
        <w:tc>
          <w:tcPr>
            <w:tcW w:w="1900" w:type="dxa"/>
            <w:vAlign w:val="bottom"/>
            <w:shd w:val="clear" w:color="auto" w:fill="DDDDDD"/>
          </w:tcPr>
          <w:p>
            <w:pPr>
              <w:spacing w:after="0"/>
              <w:rPr>
                <w:sz w:val="4"/>
                <w:szCs w:val="4"/>
                <w:color w:val="auto"/>
              </w:rPr>
            </w:pPr>
          </w:p>
        </w:tc>
        <w:tc>
          <w:tcPr>
            <w:tcW w:w="1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020" w:type="dxa"/>
            <w:vAlign w:val="bottom"/>
            <w:vMerge w:val="continue"/>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1900" w:type="dxa"/>
            <w:vAlign w:val="bottom"/>
            <w:shd w:val="clear" w:color="auto" w:fill="DDDDDD"/>
          </w:tcPr>
          <w:p>
            <w:pPr>
              <w:jc w:val="right"/>
              <w:ind w:right="10"/>
              <w:spacing w:after="0"/>
              <w:rPr>
                <w:sz w:val="20"/>
                <w:szCs w:val="20"/>
                <w:color w:val="auto"/>
              </w:rPr>
            </w:pPr>
            <w:r>
              <w:rPr>
                <w:rFonts w:ascii="Arial" w:cs="Arial" w:eastAsia="Arial" w:hAnsi="Arial"/>
                <w:sz w:val="18"/>
                <w:szCs w:val="18"/>
                <w:b w:val="1"/>
                <w:bCs w:val="1"/>
                <w:color w:val="auto"/>
              </w:rPr>
              <w:t>468</w:t>
            </w:r>
          </w:p>
        </w:tc>
        <w:tc>
          <w:tcPr>
            <w:tcW w:w="14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55"/>
        </w:trPr>
        <w:tc>
          <w:tcPr>
            <w:tcW w:w="5020" w:type="dxa"/>
            <w:vAlign w:val="bottom"/>
          </w:tcPr>
          <w:p>
            <w:pPr>
              <w:spacing w:after="0"/>
              <w:rPr>
                <w:sz w:val="4"/>
                <w:szCs w:val="4"/>
                <w:color w:val="auto"/>
              </w:rPr>
            </w:pPr>
          </w:p>
        </w:tc>
        <w:tc>
          <w:tcPr>
            <w:tcW w:w="80" w:type="dxa"/>
            <w:vAlign w:val="bottom"/>
            <w:shd w:val="clear" w:color="auto" w:fill="DDDDDD"/>
          </w:tcPr>
          <w:p>
            <w:pPr>
              <w:spacing w:after="0"/>
              <w:rPr>
                <w:sz w:val="4"/>
                <w:szCs w:val="4"/>
                <w:color w:val="auto"/>
              </w:rPr>
            </w:pPr>
          </w:p>
        </w:tc>
        <w:tc>
          <w:tcPr>
            <w:tcW w:w="1900" w:type="dxa"/>
            <w:vAlign w:val="bottom"/>
            <w:shd w:val="clear" w:color="auto" w:fill="DDDDDD"/>
          </w:tcPr>
          <w:p>
            <w:pPr>
              <w:spacing w:after="0"/>
              <w:rPr>
                <w:sz w:val="4"/>
                <w:szCs w:val="4"/>
                <w:color w:val="auto"/>
              </w:rPr>
            </w:pPr>
          </w:p>
        </w:tc>
        <w:tc>
          <w:tcPr>
            <w:tcW w:w="1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4213225</wp:posOffset>
            </wp:positionH>
            <wp:positionV relativeFrom="paragraph">
              <wp:posOffset>-986790</wp:posOffset>
            </wp:positionV>
            <wp:extent cx="2432685" cy="635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53">
                      <a:extLst>
                        <a:ext uri="{28A0092B-C50C-407E-A947-70E740481C1C}"/>
                      </a:extLst>
                    </a:blip>
                    <a:srcRect/>
                    <a:stretch>
                      <a:fillRect/>
                    </a:stretch>
                  </pic:blipFill>
                  <pic:spPr bwMode="auto">
                    <a:xfrm>
                      <a:off x="0" y="0"/>
                      <a:ext cx="2432685"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-617220</wp:posOffset>
            </wp:positionV>
            <wp:extent cx="5621020" cy="635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54">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-211455</wp:posOffset>
            </wp:positionV>
            <wp:extent cx="5621020" cy="635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55">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-5715</wp:posOffset>
            </wp:positionV>
            <wp:extent cx="5621020" cy="635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56">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218" w:lineRule="exact"/>
        <w:rPr>
          <w:sz w:val="20"/>
          <w:szCs w:val="20"/>
          <w:color w:val="auto"/>
        </w:rPr>
      </w:pPr>
    </w:p>
    <w:p>
      <w:pPr>
        <w:jc w:val="both"/>
        <w:ind w:left="1620"/>
        <w:spacing w:after="0" w:line="311" w:lineRule="auto"/>
        <w:rPr>
          <w:sz w:val="20"/>
          <w:szCs w:val="20"/>
          <w:color w:val="auto"/>
        </w:rPr>
      </w:pPr>
      <w:r>
        <w:rPr>
          <w:rFonts w:ascii="Arial" w:cs="Arial" w:eastAsia="Arial" w:hAnsi="Arial"/>
          <w:sz w:val="20"/>
          <w:szCs w:val="20"/>
          <w:color w:val="auto"/>
        </w:rPr>
        <w:t>For the year ended December 31, 2025, current income tax expense includes $48 in Canada. Def income tax expense of $420 comprises a deferred tax expense of $431 in Argentina, partially offset deferred tax recovery of $11 in Canada.</w:t>
      </w:r>
    </w:p>
    <w:p>
      <w:pPr>
        <w:spacing w:after="0" w:line="30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A reconciliation of income taxes at Switzerland statutory rates with reported taxes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236220</wp:posOffset>
            </wp:positionV>
            <wp:extent cx="5621020" cy="2857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57">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20" w:right="500"/>
        <w:spacing w:after="0" w:line="350" w:lineRule="auto"/>
        <w:rPr>
          <w:sz w:val="20"/>
          <w:szCs w:val="20"/>
          <w:color w:val="auto"/>
        </w:rPr>
      </w:pPr>
      <w:r>
        <w:rPr>
          <w:rFonts w:ascii="Arial" w:cs="Arial" w:eastAsia="Arial" w:hAnsi="Arial"/>
          <w:sz w:val="18"/>
          <w:szCs w:val="18"/>
          <w:color w:val="auto"/>
        </w:rPr>
        <w:t>(Loss)/income from continuing operations before taxes Income from discontinuing operations before taxes Total (loss)/income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-811530</wp:posOffset>
            </wp:positionV>
            <wp:extent cx="3336290" cy="635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8">
                      <a:extLst>
                        <a:ext uri="{28A0092B-C50C-407E-A947-70E740481C1C}"/>
                      </a:extLst>
                    </a:blip>
                    <a:srcRect/>
                    <a:stretch>
                      <a:fillRect/>
                    </a:stretch>
                  </pic:blipFill>
                  <pic:spPr bwMode="auto">
                    <a:xfrm>
                      <a:off x="0" y="0"/>
                      <a:ext cx="3336290" cy="6350"/>
                    </a:xfrm>
                    <a:prstGeom prst="rect">
                      <a:avLst/>
                    </a:prstGeom>
                    <a:noFill/>
                  </pic:spPr>
                </pic:pic>
              </a:graphicData>
            </a:graphic>
          </wp:anchor>
        </w:drawing>
      </w:r>
    </w:p>
    <w:p>
      <w:pPr>
        <w:spacing w:after="0" w:line="2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Statutory tax rate (Switzerland 2025; Canada prior years)</w:t>
      </w:r>
    </w:p>
    <w:p>
      <w:pPr>
        <w:spacing w:after="0" w:line="40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Expected income tax (recovery)/expense at statutory tax rate</w:t>
      </w:r>
    </w:p>
    <w:p>
      <w:pPr>
        <w:spacing w:after="0" w:line="200" w:lineRule="exact"/>
        <w:rPr>
          <w:sz w:val="20"/>
          <w:szCs w:val="20"/>
          <w:color w:val="auto"/>
        </w:rPr>
      </w:pPr>
    </w:p>
    <w:p>
      <w:pPr>
        <w:spacing w:after="0" w:line="205" w:lineRule="exact"/>
        <w:rPr>
          <w:sz w:val="20"/>
          <w:szCs w:val="20"/>
          <w:color w:val="auto"/>
        </w:rPr>
      </w:pPr>
    </w:p>
    <w:p>
      <w:pPr>
        <w:ind w:left="1620" w:right="1360"/>
        <w:spacing w:after="0" w:line="386" w:lineRule="auto"/>
        <w:rPr>
          <w:sz w:val="20"/>
          <w:szCs w:val="20"/>
          <w:color w:val="auto"/>
        </w:rPr>
      </w:pPr>
      <w:r>
        <w:rPr>
          <w:rFonts w:ascii="Arial" w:cs="Arial" w:eastAsia="Arial" w:hAnsi="Arial"/>
          <w:sz w:val="17"/>
          <w:szCs w:val="17"/>
          <w:color w:val="auto"/>
        </w:rPr>
        <w:t>Items not taxable for income tax purposes Effect of lower tax rate in foreign jurisdiction</w:t>
      </w:r>
    </w:p>
    <w:p>
      <w:pPr>
        <w:ind w:left="1620" w:right="80"/>
        <w:spacing w:after="0" w:line="307" w:lineRule="auto"/>
        <w:rPr>
          <w:sz w:val="20"/>
          <w:szCs w:val="20"/>
          <w:color w:val="auto"/>
        </w:rPr>
      </w:pPr>
      <w:r>
        <w:rPr>
          <w:rFonts w:ascii="Arial" w:cs="Arial" w:eastAsia="Arial" w:hAnsi="Arial"/>
          <w:sz w:val="18"/>
          <w:szCs w:val="18"/>
          <w:color w:val="auto"/>
        </w:rPr>
        <w:t>Foreign exchange related to the weakening of the Argentine Pesos</w:t>
      </w:r>
    </w:p>
    <w:p>
      <w:pPr>
        <w:spacing w:after="0" w:line="28" w:lineRule="exact"/>
        <w:rPr>
          <w:sz w:val="20"/>
          <w:szCs w:val="20"/>
          <w:color w:val="auto"/>
        </w:rPr>
      </w:pPr>
    </w:p>
    <w:p>
      <w:pPr>
        <w:ind w:left="1620" w:right="500"/>
        <w:spacing w:after="0" w:line="369" w:lineRule="auto"/>
        <w:rPr>
          <w:sz w:val="20"/>
          <w:szCs w:val="20"/>
          <w:color w:val="auto"/>
        </w:rPr>
      </w:pPr>
      <w:r>
        <w:rPr>
          <w:rFonts w:ascii="Arial" w:cs="Arial" w:eastAsia="Arial" w:hAnsi="Arial"/>
          <w:sz w:val="18"/>
          <w:szCs w:val="18"/>
          <w:color w:val="auto"/>
        </w:rPr>
        <w:t xml:space="preserve">Change in unrecognized deferred tax assets and other </w:t>
      </w:r>
      <w:r>
        <w:rPr>
          <w:rFonts w:ascii="Arial" w:cs="Arial" w:eastAsia="Arial" w:hAnsi="Arial"/>
          <w:sz w:val="18"/>
          <w:szCs w:val="18"/>
          <w:b w:val="1"/>
          <w:bCs w:val="1"/>
          <w:color w:val="auto"/>
        </w:rPr>
        <w:t>Tax expense/(recovery)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-234950</wp:posOffset>
            </wp:positionV>
            <wp:extent cx="3336290" cy="635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9">
                      <a:extLst>
                        <a:ext uri="{28A0092B-C50C-407E-A947-70E740481C1C}"/>
                      </a:extLst>
                    </a:blip>
                    <a:srcRect/>
                    <a:stretch>
                      <a:fillRect/>
                    </a:stretch>
                  </pic:blipFill>
                  <pic:spPr bwMode="auto">
                    <a:xfrm>
                      <a:off x="0" y="0"/>
                      <a:ext cx="333629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-29210</wp:posOffset>
            </wp:positionV>
            <wp:extent cx="3336290" cy="635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60">
                      <a:extLst>
                        <a:ext uri="{28A0092B-C50C-407E-A947-70E740481C1C}"/>
                      </a:extLst>
                    </a:blip>
                    <a:srcRect/>
                    <a:stretch>
                      <a:fillRect/>
                    </a:stretch>
                  </pic:blipFill>
                  <pic:spPr bwMode="auto">
                    <a:xfrm>
                      <a:off x="0" y="0"/>
                      <a:ext cx="333629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2226310" cy="635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61">
                      <a:extLst>
                        <a:ext uri="{28A0092B-C50C-407E-A947-70E740481C1C}"/>
                      </a:extLst>
                    </a:blip>
                    <a:srcRect/>
                    <a:stretch>
                      <a:fillRect/>
                    </a:stretch>
                  </pic:blipFill>
                  <pic:spPr bwMode="auto">
                    <a:xfrm>
                      <a:off x="0" y="0"/>
                      <a:ext cx="2226310" cy="6350"/>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0" w:type="dxa"/>
            <w:vAlign w:val="bottom"/>
            <w:shd w:val="clear" w:color="auto" w:fill="D9D9D9"/>
          </w:tcPr>
          <w:p>
            <w:pPr>
              <w:spacing w:after="0"/>
              <w:rPr>
                <w:sz w:val="21"/>
                <w:szCs w:val="21"/>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b w:val="1"/>
                <w:bCs w:val="1"/>
                <w:color w:val="auto"/>
              </w:rPr>
              <w:t>2025</w:t>
            </w:r>
          </w:p>
        </w:tc>
        <w:tc>
          <w:tcPr>
            <w:tcW w:w="180" w:type="dxa"/>
            <w:vAlign w:val="bottom"/>
            <w:shd w:val="clear" w:color="auto" w:fill="D9D9D9"/>
          </w:tcPr>
          <w:p>
            <w:pPr>
              <w:spacing w:after="0"/>
              <w:rPr>
                <w:sz w:val="21"/>
                <w:szCs w:val="21"/>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36"/>
        </w:trPr>
        <w:tc>
          <w:tcPr>
            <w:tcW w:w="100" w:type="dxa"/>
            <w:vAlign w:val="bottom"/>
            <w:shd w:val="clear" w:color="auto" w:fill="D9D9D9"/>
          </w:tcPr>
          <w:p>
            <w:pPr>
              <w:spacing w:after="0"/>
              <w:rPr>
                <w:sz w:val="3"/>
                <w:szCs w:val="3"/>
                <w:color w:val="auto"/>
              </w:rPr>
            </w:pPr>
          </w:p>
        </w:tc>
        <w:tc>
          <w:tcPr>
            <w:tcW w:w="1020" w:type="dxa"/>
            <w:vAlign w:val="bottom"/>
            <w:vMerge w:val="restart"/>
            <w:shd w:val="clear" w:color="auto" w:fill="D9D9D9"/>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9D9D9"/>
          </w:tcPr>
          <w:p>
            <w:pPr>
              <w:spacing w:after="0"/>
              <w:rPr>
                <w:sz w:val="3"/>
                <w:szCs w:val="3"/>
                <w:color w:val="auto"/>
              </w:rPr>
            </w:pPr>
          </w:p>
        </w:tc>
        <w:tc>
          <w:tcPr>
            <w:tcW w:w="14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shd w:val="clear" w:color="auto" w:fill="D9D9D9"/>
          </w:tcPr>
          <w:p>
            <w:pPr>
              <w:spacing w:after="0"/>
              <w:rPr>
                <w:sz w:val="21"/>
                <w:szCs w:val="21"/>
                <w:color w:val="auto"/>
              </w:rPr>
            </w:pPr>
          </w:p>
        </w:tc>
        <w:tc>
          <w:tcPr>
            <w:tcW w:w="1020" w:type="dxa"/>
            <w:vAlign w:val="bottom"/>
            <w:vMerge w:val="continue"/>
            <w:shd w:val="clear" w:color="auto" w:fill="D9D9D9"/>
          </w:tcPr>
          <w:p>
            <w:pPr>
              <w:spacing w:after="0"/>
              <w:rPr>
                <w:sz w:val="21"/>
                <w:szCs w:val="21"/>
                <w:color w:val="auto"/>
              </w:rPr>
            </w:pPr>
          </w:p>
        </w:tc>
        <w:tc>
          <w:tcPr>
            <w:tcW w:w="180" w:type="dxa"/>
            <w:vAlign w:val="bottom"/>
            <w:shd w:val="clear" w:color="auto" w:fill="D9D9D9"/>
          </w:tcPr>
          <w:p>
            <w:pPr>
              <w:spacing w:after="0"/>
              <w:rPr>
                <w:sz w:val="21"/>
                <w:szCs w:val="21"/>
                <w:color w:val="auto"/>
              </w:rPr>
            </w:pPr>
          </w:p>
        </w:tc>
        <w:tc>
          <w:tcPr>
            <w:tcW w:w="1460" w:type="dxa"/>
            <w:vAlign w:val="bottom"/>
            <w:vMerge w:val="continue"/>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100" w:type="dxa"/>
            <w:vAlign w:val="bottom"/>
            <w:shd w:val="clear" w:color="auto" w:fill="D9D9D9"/>
          </w:tcPr>
          <w:p>
            <w:pPr>
              <w:spacing w:after="0"/>
              <w:rPr>
                <w:sz w:val="4"/>
                <w:szCs w:val="4"/>
                <w:color w:val="auto"/>
              </w:rPr>
            </w:pPr>
          </w:p>
        </w:tc>
        <w:tc>
          <w:tcPr>
            <w:tcW w:w="1020" w:type="dxa"/>
            <w:vAlign w:val="bottom"/>
            <w:shd w:val="clear" w:color="auto" w:fill="D9D9D9"/>
          </w:tcPr>
          <w:p>
            <w:pPr>
              <w:spacing w:after="0"/>
              <w:rPr>
                <w:sz w:val="4"/>
                <w:szCs w:val="4"/>
                <w:color w:val="auto"/>
              </w:rPr>
            </w:pPr>
          </w:p>
        </w:tc>
        <w:tc>
          <w:tcPr>
            <w:tcW w:w="180" w:type="dxa"/>
            <w:vAlign w:val="bottom"/>
            <w:shd w:val="clear" w:color="auto" w:fill="D9D9D9"/>
          </w:tcPr>
          <w:p>
            <w:pPr>
              <w:spacing w:after="0"/>
              <w:rPr>
                <w:sz w:val="4"/>
                <w:szCs w:val="4"/>
                <w:color w:val="auto"/>
              </w:rPr>
            </w:pPr>
          </w:p>
        </w:tc>
        <w:tc>
          <w:tcPr>
            <w:tcW w:w="1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100" w:type="dxa"/>
            <w:vAlign w:val="bottom"/>
            <w:shd w:val="clear" w:color="auto" w:fill="D9D9D9"/>
          </w:tcPr>
          <w:p>
            <w:pPr>
              <w:spacing w:after="0"/>
              <w:rPr>
                <w:sz w:val="24"/>
                <w:szCs w:val="24"/>
                <w:color w:val="auto"/>
              </w:rPr>
            </w:pPr>
          </w:p>
        </w:tc>
        <w:tc>
          <w:tcPr>
            <w:tcW w:w="1020" w:type="dxa"/>
            <w:vAlign w:val="bottom"/>
            <w:vMerge w:val="restart"/>
            <w:shd w:val="clear" w:color="auto" w:fill="D9D9D9"/>
          </w:tcPr>
          <w:p>
            <w:pPr>
              <w:jc w:val="right"/>
              <w:spacing w:after="0"/>
              <w:rPr>
                <w:sz w:val="20"/>
                <w:szCs w:val="20"/>
                <w:color w:val="auto"/>
              </w:rPr>
            </w:pPr>
            <w:r>
              <w:rPr>
                <w:rFonts w:ascii="Arial" w:cs="Arial" w:eastAsia="Arial" w:hAnsi="Arial"/>
                <w:sz w:val="18"/>
                <w:szCs w:val="18"/>
                <w:color w:val="auto"/>
              </w:rPr>
              <w:t>(76,412</w:t>
            </w:r>
          </w:p>
        </w:tc>
        <w:tc>
          <w:tcPr>
            <w:tcW w:w="180" w:type="dxa"/>
            <w:vAlign w:val="bottom"/>
            <w:vMerge w:val="restart"/>
            <w:shd w:val="clear" w:color="auto" w:fill="D9D9D9"/>
          </w:tcPr>
          <w:p>
            <w:pPr>
              <w:jc w:val="right"/>
              <w:ind w:right="40"/>
              <w:spacing w:after="0"/>
              <w:rPr>
                <w:sz w:val="20"/>
                <w:szCs w:val="20"/>
                <w:color w:val="auto"/>
              </w:rPr>
            </w:pPr>
            <w:r>
              <w:rPr>
                <w:rFonts w:ascii="Arial" w:cs="Arial" w:eastAsia="Arial" w:hAnsi="Arial"/>
                <w:sz w:val="16"/>
                <w:szCs w:val="16"/>
                <w:color w:val="auto"/>
                <w:w w:val="74"/>
              </w:rPr>
              <w:t>)</w:t>
            </w:r>
          </w:p>
        </w:tc>
        <w:tc>
          <w:tcPr>
            <w:tcW w:w="1460" w:type="dxa"/>
            <w:vAlign w:val="bottom"/>
            <w:vMerge w:val="restart"/>
          </w:tcPr>
          <w:p>
            <w:pPr>
              <w:jc w:val="right"/>
              <w:ind w:right="190"/>
              <w:spacing w:after="0"/>
              <w:rPr>
                <w:sz w:val="20"/>
                <w:szCs w:val="20"/>
                <w:color w:val="auto"/>
              </w:rPr>
            </w:pPr>
            <w:r>
              <w:rPr>
                <w:rFonts w:ascii="Arial" w:cs="Arial" w:eastAsia="Arial" w:hAnsi="Arial"/>
                <w:sz w:val="18"/>
                <w:szCs w:val="18"/>
                <w:color w:val="auto"/>
              </w:rPr>
              <w:t>(25,899)</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8"/>
        </w:trPr>
        <w:tc>
          <w:tcPr>
            <w:tcW w:w="100" w:type="dxa"/>
            <w:vAlign w:val="bottom"/>
            <w:shd w:val="clear" w:color="auto" w:fill="D9D9D9"/>
          </w:tcPr>
          <w:p>
            <w:pPr>
              <w:spacing w:after="0"/>
              <w:rPr>
                <w:sz w:val="24"/>
                <w:szCs w:val="24"/>
                <w:color w:val="auto"/>
              </w:rPr>
            </w:pPr>
          </w:p>
        </w:tc>
        <w:tc>
          <w:tcPr>
            <w:tcW w:w="1020" w:type="dxa"/>
            <w:vAlign w:val="bottom"/>
            <w:vMerge w:val="continue"/>
            <w:shd w:val="clear" w:color="auto" w:fill="D9D9D9"/>
          </w:tcPr>
          <w:p>
            <w:pPr>
              <w:spacing w:after="0"/>
              <w:rPr>
                <w:sz w:val="24"/>
                <w:szCs w:val="24"/>
                <w:color w:val="auto"/>
              </w:rPr>
            </w:pPr>
          </w:p>
        </w:tc>
        <w:tc>
          <w:tcPr>
            <w:tcW w:w="180" w:type="dxa"/>
            <w:vAlign w:val="bottom"/>
            <w:vMerge w:val="continue"/>
            <w:shd w:val="clear" w:color="auto" w:fill="D9D9D9"/>
          </w:tcPr>
          <w:p>
            <w:pPr>
              <w:spacing w:after="0"/>
              <w:rPr>
                <w:sz w:val="24"/>
                <w:szCs w:val="24"/>
                <w:color w:val="auto"/>
              </w:rPr>
            </w:pPr>
          </w:p>
        </w:tc>
        <w:tc>
          <w:tcPr>
            <w:tcW w:w="146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0" w:type="dxa"/>
            <w:vAlign w:val="bottom"/>
            <w:shd w:val="clear" w:color="auto" w:fill="D9D9D9"/>
          </w:tcPr>
          <w:p>
            <w:pPr>
              <w:spacing w:after="0"/>
              <w:rPr>
                <w:sz w:val="24"/>
                <w:szCs w:val="24"/>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9D9D9"/>
          </w:tcPr>
          <w:p>
            <w:pPr>
              <w:spacing w:after="0"/>
              <w:rPr>
                <w:sz w:val="24"/>
                <w:szCs w:val="24"/>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1,270,7</w:t>
            </w:r>
          </w:p>
        </w:tc>
        <w:tc>
          <w:tcPr>
            <w:tcW w:w="0" w:type="dxa"/>
            <w:vAlign w:val="bottom"/>
          </w:tcPr>
          <w:p>
            <w:pPr>
              <w:spacing w:after="0"/>
              <w:rPr>
                <w:sz w:val="1"/>
                <w:szCs w:val="1"/>
                <w:color w:val="auto"/>
              </w:rPr>
            </w:pPr>
          </w:p>
        </w:tc>
      </w:tr>
      <w:tr>
        <w:trPr>
          <w:trHeight w:val="333"/>
        </w:trPr>
        <w:tc>
          <w:tcPr>
            <w:tcW w:w="100" w:type="dxa"/>
            <w:vAlign w:val="bottom"/>
            <w:shd w:val="clear" w:color="auto" w:fill="D9D9D9"/>
          </w:tcPr>
          <w:p>
            <w:pPr>
              <w:spacing w:after="0"/>
              <w:rPr>
                <w:sz w:val="24"/>
                <w:szCs w:val="24"/>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(76,412</w:t>
            </w:r>
          </w:p>
        </w:tc>
        <w:tc>
          <w:tcPr>
            <w:tcW w:w="180" w:type="dxa"/>
            <w:vAlign w:val="bottom"/>
            <w:shd w:val="clear" w:color="auto" w:fill="D9D9D9"/>
          </w:tcPr>
          <w:p>
            <w:pPr>
              <w:jc w:val="right"/>
              <w:ind w:right="40"/>
              <w:spacing w:after="0"/>
              <w:rPr>
                <w:sz w:val="20"/>
                <w:szCs w:val="20"/>
                <w:color w:val="auto"/>
              </w:rPr>
            </w:pPr>
            <w:r>
              <w:rPr>
                <w:rFonts w:ascii="Arial" w:cs="Arial" w:eastAsia="Arial" w:hAnsi="Arial"/>
                <w:sz w:val="16"/>
                <w:szCs w:val="16"/>
                <w:color w:val="auto"/>
                <w:w w:val="74"/>
              </w:rPr>
              <w:t>)</w:t>
            </w:r>
          </w:p>
        </w:tc>
        <w:tc>
          <w:tcPr>
            <w:tcW w:w="1460" w:type="dxa"/>
            <w:vAlign w:val="bottom"/>
          </w:tcPr>
          <w:p>
            <w:pPr>
              <w:jc w:val="right"/>
              <w:ind w:right="190"/>
              <w:spacing w:after="0"/>
              <w:rPr>
                <w:sz w:val="20"/>
                <w:szCs w:val="20"/>
                <w:color w:val="auto"/>
              </w:rPr>
            </w:pPr>
            <w:r>
              <w:rPr>
                <w:rFonts w:ascii="Arial" w:cs="Arial" w:eastAsia="Arial" w:hAnsi="Arial"/>
                <w:sz w:val="18"/>
                <w:szCs w:val="18"/>
                <w:color w:val="auto"/>
              </w:rPr>
              <w:t>(25,899)</w:t>
            </w:r>
          </w:p>
        </w:tc>
        <w:tc>
          <w:tcPr>
            <w:tcW w:w="740" w:type="dxa"/>
            <w:vAlign w:val="bottom"/>
          </w:tcPr>
          <w:p>
            <w:pPr>
              <w:jc w:val="right"/>
              <w:spacing w:after="0"/>
              <w:rPr>
                <w:sz w:val="20"/>
                <w:szCs w:val="20"/>
                <w:color w:val="auto"/>
              </w:rPr>
            </w:pPr>
            <w:r>
              <w:rPr>
                <w:rFonts w:ascii="Arial" w:cs="Arial" w:eastAsia="Arial" w:hAnsi="Arial"/>
                <w:sz w:val="18"/>
                <w:szCs w:val="18"/>
                <w:color w:val="auto"/>
              </w:rPr>
              <w:t>1,299,0</w:t>
            </w:r>
          </w:p>
        </w:tc>
        <w:tc>
          <w:tcPr>
            <w:tcW w:w="0" w:type="dxa"/>
            <w:vAlign w:val="bottom"/>
          </w:tcPr>
          <w:p>
            <w:pPr>
              <w:spacing w:after="0"/>
              <w:rPr>
                <w:sz w:val="1"/>
                <w:szCs w:val="1"/>
                <w:color w:val="auto"/>
              </w:rPr>
            </w:pPr>
          </w:p>
        </w:tc>
      </w:tr>
      <w:tr>
        <w:trPr>
          <w:trHeight w:val="36"/>
        </w:trPr>
        <w:tc>
          <w:tcPr>
            <w:tcW w:w="100" w:type="dxa"/>
            <w:vAlign w:val="bottom"/>
            <w:shd w:val="clear" w:color="auto" w:fill="D9D9D9"/>
          </w:tcPr>
          <w:p>
            <w:pPr>
              <w:spacing w:after="0"/>
              <w:rPr>
                <w:sz w:val="3"/>
                <w:szCs w:val="3"/>
                <w:color w:val="auto"/>
              </w:rPr>
            </w:pPr>
          </w:p>
        </w:tc>
        <w:tc>
          <w:tcPr>
            <w:tcW w:w="1020" w:type="dxa"/>
            <w:vAlign w:val="bottom"/>
            <w:shd w:val="clear" w:color="auto" w:fill="D9D9D9"/>
          </w:tcPr>
          <w:p>
            <w:pPr>
              <w:spacing w:after="0"/>
              <w:rPr>
                <w:sz w:val="3"/>
                <w:szCs w:val="3"/>
                <w:color w:val="auto"/>
              </w:rPr>
            </w:pPr>
          </w:p>
        </w:tc>
        <w:tc>
          <w:tcPr>
            <w:tcW w:w="180" w:type="dxa"/>
            <w:vAlign w:val="bottom"/>
            <w:shd w:val="clear" w:color="auto" w:fill="D9D9D9"/>
          </w:tcPr>
          <w:p>
            <w:pPr>
              <w:spacing w:after="0"/>
              <w:rPr>
                <w:sz w:val="3"/>
                <w:szCs w:val="3"/>
                <w:color w:val="auto"/>
              </w:rPr>
            </w:pPr>
          </w:p>
        </w:tc>
        <w:tc>
          <w:tcPr>
            <w:tcW w:w="1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6"/>
        </w:trPr>
        <w:tc>
          <w:tcPr>
            <w:tcW w:w="100" w:type="dxa"/>
            <w:vAlign w:val="bottom"/>
            <w:shd w:val="clear" w:color="auto" w:fill="D9D9D9"/>
          </w:tcPr>
          <w:p>
            <w:pPr>
              <w:spacing w:after="0"/>
              <w:rPr>
                <w:sz w:val="24"/>
                <w:szCs w:val="24"/>
                <w:color w:val="auto"/>
              </w:rPr>
            </w:pPr>
          </w:p>
        </w:tc>
        <w:tc>
          <w:tcPr>
            <w:tcW w:w="102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00" w:type="dxa"/>
            <w:vAlign w:val="bottom"/>
            <w:shd w:val="clear" w:color="auto" w:fill="D9D9D9"/>
          </w:tcPr>
          <w:p>
            <w:pPr>
              <w:spacing w:after="0"/>
              <w:rPr>
                <w:sz w:val="24"/>
                <w:szCs w:val="24"/>
                <w:color w:val="auto"/>
              </w:rPr>
            </w:pPr>
          </w:p>
        </w:tc>
        <w:tc>
          <w:tcPr>
            <w:tcW w:w="120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11.9%</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27.0%</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6"/>
        </w:trPr>
        <w:tc>
          <w:tcPr>
            <w:tcW w:w="100" w:type="dxa"/>
            <w:vAlign w:val="bottom"/>
            <w:shd w:val="clear" w:color="auto" w:fill="D9D9D9"/>
          </w:tcPr>
          <w:p>
            <w:pPr>
              <w:spacing w:after="0"/>
              <w:rPr>
                <w:sz w:val="3"/>
                <w:szCs w:val="3"/>
                <w:color w:val="auto"/>
              </w:rPr>
            </w:pPr>
          </w:p>
        </w:tc>
        <w:tc>
          <w:tcPr>
            <w:tcW w:w="1200" w:type="dxa"/>
            <w:vAlign w:val="bottom"/>
            <w:gridSpan w:val="2"/>
            <w:shd w:val="clear" w:color="auto" w:fill="D9D9D9"/>
          </w:tcPr>
          <w:p>
            <w:pPr>
              <w:spacing w:after="0"/>
              <w:rPr>
                <w:sz w:val="3"/>
                <w:szCs w:val="3"/>
                <w:color w:val="auto"/>
              </w:rPr>
            </w:pPr>
          </w:p>
        </w:tc>
        <w:tc>
          <w:tcPr>
            <w:tcW w:w="1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6"/>
        </w:trPr>
        <w:tc>
          <w:tcPr>
            <w:tcW w:w="100" w:type="dxa"/>
            <w:vAlign w:val="bottom"/>
            <w:shd w:val="clear" w:color="auto" w:fill="D9D9D9"/>
          </w:tcPr>
          <w:p>
            <w:pPr>
              <w:spacing w:after="0"/>
              <w:rPr>
                <w:sz w:val="24"/>
                <w:szCs w:val="24"/>
                <w:color w:val="auto"/>
              </w:rPr>
            </w:pPr>
          </w:p>
        </w:tc>
        <w:tc>
          <w:tcPr>
            <w:tcW w:w="1200" w:type="dxa"/>
            <w:vAlign w:val="bottom"/>
            <w:gridSpan w:val="2"/>
            <w:vMerge w:val="restart"/>
            <w:shd w:val="clear" w:color="auto" w:fill="D9D9D9"/>
          </w:tcPr>
          <w:p>
            <w:pPr>
              <w:jc w:val="right"/>
              <w:ind w:right="40"/>
              <w:spacing w:after="0"/>
              <w:rPr>
                <w:sz w:val="20"/>
                <w:szCs w:val="20"/>
                <w:color w:val="auto"/>
              </w:rPr>
            </w:pPr>
            <w:r>
              <w:rPr>
                <w:rFonts w:ascii="Arial" w:cs="Arial" w:eastAsia="Arial" w:hAnsi="Arial"/>
                <w:sz w:val="18"/>
                <w:szCs w:val="18"/>
                <w:color w:val="auto"/>
              </w:rPr>
              <w:t>(9,055)</w:t>
            </w:r>
          </w:p>
        </w:tc>
        <w:tc>
          <w:tcPr>
            <w:tcW w:w="1460" w:type="dxa"/>
            <w:vAlign w:val="bottom"/>
            <w:vMerge w:val="restart"/>
          </w:tcPr>
          <w:p>
            <w:pPr>
              <w:jc w:val="right"/>
              <w:ind w:right="190"/>
              <w:spacing w:after="0"/>
              <w:rPr>
                <w:sz w:val="20"/>
                <w:szCs w:val="20"/>
                <w:color w:val="auto"/>
              </w:rPr>
            </w:pPr>
            <w:r>
              <w:rPr>
                <w:rFonts w:ascii="Arial" w:cs="Arial" w:eastAsia="Arial" w:hAnsi="Arial"/>
                <w:sz w:val="18"/>
                <w:szCs w:val="18"/>
                <w:color w:val="auto"/>
              </w:rPr>
              <w:t>(6,993)</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78"/>
        </w:trPr>
        <w:tc>
          <w:tcPr>
            <w:tcW w:w="100" w:type="dxa"/>
            <w:vAlign w:val="bottom"/>
            <w:shd w:val="clear" w:color="auto" w:fill="D9D9D9"/>
          </w:tcPr>
          <w:p>
            <w:pPr>
              <w:spacing w:after="0"/>
              <w:rPr>
                <w:sz w:val="24"/>
                <w:szCs w:val="24"/>
                <w:color w:val="auto"/>
              </w:rPr>
            </w:pPr>
          </w:p>
        </w:tc>
        <w:tc>
          <w:tcPr>
            <w:tcW w:w="1200" w:type="dxa"/>
            <w:vAlign w:val="bottom"/>
            <w:gridSpan w:val="2"/>
            <w:vMerge w:val="continue"/>
            <w:shd w:val="clear" w:color="auto" w:fill="D9D9D9"/>
          </w:tcPr>
          <w:p>
            <w:pPr>
              <w:spacing w:after="0"/>
              <w:rPr>
                <w:sz w:val="24"/>
                <w:szCs w:val="24"/>
                <w:color w:val="auto"/>
              </w:rPr>
            </w:pPr>
          </w:p>
        </w:tc>
        <w:tc>
          <w:tcPr>
            <w:tcW w:w="146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100" w:type="dxa"/>
            <w:vAlign w:val="bottom"/>
            <w:shd w:val="clear" w:color="auto" w:fill="D9D9D9"/>
          </w:tcPr>
          <w:p>
            <w:pPr>
              <w:spacing w:after="0"/>
              <w:rPr>
                <w:sz w:val="3"/>
                <w:szCs w:val="3"/>
                <w:color w:val="auto"/>
              </w:rPr>
            </w:pPr>
          </w:p>
        </w:tc>
        <w:tc>
          <w:tcPr>
            <w:tcW w:w="1020" w:type="dxa"/>
            <w:vAlign w:val="bottom"/>
            <w:shd w:val="clear" w:color="auto" w:fill="D9D9D9"/>
          </w:tcPr>
          <w:p>
            <w:pPr>
              <w:spacing w:after="0"/>
              <w:rPr>
                <w:sz w:val="3"/>
                <w:szCs w:val="3"/>
                <w:color w:val="auto"/>
              </w:rPr>
            </w:pPr>
          </w:p>
        </w:tc>
        <w:tc>
          <w:tcPr>
            <w:tcW w:w="180" w:type="dxa"/>
            <w:vAlign w:val="bottom"/>
            <w:shd w:val="clear" w:color="auto" w:fill="D9D9D9"/>
          </w:tcPr>
          <w:p>
            <w:pPr>
              <w:spacing w:after="0"/>
              <w:rPr>
                <w:sz w:val="3"/>
                <w:szCs w:val="3"/>
                <w:color w:val="auto"/>
              </w:rPr>
            </w:pPr>
          </w:p>
        </w:tc>
        <w:tc>
          <w:tcPr>
            <w:tcW w:w="1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6"/>
        </w:trPr>
        <w:tc>
          <w:tcPr>
            <w:tcW w:w="100" w:type="dxa"/>
            <w:vAlign w:val="bottom"/>
            <w:shd w:val="clear" w:color="auto" w:fill="D9D9D9"/>
          </w:tcPr>
          <w:p>
            <w:pPr>
              <w:spacing w:after="0"/>
              <w:rPr>
                <w:sz w:val="24"/>
                <w:szCs w:val="24"/>
                <w:color w:val="auto"/>
              </w:rPr>
            </w:pPr>
          </w:p>
        </w:tc>
        <w:tc>
          <w:tcPr>
            <w:tcW w:w="102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00" w:type="dxa"/>
            <w:vAlign w:val="bottom"/>
            <w:shd w:val="clear" w:color="auto" w:fill="D9D9D9"/>
          </w:tcPr>
          <w:p>
            <w:pPr>
              <w:spacing w:after="0"/>
              <w:rPr>
                <w:sz w:val="24"/>
                <w:szCs w:val="24"/>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3,688</w:t>
            </w:r>
          </w:p>
        </w:tc>
        <w:tc>
          <w:tcPr>
            <w:tcW w:w="180" w:type="dxa"/>
            <w:vAlign w:val="bottom"/>
            <w:shd w:val="clear" w:color="auto" w:fill="D9D9D9"/>
          </w:tcPr>
          <w:p>
            <w:pPr>
              <w:spacing w:after="0"/>
              <w:rPr>
                <w:sz w:val="24"/>
                <w:szCs w:val="24"/>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color w:val="auto"/>
              </w:rPr>
              <w:t>(4,311)</w:t>
            </w:r>
          </w:p>
        </w:tc>
        <w:tc>
          <w:tcPr>
            <w:tcW w:w="740" w:type="dxa"/>
            <w:vAlign w:val="bottom"/>
          </w:tcPr>
          <w:p>
            <w:pPr>
              <w:jc w:val="right"/>
              <w:spacing w:after="0"/>
              <w:rPr>
                <w:sz w:val="20"/>
                <w:szCs w:val="20"/>
                <w:color w:val="auto"/>
              </w:rPr>
            </w:pPr>
            <w:r>
              <w:rPr>
                <w:rFonts w:ascii="Arial" w:cs="Arial" w:eastAsia="Arial" w:hAnsi="Arial"/>
                <w:sz w:val="18"/>
                <w:szCs w:val="18"/>
                <w:color w:val="auto"/>
              </w:rPr>
              <w:t>(348,1</w:t>
            </w:r>
          </w:p>
        </w:tc>
        <w:tc>
          <w:tcPr>
            <w:tcW w:w="0" w:type="dxa"/>
            <w:vAlign w:val="bottom"/>
          </w:tcPr>
          <w:p>
            <w:pPr>
              <w:spacing w:after="0"/>
              <w:rPr>
                <w:sz w:val="1"/>
                <w:szCs w:val="1"/>
                <w:color w:val="auto"/>
              </w:rPr>
            </w:pPr>
          </w:p>
        </w:tc>
      </w:tr>
      <w:tr>
        <w:trPr>
          <w:trHeight w:val="306"/>
        </w:trPr>
        <w:tc>
          <w:tcPr>
            <w:tcW w:w="100" w:type="dxa"/>
            <w:vAlign w:val="bottom"/>
            <w:shd w:val="clear" w:color="auto" w:fill="D9D9D9"/>
          </w:tcPr>
          <w:p>
            <w:pPr>
              <w:spacing w:after="0"/>
              <w:rPr>
                <w:sz w:val="24"/>
                <w:szCs w:val="24"/>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9D9D9"/>
          </w:tcPr>
          <w:p>
            <w:pPr>
              <w:spacing w:after="0"/>
              <w:rPr>
                <w:sz w:val="24"/>
                <w:szCs w:val="24"/>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5"/>
        </w:trPr>
        <w:tc>
          <w:tcPr>
            <w:tcW w:w="100" w:type="dxa"/>
            <w:vAlign w:val="bottom"/>
            <w:shd w:val="clear" w:color="auto" w:fill="D9D9D9"/>
          </w:tcPr>
          <w:p>
            <w:pPr>
              <w:spacing w:after="0"/>
              <w:rPr>
                <w:sz w:val="3"/>
                <w:szCs w:val="3"/>
                <w:color w:val="auto"/>
              </w:rPr>
            </w:pPr>
          </w:p>
        </w:tc>
        <w:tc>
          <w:tcPr>
            <w:tcW w:w="1020" w:type="dxa"/>
            <w:vAlign w:val="bottom"/>
            <w:shd w:val="clear" w:color="auto" w:fill="D9D9D9"/>
          </w:tcPr>
          <w:p>
            <w:pPr>
              <w:spacing w:after="0"/>
              <w:rPr>
                <w:sz w:val="3"/>
                <w:szCs w:val="3"/>
                <w:color w:val="auto"/>
              </w:rPr>
            </w:pPr>
          </w:p>
        </w:tc>
        <w:tc>
          <w:tcPr>
            <w:tcW w:w="180" w:type="dxa"/>
            <w:vAlign w:val="bottom"/>
            <w:shd w:val="clear" w:color="auto" w:fill="D9D9D9"/>
          </w:tcPr>
          <w:p>
            <w:pPr>
              <w:spacing w:after="0"/>
              <w:rPr>
                <w:sz w:val="3"/>
                <w:szCs w:val="3"/>
                <w:color w:val="auto"/>
              </w:rPr>
            </w:pPr>
          </w:p>
        </w:tc>
        <w:tc>
          <w:tcPr>
            <w:tcW w:w="1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13"/>
        </w:trPr>
        <w:tc>
          <w:tcPr>
            <w:tcW w:w="100" w:type="dxa"/>
            <w:vAlign w:val="bottom"/>
            <w:shd w:val="clear" w:color="auto" w:fill="D9D9D9"/>
          </w:tcPr>
          <w:p>
            <w:pPr>
              <w:spacing w:after="0"/>
              <w:rPr>
                <w:sz w:val="24"/>
                <w:szCs w:val="24"/>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9D9D9"/>
          </w:tcPr>
          <w:p>
            <w:pPr>
              <w:spacing w:after="0"/>
              <w:rPr>
                <w:sz w:val="24"/>
                <w:szCs w:val="24"/>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14"/>
        </w:trPr>
        <w:tc>
          <w:tcPr>
            <w:tcW w:w="100" w:type="dxa"/>
            <w:vAlign w:val="bottom"/>
            <w:shd w:val="clear" w:color="auto" w:fill="D9D9D9"/>
          </w:tcPr>
          <w:p>
            <w:pPr>
              <w:spacing w:after="0"/>
              <w:rPr>
                <w:sz w:val="24"/>
                <w:szCs w:val="24"/>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5,835</w:t>
            </w:r>
          </w:p>
        </w:tc>
        <w:tc>
          <w:tcPr>
            <w:tcW w:w="180" w:type="dxa"/>
            <w:vAlign w:val="bottom"/>
            <w:shd w:val="clear" w:color="auto" w:fill="D9D9D9"/>
          </w:tcPr>
          <w:p>
            <w:pPr>
              <w:spacing w:after="0"/>
              <w:rPr>
                <w:sz w:val="24"/>
                <w:szCs w:val="24"/>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645</w:t>
            </w: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55"/>
        </w:trPr>
        <w:tc>
          <w:tcPr>
            <w:tcW w:w="100" w:type="dxa"/>
            <w:vAlign w:val="bottom"/>
            <w:shd w:val="clear" w:color="auto" w:fill="D9D9D9"/>
          </w:tcPr>
          <w:p>
            <w:pPr>
              <w:spacing w:after="0"/>
              <w:rPr>
                <w:sz w:val="4"/>
                <w:szCs w:val="4"/>
                <w:color w:val="auto"/>
              </w:rPr>
            </w:pPr>
          </w:p>
        </w:tc>
        <w:tc>
          <w:tcPr>
            <w:tcW w:w="1020" w:type="dxa"/>
            <w:vAlign w:val="bottom"/>
            <w:shd w:val="clear" w:color="auto" w:fill="D9D9D9"/>
          </w:tcPr>
          <w:p>
            <w:pPr>
              <w:spacing w:after="0"/>
              <w:rPr>
                <w:sz w:val="4"/>
                <w:szCs w:val="4"/>
                <w:color w:val="auto"/>
              </w:rPr>
            </w:pPr>
          </w:p>
        </w:tc>
        <w:tc>
          <w:tcPr>
            <w:tcW w:w="180" w:type="dxa"/>
            <w:vAlign w:val="bottom"/>
            <w:shd w:val="clear" w:color="auto" w:fill="D9D9D9"/>
          </w:tcPr>
          <w:p>
            <w:pPr>
              <w:spacing w:after="0"/>
              <w:rPr>
                <w:sz w:val="4"/>
                <w:szCs w:val="4"/>
                <w:color w:val="auto"/>
              </w:rPr>
            </w:pPr>
          </w:p>
        </w:tc>
        <w:tc>
          <w:tcPr>
            <w:tcW w:w="1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8"/>
        </w:trPr>
        <w:tc>
          <w:tcPr>
            <w:tcW w:w="100" w:type="dxa"/>
            <w:vAlign w:val="bottom"/>
            <w:shd w:val="clear" w:color="auto" w:fill="D9D9D9"/>
          </w:tcPr>
          <w:p>
            <w:pPr>
              <w:spacing w:after="0"/>
              <w:rPr>
                <w:sz w:val="24"/>
                <w:szCs w:val="24"/>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b w:val="1"/>
                <w:bCs w:val="1"/>
                <w:color w:val="auto"/>
              </w:rPr>
              <w:t>468</w:t>
            </w:r>
          </w:p>
        </w:tc>
        <w:tc>
          <w:tcPr>
            <w:tcW w:w="180" w:type="dxa"/>
            <w:vAlign w:val="bottom"/>
            <w:shd w:val="clear" w:color="auto" w:fill="D9D9D9"/>
          </w:tcPr>
          <w:p>
            <w:pPr>
              <w:spacing w:after="0"/>
              <w:rPr>
                <w:sz w:val="24"/>
                <w:szCs w:val="24"/>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rPr>
              <w:t>(10,659)</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46"/>
        </w:trPr>
        <w:tc>
          <w:tcPr>
            <w:tcW w:w="100" w:type="dxa"/>
            <w:vAlign w:val="bottom"/>
            <w:shd w:val="clear" w:color="auto" w:fill="D9D9D9"/>
          </w:tcPr>
          <w:p>
            <w:pPr>
              <w:spacing w:after="0"/>
              <w:rPr>
                <w:sz w:val="4"/>
                <w:szCs w:val="4"/>
                <w:color w:val="auto"/>
              </w:rPr>
            </w:pPr>
          </w:p>
        </w:tc>
        <w:tc>
          <w:tcPr>
            <w:tcW w:w="1020" w:type="dxa"/>
            <w:vAlign w:val="bottom"/>
            <w:shd w:val="clear" w:color="auto" w:fill="D9D9D9"/>
          </w:tcPr>
          <w:p>
            <w:pPr>
              <w:spacing w:after="0"/>
              <w:rPr>
                <w:sz w:val="4"/>
                <w:szCs w:val="4"/>
                <w:color w:val="auto"/>
              </w:rPr>
            </w:pPr>
          </w:p>
        </w:tc>
        <w:tc>
          <w:tcPr>
            <w:tcW w:w="180" w:type="dxa"/>
            <w:vAlign w:val="bottom"/>
            <w:shd w:val="clear" w:color="auto" w:fill="D9D9D9"/>
          </w:tcPr>
          <w:p>
            <w:pPr>
              <w:spacing w:after="0"/>
              <w:rPr>
                <w:sz w:val="4"/>
                <w:szCs w:val="4"/>
                <w:color w:val="auto"/>
              </w:rPr>
            </w:pPr>
          </w:p>
        </w:tc>
        <w:tc>
          <w:tcPr>
            <w:tcW w:w="1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-2902585</wp:posOffset>
            </wp:positionV>
            <wp:extent cx="2284095" cy="635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62">
                      <a:extLst>
                        <a:ext uri="{28A0092B-C50C-407E-A947-70E740481C1C}"/>
                      </a:extLst>
                    </a:blip>
                    <a:srcRect/>
                    <a:stretch>
                      <a:fillRect/>
                    </a:stretch>
                  </pic:blipFill>
                  <pic:spPr bwMode="auto">
                    <a:xfrm>
                      <a:off x="0" y="0"/>
                      <a:ext cx="22840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-2315210</wp:posOffset>
            </wp:positionV>
            <wp:extent cx="2226310" cy="635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63">
                      <a:extLst>
                        <a:ext uri="{28A0092B-C50C-407E-A947-70E740481C1C}"/>
                      </a:extLst>
                    </a:blip>
                    <a:srcRect/>
                    <a:stretch>
                      <a:fillRect/>
                    </a:stretch>
                  </pic:blipFill>
                  <pic:spPr bwMode="auto">
                    <a:xfrm>
                      <a:off x="0" y="0"/>
                      <a:ext cx="2226310" cy="635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-211455</wp:posOffset>
            </wp:positionV>
            <wp:extent cx="2284095" cy="635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64">
                      <a:extLst>
                        <a:ext uri="{28A0092B-C50C-407E-A947-70E740481C1C}"/>
                      </a:extLst>
                    </a:blip>
                    <a:srcRect/>
                    <a:stretch>
                      <a:fillRect/>
                    </a:stretch>
                  </pic:blipFill>
                  <pic:spPr bwMode="auto">
                    <a:xfrm>
                      <a:off x="0" y="0"/>
                      <a:ext cx="2284095" cy="635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-5715</wp:posOffset>
            </wp:positionV>
            <wp:extent cx="2284095" cy="635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65">
                      <a:extLst>
                        <a:ext uri="{28A0092B-C50C-407E-A947-70E740481C1C}"/>
                      </a:extLst>
                    </a:blip>
                    <a:srcRect/>
                    <a:stretch>
                      <a:fillRect/>
                    </a:stretch>
                  </pic:blipFill>
                  <pic:spPr bwMode="auto">
                    <a:xfrm>
                      <a:off x="0" y="0"/>
                      <a:ext cx="2284095" cy="635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6460" w:space="500"/>
            <w:col w:w="350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 / 46</w:t>
      </w:r>
    </w:p>
    <w:p>
      <w:pPr>
        <w:sectPr>
          <w:pgSz w:w="11900" w:h="16838" w:orient="portrait"/>
          <w:cols w:equalWidth="0" w:num="1">
            <w:col w:w="10460"/>
          </w:cols>
          <w:pgMar w:left="1440" w:top="1440" w:right="6" w:bottom="0" w:gutter="0" w:footer="0" w:header="0"/>
          <w:type w:val="continuous"/>
        </w:sectPr>
      </w:pPr>
    </w:p>
    <w:bookmarkStart w:id="459" w:name="page460"/>
    <w:bookmarkEnd w:id="4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1482090</wp:posOffset>
            </wp:positionH>
            <wp:positionV relativeFrom="page">
              <wp:posOffset>2437765</wp:posOffset>
            </wp:positionV>
            <wp:extent cx="1676400" cy="19050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66">
                      <a:clrChange>
                        <a:clrFrom>
                          <a:srgbClr val="FFFFFF"/>
                        </a:clrFrom>
                        <a:clrTo>
                          <a:srgbClr val="FFFFFF">
                            <a:alpha val="0"/>
                          </a:srgbClr>
                        </a:clrTo>
                      </a:clrChange>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979170</wp:posOffset>
            </wp:positionV>
            <wp:extent cx="6764020" cy="1905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6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 / 46</w:t>
      </w:r>
    </w:p>
    <w:p>
      <w:pPr>
        <w:sectPr>
          <w:pgSz w:w="11900" w:h="16838" w:orient="portrait"/>
          <w:cols w:equalWidth="0" w:num="1">
            <w:col w:w="9026"/>
          </w:cols>
          <w:pgMar w:left="1440" w:top="1440" w:right="1440" w:bottom="0" w:gutter="0" w:footer="0" w:header="0"/>
          <w:type w:val="continuous"/>
        </w:sectPr>
      </w:pPr>
    </w:p>
    <w:bookmarkStart w:id="460" w:name="page461"/>
    <w:bookmarkEnd w:id="4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200" w:lineRule="exact"/>
        <w:rPr>
          <w:sz w:val="20"/>
          <w:szCs w:val="20"/>
          <w:color w:val="auto"/>
        </w:rPr>
      </w:pPr>
    </w:p>
    <w:p>
      <w:pPr>
        <w:spacing w:after="0" w:line="300" w:lineRule="exact"/>
        <w:rPr>
          <w:sz w:val="20"/>
          <w:szCs w:val="20"/>
          <w:color w:val="auto"/>
        </w:rPr>
      </w:pPr>
    </w:p>
    <w:p>
      <w:pPr>
        <w:ind w:left="1620" w:hanging="726"/>
        <w:spacing w:after="0"/>
        <w:tabs>
          <w:tab w:leader="none" w:pos="1620" w:val="left"/>
        </w:tabs>
        <w:numPr>
          <w:ilvl w:val="0"/>
          <w:numId w:val="191"/>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INCOME TAXES </w:t>
      </w:r>
      <w:r>
        <w:rPr>
          <w:rFonts w:ascii="Arial" w:cs="Arial" w:eastAsia="Arial" w:hAnsi="Arial"/>
          <w:sz w:val="20"/>
          <w:szCs w:val="20"/>
          <w:i w:val="1"/>
          <w:iCs w:val="1"/>
          <w:color w:val="153A57"/>
        </w:rPr>
        <w:t>(continued)</w:t>
      </w:r>
    </w:p>
    <w:p>
      <w:pPr>
        <w:spacing w:after="0" w:line="270"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color w:val="auto"/>
        </w:rPr>
        <w:t>The significant components of the Company's deferred tax assets and liabilities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236220</wp:posOffset>
            </wp:positionV>
            <wp:extent cx="5621020" cy="2857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8">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-164465</wp:posOffset>
            </wp:positionV>
            <wp:extent cx="3129280" cy="635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9">
                      <a:extLst>
                        <a:ext uri="{28A0092B-C50C-407E-A947-70E740481C1C}"/>
                      </a:extLst>
                    </a:blip>
                    <a:srcRect/>
                    <a:stretch>
                      <a:fillRect/>
                    </a:stretch>
                  </pic:blipFill>
                  <pic:spPr bwMode="auto">
                    <a:xfrm>
                      <a:off x="0" y="0"/>
                      <a:ext cx="3129280" cy="6350"/>
                    </a:xfrm>
                    <a:prstGeom prst="rect">
                      <a:avLst/>
                    </a:prstGeom>
                    <a:noFill/>
                  </pic:spPr>
                </pic:pic>
              </a:graphicData>
            </a:graphic>
          </wp:anchor>
        </w:drawing>
      </w:r>
    </w:p>
    <w:p>
      <w:pPr>
        <w:spacing w:after="0" w:line="5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Tax loss carryforwards</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Loans to Exar Capital</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Exploration and evaluation assets</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Capital assets</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Investment in Cauchari-Olaroz project</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Other</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Deferred tax assets</w:t>
      </w:r>
    </w:p>
    <w:p>
      <w:pPr>
        <w:spacing w:after="0" w:line="393"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Deferred tax liabilities:</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Exploration and evaluation assets</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Capital assets</w:t>
      </w:r>
    </w:p>
    <w:p>
      <w:pPr>
        <w:spacing w:after="0" w:line="13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Financing costs</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Convertible debt</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Other</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Deferred tax liabilities</w:t>
      </w:r>
    </w:p>
    <w:p>
      <w:pPr>
        <w:spacing w:after="0" w:line="200" w:lineRule="exact"/>
        <w:rPr>
          <w:sz w:val="20"/>
          <w:szCs w:val="20"/>
          <w:color w:val="auto"/>
        </w:rPr>
      </w:pPr>
    </w:p>
    <w:p>
      <w:pPr>
        <w:spacing w:after="0" w:line="203"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Deferred Income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41275</wp:posOffset>
            </wp:positionV>
            <wp:extent cx="3129280" cy="635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70">
                      <a:extLst>
                        <a:ext uri="{28A0092B-C50C-407E-A947-70E740481C1C}"/>
                      </a:extLst>
                    </a:blip>
                    <a:srcRect/>
                    <a:stretch>
                      <a:fillRect/>
                    </a:stretch>
                  </pic:blipFill>
                  <pic:spPr bwMode="auto">
                    <a:xfrm>
                      <a:off x="0" y="0"/>
                      <a:ext cx="312928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5"/>
        </w:trPr>
        <w:tc>
          <w:tcPr>
            <w:tcW w:w="80" w:type="dxa"/>
            <w:vAlign w:val="bottom"/>
            <w:shd w:val="clear" w:color="auto" w:fill="D9D9D9"/>
          </w:tcPr>
          <w:p>
            <w:pPr>
              <w:spacing w:after="0"/>
              <w:rPr>
                <w:sz w:val="24"/>
                <w:szCs w:val="24"/>
                <w:color w:val="auto"/>
              </w:rPr>
            </w:pPr>
          </w:p>
        </w:tc>
        <w:tc>
          <w:tcPr>
            <w:tcW w:w="1820" w:type="dxa"/>
            <w:vAlign w:val="bottom"/>
            <w:shd w:val="clear" w:color="auto" w:fill="D9D9D9"/>
          </w:tcPr>
          <w:p>
            <w:pPr>
              <w:jc w:val="right"/>
              <w:spacing w:after="0"/>
              <w:rPr>
                <w:sz w:val="20"/>
                <w:szCs w:val="20"/>
                <w:color w:val="auto"/>
              </w:rPr>
            </w:pPr>
            <w:r>
              <w:rPr>
                <w:rFonts w:ascii="Arial" w:cs="Arial" w:eastAsia="Arial" w:hAnsi="Arial"/>
                <w:sz w:val="18"/>
                <w:szCs w:val="18"/>
                <w:b w:val="1"/>
                <w:bCs w:val="1"/>
                <w:color w:val="auto"/>
              </w:rPr>
              <w:t>December 31, 2025</w:t>
            </w:r>
          </w:p>
        </w:tc>
        <w:tc>
          <w:tcPr>
            <w:tcW w:w="80" w:type="dxa"/>
            <w:vAlign w:val="bottom"/>
            <w:shd w:val="clear" w:color="auto" w:fill="D9D9D9"/>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December 31, 2</w:t>
            </w:r>
          </w:p>
        </w:tc>
        <w:tc>
          <w:tcPr>
            <w:tcW w:w="0" w:type="dxa"/>
            <w:vAlign w:val="bottom"/>
          </w:tcPr>
          <w:p>
            <w:pPr>
              <w:spacing w:after="0"/>
              <w:rPr>
                <w:sz w:val="1"/>
                <w:szCs w:val="1"/>
                <w:color w:val="auto"/>
              </w:rPr>
            </w:pPr>
          </w:p>
        </w:tc>
      </w:tr>
      <w:tr>
        <w:trPr>
          <w:trHeight w:val="286"/>
        </w:trPr>
        <w:tc>
          <w:tcPr>
            <w:tcW w:w="1900" w:type="dxa"/>
            <w:vAlign w:val="bottom"/>
            <w:gridSpan w:val="2"/>
            <w:shd w:val="clear" w:color="auto" w:fill="D9D9D9"/>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D9D9D9"/>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80" w:type="dxa"/>
            <w:vAlign w:val="bottom"/>
            <w:shd w:val="clear" w:color="auto" w:fill="D9D9D9"/>
          </w:tcPr>
          <w:p>
            <w:pPr>
              <w:spacing w:after="0"/>
              <w:rPr>
                <w:sz w:val="24"/>
                <w:szCs w:val="24"/>
                <w:color w:val="auto"/>
              </w:rPr>
            </w:pPr>
          </w:p>
        </w:tc>
        <w:tc>
          <w:tcPr>
            <w:tcW w:w="1820" w:type="dxa"/>
            <w:vAlign w:val="bottom"/>
            <w:vMerge w:val="restart"/>
            <w:shd w:val="clear" w:color="auto" w:fill="D9D9D9"/>
          </w:tcPr>
          <w:p>
            <w:pPr>
              <w:jc w:val="right"/>
              <w:spacing w:after="0"/>
              <w:rPr>
                <w:sz w:val="20"/>
                <w:szCs w:val="20"/>
                <w:color w:val="auto"/>
              </w:rPr>
            </w:pPr>
            <w:r>
              <w:rPr>
                <w:rFonts w:ascii="Arial" w:cs="Arial" w:eastAsia="Arial" w:hAnsi="Arial"/>
                <w:sz w:val="18"/>
                <w:szCs w:val="18"/>
                <w:color w:val="auto"/>
              </w:rPr>
              <w:t>2,568</w:t>
            </w:r>
          </w:p>
        </w:tc>
        <w:tc>
          <w:tcPr>
            <w:tcW w:w="80" w:type="dxa"/>
            <w:vAlign w:val="bottom"/>
            <w:shd w:val="clear" w:color="auto" w:fill="D9D9D9"/>
          </w:tcPr>
          <w:p>
            <w:pPr>
              <w:spacing w:after="0"/>
              <w:rPr>
                <w:sz w:val="24"/>
                <w:szCs w:val="24"/>
                <w:color w:val="auto"/>
              </w:rPr>
            </w:pPr>
          </w:p>
        </w:tc>
        <w:tc>
          <w:tcPr>
            <w:tcW w:w="18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80" w:type="dxa"/>
            <w:vAlign w:val="bottom"/>
            <w:shd w:val="clear" w:color="auto" w:fill="D9D9D9"/>
          </w:tcPr>
          <w:p>
            <w:pPr>
              <w:spacing w:after="0"/>
              <w:rPr>
                <w:sz w:val="23"/>
                <w:szCs w:val="23"/>
                <w:color w:val="auto"/>
              </w:rPr>
            </w:pPr>
          </w:p>
        </w:tc>
        <w:tc>
          <w:tcPr>
            <w:tcW w:w="1820" w:type="dxa"/>
            <w:vAlign w:val="bottom"/>
            <w:vMerge w:val="continue"/>
            <w:shd w:val="clear" w:color="auto" w:fill="D9D9D9"/>
          </w:tcPr>
          <w:p>
            <w:pPr>
              <w:spacing w:after="0"/>
              <w:rPr>
                <w:sz w:val="23"/>
                <w:szCs w:val="23"/>
                <w:color w:val="auto"/>
              </w:rPr>
            </w:pPr>
          </w:p>
        </w:tc>
        <w:tc>
          <w:tcPr>
            <w:tcW w:w="80" w:type="dxa"/>
            <w:vAlign w:val="bottom"/>
            <w:shd w:val="clear" w:color="auto" w:fill="D9D9D9"/>
          </w:tcPr>
          <w:p>
            <w:pPr>
              <w:spacing w:after="0"/>
              <w:rPr>
                <w:sz w:val="23"/>
                <w:szCs w:val="23"/>
                <w:color w:val="auto"/>
              </w:rPr>
            </w:pPr>
          </w:p>
        </w:tc>
        <w:tc>
          <w:tcPr>
            <w:tcW w:w="18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14"/>
        </w:trPr>
        <w:tc>
          <w:tcPr>
            <w:tcW w:w="80" w:type="dxa"/>
            <w:vAlign w:val="bottom"/>
            <w:shd w:val="clear" w:color="auto" w:fill="D9D9D9"/>
          </w:tcPr>
          <w:p>
            <w:pPr>
              <w:spacing w:after="0"/>
              <w:rPr>
                <w:sz w:val="24"/>
                <w:szCs w:val="24"/>
                <w:color w:val="auto"/>
              </w:rPr>
            </w:pPr>
          </w:p>
        </w:tc>
        <w:tc>
          <w:tcPr>
            <w:tcW w:w="18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9D9D9"/>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0" w:type="dxa"/>
            <w:vAlign w:val="bottom"/>
            <w:shd w:val="clear" w:color="auto" w:fill="D9D9D9"/>
          </w:tcPr>
          <w:p>
            <w:pPr>
              <w:spacing w:after="0"/>
              <w:rPr>
                <w:sz w:val="24"/>
                <w:szCs w:val="24"/>
                <w:color w:val="auto"/>
              </w:rPr>
            </w:pPr>
          </w:p>
        </w:tc>
        <w:tc>
          <w:tcPr>
            <w:tcW w:w="18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9D9D9"/>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80" w:type="dxa"/>
            <w:vAlign w:val="bottom"/>
            <w:shd w:val="clear" w:color="auto" w:fill="D9D9D9"/>
          </w:tcPr>
          <w:p>
            <w:pPr>
              <w:spacing w:after="0"/>
              <w:rPr>
                <w:sz w:val="3"/>
                <w:szCs w:val="3"/>
                <w:color w:val="auto"/>
              </w:rPr>
            </w:pPr>
          </w:p>
        </w:tc>
        <w:tc>
          <w:tcPr>
            <w:tcW w:w="1820" w:type="dxa"/>
            <w:vAlign w:val="bottom"/>
            <w:shd w:val="clear" w:color="auto" w:fill="D9D9D9"/>
          </w:tcPr>
          <w:p>
            <w:pPr>
              <w:spacing w:after="0"/>
              <w:rPr>
                <w:sz w:val="3"/>
                <w:szCs w:val="3"/>
                <w:color w:val="auto"/>
              </w:rPr>
            </w:pPr>
          </w:p>
        </w:tc>
        <w:tc>
          <w:tcPr>
            <w:tcW w:w="80" w:type="dxa"/>
            <w:vAlign w:val="bottom"/>
            <w:shd w:val="clear" w:color="auto" w:fill="D9D9D9"/>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0" w:type="dxa"/>
            <w:vAlign w:val="bottom"/>
            <w:shd w:val="clear" w:color="auto" w:fill="D9D9D9"/>
          </w:tcPr>
          <w:p>
            <w:pPr>
              <w:spacing w:after="0"/>
              <w:rPr>
                <w:sz w:val="23"/>
                <w:szCs w:val="23"/>
                <w:color w:val="auto"/>
              </w:rPr>
            </w:pPr>
          </w:p>
        </w:tc>
        <w:tc>
          <w:tcPr>
            <w:tcW w:w="18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9D9D9"/>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4"/>
        </w:trPr>
        <w:tc>
          <w:tcPr>
            <w:tcW w:w="80" w:type="dxa"/>
            <w:vAlign w:val="bottom"/>
            <w:shd w:val="clear" w:color="auto" w:fill="D9D9D9"/>
          </w:tcPr>
          <w:p>
            <w:pPr>
              <w:spacing w:after="0"/>
              <w:rPr>
                <w:sz w:val="24"/>
                <w:szCs w:val="24"/>
                <w:color w:val="auto"/>
              </w:rPr>
            </w:pPr>
          </w:p>
        </w:tc>
        <w:tc>
          <w:tcPr>
            <w:tcW w:w="18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577</w:t>
            </w:r>
          </w:p>
        </w:tc>
        <w:tc>
          <w:tcPr>
            <w:tcW w:w="80" w:type="dxa"/>
            <w:vAlign w:val="bottom"/>
            <w:shd w:val="clear" w:color="auto" w:fill="D9D9D9"/>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0" w:type="dxa"/>
            <w:vAlign w:val="bottom"/>
            <w:shd w:val="clear" w:color="auto" w:fill="D9D9D9"/>
          </w:tcPr>
          <w:p>
            <w:pPr>
              <w:spacing w:after="0"/>
              <w:rPr>
                <w:sz w:val="24"/>
                <w:szCs w:val="24"/>
                <w:color w:val="auto"/>
              </w:rPr>
            </w:pPr>
          </w:p>
        </w:tc>
        <w:tc>
          <w:tcPr>
            <w:tcW w:w="18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839</w:t>
            </w:r>
          </w:p>
        </w:tc>
        <w:tc>
          <w:tcPr>
            <w:tcW w:w="80" w:type="dxa"/>
            <w:vAlign w:val="bottom"/>
            <w:shd w:val="clear" w:color="auto" w:fill="D9D9D9"/>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shd w:val="clear" w:color="auto" w:fill="D9D9D9"/>
          </w:tcPr>
          <w:p>
            <w:pPr>
              <w:spacing w:after="0"/>
              <w:rPr>
                <w:sz w:val="24"/>
                <w:szCs w:val="24"/>
                <w:color w:val="auto"/>
              </w:rPr>
            </w:pPr>
          </w:p>
        </w:tc>
        <w:tc>
          <w:tcPr>
            <w:tcW w:w="1820" w:type="dxa"/>
            <w:vAlign w:val="bottom"/>
            <w:shd w:val="clear" w:color="auto" w:fill="D9D9D9"/>
          </w:tcPr>
          <w:p>
            <w:pPr>
              <w:jc w:val="right"/>
              <w:spacing w:after="0"/>
              <w:rPr>
                <w:sz w:val="20"/>
                <w:szCs w:val="20"/>
                <w:color w:val="auto"/>
              </w:rPr>
            </w:pPr>
            <w:r>
              <w:rPr>
                <w:rFonts w:ascii="Arial" w:cs="Arial" w:eastAsia="Arial" w:hAnsi="Arial"/>
                <w:sz w:val="18"/>
                <w:szCs w:val="18"/>
                <w:b w:val="1"/>
                <w:bCs w:val="1"/>
                <w:color w:val="auto"/>
              </w:rPr>
              <w:t>3,984</w:t>
            </w:r>
          </w:p>
        </w:tc>
        <w:tc>
          <w:tcPr>
            <w:tcW w:w="80" w:type="dxa"/>
            <w:vAlign w:val="bottom"/>
            <w:shd w:val="clear" w:color="auto" w:fill="D9D9D9"/>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45"/>
        </w:trPr>
        <w:tc>
          <w:tcPr>
            <w:tcW w:w="80" w:type="dxa"/>
            <w:vAlign w:val="bottom"/>
            <w:shd w:val="clear" w:color="auto" w:fill="D9D9D9"/>
          </w:tcPr>
          <w:p>
            <w:pPr>
              <w:spacing w:after="0"/>
              <w:rPr>
                <w:sz w:val="3"/>
                <w:szCs w:val="3"/>
                <w:color w:val="auto"/>
              </w:rPr>
            </w:pPr>
          </w:p>
        </w:tc>
        <w:tc>
          <w:tcPr>
            <w:tcW w:w="1820" w:type="dxa"/>
            <w:vAlign w:val="bottom"/>
            <w:shd w:val="clear" w:color="auto" w:fill="D9D9D9"/>
          </w:tcPr>
          <w:p>
            <w:pPr>
              <w:spacing w:after="0"/>
              <w:rPr>
                <w:sz w:val="3"/>
                <w:szCs w:val="3"/>
                <w:color w:val="auto"/>
              </w:rPr>
            </w:pPr>
          </w:p>
        </w:tc>
        <w:tc>
          <w:tcPr>
            <w:tcW w:w="80" w:type="dxa"/>
            <w:vAlign w:val="bottom"/>
            <w:shd w:val="clear" w:color="auto" w:fill="D9D9D9"/>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6"/>
        </w:trPr>
        <w:tc>
          <w:tcPr>
            <w:tcW w:w="1900" w:type="dxa"/>
            <w:vAlign w:val="bottom"/>
            <w:gridSpan w:val="2"/>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980" w:type="dxa"/>
            <w:vAlign w:val="bottom"/>
            <w:gridSpan w:val="3"/>
            <w:shd w:val="clear" w:color="auto" w:fill="D9D9D9"/>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0" w:type="dxa"/>
            <w:vAlign w:val="bottom"/>
            <w:shd w:val="clear" w:color="auto" w:fill="D9D9D9"/>
          </w:tcPr>
          <w:p>
            <w:pPr>
              <w:spacing w:after="0"/>
              <w:rPr>
                <w:sz w:val="24"/>
                <w:szCs w:val="24"/>
                <w:color w:val="auto"/>
              </w:rPr>
            </w:pPr>
          </w:p>
        </w:tc>
        <w:tc>
          <w:tcPr>
            <w:tcW w:w="18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(816</w:t>
            </w:r>
          </w:p>
        </w:tc>
        <w:tc>
          <w:tcPr>
            <w:tcW w:w="80" w:type="dxa"/>
            <w:vAlign w:val="bottom"/>
            <w:shd w:val="clear" w:color="auto" w:fill="D9D9D9"/>
          </w:tcPr>
          <w:p>
            <w:pPr>
              <w:jc w:val="right"/>
              <w:spacing w:after="0"/>
              <w:rPr>
                <w:sz w:val="20"/>
                <w:szCs w:val="20"/>
                <w:color w:val="auto"/>
              </w:rPr>
            </w:pPr>
            <w:r>
              <w:rPr>
                <w:rFonts w:ascii="Arial" w:cs="Arial" w:eastAsia="Arial" w:hAnsi="Arial"/>
                <w:sz w:val="16"/>
                <w:szCs w:val="16"/>
                <w:color w:val="auto"/>
                <w:w w:val="74"/>
              </w:rPr>
              <w:t>)</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0" w:type="dxa"/>
            <w:vAlign w:val="bottom"/>
            <w:shd w:val="clear" w:color="auto" w:fill="D9D9D9"/>
          </w:tcPr>
          <w:p>
            <w:pPr>
              <w:spacing w:after="0"/>
              <w:rPr>
                <w:sz w:val="24"/>
                <w:szCs w:val="24"/>
                <w:color w:val="auto"/>
              </w:rPr>
            </w:pPr>
          </w:p>
        </w:tc>
        <w:tc>
          <w:tcPr>
            <w:tcW w:w="18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(674</w:t>
            </w:r>
          </w:p>
        </w:tc>
        <w:tc>
          <w:tcPr>
            <w:tcW w:w="80" w:type="dxa"/>
            <w:vAlign w:val="bottom"/>
            <w:shd w:val="clear" w:color="auto" w:fill="D9D9D9"/>
          </w:tcPr>
          <w:p>
            <w:pPr>
              <w:jc w:val="right"/>
              <w:spacing w:after="0"/>
              <w:rPr>
                <w:sz w:val="20"/>
                <w:szCs w:val="20"/>
                <w:color w:val="auto"/>
              </w:rPr>
            </w:pPr>
            <w:r>
              <w:rPr>
                <w:rFonts w:ascii="Arial" w:cs="Arial" w:eastAsia="Arial" w:hAnsi="Arial"/>
                <w:sz w:val="16"/>
                <w:szCs w:val="16"/>
                <w:color w:val="auto"/>
                <w:highlight w:val="lightGray"/>
                <w:w w:val="74"/>
              </w:rPr>
              <w:t>)</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80" w:type="dxa"/>
            <w:vAlign w:val="bottom"/>
            <w:shd w:val="clear" w:color="auto" w:fill="D9D9D9"/>
          </w:tcPr>
          <w:p>
            <w:pPr>
              <w:spacing w:after="0"/>
              <w:rPr>
                <w:sz w:val="3"/>
                <w:szCs w:val="3"/>
                <w:color w:val="auto"/>
              </w:rPr>
            </w:pPr>
          </w:p>
        </w:tc>
        <w:tc>
          <w:tcPr>
            <w:tcW w:w="1820" w:type="dxa"/>
            <w:vAlign w:val="bottom"/>
            <w:shd w:val="clear" w:color="auto" w:fill="D9D9D9"/>
          </w:tcPr>
          <w:p>
            <w:pPr>
              <w:spacing w:after="0"/>
              <w:rPr>
                <w:sz w:val="3"/>
                <w:szCs w:val="3"/>
                <w:color w:val="auto"/>
              </w:rPr>
            </w:pPr>
          </w:p>
        </w:tc>
        <w:tc>
          <w:tcPr>
            <w:tcW w:w="80" w:type="dxa"/>
            <w:vAlign w:val="bottom"/>
            <w:shd w:val="clear" w:color="auto" w:fill="D9D9D9"/>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shd w:val="clear" w:color="auto" w:fill="D9D9D9"/>
          </w:tcPr>
          <w:p>
            <w:pPr>
              <w:spacing w:after="0"/>
              <w:rPr>
                <w:sz w:val="23"/>
                <w:szCs w:val="23"/>
                <w:color w:val="auto"/>
              </w:rPr>
            </w:pPr>
          </w:p>
        </w:tc>
        <w:tc>
          <w:tcPr>
            <w:tcW w:w="18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9D9D9"/>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3"/>
        </w:trPr>
        <w:tc>
          <w:tcPr>
            <w:tcW w:w="80" w:type="dxa"/>
            <w:vAlign w:val="bottom"/>
            <w:shd w:val="clear" w:color="auto" w:fill="D9D9D9"/>
          </w:tcPr>
          <w:p>
            <w:pPr>
              <w:spacing w:after="0"/>
              <w:rPr>
                <w:sz w:val="24"/>
                <w:szCs w:val="24"/>
                <w:color w:val="auto"/>
              </w:rPr>
            </w:pPr>
          </w:p>
        </w:tc>
        <w:tc>
          <w:tcPr>
            <w:tcW w:w="18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(2,914</w:t>
            </w:r>
          </w:p>
        </w:tc>
        <w:tc>
          <w:tcPr>
            <w:tcW w:w="80" w:type="dxa"/>
            <w:vAlign w:val="bottom"/>
            <w:shd w:val="clear" w:color="auto" w:fill="D9D9D9"/>
          </w:tcPr>
          <w:p>
            <w:pPr>
              <w:jc w:val="right"/>
              <w:spacing w:after="0"/>
              <w:rPr>
                <w:sz w:val="20"/>
                <w:szCs w:val="20"/>
                <w:color w:val="auto"/>
              </w:rPr>
            </w:pPr>
            <w:r>
              <w:rPr>
                <w:rFonts w:ascii="Arial" w:cs="Arial" w:eastAsia="Arial" w:hAnsi="Arial"/>
                <w:sz w:val="16"/>
                <w:szCs w:val="16"/>
                <w:color w:val="auto"/>
                <w:w w:val="74"/>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6"/>
        </w:trPr>
        <w:tc>
          <w:tcPr>
            <w:tcW w:w="80" w:type="dxa"/>
            <w:vAlign w:val="bottom"/>
            <w:shd w:val="clear" w:color="auto" w:fill="D9D9D9"/>
          </w:tcPr>
          <w:p>
            <w:pPr>
              <w:spacing w:after="0"/>
              <w:rPr>
                <w:sz w:val="24"/>
                <w:szCs w:val="24"/>
                <w:color w:val="auto"/>
              </w:rPr>
            </w:pPr>
          </w:p>
        </w:tc>
        <w:tc>
          <w:tcPr>
            <w:tcW w:w="18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9D9D9"/>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3"/>
        </w:trPr>
        <w:tc>
          <w:tcPr>
            <w:tcW w:w="80" w:type="dxa"/>
            <w:vAlign w:val="bottom"/>
            <w:shd w:val="clear" w:color="auto" w:fill="D9D9D9"/>
          </w:tcPr>
          <w:p>
            <w:pPr>
              <w:spacing w:after="0"/>
              <w:rPr>
                <w:sz w:val="24"/>
                <w:szCs w:val="24"/>
                <w:color w:val="auto"/>
              </w:rPr>
            </w:pPr>
          </w:p>
        </w:tc>
        <w:tc>
          <w:tcPr>
            <w:tcW w:w="1820" w:type="dxa"/>
            <w:vAlign w:val="bottom"/>
            <w:shd w:val="clear" w:color="auto" w:fill="D9D9D9"/>
          </w:tcPr>
          <w:p>
            <w:pPr>
              <w:jc w:val="right"/>
              <w:spacing w:after="0"/>
              <w:rPr>
                <w:sz w:val="20"/>
                <w:szCs w:val="20"/>
                <w:color w:val="auto"/>
              </w:rPr>
            </w:pPr>
            <w:r>
              <w:rPr>
                <w:rFonts w:ascii="Arial" w:cs="Arial" w:eastAsia="Arial" w:hAnsi="Arial"/>
                <w:sz w:val="18"/>
                <w:szCs w:val="18"/>
                <w:b w:val="1"/>
                <w:bCs w:val="1"/>
                <w:color w:val="auto"/>
              </w:rPr>
              <w:t>(4,404)</w:t>
            </w:r>
          </w:p>
        </w:tc>
        <w:tc>
          <w:tcPr>
            <w:tcW w:w="80" w:type="dxa"/>
            <w:vAlign w:val="bottom"/>
            <w:shd w:val="clear" w:color="auto" w:fill="D9D9D9"/>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36"/>
        </w:trPr>
        <w:tc>
          <w:tcPr>
            <w:tcW w:w="80" w:type="dxa"/>
            <w:vAlign w:val="bottom"/>
            <w:shd w:val="clear" w:color="auto" w:fill="D9D9D9"/>
          </w:tcPr>
          <w:p>
            <w:pPr>
              <w:spacing w:after="0"/>
              <w:rPr>
                <w:sz w:val="3"/>
                <w:szCs w:val="3"/>
                <w:color w:val="auto"/>
              </w:rPr>
            </w:pPr>
          </w:p>
        </w:tc>
        <w:tc>
          <w:tcPr>
            <w:tcW w:w="1820" w:type="dxa"/>
            <w:vAlign w:val="bottom"/>
            <w:shd w:val="clear" w:color="auto" w:fill="D9D9D9"/>
          </w:tcPr>
          <w:p>
            <w:pPr>
              <w:spacing w:after="0"/>
              <w:rPr>
                <w:sz w:val="3"/>
                <w:szCs w:val="3"/>
                <w:color w:val="auto"/>
              </w:rPr>
            </w:pPr>
          </w:p>
        </w:tc>
        <w:tc>
          <w:tcPr>
            <w:tcW w:w="80" w:type="dxa"/>
            <w:vAlign w:val="bottom"/>
            <w:shd w:val="clear" w:color="auto" w:fill="D9D9D9"/>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6"/>
        </w:trPr>
        <w:tc>
          <w:tcPr>
            <w:tcW w:w="1900" w:type="dxa"/>
            <w:vAlign w:val="bottom"/>
            <w:gridSpan w:val="2"/>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0" w:type="dxa"/>
            <w:vAlign w:val="bottom"/>
            <w:shd w:val="clear" w:color="auto" w:fill="D9D9D9"/>
          </w:tcPr>
          <w:p>
            <w:pPr>
              <w:spacing w:after="0"/>
              <w:rPr>
                <w:sz w:val="24"/>
                <w:szCs w:val="24"/>
                <w:color w:val="auto"/>
              </w:rPr>
            </w:pPr>
          </w:p>
        </w:tc>
        <w:tc>
          <w:tcPr>
            <w:tcW w:w="1820" w:type="dxa"/>
            <w:vAlign w:val="bottom"/>
            <w:shd w:val="clear" w:color="auto" w:fill="D9D9D9"/>
          </w:tcPr>
          <w:p>
            <w:pPr>
              <w:jc w:val="right"/>
              <w:spacing w:after="0"/>
              <w:rPr>
                <w:sz w:val="20"/>
                <w:szCs w:val="20"/>
                <w:color w:val="auto"/>
              </w:rPr>
            </w:pPr>
            <w:r>
              <w:rPr>
                <w:rFonts w:ascii="Arial" w:cs="Arial" w:eastAsia="Arial" w:hAnsi="Arial"/>
                <w:sz w:val="18"/>
                <w:szCs w:val="18"/>
                <w:b w:val="1"/>
                <w:bCs w:val="1"/>
                <w:color w:val="auto"/>
              </w:rPr>
              <w:t>(420)</w:t>
            </w:r>
          </w:p>
        </w:tc>
        <w:tc>
          <w:tcPr>
            <w:tcW w:w="80" w:type="dxa"/>
            <w:vAlign w:val="bottom"/>
            <w:shd w:val="clear" w:color="auto" w:fill="D9D9D9"/>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80" w:type="dxa"/>
            <w:vAlign w:val="bottom"/>
            <w:shd w:val="clear" w:color="auto" w:fill="D9D9D9"/>
          </w:tcPr>
          <w:p>
            <w:pPr>
              <w:spacing w:after="0"/>
              <w:rPr>
                <w:sz w:val="4"/>
                <w:szCs w:val="4"/>
                <w:color w:val="auto"/>
              </w:rPr>
            </w:pPr>
          </w:p>
        </w:tc>
        <w:tc>
          <w:tcPr>
            <w:tcW w:w="1820" w:type="dxa"/>
            <w:vAlign w:val="bottom"/>
            <w:shd w:val="clear" w:color="auto" w:fill="D9D9D9"/>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-3552825</wp:posOffset>
            </wp:positionV>
            <wp:extent cx="2491740" cy="635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71">
                      <a:extLst>
                        <a:ext uri="{28A0092B-C50C-407E-A947-70E740481C1C}"/>
                      </a:extLst>
                    </a:blip>
                    <a:srcRect/>
                    <a:stretch>
                      <a:fillRect/>
                    </a:stretch>
                  </pic:blipFill>
                  <pic:spPr bwMode="auto">
                    <a:xfrm>
                      <a:off x="0" y="0"/>
                      <a:ext cx="249174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-2166620</wp:posOffset>
            </wp:positionV>
            <wp:extent cx="2432685" cy="635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72">
                      <a:extLst>
                        <a:ext uri="{28A0092B-C50C-407E-A947-70E740481C1C}"/>
                      </a:extLst>
                    </a:blip>
                    <a:srcRect/>
                    <a:stretch>
                      <a:fillRect/>
                    </a:stretch>
                  </pic:blipFill>
                  <pic:spPr bwMode="auto">
                    <a:xfrm>
                      <a:off x="0" y="0"/>
                      <a:ext cx="2432685"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-599440</wp:posOffset>
            </wp:positionV>
            <wp:extent cx="2432685" cy="635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73">
                      <a:extLst>
                        <a:ext uri="{28A0092B-C50C-407E-A947-70E740481C1C}"/>
                      </a:extLst>
                    </a:blip>
                    <a:srcRect/>
                    <a:stretch>
                      <a:fillRect/>
                    </a:stretch>
                  </pic:blipFill>
                  <pic:spPr bwMode="auto">
                    <a:xfrm>
                      <a:off x="0" y="0"/>
                      <a:ext cx="2432685"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-211455</wp:posOffset>
            </wp:positionV>
            <wp:extent cx="2432685" cy="635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74">
                      <a:extLst>
                        <a:ext uri="{28A0092B-C50C-407E-A947-70E740481C1C}"/>
                      </a:extLst>
                    </a:blip>
                    <a:srcRect/>
                    <a:stretch>
                      <a:fillRect/>
                    </a:stretch>
                  </pic:blipFill>
                  <pic:spPr bwMode="auto">
                    <a:xfrm>
                      <a:off x="0" y="0"/>
                      <a:ext cx="2432685" cy="6350"/>
                    </a:xfrm>
                    <a:prstGeom prst="rect">
                      <a:avLst/>
                    </a:prstGeom>
                    <a:noFill/>
                  </pic:spPr>
                </pic:pic>
              </a:graphicData>
            </a:graphic>
          </wp:anchor>
        </w:drawing>
        <w:drawing>
          <wp:anchor simplePos="0" relativeHeight="251657728" behindDoc="1" locked="0" layoutInCell="0" allowOverlap="1">
            <wp:simplePos x="0" y="0"/>
            <wp:positionH relativeFrom="column">
              <wp:posOffset>-61595</wp:posOffset>
            </wp:positionH>
            <wp:positionV relativeFrom="paragraph">
              <wp:posOffset>-5715</wp:posOffset>
            </wp:positionV>
            <wp:extent cx="2491740" cy="635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75">
                      <a:extLst>
                        <a:ext uri="{28A0092B-C50C-407E-A947-70E740481C1C}"/>
                      </a:extLst>
                    </a:blip>
                    <a:srcRect/>
                    <a:stretch>
                      <a:fillRect/>
                    </a:stretch>
                  </pic:blipFill>
                  <pic:spPr bwMode="auto">
                    <a:xfrm>
                      <a:off x="0" y="0"/>
                      <a:ext cx="2491740"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720"/>
            <w:col w:w="3820"/>
          </w:cols>
          <w:pgMar w:left="1440" w:top="1440" w:right="6" w:bottom="0" w:gutter="0" w:footer="0" w:header="0"/>
          <w:type w:val="continuous"/>
        </w:sectPr>
      </w:pPr>
    </w:p>
    <w:p>
      <w:pPr>
        <w:spacing w:after="0" w:line="140" w:lineRule="exact"/>
        <w:rPr>
          <w:sz w:val="20"/>
          <w:szCs w:val="20"/>
          <w:color w:val="auto"/>
        </w:rPr>
      </w:pPr>
    </w:p>
    <w:p>
      <w:pPr>
        <w:ind w:left="1620"/>
        <w:spacing w:after="0" w:line="307" w:lineRule="auto"/>
        <w:rPr>
          <w:sz w:val="20"/>
          <w:szCs w:val="20"/>
          <w:color w:val="auto"/>
        </w:rPr>
      </w:pPr>
      <w:r>
        <w:rPr>
          <w:rFonts w:ascii="Arial" w:cs="Arial" w:eastAsia="Arial" w:hAnsi="Arial"/>
          <w:sz w:val="20"/>
          <w:szCs w:val="20"/>
          <w:color w:val="auto"/>
        </w:rPr>
        <w:t>As at December 31, 2025, a deferred tax asset of $11, and net deferred tax liability of $431 are incl in the consolidated statement of financial position.</w:t>
      </w:r>
    </w:p>
    <w:p>
      <w:pPr>
        <w:spacing w:after="0" w:line="310"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Deductible temporary differences for which no deferred tax assets are recognized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236220</wp:posOffset>
            </wp:positionV>
            <wp:extent cx="5621020" cy="2857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76">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352" w:lineRule="exact"/>
        <w:rPr>
          <w:sz w:val="20"/>
          <w:szCs w:val="20"/>
          <w:color w:val="auto"/>
        </w:rPr>
      </w:pPr>
    </w:p>
    <w:tbl>
      <w:tblPr>
        <w:tblLayout w:type="fixed"/>
        <w:tblInd w:w="1620" w:type="dxa"/>
        <w:tblCellMar>
          <w:top w:w="0" w:type="dxa"/>
          <w:left w:w="0" w:type="dxa"/>
          <w:bottom w:w="0" w:type="dxa"/>
          <w:right w:w="0" w:type="dxa"/>
        </w:tblCellMar>
      </w:tblPr>
      <w:tr>
        <w:trPr>
          <w:trHeight w:val="295"/>
        </w:trPr>
        <w:tc>
          <w:tcPr>
            <w:tcW w:w="5020" w:type="dxa"/>
            <w:vAlign w:val="bottom"/>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900" w:type="dxa"/>
            <w:vAlign w:val="bottom"/>
            <w:shd w:val="clear" w:color="auto" w:fill="D9D9D9"/>
          </w:tcPr>
          <w:p>
            <w:pPr>
              <w:jc w:val="right"/>
              <w:ind w:right="10"/>
              <w:spacing w:after="0"/>
              <w:rPr>
                <w:sz w:val="20"/>
                <w:szCs w:val="20"/>
                <w:color w:val="auto"/>
              </w:rPr>
            </w:pPr>
            <w:r>
              <w:rPr>
                <w:rFonts w:ascii="Arial" w:cs="Arial" w:eastAsia="Arial" w:hAnsi="Arial"/>
                <w:sz w:val="18"/>
                <w:szCs w:val="18"/>
                <w:b w:val="1"/>
                <w:bCs w:val="1"/>
                <w:color w:val="auto"/>
              </w:rPr>
              <w:t>December 31, 2025</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December 31, 2</w:t>
            </w:r>
          </w:p>
        </w:tc>
      </w:tr>
      <w:tr>
        <w:trPr>
          <w:trHeight w:val="36"/>
        </w:trPr>
        <w:tc>
          <w:tcPr>
            <w:tcW w:w="5020" w:type="dxa"/>
            <w:vAlign w:val="bottom"/>
          </w:tcPr>
          <w:p>
            <w:pPr>
              <w:spacing w:after="0"/>
              <w:rPr>
                <w:sz w:val="3"/>
                <w:szCs w:val="3"/>
                <w:color w:val="auto"/>
              </w:rPr>
            </w:pPr>
          </w:p>
        </w:tc>
        <w:tc>
          <w:tcPr>
            <w:tcW w:w="80" w:type="dxa"/>
            <w:vAlign w:val="bottom"/>
            <w:shd w:val="clear" w:color="auto" w:fill="D9D9D9"/>
          </w:tcPr>
          <w:p>
            <w:pPr>
              <w:spacing w:after="0"/>
              <w:rPr>
                <w:sz w:val="3"/>
                <w:szCs w:val="3"/>
                <w:color w:val="auto"/>
              </w:rPr>
            </w:pPr>
          </w:p>
        </w:tc>
        <w:tc>
          <w:tcPr>
            <w:tcW w:w="1900" w:type="dxa"/>
            <w:vAlign w:val="bottom"/>
            <w:shd w:val="clear" w:color="auto" w:fill="D9D9D9"/>
          </w:tcPr>
          <w:p>
            <w:pPr>
              <w:spacing w:after="0"/>
              <w:rPr>
                <w:sz w:val="3"/>
                <w:szCs w:val="3"/>
                <w:color w:val="auto"/>
              </w:rPr>
            </w:pPr>
          </w:p>
        </w:tc>
        <w:tc>
          <w:tcPr>
            <w:tcW w:w="1840" w:type="dxa"/>
            <w:vAlign w:val="bottom"/>
          </w:tcPr>
          <w:p>
            <w:pPr>
              <w:spacing w:after="0"/>
              <w:rPr>
                <w:sz w:val="3"/>
                <w:szCs w:val="3"/>
                <w:color w:val="auto"/>
              </w:rPr>
            </w:pPr>
          </w:p>
        </w:tc>
      </w:tr>
      <w:tr>
        <w:trPr>
          <w:trHeight w:val="250"/>
        </w:trPr>
        <w:tc>
          <w:tcPr>
            <w:tcW w:w="5020" w:type="dxa"/>
            <w:vAlign w:val="bottom"/>
          </w:tcPr>
          <w:p>
            <w:pPr>
              <w:spacing w:after="0"/>
              <w:rPr>
                <w:sz w:val="21"/>
                <w:szCs w:val="21"/>
                <w:color w:val="auto"/>
              </w:rPr>
            </w:pPr>
          </w:p>
        </w:tc>
        <w:tc>
          <w:tcPr>
            <w:tcW w:w="1980" w:type="dxa"/>
            <w:vAlign w:val="bottom"/>
            <w:gridSpan w:val="2"/>
            <w:shd w:val="clear" w:color="auto" w:fill="D9D9D9"/>
          </w:tcPr>
          <w:p>
            <w:pPr>
              <w:jc w:val="right"/>
              <w:ind w:right="10"/>
              <w:spacing w:after="0"/>
              <w:rPr>
                <w:sz w:val="20"/>
                <w:szCs w:val="20"/>
                <w:color w:val="auto"/>
              </w:rPr>
            </w:pPr>
            <w:r>
              <w:rPr>
                <w:rFonts w:ascii="Arial" w:cs="Arial" w:eastAsia="Arial" w:hAnsi="Arial"/>
                <w:sz w:val="18"/>
                <w:szCs w:val="18"/>
                <w:b w:val="1"/>
                <w:bCs w:val="1"/>
                <w:color w:val="auto"/>
              </w:rPr>
              <w:t>$</w:t>
            </w:r>
          </w:p>
        </w:tc>
        <w:tc>
          <w:tcPr>
            <w:tcW w:w="1840" w:type="dxa"/>
            <w:vAlign w:val="bottom"/>
          </w:tcPr>
          <w:p>
            <w:pPr>
              <w:spacing w:after="0"/>
              <w:rPr>
                <w:sz w:val="21"/>
                <w:szCs w:val="21"/>
                <w:color w:val="auto"/>
              </w:rPr>
            </w:pPr>
          </w:p>
        </w:tc>
      </w:tr>
      <w:tr>
        <w:trPr>
          <w:trHeight w:val="46"/>
        </w:trPr>
        <w:tc>
          <w:tcPr>
            <w:tcW w:w="5020" w:type="dxa"/>
            <w:vAlign w:val="bottom"/>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1900" w:type="dxa"/>
            <w:vAlign w:val="bottom"/>
            <w:shd w:val="clear" w:color="auto" w:fill="D9D9D9"/>
          </w:tcPr>
          <w:p>
            <w:pPr>
              <w:spacing w:after="0"/>
              <w:rPr>
                <w:sz w:val="4"/>
                <w:szCs w:val="4"/>
                <w:color w:val="auto"/>
              </w:rPr>
            </w:pPr>
          </w:p>
        </w:tc>
        <w:tc>
          <w:tcPr>
            <w:tcW w:w="1840" w:type="dxa"/>
            <w:vAlign w:val="bottom"/>
          </w:tcPr>
          <w:p>
            <w:pPr>
              <w:spacing w:after="0"/>
              <w:rPr>
                <w:sz w:val="4"/>
                <w:szCs w:val="4"/>
                <w:color w:val="auto"/>
              </w:rPr>
            </w:pPr>
          </w:p>
        </w:tc>
      </w:tr>
      <w:tr>
        <w:trPr>
          <w:trHeight w:val="278"/>
        </w:trPr>
        <w:tc>
          <w:tcPr>
            <w:tcW w:w="5020" w:type="dxa"/>
            <w:vAlign w:val="bottom"/>
          </w:tcPr>
          <w:p>
            <w:pPr>
              <w:spacing w:after="0"/>
              <w:rPr>
                <w:sz w:val="20"/>
                <w:szCs w:val="20"/>
                <w:color w:val="auto"/>
              </w:rPr>
            </w:pPr>
            <w:r>
              <w:rPr>
                <w:rFonts w:ascii="Arial" w:cs="Arial" w:eastAsia="Arial" w:hAnsi="Arial"/>
                <w:sz w:val="18"/>
                <w:szCs w:val="18"/>
                <w:color w:val="auto"/>
              </w:rPr>
              <w:t>Deductible temporary differences</w:t>
            </w:r>
          </w:p>
        </w:tc>
        <w:tc>
          <w:tcPr>
            <w:tcW w:w="80" w:type="dxa"/>
            <w:vAlign w:val="bottom"/>
            <w:shd w:val="clear" w:color="auto" w:fill="D9D9D9"/>
          </w:tcPr>
          <w:p>
            <w:pPr>
              <w:spacing w:after="0"/>
              <w:rPr>
                <w:sz w:val="24"/>
                <w:szCs w:val="24"/>
                <w:color w:val="auto"/>
              </w:rPr>
            </w:pPr>
          </w:p>
        </w:tc>
        <w:tc>
          <w:tcPr>
            <w:tcW w:w="19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63,913</w:t>
            </w:r>
          </w:p>
        </w:tc>
        <w:tc>
          <w:tcPr>
            <w:tcW w:w="1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6"/>
        </w:trPr>
        <w:tc>
          <w:tcPr>
            <w:tcW w:w="5020" w:type="dxa"/>
            <w:vAlign w:val="bottom"/>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1900" w:type="dxa"/>
            <w:vAlign w:val="bottom"/>
            <w:shd w:val="clear" w:color="auto" w:fill="D9D9D9"/>
          </w:tcPr>
          <w:p>
            <w:pPr>
              <w:spacing w:after="0"/>
              <w:rPr>
                <w:sz w:val="4"/>
                <w:szCs w:val="4"/>
                <w:color w:val="auto"/>
              </w:rPr>
            </w:pPr>
          </w:p>
        </w:tc>
        <w:tc>
          <w:tcPr>
            <w:tcW w:w="184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-211455</wp:posOffset>
            </wp:positionV>
            <wp:extent cx="5621020" cy="635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77">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-5715</wp:posOffset>
            </wp:positionV>
            <wp:extent cx="5621020" cy="635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8">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320" w:lineRule="exact"/>
        <w:rPr>
          <w:sz w:val="20"/>
          <w:szCs w:val="20"/>
          <w:color w:val="auto"/>
        </w:rPr>
      </w:pPr>
    </w:p>
    <w:p>
      <w:pPr>
        <w:ind w:left="1620"/>
        <w:spacing w:after="0" w:line="311" w:lineRule="auto"/>
        <w:rPr>
          <w:sz w:val="20"/>
          <w:szCs w:val="20"/>
          <w:color w:val="auto"/>
        </w:rPr>
      </w:pPr>
      <w:r>
        <w:rPr>
          <w:rFonts w:ascii="Arial" w:cs="Arial" w:eastAsia="Arial" w:hAnsi="Arial"/>
          <w:sz w:val="20"/>
          <w:szCs w:val="20"/>
          <w:color w:val="auto"/>
        </w:rPr>
        <w:t>The Company had deductible temporary differences for which deferred tax assets have not recognized because it is not probable that future profits will be available against which the Compan utilize the benefits. The Company completed the Continuation from Canada to Switzerland on Jan</w:t>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10 / 46</w:t>
      </w:r>
    </w:p>
    <w:p>
      <w:pPr>
        <w:sectPr>
          <w:pgSz w:w="11900" w:h="16838" w:orient="portrait"/>
          <w:cols w:equalWidth="0" w:num="1">
            <w:col w:w="10460"/>
          </w:cols>
          <w:pgMar w:left="1440" w:top="1440" w:right="6" w:bottom="0" w:gutter="0" w:footer="0" w:header="0"/>
          <w:type w:val="continuous"/>
        </w:sectPr>
      </w:pPr>
    </w:p>
    <w:bookmarkStart w:id="461" w:name="page462"/>
    <w:bookmarkEnd w:id="461"/>
    <w:p>
      <w:pPr>
        <w:jc w:val="both"/>
        <w:ind w:left="1620" w:right="40"/>
        <w:spacing w:after="0" w:line="311" w:lineRule="auto"/>
        <w:rPr>
          <w:sz w:val="20"/>
          <w:szCs w:val="20"/>
          <w:color w:val="auto"/>
        </w:rPr>
      </w:pPr>
      <w:r>
        <w:rPr>
          <w:rFonts w:ascii="Arial" w:cs="Arial" w:eastAsia="Arial" w:hAnsi="Arial"/>
          <w:sz w:val="20"/>
          <w:szCs w:val="20"/>
          <w:color w:val="auto"/>
        </w:rPr>
        <w:t>23, 2025, as such, the Canadian tax losses and other Canadian tax attributes expired. The dedu temporary differences for which no deferred tax assets have been recognized in Switzerland are $6 (2024 – $nil).</w:t>
      </w:r>
    </w:p>
    <w:p>
      <w:pPr>
        <w:spacing w:after="0" w:line="200" w:lineRule="exact"/>
        <w:rPr>
          <w:sz w:val="20"/>
          <w:szCs w:val="20"/>
          <w:color w:val="auto"/>
        </w:rPr>
      </w:pPr>
    </w:p>
    <w:p>
      <w:pPr>
        <w:spacing w:after="0" w:line="270" w:lineRule="exact"/>
        <w:rPr>
          <w:sz w:val="20"/>
          <w:szCs w:val="20"/>
          <w:color w:val="auto"/>
        </w:rPr>
      </w:pPr>
    </w:p>
    <w:p>
      <w:pPr>
        <w:ind w:left="1620" w:hanging="726"/>
        <w:spacing w:after="0"/>
        <w:tabs>
          <w:tab w:leader="none" w:pos="1620" w:val="left"/>
        </w:tabs>
        <w:numPr>
          <w:ilvl w:val="0"/>
          <w:numId w:val="192"/>
        </w:numPr>
        <w:rPr>
          <w:rFonts w:ascii="Arial" w:cs="Arial" w:eastAsia="Arial" w:hAnsi="Arial"/>
          <w:sz w:val="20"/>
          <w:szCs w:val="20"/>
          <w:b w:val="1"/>
          <w:bCs w:val="1"/>
          <w:color w:val="153A57"/>
        </w:rPr>
      </w:pPr>
      <w:r>
        <w:rPr>
          <w:rFonts w:ascii="Arial" w:cs="Arial" w:eastAsia="Arial" w:hAnsi="Arial"/>
          <w:sz w:val="20"/>
          <w:szCs w:val="20"/>
          <w:b w:val="1"/>
          <w:bCs w:val="1"/>
          <w:color w:val="153A57"/>
        </w:rPr>
        <w:t>FINANCIAL INSTRUMENTS</w:t>
      </w:r>
    </w:p>
    <w:p>
      <w:pPr>
        <w:spacing w:after="0" w:line="293" w:lineRule="exact"/>
        <w:rPr>
          <w:rFonts w:ascii="Arial" w:cs="Arial" w:eastAsia="Arial" w:hAnsi="Arial"/>
          <w:sz w:val="20"/>
          <w:szCs w:val="20"/>
          <w:b w:val="1"/>
          <w:bCs w:val="1"/>
          <w:color w:val="153A57"/>
        </w:rPr>
      </w:pPr>
    </w:p>
    <w:p>
      <w:pPr>
        <w:jc w:val="both"/>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Financial instruments recorded at fair value on the consolidated statements of financial position presented in fair value disclosures are classified using a fair value hierarchy that reflects the signific of the inputs used in making the measurements. The fair value hierarchy has the following levels:</w:t>
      </w:r>
    </w:p>
    <w:p>
      <w:pPr>
        <w:spacing w:after="0" w:line="204"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color w:val="auto"/>
        </w:rPr>
        <w:t>Level 1 – 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278130</wp:posOffset>
            </wp:positionV>
            <wp:extent cx="1676400" cy="19050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9">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8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11 / 46</w:t>
      </w:r>
    </w:p>
    <w:p>
      <w:pPr>
        <w:sectPr>
          <w:pgSz w:w="11900" w:h="16838" w:orient="portrait"/>
          <w:cols w:equalWidth="0" w:num="1">
            <w:col w:w="10460"/>
          </w:cols>
          <w:pgMar w:left="1440" w:top="1172" w:right="6" w:bottom="0" w:gutter="0" w:footer="0" w:header="0"/>
          <w:type w:val="continuous"/>
        </w:sectPr>
      </w:pPr>
    </w:p>
    <w:bookmarkStart w:id="462" w:name="page463"/>
    <w:bookmarkEnd w:id="4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43" w:lineRule="exact"/>
        <w:rPr>
          <w:sz w:val="20"/>
          <w:szCs w:val="20"/>
          <w:color w:val="auto"/>
        </w:rPr>
      </w:pPr>
    </w:p>
    <w:p>
      <w:pPr>
        <w:ind w:left="1620" w:hanging="726"/>
        <w:spacing w:after="0"/>
        <w:tabs>
          <w:tab w:leader="none" w:pos="1620" w:val="left"/>
        </w:tabs>
        <w:numPr>
          <w:ilvl w:val="0"/>
          <w:numId w:val="193"/>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FINANCIAL INSTRUMENTS </w:t>
      </w:r>
      <w:r>
        <w:rPr>
          <w:rFonts w:ascii="Arial" w:cs="Arial" w:eastAsia="Arial" w:hAnsi="Arial"/>
          <w:sz w:val="20"/>
          <w:szCs w:val="20"/>
          <w:i w:val="1"/>
          <w:iCs w:val="1"/>
          <w:color w:val="153A57"/>
        </w:rPr>
        <w:t>(continued)</w:t>
      </w:r>
    </w:p>
    <w:p>
      <w:pPr>
        <w:spacing w:after="0" w:line="293" w:lineRule="exact"/>
        <w:rPr>
          <w:rFonts w:ascii="Arial" w:cs="Arial" w:eastAsia="Arial" w:hAnsi="Arial"/>
          <w:sz w:val="20"/>
          <w:szCs w:val="20"/>
          <w:b w:val="1"/>
          <w:bCs w:val="1"/>
          <w:color w:val="153A57"/>
        </w:rPr>
      </w:pPr>
    </w:p>
    <w:p>
      <w:pPr>
        <w:ind w:left="1620"/>
        <w:spacing w:after="0" w:line="307" w:lineRule="auto"/>
        <w:rPr>
          <w:rFonts w:ascii="Arial" w:cs="Arial" w:eastAsia="Arial" w:hAnsi="Arial"/>
          <w:sz w:val="20"/>
          <w:szCs w:val="20"/>
          <w:b w:val="1"/>
          <w:bCs w:val="1"/>
          <w:color w:val="153A57"/>
        </w:rPr>
      </w:pPr>
      <w:r>
        <w:rPr>
          <w:rFonts w:ascii="Arial" w:cs="Arial" w:eastAsia="Arial" w:hAnsi="Arial"/>
          <w:sz w:val="20"/>
          <w:szCs w:val="20"/>
          <w:color w:val="auto"/>
        </w:rPr>
        <w:t>Level 2 – Inputs other than quoted prices that are observable for assets or liabilities, either direct indirectly; and</w:t>
      </w:r>
    </w:p>
    <w:p>
      <w:pPr>
        <w:spacing w:after="0" w:line="208"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color w:val="auto"/>
        </w:rPr>
        <w:t>Level 3 – Inputs for assets and liabilities that are not based on observable market data.</w:t>
      </w:r>
    </w:p>
    <w:p>
      <w:pPr>
        <w:spacing w:after="0" w:line="278" w:lineRule="exact"/>
        <w:rPr>
          <w:rFonts w:ascii="Arial" w:cs="Arial" w:eastAsia="Arial" w:hAnsi="Arial"/>
          <w:sz w:val="20"/>
          <w:szCs w:val="20"/>
          <w:b w:val="1"/>
          <w:bCs w:val="1"/>
          <w:color w:val="153A57"/>
        </w:rPr>
      </w:pPr>
    </w:p>
    <w:p>
      <w:pPr>
        <w:jc w:val="both"/>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The fair value hierarchy requires the use of observable market inputs whenever such inputs are avai A financial instrument is classified at the lowest level of the hierarchy for which a significant inpu been used in measuring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320675</wp:posOffset>
            </wp:positionV>
            <wp:extent cx="5621020" cy="2857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81">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Fair value hiera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204470</wp:posOffset>
            </wp:positionV>
            <wp:extent cx="5621020" cy="635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82">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35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Financial instruments</w:t>
      </w:r>
    </w:p>
    <w:p>
      <w:pPr>
        <w:spacing w:after="0" w:line="79" w:lineRule="exact"/>
        <w:rPr>
          <w:sz w:val="20"/>
          <w:szCs w:val="20"/>
          <w:color w:val="auto"/>
        </w:rPr>
      </w:pPr>
    </w:p>
    <w:p>
      <w:pPr>
        <w:ind w:left="1620"/>
        <w:spacing w:after="0"/>
        <w:tabs>
          <w:tab w:leader="none" w:pos="10280" w:val="left"/>
        </w:tabs>
        <w:rPr>
          <w:sz w:val="20"/>
          <w:szCs w:val="20"/>
          <w:color w:val="auto"/>
        </w:rPr>
      </w:pPr>
      <w:r>
        <w:rPr>
          <w:rFonts w:ascii="Arial" w:cs="Arial" w:eastAsia="Arial" w:hAnsi="Arial"/>
          <w:sz w:val="18"/>
          <w:szCs w:val="18"/>
          <w:color w:val="auto"/>
        </w:rPr>
        <w:t>Convertible notes - embedded derivative</w:t>
      </w:r>
      <w:r>
        <w:rPr>
          <w:sz w:val="20"/>
          <w:szCs w:val="20"/>
          <w:color w:val="auto"/>
        </w:rPr>
        <w:tab/>
      </w:r>
      <w:r>
        <w:rPr>
          <w:rFonts w:ascii="Arial" w:cs="Arial" w:eastAsia="Arial" w:hAnsi="Arial"/>
          <w:sz w:val="14"/>
          <w:szCs w:val="14"/>
          <w:color w:val="auto"/>
        </w:rPr>
        <w: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22860</wp:posOffset>
            </wp:positionV>
            <wp:extent cx="5621020" cy="635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83">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265" w:lineRule="exact"/>
        <w:rPr>
          <w:sz w:val="20"/>
          <w:szCs w:val="20"/>
          <w:color w:val="auto"/>
        </w:rPr>
      </w:pPr>
    </w:p>
    <w:p>
      <w:pPr>
        <w:jc w:val="both"/>
        <w:ind w:left="1620"/>
        <w:spacing w:after="0" w:line="312" w:lineRule="auto"/>
        <w:rPr>
          <w:sz w:val="20"/>
          <w:szCs w:val="20"/>
          <w:color w:val="auto"/>
        </w:rPr>
      </w:pPr>
      <w:r>
        <w:rPr>
          <w:rFonts w:ascii="Arial" w:cs="Arial" w:eastAsia="Arial" w:hAnsi="Arial"/>
          <w:sz w:val="20"/>
          <w:szCs w:val="20"/>
          <w:color w:val="auto"/>
        </w:rPr>
        <w:t>The embedded derivative associated with the Convertible Notes (Note 13) is measured at fair value recurring basis and is classified within Level 2 as the valuation is based on observable market in including the Company’s quoted share price, observable volatility, risk-free interest rates and m derived credit spread.</w:t>
      </w:r>
    </w:p>
    <w:p>
      <w:pPr>
        <w:spacing w:after="0" w:line="212" w:lineRule="exact"/>
        <w:rPr>
          <w:sz w:val="20"/>
          <w:szCs w:val="20"/>
          <w:color w:val="auto"/>
        </w:rPr>
      </w:pPr>
    </w:p>
    <w:p>
      <w:pPr>
        <w:ind w:left="1620"/>
        <w:spacing w:after="0" w:line="312" w:lineRule="auto"/>
        <w:rPr>
          <w:sz w:val="20"/>
          <w:szCs w:val="20"/>
          <w:color w:val="auto"/>
        </w:rPr>
      </w:pPr>
      <w:r>
        <w:rPr>
          <w:rFonts w:ascii="Arial" w:cs="Arial" w:eastAsia="Arial" w:hAnsi="Arial"/>
          <w:sz w:val="20"/>
          <w:szCs w:val="20"/>
          <w:color w:val="auto"/>
        </w:rPr>
        <w:t>The long-term receivable from JEMSE (Note 7) was measured at fair value upon initial recognition a subsequently accounted for at amortized cost. The fair value at initial recognition was determined unobservable inputs, including assumptions regarding the timing of future cash flows of Minera Exa the applicable discount rate, and would be classified within Level 3 of the fair value hierarchy.</w:t>
      </w:r>
    </w:p>
    <w:p>
      <w:pPr>
        <w:spacing w:after="0" w:line="212" w:lineRule="exact"/>
        <w:rPr>
          <w:sz w:val="20"/>
          <w:szCs w:val="20"/>
          <w:color w:val="auto"/>
        </w:rPr>
      </w:pPr>
    </w:p>
    <w:p>
      <w:pPr>
        <w:jc w:val="both"/>
        <w:ind w:left="1620"/>
        <w:spacing w:after="0" w:line="313" w:lineRule="auto"/>
        <w:rPr>
          <w:sz w:val="20"/>
          <w:szCs w:val="20"/>
          <w:color w:val="auto"/>
        </w:rPr>
      </w:pPr>
      <w:r>
        <w:rPr>
          <w:rFonts w:ascii="Arial" w:cs="Arial" w:eastAsia="Arial" w:hAnsi="Arial"/>
          <w:sz w:val="20"/>
          <w:szCs w:val="20"/>
          <w:color w:val="auto"/>
        </w:rPr>
        <w:t>The Company’s financial assets and financial liabilities measured at amortized cost include cash cash equivalents, receivables from purchasers for lithium carbonate, loans to Exar Capital, loan Minera Exar, other receivables, accounts payable and accrued liabilities, payable to Minera Exa lithium carbonate purchases, PGCo shareholder liabilities – Ganfeng, and the debt host component Convertible Notes.</w:t>
      </w:r>
    </w:p>
    <w:p>
      <w:pPr>
        <w:spacing w:after="0" w:line="210" w:lineRule="exact"/>
        <w:rPr>
          <w:sz w:val="20"/>
          <w:szCs w:val="20"/>
          <w:color w:val="auto"/>
        </w:rPr>
      </w:pPr>
    </w:p>
    <w:p>
      <w:pPr>
        <w:ind w:left="1620" w:right="60"/>
        <w:spacing w:after="0" w:line="307" w:lineRule="auto"/>
        <w:rPr>
          <w:sz w:val="20"/>
          <w:szCs w:val="20"/>
          <w:color w:val="auto"/>
        </w:rPr>
      </w:pPr>
      <w:r>
        <w:rPr>
          <w:rFonts w:ascii="Arial" w:cs="Arial" w:eastAsia="Arial" w:hAnsi="Arial"/>
          <w:sz w:val="20"/>
          <w:szCs w:val="20"/>
          <w:color w:val="auto"/>
        </w:rPr>
        <w:t>As at December 31, 2025, the fair value of such financial instruments measured at amortized approximated their carrying value.</w:t>
      </w:r>
    </w:p>
    <w:p>
      <w:pPr>
        <w:spacing w:after="0" w:line="215" w:lineRule="exact"/>
        <w:rPr>
          <w:sz w:val="20"/>
          <w:szCs w:val="20"/>
          <w:color w:val="auto"/>
        </w:rPr>
      </w:pPr>
    </w:p>
    <w:p>
      <w:pPr>
        <w:jc w:val="both"/>
        <w:ind w:left="1620"/>
        <w:spacing w:after="0" w:line="312" w:lineRule="auto"/>
        <w:rPr>
          <w:sz w:val="20"/>
          <w:szCs w:val="20"/>
          <w:color w:val="auto"/>
        </w:rPr>
      </w:pPr>
      <w:r>
        <w:rPr>
          <w:rFonts w:ascii="Arial" w:cs="Arial" w:eastAsia="Arial" w:hAnsi="Arial"/>
          <w:sz w:val="20"/>
          <w:szCs w:val="20"/>
          <w:color w:val="auto"/>
        </w:rPr>
        <w:t>The Company manages risks to minimize potential losses. The primary objective of the Company’ management process is to ensure that the risks are properly identified and monitored, and that the c base maintained by the Company is adequate in relation to those risks. The principal risks impactin Company’s financial instruments are described below.</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12 / 46</w:t>
      </w:r>
    </w:p>
    <w:p>
      <w:pPr>
        <w:sectPr>
          <w:pgSz w:w="11900" w:h="16838" w:orient="portrait"/>
          <w:cols w:equalWidth="0" w:num="1">
            <w:col w:w="10460"/>
          </w:cols>
          <w:pgMar w:left="1440" w:top="1440" w:right="6" w:bottom="0" w:gutter="0" w:footer="0" w:header="0"/>
          <w:type w:val="continuous"/>
        </w:sectPr>
      </w:pPr>
    </w:p>
    <w:bookmarkStart w:id="463" w:name="page464"/>
    <w:bookmarkEnd w:id="463"/>
    <w:p>
      <w:pPr>
        <w:ind w:left="1620"/>
        <w:spacing w:after="0"/>
        <w:rPr>
          <w:sz w:val="20"/>
          <w:szCs w:val="20"/>
          <w:color w:val="auto"/>
        </w:rPr>
      </w:pPr>
      <w:r>
        <w:rPr>
          <w:rFonts w:ascii="Arial" w:cs="Arial" w:eastAsia="Arial" w:hAnsi="Arial"/>
          <w:sz w:val="20"/>
          <w:szCs w:val="20"/>
          <w:b w:val="1"/>
          <w:bCs w:val="1"/>
          <w:i w:val="1"/>
          <w:iCs w:val="1"/>
          <w:color w:val="auto"/>
        </w:rPr>
        <w:t>Credit Risk</w:t>
      </w:r>
    </w:p>
    <w:p>
      <w:pPr>
        <w:spacing w:after="0" w:line="279" w:lineRule="exact"/>
        <w:rPr>
          <w:sz w:val="20"/>
          <w:szCs w:val="20"/>
          <w:color w:val="auto"/>
        </w:rPr>
      </w:pPr>
    </w:p>
    <w:p>
      <w:pPr>
        <w:jc w:val="both"/>
        <w:ind w:left="1620"/>
        <w:spacing w:after="0" w:line="313" w:lineRule="auto"/>
        <w:rPr>
          <w:sz w:val="20"/>
          <w:szCs w:val="20"/>
          <w:color w:val="auto"/>
        </w:rPr>
      </w:pPr>
      <w:r>
        <w:rPr>
          <w:rFonts w:ascii="Arial" w:cs="Arial" w:eastAsia="Arial" w:hAnsi="Arial"/>
          <w:sz w:val="20"/>
          <w:szCs w:val="20"/>
          <w:color w:val="auto"/>
        </w:rPr>
        <w:t>Credit risk is the risk of loss associated with a counterparty’s inability to fulfill its payment obligat Financial instruments that potentially subject the Company to a concentration of credit risk co primarily of cash, cash equivalents, receivables from Ganfeng for purchases of lithium carbonate, term receivable from JEMSE, and receivables related to loans advanced to Exar Capital and Minera (refer Notes 7, 8, 9 and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234315</wp:posOffset>
            </wp:positionV>
            <wp:extent cx="1676400" cy="19050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84">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8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13 / 46</w:t>
      </w:r>
    </w:p>
    <w:p>
      <w:pPr>
        <w:sectPr>
          <w:pgSz w:w="11900" w:h="16838" w:orient="portrait"/>
          <w:cols w:equalWidth="0" w:num="1">
            <w:col w:w="10460"/>
          </w:cols>
          <w:pgMar w:left="1440" w:top="1165" w:right="6" w:bottom="0" w:gutter="0" w:footer="0" w:header="0"/>
          <w:type w:val="continuous"/>
        </w:sectPr>
      </w:pPr>
    </w:p>
    <w:bookmarkStart w:id="464" w:name="page465"/>
    <w:bookmarkEnd w:id="4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43" w:lineRule="exact"/>
        <w:rPr>
          <w:sz w:val="20"/>
          <w:szCs w:val="20"/>
          <w:color w:val="auto"/>
        </w:rPr>
      </w:pPr>
    </w:p>
    <w:p>
      <w:pPr>
        <w:ind w:left="1620" w:hanging="726"/>
        <w:spacing w:after="0"/>
        <w:tabs>
          <w:tab w:leader="none" w:pos="1620" w:val="left"/>
        </w:tabs>
        <w:numPr>
          <w:ilvl w:val="0"/>
          <w:numId w:val="194"/>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FINANCIAL INSTRUMENTS </w:t>
      </w:r>
      <w:r>
        <w:rPr>
          <w:rFonts w:ascii="Arial" w:cs="Arial" w:eastAsia="Arial" w:hAnsi="Arial"/>
          <w:sz w:val="20"/>
          <w:szCs w:val="20"/>
          <w:i w:val="1"/>
          <w:iCs w:val="1"/>
          <w:color w:val="153A57"/>
        </w:rPr>
        <w:t>(continued)</w:t>
      </w:r>
    </w:p>
    <w:p>
      <w:pPr>
        <w:spacing w:after="0" w:line="293" w:lineRule="exact"/>
        <w:rPr>
          <w:rFonts w:ascii="Arial" w:cs="Arial" w:eastAsia="Arial" w:hAnsi="Arial"/>
          <w:sz w:val="20"/>
          <w:szCs w:val="20"/>
          <w:b w:val="1"/>
          <w:bCs w:val="1"/>
          <w:color w:val="153A57"/>
        </w:rPr>
      </w:pPr>
    </w:p>
    <w:p>
      <w:pPr>
        <w:jc w:val="both"/>
        <w:ind w:left="1620"/>
        <w:spacing w:after="0" w:line="323" w:lineRule="auto"/>
        <w:rPr>
          <w:rFonts w:ascii="Arial" w:cs="Arial" w:eastAsia="Arial" w:hAnsi="Arial"/>
          <w:sz w:val="20"/>
          <w:szCs w:val="20"/>
          <w:b w:val="1"/>
          <w:bCs w:val="1"/>
          <w:color w:val="153A57"/>
        </w:rPr>
      </w:pPr>
      <w:r>
        <w:rPr>
          <w:rFonts w:ascii="Arial" w:cs="Arial" w:eastAsia="Arial" w:hAnsi="Arial"/>
          <w:sz w:val="20"/>
          <w:szCs w:val="20"/>
          <w:color w:val="auto"/>
        </w:rPr>
        <w:t>The Company’s maximum exposure to credit risk for cash, cash equivalents, receivables, long-receivable from JEMSE, and loans to Exar Capital and Minera Exar is the amount disclosed in consolidated statements of financial position. The Company limits its exposure to credit loss on cash cash equivalents by placing its cash and cash equivalents with major financial institutions and invest only short-term obligations, with expected credit losses on cash and cash equivalents estimated to b minimis. As of December 31, 2025, the Company held its cash and cash equivalents with three fina institutions, improving diversification and enhancing overall liquidity management.</w:t>
      </w:r>
    </w:p>
    <w:p>
      <w:pPr>
        <w:spacing w:after="0" w:line="204" w:lineRule="exact"/>
        <w:rPr>
          <w:rFonts w:ascii="Arial" w:cs="Arial" w:eastAsia="Arial" w:hAnsi="Arial"/>
          <w:sz w:val="20"/>
          <w:szCs w:val="20"/>
          <w:b w:val="1"/>
          <w:bCs w:val="1"/>
          <w:color w:val="153A57"/>
        </w:rPr>
      </w:pPr>
    </w:p>
    <w:p>
      <w:pPr>
        <w:ind w:left="1620" w:right="40"/>
        <w:spacing w:after="0" w:line="307" w:lineRule="auto"/>
        <w:rPr>
          <w:rFonts w:ascii="Arial" w:cs="Arial" w:eastAsia="Arial" w:hAnsi="Arial"/>
          <w:sz w:val="20"/>
          <w:szCs w:val="20"/>
          <w:b w:val="1"/>
          <w:bCs w:val="1"/>
          <w:color w:val="153A57"/>
        </w:rPr>
      </w:pPr>
      <w:r>
        <w:rPr>
          <w:rFonts w:ascii="Arial" w:cs="Arial" w:eastAsia="Arial" w:hAnsi="Arial"/>
          <w:sz w:val="20"/>
          <w:szCs w:val="20"/>
          <w:color w:val="auto"/>
        </w:rPr>
        <w:t>The Company has assessed the creditworthiness of these institutions and believes that the risk of d is minimal, given its credit rating.</w:t>
      </w:r>
    </w:p>
    <w:p>
      <w:pPr>
        <w:spacing w:after="0" w:line="215" w:lineRule="exact"/>
        <w:rPr>
          <w:rFonts w:ascii="Arial" w:cs="Arial" w:eastAsia="Arial" w:hAnsi="Arial"/>
          <w:sz w:val="20"/>
          <w:szCs w:val="20"/>
          <w:b w:val="1"/>
          <w:bCs w:val="1"/>
          <w:color w:val="153A57"/>
        </w:rPr>
      </w:pPr>
    </w:p>
    <w:p>
      <w:pPr>
        <w:jc w:val="both"/>
        <w:ind w:left="1620"/>
        <w:spacing w:after="0" w:line="312" w:lineRule="auto"/>
        <w:rPr>
          <w:rFonts w:ascii="Arial" w:cs="Arial" w:eastAsia="Arial" w:hAnsi="Arial"/>
          <w:sz w:val="20"/>
          <w:szCs w:val="20"/>
          <w:b w:val="1"/>
          <w:bCs w:val="1"/>
          <w:color w:val="153A57"/>
        </w:rPr>
      </w:pPr>
      <w:r>
        <w:rPr>
          <w:rFonts w:ascii="Arial" w:cs="Arial" w:eastAsia="Arial" w:hAnsi="Arial"/>
          <w:sz w:val="20"/>
          <w:szCs w:val="20"/>
          <w:color w:val="auto"/>
        </w:rPr>
        <w:t>The Company actively monitors credit exposure to Minera Exar and Exar Capital, which are re parties involved in the Cauchari-Olaroz Project. Management reviews their financial position regu and, given the strategic nature of these relationships and the support from project partners, ensures credit risk on these balances is maintained at acceptable levels.</w:t>
      </w:r>
    </w:p>
    <w:p>
      <w:pPr>
        <w:spacing w:after="0" w:line="211" w:lineRule="exact"/>
        <w:rPr>
          <w:rFonts w:ascii="Arial" w:cs="Arial" w:eastAsia="Arial" w:hAnsi="Arial"/>
          <w:sz w:val="20"/>
          <w:szCs w:val="20"/>
          <w:b w:val="1"/>
          <w:bCs w:val="1"/>
          <w:color w:val="153A57"/>
        </w:rPr>
      </w:pPr>
    </w:p>
    <w:p>
      <w:pPr>
        <w:jc w:val="both"/>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The Company performed an expected credit loss assessment on its loans to Exar Capital and M Exar as at December 31, 2025. Based on this assessment, management concluded that the expe credit losses were insignificant and, accordingly, no expected credit loss was recognized.</w:t>
      </w:r>
    </w:p>
    <w:p>
      <w:pPr>
        <w:spacing w:after="0" w:line="211" w:lineRule="exact"/>
        <w:rPr>
          <w:rFonts w:ascii="Arial" w:cs="Arial" w:eastAsia="Arial" w:hAnsi="Arial"/>
          <w:sz w:val="20"/>
          <w:szCs w:val="20"/>
          <w:b w:val="1"/>
          <w:bCs w:val="1"/>
          <w:color w:val="153A57"/>
        </w:rPr>
      </w:pPr>
    </w:p>
    <w:p>
      <w:pPr>
        <w:ind w:left="1620" w:right="20"/>
        <w:spacing w:after="0" w:line="312" w:lineRule="auto"/>
        <w:rPr>
          <w:rFonts w:ascii="Arial" w:cs="Arial" w:eastAsia="Arial" w:hAnsi="Arial"/>
          <w:sz w:val="20"/>
          <w:szCs w:val="20"/>
          <w:b w:val="1"/>
          <w:bCs w:val="1"/>
          <w:color w:val="153A57"/>
        </w:rPr>
      </w:pPr>
      <w:r>
        <w:rPr>
          <w:rFonts w:ascii="Arial" w:cs="Arial" w:eastAsia="Arial" w:hAnsi="Arial"/>
          <w:sz w:val="20"/>
          <w:szCs w:val="20"/>
          <w:color w:val="auto"/>
        </w:rPr>
        <w:t>The Company and its subsidiaries and investees, including Minera Exar, may from time to time short-term investments in Argentine government securities, financial instruments guaranteed by Arg banks, and other Argentine securities. These investments may or may not result in short-term gai losses.</w:t>
      </w:r>
    </w:p>
    <w:p>
      <w:pPr>
        <w:spacing w:after="0" w:line="211" w:lineRule="exact"/>
        <w:rPr>
          <w:rFonts w:ascii="Arial" w:cs="Arial" w:eastAsia="Arial" w:hAnsi="Arial"/>
          <w:sz w:val="20"/>
          <w:szCs w:val="20"/>
          <w:b w:val="1"/>
          <w:bCs w:val="1"/>
          <w:color w:val="153A57"/>
        </w:rPr>
      </w:pPr>
    </w:p>
    <w:p>
      <w:pPr>
        <w:jc w:val="both"/>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The Central Bank of Argentina maintains certain currency controls that limit the Company's ability to cash to and from Argentina. Blue Chip Swap transactions effectively allow companies to transfer dollars into and out of Argentina at market exchange rates. The Company used this mechanis transfer funds to Argentina, which resulted in a foreign exchange gain due to the difference betwee Blue Chip Swap market rate and the official Argentine Central Bank rate.</w:t>
      </w:r>
    </w:p>
    <w:p>
      <w:pPr>
        <w:spacing w:after="0" w:line="202"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b w:val="1"/>
          <w:bCs w:val="1"/>
          <w:i w:val="1"/>
          <w:iCs w:val="1"/>
          <w:color w:val="auto"/>
        </w:rPr>
        <w:t>Liquidity Risk</w:t>
      </w:r>
    </w:p>
    <w:p>
      <w:pPr>
        <w:spacing w:after="0" w:line="278" w:lineRule="exact"/>
        <w:rPr>
          <w:rFonts w:ascii="Arial" w:cs="Arial" w:eastAsia="Arial" w:hAnsi="Arial"/>
          <w:sz w:val="20"/>
          <w:szCs w:val="20"/>
          <w:b w:val="1"/>
          <w:bCs w:val="1"/>
          <w:color w:val="153A57"/>
        </w:rPr>
      </w:pPr>
    </w:p>
    <w:p>
      <w:pPr>
        <w:jc w:val="both"/>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Liquidity risk is the risk that the Company will not be able to meet its financial obligations as they c due. The Company’s approach to managing liquidity is to evaluate current and expected liqu requirements under both normal and stressed conditions, in order to estimate and maintain sufficient and cash equivalent reserves to meet liquidity requirements in both the short and long term. Company prepares annual budgets, which are regularly monitored and updated as necessary.</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14 / 46</w:t>
      </w:r>
    </w:p>
    <w:p>
      <w:pPr>
        <w:sectPr>
          <w:pgSz w:w="11900" w:h="16838" w:orient="portrait"/>
          <w:cols w:equalWidth="0" w:num="1">
            <w:col w:w="10460"/>
          </w:cols>
          <w:pgMar w:left="1440" w:top="1440" w:right="6" w:bottom="0" w:gutter="0" w:footer="0" w:header="0"/>
          <w:type w:val="continuous"/>
        </w:sectPr>
      </w:pPr>
    </w:p>
    <w:bookmarkStart w:id="465" w:name="page466"/>
    <w:bookmarkEnd w:id="465"/>
    <w:p>
      <w:pPr>
        <w:jc w:val="both"/>
        <w:ind w:left="1620"/>
        <w:spacing w:after="0" w:line="311" w:lineRule="auto"/>
        <w:rPr>
          <w:sz w:val="20"/>
          <w:szCs w:val="20"/>
          <w:color w:val="auto"/>
        </w:rPr>
      </w:pPr>
      <w:r>
        <w:rPr>
          <w:rFonts w:ascii="Arial" w:cs="Arial" w:eastAsia="Arial" w:hAnsi="Arial"/>
          <w:sz w:val="20"/>
          <w:szCs w:val="20"/>
          <w:color w:val="auto"/>
        </w:rPr>
        <w:t>As at December 31, 2025, the Company had a cash and cash equivalents of $61,134 and receiv from purchasers for lithium carbonate of $23,209 to settle current liabilities of $46,794 (excluding e settleable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235585</wp:posOffset>
            </wp:positionV>
            <wp:extent cx="1676400" cy="19050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86">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8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15 / 46</w:t>
      </w:r>
    </w:p>
    <w:p>
      <w:pPr>
        <w:sectPr>
          <w:pgSz w:w="11900" w:h="16838" w:orient="portrait"/>
          <w:cols w:equalWidth="0" w:num="1">
            <w:col w:w="10460"/>
          </w:cols>
          <w:pgMar w:left="1440" w:top="1172" w:right="6" w:bottom="0" w:gutter="0" w:footer="0" w:header="0"/>
          <w:type w:val="continuous"/>
        </w:sectPr>
      </w:pPr>
    </w:p>
    <w:bookmarkStart w:id="466" w:name="page467"/>
    <w:bookmarkEnd w:id="4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200" w:lineRule="exact"/>
        <w:rPr>
          <w:sz w:val="20"/>
          <w:szCs w:val="20"/>
          <w:color w:val="auto"/>
        </w:rPr>
      </w:pPr>
    </w:p>
    <w:p>
      <w:pPr>
        <w:spacing w:after="0" w:line="300" w:lineRule="exact"/>
        <w:rPr>
          <w:sz w:val="20"/>
          <w:szCs w:val="20"/>
          <w:color w:val="auto"/>
        </w:rPr>
      </w:pPr>
    </w:p>
    <w:p>
      <w:pPr>
        <w:ind w:left="1620" w:hanging="726"/>
        <w:spacing w:after="0"/>
        <w:tabs>
          <w:tab w:leader="none" w:pos="1620" w:val="left"/>
        </w:tabs>
        <w:numPr>
          <w:ilvl w:val="0"/>
          <w:numId w:val="195"/>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FINANCIAL INSTRUMENTS </w:t>
      </w:r>
      <w:r>
        <w:rPr>
          <w:rFonts w:ascii="Arial" w:cs="Arial" w:eastAsia="Arial" w:hAnsi="Arial"/>
          <w:sz w:val="20"/>
          <w:szCs w:val="20"/>
          <w:i w:val="1"/>
          <w:iCs w:val="1"/>
          <w:color w:val="153A57"/>
        </w:rPr>
        <w:t>(continued)</w:t>
      </w:r>
    </w:p>
    <w:p>
      <w:pPr>
        <w:spacing w:after="0" w:line="277" w:lineRule="exact"/>
        <w:rPr>
          <w:rFonts w:ascii="Arial" w:cs="Arial" w:eastAsia="Arial" w:hAnsi="Arial"/>
          <w:sz w:val="20"/>
          <w:szCs w:val="20"/>
          <w:b w:val="1"/>
          <w:bCs w:val="1"/>
          <w:color w:val="153A57"/>
        </w:rPr>
      </w:pPr>
    </w:p>
    <w:p>
      <w:pPr>
        <w:ind w:left="1620"/>
        <w:spacing w:after="0" w:line="307" w:lineRule="auto"/>
        <w:rPr>
          <w:rFonts w:ascii="Arial" w:cs="Arial" w:eastAsia="Arial" w:hAnsi="Arial"/>
          <w:sz w:val="20"/>
          <w:szCs w:val="20"/>
          <w:b w:val="1"/>
          <w:bCs w:val="1"/>
          <w:color w:val="153A57"/>
        </w:rPr>
      </w:pPr>
      <w:r>
        <w:rPr>
          <w:rFonts w:ascii="Arial" w:cs="Arial" w:eastAsia="Arial" w:hAnsi="Arial"/>
          <w:sz w:val="20"/>
          <w:szCs w:val="20"/>
          <w:color w:val="auto"/>
        </w:rPr>
        <w:t>The following table summarizes the contractual maturities of the Company’s financial liabilities o undiscounted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196215</wp:posOffset>
            </wp:positionV>
            <wp:extent cx="5621020" cy="2857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8">
                      <a:extLst>
                        <a:ext uri="{28A0092B-C50C-407E-A947-70E740481C1C}"/>
                      </a:extLst>
                    </a:blip>
                    <a:srcRect/>
                    <a:stretch>
                      <a:fillRect/>
                    </a:stretch>
                  </pic:blipFill>
                  <pic:spPr bwMode="auto">
                    <a:xfrm>
                      <a:off x="0" y="0"/>
                      <a:ext cx="5621020" cy="28575"/>
                    </a:xfrm>
                    <a:prstGeom prst="rect">
                      <a:avLst/>
                    </a:prstGeom>
                    <a:noFill/>
                  </pic:spPr>
                </pic:pic>
              </a:graphicData>
            </a:graphic>
          </wp:anchor>
        </w:drawing>
      </w:r>
    </w:p>
    <w:p>
      <w:pPr>
        <w:spacing w:after="0" w:line="37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386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Years ending December 31,</w:t>
            </w:r>
          </w:p>
        </w:tc>
        <w:tc>
          <w:tcPr>
            <w:tcW w:w="360" w:type="dxa"/>
            <w:vAlign w:val="bottom"/>
          </w:tcPr>
          <w:p>
            <w:pPr>
              <w:spacing w:after="0"/>
              <w:rPr>
                <w:sz w:val="17"/>
                <w:szCs w:val="17"/>
                <w:color w:val="auto"/>
              </w:rPr>
            </w:pPr>
          </w:p>
        </w:tc>
      </w:tr>
      <w:tr>
        <w:trPr>
          <w:trHeight w:val="296"/>
        </w:trPr>
        <w:tc>
          <w:tcPr>
            <w:tcW w:w="462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2026</w:t>
            </w:r>
          </w:p>
        </w:tc>
        <w:tc>
          <w:tcPr>
            <w:tcW w:w="18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2027 and later</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T</w:t>
            </w:r>
          </w:p>
        </w:tc>
      </w:tr>
      <w:tr>
        <w:trPr>
          <w:trHeight w:val="286"/>
        </w:trPr>
        <w:tc>
          <w:tcPr>
            <w:tcW w:w="462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8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4"/>
                <w:szCs w:val="24"/>
                <w:color w:val="auto"/>
              </w:rPr>
            </w:pPr>
          </w:p>
        </w:tc>
      </w:tr>
      <w:tr>
        <w:trPr>
          <w:trHeight w:val="316"/>
        </w:trPr>
        <w:tc>
          <w:tcPr>
            <w:tcW w:w="462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4,528</w:t>
            </w:r>
          </w:p>
        </w:tc>
        <w:tc>
          <w:tcPr>
            <w:tcW w:w="1800" w:type="dxa"/>
            <w:vAlign w:val="bottom"/>
          </w:tcPr>
          <w:p>
            <w:pPr>
              <w:jc w:val="right"/>
              <w:ind w:right="410"/>
              <w:spacing w:after="0"/>
              <w:rPr>
                <w:sz w:val="20"/>
                <w:szCs w:val="20"/>
                <w:color w:val="auto"/>
              </w:rPr>
            </w:pPr>
            <w:r>
              <w:rPr>
                <w:rFonts w:ascii="Arial" w:cs="Arial" w:eastAsia="Arial" w:hAnsi="Arial"/>
                <w:sz w:val="18"/>
                <w:szCs w:val="18"/>
                <w:color w:val="auto"/>
              </w:rPr>
              <w:t>261,014</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265,</w:t>
            </w:r>
          </w:p>
        </w:tc>
      </w:tr>
      <w:tr>
        <w:trPr>
          <w:trHeight w:val="314"/>
        </w:trPr>
        <w:tc>
          <w:tcPr>
            <w:tcW w:w="462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31,449</w:t>
            </w:r>
          </w:p>
        </w:tc>
        <w:tc>
          <w:tcPr>
            <w:tcW w:w="18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4"/>
        </w:trPr>
        <w:tc>
          <w:tcPr>
            <w:tcW w:w="4620" w:type="dxa"/>
            <w:vAlign w:val="bottom"/>
          </w:tcPr>
          <w:p>
            <w:pPr>
              <w:spacing w:after="0"/>
              <w:rPr>
                <w:sz w:val="20"/>
                <w:szCs w:val="20"/>
                <w:color w:val="auto"/>
              </w:rPr>
            </w:pPr>
            <w:r>
              <w:rPr>
                <w:rFonts w:ascii="Arial" w:cs="Arial" w:eastAsia="Arial" w:hAnsi="Arial"/>
                <w:sz w:val="18"/>
                <w:szCs w:val="18"/>
                <w:color w:val="auto"/>
              </w:rPr>
              <w:t>Obligations under office leases¹</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800" w:type="dxa"/>
            <w:vAlign w:val="bottom"/>
          </w:tcPr>
          <w:p>
            <w:pPr>
              <w:jc w:val="right"/>
              <w:ind w:right="410"/>
              <w:spacing w:after="0"/>
              <w:rPr>
                <w:sz w:val="20"/>
                <w:szCs w:val="20"/>
                <w:color w:val="auto"/>
              </w:rPr>
            </w:pPr>
            <w:r>
              <w:rPr>
                <w:rFonts w:ascii="Arial" w:cs="Arial" w:eastAsia="Arial" w:hAnsi="Arial"/>
                <w:sz w:val="18"/>
                <w:szCs w:val="18"/>
                <w:color w:val="auto"/>
              </w:rPr>
              <w:t>460</w:t>
            </w:r>
          </w:p>
        </w:tc>
        <w:tc>
          <w:tcPr>
            <w:tcW w:w="360" w:type="dxa"/>
            <w:vAlign w:val="bottom"/>
          </w:tcPr>
          <w:p>
            <w:pPr>
              <w:spacing w:after="0"/>
              <w:rPr>
                <w:sz w:val="24"/>
                <w:szCs w:val="24"/>
                <w:color w:val="auto"/>
              </w:rPr>
            </w:pPr>
          </w:p>
        </w:tc>
      </w:tr>
      <w:tr>
        <w:trPr>
          <w:trHeight w:val="324"/>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36,273</w:t>
            </w:r>
          </w:p>
        </w:tc>
        <w:tc>
          <w:tcPr>
            <w:tcW w:w="1800" w:type="dxa"/>
            <w:vAlign w:val="bottom"/>
          </w:tcPr>
          <w:p>
            <w:pPr>
              <w:jc w:val="right"/>
              <w:ind w:right="410"/>
              <w:spacing w:after="0"/>
              <w:rPr>
                <w:sz w:val="20"/>
                <w:szCs w:val="20"/>
                <w:color w:val="auto"/>
              </w:rPr>
            </w:pPr>
            <w:r>
              <w:rPr>
                <w:rFonts w:ascii="Arial" w:cs="Arial" w:eastAsia="Arial" w:hAnsi="Arial"/>
                <w:sz w:val="18"/>
                <w:szCs w:val="18"/>
                <w:color w:val="auto"/>
              </w:rPr>
              <w:t>261,474</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-1151890</wp:posOffset>
            </wp:positionV>
            <wp:extent cx="5621020" cy="635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9">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-782320</wp:posOffset>
            </wp:positionV>
            <wp:extent cx="5621020" cy="635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90">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-177165</wp:posOffset>
            </wp:positionV>
            <wp:extent cx="5621020" cy="635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91">
                      <a:extLst>
                        <a:ext uri="{28A0092B-C50C-407E-A947-70E740481C1C}"/>
                      </a:extLst>
                    </a:blip>
                    <a:srcRect/>
                    <a:stretch>
                      <a:fillRect/>
                    </a:stretch>
                  </pic:blipFill>
                  <pic:spPr bwMode="auto">
                    <a:xfrm>
                      <a:off x="0" y="0"/>
                      <a:ext cx="5621020" cy="635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28575</wp:posOffset>
            </wp:positionV>
            <wp:extent cx="5621020" cy="635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92">
                      <a:extLst>
                        <a:ext uri="{28A0092B-C50C-407E-A947-70E740481C1C}"/>
                      </a:extLst>
                    </a:blip>
                    <a:srcRect/>
                    <a:stretch>
                      <a:fillRect/>
                    </a:stretch>
                  </pic:blipFill>
                  <pic:spPr bwMode="auto">
                    <a:xfrm>
                      <a:off x="0" y="0"/>
                      <a:ext cx="5621020" cy="6350"/>
                    </a:xfrm>
                    <a:prstGeom prst="rect">
                      <a:avLst/>
                    </a:prstGeom>
                    <a:noFill/>
                  </pic:spPr>
                </pic:pic>
              </a:graphicData>
            </a:graphic>
          </wp:anchor>
        </w:drawing>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26"/>
          <w:szCs w:val="26"/>
          <w:i w:val="1"/>
          <w:iCs w:val="1"/>
          <w:color w:val="auto"/>
          <w:vertAlign w:val="superscript"/>
        </w:rPr>
        <w:t>¹</w:t>
      </w:r>
      <w:r>
        <w:rPr>
          <w:rFonts w:ascii="Arial" w:cs="Arial" w:eastAsia="Arial" w:hAnsi="Arial"/>
          <w:sz w:val="20"/>
          <w:szCs w:val="20"/>
          <w:i w:val="1"/>
          <w:iCs w:val="1"/>
          <w:color w:val="auto"/>
        </w:rPr>
        <w:t>Include principal and interest/finance charges.</w:t>
      </w:r>
    </w:p>
    <w:p>
      <w:pPr>
        <w:spacing w:after="0" w:line="210" w:lineRule="exact"/>
        <w:rPr>
          <w:sz w:val="20"/>
          <w:szCs w:val="20"/>
          <w:color w:val="auto"/>
        </w:rPr>
      </w:pPr>
    </w:p>
    <w:p>
      <w:pPr>
        <w:jc w:val="both"/>
        <w:ind w:left="1620"/>
        <w:spacing w:after="0" w:line="313" w:lineRule="auto"/>
        <w:rPr>
          <w:sz w:val="20"/>
          <w:szCs w:val="20"/>
          <w:color w:val="auto"/>
        </w:rPr>
      </w:pPr>
      <w:r>
        <w:rPr>
          <w:rFonts w:ascii="Arial" w:cs="Arial" w:eastAsia="Arial" w:hAnsi="Arial"/>
          <w:sz w:val="20"/>
          <w:szCs w:val="20"/>
          <w:color w:val="auto"/>
        </w:rPr>
        <w:t>The Convertible Notes were classified as current liabilities as at December 31, 2025, since the Note convertible at the option of the holders upon satisfaction of certain conditions that are beyond the c of the Company. If such conditions are satisfied, the Notes would be convertible at the option o holders and upon conversion, the Notes may be settled, at the Company’s election, in common shar the Company, cash or a combination thereof (Note 13). The Convertible Notes mature on Januar 2027, which is within twelve months of the issuance date of these financial statements.</w:t>
      </w:r>
    </w:p>
    <w:p>
      <w:pPr>
        <w:spacing w:after="0" w:line="212" w:lineRule="exact"/>
        <w:rPr>
          <w:sz w:val="20"/>
          <w:szCs w:val="20"/>
          <w:color w:val="auto"/>
        </w:rPr>
      </w:pPr>
    </w:p>
    <w:p>
      <w:pPr>
        <w:ind w:left="1620" w:right="120"/>
        <w:spacing w:after="0" w:line="307" w:lineRule="auto"/>
        <w:rPr>
          <w:sz w:val="20"/>
          <w:szCs w:val="20"/>
          <w:color w:val="auto"/>
        </w:rPr>
      </w:pPr>
      <w:r>
        <w:rPr>
          <w:rFonts w:ascii="Arial" w:cs="Arial" w:eastAsia="Arial" w:hAnsi="Arial"/>
          <w:sz w:val="20"/>
          <w:szCs w:val="20"/>
          <w:color w:val="auto"/>
        </w:rPr>
        <w:t>The above table summarizes the contractual maturities as at December 31, 2025, assuming conditions will not be satisfied before the due date.</w:t>
      </w:r>
    </w:p>
    <w:p>
      <w:pPr>
        <w:spacing w:after="0" w:line="208" w:lineRule="exact"/>
        <w:rPr>
          <w:sz w:val="20"/>
          <w:szCs w:val="20"/>
          <w:color w:val="auto"/>
        </w:rPr>
      </w:pPr>
    </w:p>
    <w:p>
      <w:pPr>
        <w:ind w:left="1620"/>
        <w:spacing w:after="0"/>
        <w:rPr>
          <w:sz w:val="20"/>
          <w:szCs w:val="20"/>
          <w:color w:val="auto"/>
        </w:rPr>
      </w:pPr>
      <w:r>
        <w:rPr>
          <w:rFonts w:ascii="Arial" w:cs="Arial" w:eastAsia="Arial" w:hAnsi="Arial"/>
          <w:sz w:val="20"/>
          <w:szCs w:val="20"/>
          <w:b w:val="1"/>
          <w:bCs w:val="1"/>
          <w:i w:val="1"/>
          <w:iCs w:val="1"/>
          <w:color w:val="auto"/>
        </w:rPr>
        <w:t>Market Risk</w:t>
      </w:r>
    </w:p>
    <w:p>
      <w:pPr>
        <w:spacing w:after="0" w:line="272"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Market risk encompasses a range of risks. Movement in risk factors, such as market price risk</w:t>
      </w:r>
    </w:p>
    <w:p>
      <w:pPr>
        <w:spacing w:after="0" w:line="72"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Company’s share price, and currency risk, can affect the fair values of financial assets and liabilities</w:t>
      </w:r>
    </w:p>
    <w:p>
      <w:pPr>
        <w:spacing w:after="0" w:line="72"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Company is exposed to foreign currency risk, as described below.</w:t>
      </w:r>
    </w:p>
    <w:p>
      <w:pPr>
        <w:spacing w:after="0" w:line="272" w:lineRule="exact"/>
        <w:rPr>
          <w:sz w:val="20"/>
          <w:szCs w:val="20"/>
          <w:color w:val="auto"/>
        </w:rPr>
      </w:pPr>
    </w:p>
    <w:p>
      <w:pPr>
        <w:ind w:left="1620"/>
        <w:spacing w:after="0"/>
        <w:rPr>
          <w:sz w:val="20"/>
          <w:szCs w:val="20"/>
          <w:color w:val="auto"/>
        </w:rPr>
      </w:pPr>
      <w:r>
        <w:rPr>
          <w:rFonts w:ascii="Arial" w:cs="Arial" w:eastAsia="Arial" w:hAnsi="Arial"/>
          <w:sz w:val="20"/>
          <w:szCs w:val="20"/>
          <w:b w:val="1"/>
          <w:bCs w:val="1"/>
          <w:i w:val="1"/>
          <w:iCs w:val="1"/>
          <w:color w:val="auto"/>
        </w:rPr>
        <w:t>Foreign Currency Risk</w:t>
      </w:r>
    </w:p>
    <w:p>
      <w:pPr>
        <w:spacing w:after="0" w:line="279" w:lineRule="exact"/>
        <w:rPr>
          <w:sz w:val="20"/>
          <w:szCs w:val="20"/>
          <w:color w:val="auto"/>
        </w:rPr>
      </w:pPr>
    </w:p>
    <w:p>
      <w:pPr>
        <w:jc w:val="both"/>
        <w:ind w:left="1620"/>
        <w:spacing w:after="0" w:line="307" w:lineRule="auto"/>
        <w:rPr>
          <w:sz w:val="20"/>
          <w:szCs w:val="20"/>
          <w:color w:val="auto"/>
        </w:rPr>
      </w:pPr>
      <w:r>
        <w:rPr>
          <w:rFonts w:ascii="Arial" w:cs="Arial" w:eastAsia="Arial" w:hAnsi="Arial"/>
          <w:sz w:val="20"/>
          <w:szCs w:val="20"/>
          <w:color w:val="auto"/>
        </w:rPr>
        <w:t>The Company’s operations in foreign countries are subject to currency fluctuations, which may affe financial results.</w:t>
      </w:r>
    </w:p>
    <w:p>
      <w:pPr>
        <w:spacing w:after="0" w:line="215" w:lineRule="exact"/>
        <w:rPr>
          <w:sz w:val="20"/>
          <w:szCs w:val="20"/>
          <w:color w:val="auto"/>
        </w:rPr>
      </w:pPr>
    </w:p>
    <w:p>
      <w:pPr>
        <w:jc w:val="both"/>
        <w:ind w:left="1620"/>
        <w:spacing w:after="0" w:line="313" w:lineRule="auto"/>
        <w:rPr>
          <w:sz w:val="20"/>
          <w:szCs w:val="20"/>
          <w:color w:val="auto"/>
        </w:rPr>
      </w:pPr>
      <w:r>
        <w:rPr>
          <w:rFonts w:ascii="Arial" w:cs="Arial" w:eastAsia="Arial" w:hAnsi="Arial"/>
          <w:sz w:val="20"/>
          <w:szCs w:val="20"/>
          <w:color w:val="auto"/>
        </w:rPr>
        <w:t>The Company and its subsidiaries and associates have a US dollar functional currency, and it in expenditures in Canadian dollars (“CDN$”), Argentine Pesos (“ARS$”), Swiss francs (“CHF”) and with the majority of the expenditures being incurred in US$ by the Company’s subsidiaries and inves As at December 31, 2025, the Company did not hold significant amounts of cash and cash equiva denominated in CDN$, ARS$, and CHF.</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9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16 / 46</w:t>
      </w:r>
    </w:p>
    <w:p>
      <w:pPr>
        <w:sectPr>
          <w:pgSz w:w="11900" w:h="16838" w:orient="portrait"/>
          <w:cols w:equalWidth="0" w:num="1">
            <w:col w:w="10460"/>
          </w:cols>
          <w:pgMar w:left="1440" w:top="1440" w:right="6" w:bottom="0" w:gutter="0" w:footer="0" w:header="0"/>
          <w:type w:val="continuous"/>
        </w:sectPr>
      </w:pPr>
    </w:p>
    <w:bookmarkStart w:id="467" w:name="page468"/>
    <w:bookmarkEnd w:id="467"/>
    <w:p>
      <w:pPr>
        <w:ind w:left="1620" w:hanging="726"/>
        <w:spacing w:after="0"/>
        <w:tabs>
          <w:tab w:leader="none" w:pos="1620" w:val="left"/>
        </w:tabs>
        <w:numPr>
          <w:ilvl w:val="0"/>
          <w:numId w:val="196"/>
        </w:numPr>
        <w:rPr>
          <w:rFonts w:ascii="Arial" w:cs="Arial" w:eastAsia="Arial" w:hAnsi="Arial"/>
          <w:sz w:val="20"/>
          <w:szCs w:val="20"/>
          <w:b w:val="1"/>
          <w:bCs w:val="1"/>
          <w:color w:val="153A57"/>
        </w:rPr>
      </w:pPr>
      <w:r>
        <w:rPr>
          <w:rFonts w:ascii="Arial" w:cs="Arial" w:eastAsia="Arial" w:hAnsi="Arial"/>
          <w:sz w:val="20"/>
          <w:szCs w:val="20"/>
          <w:b w:val="1"/>
          <w:bCs w:val="1"/>
          <w:color w:val="153A57"/>
        </w:rPr>
        <w:t>CAPITAL DISCLOSURE</w:t>
      </w:r>
    </w:p>
    <w:p>
      <w:pPr>
        <w:spacing w:after="0" w:line="293" w:lineRule="exact"/>
        <w:rPr>
          <w:rFonts w:ascii="Arial" w:cs="Arial" w:eastAsia="Arial" w:hAnsi="Arial"/>
          <w:sz w:val="20"/>
          <w:szCs w:val="20"/>
          <w:b w:val="1"/>
          <w:bCs w:val="1"/>
          <w:color w:val="153A57"/>
        </w:rPr>
      </w:pPr>
    </w:p>
    <w:p>
      <w:pPr>
        <w:ind w:left="1620"/>
        <w:spacing w:after="0" w:line="313" w:lineRule="auto"/>
        <w:rPr>
          <w:rFonts w:ascii="Arial" w:cs="Arial" w:eastAsia="Arial" w:hAnsi="Arial"/>
          <w:sz w:val="20"/>
          <w:szCs w:val="20"/>
          <w:b w:val="1"/>
          <w:bCs w:val="1"/>
          <w:color w:val="153A57"/>
        </w:rPr>
      </w:pPr>
      <w:r>
        <w:rPr>
          <w:rFonts w:ascii="Arial" w:cs="Arial" w:eastAsia="Arial" w:hAnsi="Arial"/>
          <w:sz w:val="20"/>
          <w:szCs w:val="20"/>
          <w:color w:val="auto"/>
        </w:rPr>
        <w:t>The Company’s objectives in managing capital are to safeguard its ability to continue as a going co in order to pursue the exploration and development of its mineral properties, as well as those associates, and to maintain a flexible capital structure. The capital structure of the Company consis long-term borrowings, project debt facilities, and equity attributable to common shareholders, compr issued capital, contributed surplus, and deficit. The Company manages its capital structure and adju in light of changes in economic conditions and the risk characteristics of the underlying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235585</wp:posOffset>
            </wp:positionV>
            <wp:extent cx="1676400" cy="19050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93">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9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08"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17 / 46</w:t>
      </w:r>
    </w:p>
    <w:p>
      <w:pPr>
        <w:sectPr>
          <w:pgSz w:w="11900" w:h="16838" w:orient="portrait"/>
          <w:cols w:equalWidth="0" w:num="1">
            <w:col w:w="10460"/>
          </w:cols>
          <w:pgMar w:left="1440" w:top="1408" w:right="6" w:bottom="0" w:gutter="0" w:footer="0" w:header="0"/>
          <w:type w:val="continuous"/>
        </w:sectPr>
      </w:pPr>
    </w:p>
    <w:bookmarkStart w:id="468" w:name="page469"/>
    <w:bookmarkEnd w:id="4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200" w:lineRule="exact"/>
        <w:rPr>
          <w:sz w:val="20"/>
          <w:szCs w:val="20"/>
          <w:color w:val="auto"/>
        </w:rPr>
      </w:pPr>
    </w:p>
    <w:p>
      <w:pPr>
        <w:spacing w:after="0" w:line="300" w:lineRule="exact"/>
        <w:rPr>
          <w:sz w:val="20"/>
          <w:szCs w:val="20"/>
          <w:color w:val="auto"/>
        </w:rPr>
      </w:pPr>
    </w:p>
    <w:p>
      <w:pPr>
        <w:ind w:left="1620" w:hanging="726"/>
        <w:spacing w:after="0"/>
        <w:tabs>
          <w:tab w:leader="none" w:pos="1620" w:val="left"/>
        </w:tabs>
        <w:numPr>
          <w:ilvl w:val="0"/>
          <w:numId w:val="197"/>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CAPITAL DISCLOSURE </w:t>
      </w:r>
      <w:r>
        <w:rPr>
          <w:rFonts w:ascii="Arial" w:cs="Arial" w:eastAsia="Arial" w:hAnsi="Arial"/>
          <w:sz w:val="20"/>
          <w:szCs w:val="20"/>
          <w:i w:val="1"/>
          <w:iCs w:val="1"/>
          <w:color w:val="153A57"/>
        </w:rPr>
        <w:t>(continued)</w:t>
      </w:r>
    </w:p>
    <w:p>
      <w:pPr>
        <w:spacing w:after="0" w:line="277" w:lineRule="exact"/>
        <w:rPr>
          <w:rFonts w:ascii="Arial" w:cs="Arial" w:eastAsia="Arial" w:hAnsi="Arial"/>
          <w:sz w:val="20"/>
          <w:szCs w:val="20"/>
          <w:b w:val="1"/>
          <w:bCs w:val="1"/>
          <w:color w:val="153A57"/>
        </w:rPr>
      </w:pPr>
    </w:p>
    <w:p>
      <w:pPr>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To carry out the planned exploration and development of its projects and to cover administrative c the Company will use its existing working capital, draw on its limited recourse loan facility, or additional funds as needed and if available.</w:t>
      </w:r>
    </w:p>
    <w:p>
      <w:pPr>
        <w:spacing w:after="0" w:line="211" w:lineRule="exact"/>
        <w:rPr>
          <w:rFonts w:ascii="Arial" w:cs="Arial" w:eastAsia="Arial" w:hAnsi="Arial"/>
          <w:sz w:val="20"/>
          <w:szCs w:val="20"/>
          <w:b w:val="1"/>
          <w:bCs w:val="1"/>
          <w:color w:val="153A57"/>
        </w:rPr>
      </w:pPr>
    </w:p>
    <w:p>
      <w:pPr>
        <w:jc w:val="both"/>
        <w:ind w:left="1620"/>
        <w:spacing w:after="0" w:line="311" w:lineRule="auto"/>
        <w:rPr>
          <w:rFonts w:ascii="Arial" w:cs="Arial" w:eastAsia="Arial" w:hAnsi="Arial"/>
          <w:sz w:val="20"/>
          <w:szCs w:val="20"/>
          <w:b w:val="1"/>
          <w:bCs w:val="1"/>
          <w:color w:val="153A57"/>
        </w:rPr>
      </w:pPr>
      <w:r>
        <w:rPr>
          <w:rFonts w:ascii="Arial" w:cs="Arial" w:eastAsia="Arial" w:hAnsi="Arial"/>
          <w:sz w:val="20"/>
          <w:szCs w:val="20"/>
          <w:color w:val="auto"/>
        </w:rPr>
        <w:t>Management reviews its capital management approach on an ongoing basis and believes that, give relative size of the Company, its current approach remains reasonable. There were no changes i Company’s approach to capital management during the year ended December 31, 2025.</w:t>
      </w:r>
    </w:p>
    <w:p>
      <w:pPr>
        <w:spacing w:after="0" w:line="248" w:lineRule="exact"/>
        <w:rPr>
          <w:rFonts w:ascii="Arial" w:cs="Arial" w:eastAsia="Arial" w:hAnsi="Arial"/>
          <w:sz w:val="20"/>
          <w:szCs w:val="20"/>
          <w:b w:val="1"/>
          <w:bCs w:val="1"/>
          <w:color w:val="153A57"/>
        </w:rPr>
      </w:pPr>
    </w:p>
    <w:p>
      <w:pPr>
        <w:ind w:left="1620" w:hanging="726"/>
        <w:spacing w:after="0"/>
        <w:tabs>
          <w:tab w:leader="none" w:pos="1620" w:val="left"/>
        </w:tabs>
        <w:numPr>
          <w:ilvl w:val="0"/>
          <w:numId w:val="197"/>
        </w:numPr>
        <w:rPr>
          <w:rFonts w:ascii="Arial" w:cs="Arial" w:eastAsia="Arial" w:hAnsi="Arial"/>
          <w:sz w:val="20"/>
          <w:szCs w:val="20"/>
          <w:b w:val="1"/>
          <w:bCs w:val="1"/>
          <w:color w:val="153A57"/>
        </w:rPr>
      </w:pPr>
      <w:r>
        <w:rPr>
          <w:rFonts w:ascii="Arial" w:cs="Arial" w:eastAsia="Arial" w:hAnsi="Arial"/>
          <w:sz w:val="20"/>
          <w:szCs w:val="20"/>
          <w:b w:val="1"/>
          <w:bCs w:val="1"/>
          <w:color w:val="153A57"/>
        </w:rPr>
        <w:t>SUBSEQUENT EVENTS</w:t>
      </w:r>
    </w:p>
    <w:p>
      <w:pPr>
        <w:spacing w:after="0" w:line="200" w:lineRule="exact"/>
        <w:rPr>
          <w:sz w:val="20"/>
          <w:szCs w:val="20"/>
          <w:color w:val="auto"/>
        </w:rPr>
      </w:pPr>
    </w:p>
    <w:p>
      <w:pPr>
        <w:spacing w:after="0" w:line="352" w:lineRule="exact"/>
        <w:rPr>
          <w:sz w:val="20"/>
          <w:szCs w:val="20"/>
          <w:color w:val="auto"/>
        </w:rPr>
      </w:pPr>
    </w:p>
    <w:p>
      <w:pPr>
        <w:ind w:left="1980" w:hanging="366"/>
        <w:spacing w:after="0"/>
        <w:tabs>
          <w:tab w:leader="none" w:pos="1980" w:val="left"/>
        </w:tabs>
        <w:numPr>
          <w:ilvl w:val="0"/>
          <w:numId w:val="198"/>
        </w:numPr>
        <w:rPr>
          <w:rFonts w:ascii="Arial" w:cs="Arial" w:eastAsia="Arial" w:hAnsi="Arial"/>
          <w:sz w:val="20"/>
          <w:szCs w:val="20"/>
          <w:color w:val="auto"/>
        </w:rPr>
      </w:pPr>
      <w:r>
        <w:rPr>
          <w:rFonts w:ascii="Arial" w:cs="Arial" w:eastAsia="Arial" w:hAnsi="Arial"/>
          <w:sz w:val="20"/>
          <w:szCs w:val="20"/>
          <w:b w:val="1"/>
          <w:bCs w:val="1"/>
          <w:i w:val="1"/>
          <w:iCs w:val="1"/>
          <w:color w:val="auto"/>
        </w:rPr>
        <w:t>Amendment to PGCo Share Premium Reduction and Shareholder Distribution (Note 10)</w:t>
      </w:r>
    </w:p>
    <w:p>
      <w:pPr>
        <w:spacing w:after="0" w:line="293" w:lineRule="exact"/>
        <w:rPr>
          <w:sz w:val="20"/>
          <w:szCs w:val="20"/>
          <w:color w:val="auto"/>
        </w:rPr>
      </w:pPr>
    </w:p>
    <w:p>
      <w:pPr>
        <w:jc w:val="both"/>
        <w:ind w:left="1620" w:right="20"/>
        <w:spacing w:after="0" w:line="312" w:lineRule="auto"/>
        <w:rPr>
          <w:sz w:val="20"/>
          <w:szCs w:val="20"/>
          <w:color w:val="auto"/>
        </w:rPr>
      </w:pPr>
      <w:r>
        <w:rPr>
          <w:rFonts w:ascii="Arial" w:cs="Arial" w:eastAsia="Arial" w:hAnsi="Arial"/>
          <w:sz w:val="20"/>
          <w:szCs w:val="20"/>
          <w:color w:val="auto"/>
        </w:rPr>
        <w:t>Subsequent to year-end, the Board and shareholders of PGCo approved a resolution amending the of the previously approved share premium distribution described in Note 10. The resolution revoke inflation indexation mechanism approved in December 2025 and established that the shareh distribution payable would be fixed in U.S. dollars.</w:t>
      </w:r>
    </w:p>
    <w:p>
      <w:pPr>
        <w:spacing w:after="0" w:line="212" w:lineRule="exact"/>
        <w:rPr>
          <w:sz w:val="20"/>
          <w:szCs w:val="20"/>
          <w:color w:val="auto"/>
        </w:rPr>
      </w:pPr>
    </w:p>
    <w:p>
      <w:pPr>
        <w:jc w:val="both"/>
        <w:ind w:left="1620"/>
        <w:spacing w:after="0" w:line="313" w:lineRule="auto"/>
        <w:rPr>
          <w:sz w:val="20"/>
          <w:szCs w:val="20"/>
          <w:color w:val="auto"/>
        </w:rPr>
      </w:pPr>
      <w:r>
        <w:rPr>
          <w:rFonts w:ascii="Arial" w:cs="Arial" w:eastAsia="Arial" w:hAnsi="Arial"/>
          <w:sz w:val="20"/>
          <w:szCs w:val="20"/>
          <w:color w:val="auto"/>
        </w:rPr>
        <w:t>Under the amended terms, the shareholder distribution payable was novated into a fixed liabili approximately $80,031, with no further inflation indexation after October 22, 2025. The shareholders confirmed that the distribution will be settled using proceeds expected to be received by PGCo Minera Exar in connection with the repayment of an outstanding loan. Any portion of the distributio settled through these proceeds is expected to be capitalized by the shareholders.</w:t>
      </w:r>
    </w:p>
    <w:p>
      <w:pPr>
        <w:spacing w:after="0" w:line="210" w:lineRule="exact"/>
        <w:rPr>
          <w:sz w:val="20"/>
          <w:szCs w:val="20"/>
          <w:color w:val="auto"/>
        </w:rPr>
      </w:pPr>
    </w:p>
    <w:p>
      <w:pPr>
        <w:jc w:val="both"/>
        <w:ind w:left="1620"/>
        <w:spacing w:after="0" w:line="311" w:lineRule="auto"/>
        <w:rPr>
          <w:sz w:val="20"/>
          <w:szCs w:val="20"/>
          <w:color w:val="auto"/>
        </w:rPr>
      </w:pPr>
      <w:r>
        <w:rPr>
          <w:rFonts w:ascii="Arial" w:cs="Arial" w:eastAsia="Arial" w:hAnsi="Arial"/>
          <w:sz w:val="20"/>
          <w:szCs w:val="20"/>
          <w:color w:val="auto"/>
        </w:rPr>
        <w:t>As this resolution was approved after December 31, 2025, the amendment represents a non-adju subsequent event and therefore no adjustments have been made to the consolidated financial state for the year ended December 31, 2025.</w:t>
      </w:r>
    </w:p>
    <w:p>
      <w:pPr>
        <w:spacing w:after="0" w:line="248" w:lineRule="exact"/>
        <w:rPr>
          <w:sz w:val="20"/>
          <w:szCs w:val="20"/>
          <w:color w:val="auto"/>
        </w:rPr>
      </w:pPr>
    </w:p>
    <w:p>
      <w:pPr>
        <w:ind w:left="1980" w:hanging="366"/>
        <w:spacing w:after="0"/>
        <w:tabs>
          <w:tab w:leader="none" w:pos="1980" w:val="left"/>
        </w:tabs>
        <w:numPr>
          <w:ilvl w:val="0"/>
          <w:numId w:val="199"/>
        </w:numPr>
        <w:rPr>
          <w:rFonts w:ascii="Arial" w:cs="Arial" w:eastAsia="Arial" w:hAnsi="Arial"/>
          <w:sz w:val="20"/>
          <w:szCs w:val="20"/>
          <w:color w:val="auto"/>
        </w:rPr>
      </w:pPr>
      <w:r>
        <w:rPr>
          <w:rFonts w:ascii="Arial" w:cs="Arial" w:eastAsia="Arial" w:hAnsi="Arial"/>
          <w:sz w:val="20"/>
          <w:szCs w:val="20"/>
          <w:b w:val="1"/>
          <w:bCs w:val="1"/>
          <w:i w:val="1"/>
          <w:iCs w:val="1"/>
          <w:color w:val="auto"/>
        </w:rPr>
        <w:t>Repayment of Minera Exar loan and subsequent distributions</w:t>
      </w:r>
    </w:p>
    <w:p>
      <w:pPr>
        <w:spacing w:after="0" w:line="293" w:lineRule="exact"/>
        <w:rPr>
          <w:sz w:val="20"/>
          <w:szCs w:val="20"/>
          <w:color w:val="auto"/>
        </w:rPr>
      </w:pPr>
    </w:p>
    <w:p>
      <w:pPr>
        <w:jc w:val="both"/>
        <w:ind w:left="1620"/>
        <w:spacing w:after="0" w:line="311" w:lineRule="auto"/>
        <w:rPr>
          <w:sz w:val="20"/>
          <w:szCs w:val="20"/>
          <w:color w:val="auto"/>
        </w:rPr>
      </w:pPr>
      <w:r>
        <w:rPr>
          <w:rFonts w:ascii="Arial" w:cs="Arial" w:eastAsia="Arial" w:hAnsi="Arial"/>
          <w:sz w:val="20"/>
          <w:szCs w:val="20"/>
          <w:color w:val="auto"/>
        </w:rPr>
        <w:t>Subsequent to December 31, 2025, the following transactions occurred in order to distribute Mi Exar’s available cash between the Company and Ganfeng in proportion to their respective owne interests in Exar Capital:</w:t>
      </w:r>
    </w:p>
    <w:p>
      <w:pPr>
        <w:spacing w:after="0" w:line="212" w:lineRule="exact"/>
        <w:rPr>
          <w:sz w:val="20"/>
          <w:szCs w:val="20"/>
          <w:color w:val="auto"/>
        </w:rPr>
      </w:pPr>
    </w:p>
    <w:p>
      <w:pPr>
        <w:ind w:left="1620" w:hanging="6"/>
        <w:spacing w:after="0" w:line="307" w:lineRule="auto"/>
        <w:tabs>
          <w:tab w:leader="none" w:pos="1895" w:val="left"/>
        </w:tabs>
        <w:numPr>
          <w:ilvl w:val="0"/>
          <w:numId w:val="200"/>
        </w:numPr>
        <w:rPr>
          <w:rFonts w:ascii="Arial" w:cs="Arial" w:eastAsia="Arial" w:hAnsi="Arial"/>
          <w:sz w:val="20"/>
          <w:szCs w:val="20"/>
          <w:color w:val="auto"/>
        </w:rPr>
      </w:pPr>
      <w:r>
        <w:rPr>
          <w:rFonts w:ascii="Arial" w:cs="Arial" w:eastAsia="Arial" w:hAnsi="Arial"/>
          <w:sz w:val="20"/>
          <w:szCs w:val="20"/>
          <w:color w:val="auto"/>
        </w:rPr>
        <w:t>On February 9, 2026, Minera Exar fully repaid the loan outstanding to PGCo, including acc interest, totaling $72,015 (Note 10).</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18 / 46</w:t>
      </w:r>
    </w:p>
    <w:p>
      <w:pPr>
        <w:sectPr>
          <w:pgSz w:w="11900" w:h="16838" w:orient="portrait"/>
          <w:cols w:equalWidth="0" w:num="1">
            <w:col w:w="10460"/>
          </w:cols>
          <w:pgMar w:left="1440" w:top="1440" w:right="6" w:bottom="0" w:gutter="0" w:footer="0" w:header="0"/>
          <w:type w:val="continuous"/>
        </w:sectPr>
      </w:pPr>
    </w:p>
    <w:bookmarkStart w:id="469" w:name="page470"/>
    <w:bookmarkEnd w:id="469"/>
    <w:p>
      <w:pPr>
        <w:jc w:val="both"/>
        <w:ind w:left="1620" w:hanging="6"/>
        <w:spacing w:after="0" w:line="311" w:lineRule="auto"/>
        <w:tabs>
          <w:tab w:leader="none" w:pos="1895" w:val="left"/>
        </w:tabs>
        <w:numPr>
          <w:ilvl w:val="0"/>
          <w:numId w:val="201"/>
        </w:numPr>
        <w:rPr>
          <w:rFonts w:ascii="Arial" w:cs="Arial" w:eastAsia="Arial" w:hAnsi="Arial"/>
          <w:sz w:val="20"/>
          <w:szCs w:val="20"/>
          <w:color w:val="auto"/>
        </w:rPr>
      </w:pPr>
      <w:r>
        <w:rPr>
          <w:rFonts w:ascii="Arial" w:cs="Arial" w:eastAsia="Arial" w:hAnsi="Arial"/>
          <w:sz w:val="20"/>
          <w:szCs w:val="20"/>
          <w:color w:val="auto"/>
        </w:rPr>
        <w:t>Following the repayment, PGCo used the proceeds to partially settle its outstanding shareh liabilities, distributing $61,292 to Millennial and $10,723 to Ganfeng. Millennial subsequently approv capital reduction and repaid $61,292 to the Company.</w:t>
      </w:r>
    </w:p>
    <w:p>
      <w:pPr>
        <w:spacing w:after="0" w:line="211" w:lineRule="exact"/>
        <w:rPr>
          <w:rFonts w:ascii="Arial" w:cs="Arial" w:eastAsia="Arial" w:hAnsi="Arial"/>
          <w:sz w:val="20"/>
          <w:szCs w:val="20"/>
          <w:color w:val="auto"/>
        </w:rPr>
      </w:pPr>
    </w:p>
    <w:p>
      <w:pPr>
        <w:jc w:val="both"/>
        <w:ind w:left="1620" w:hanging="6"/>
        <w:spacing w:after="0" w:line="311" w:lineRule="auto"/>
        <w:tabs>
          <w:tab w:leader="none" w:pos="1853" w:val="left"/>
        </w:tabs>
        <w:numPr>
          <w:ilvl w:val="0"/>
          <w:numId w:val="201"/>
        </w:numPr>
        <w:rPr>
          <w:rFonts w:ascii="Arial" w:cs="Arial" w:eastAsia="Arial" w:hAnsi="Arial"/>
          <w:sz w:val="20"/>
          <w:szCs w:val="20"/>
          <w:color w:val="auto"/>
        </w:rPr>
      </w:pPr>
      <w:r>
        <w:rPr>
          <w:rFonts w:ascii="Arial" w:cs="Arial" w:eastAsia="Arial" w:hAnsi="Arial"/>
          <w:sz w:val="20"/>
          <w:szCs w:val="20"/>
          <w:color w:val="auto"/>
        </w:rPr>
        <w:t>On February 9, 2026, the Company entered into an assignment agreement with Ganfeng pursua which the Company purchased portions of certain receivables owing from Exar Capital in the amou $26,005, funded from the capital repayment received from Millennial.</w:t>
      </w:r>
    </w:p>
    <w:p>
      <w:pPr>
        <w:spacing w:after="0" w:line="212" w:lineRule="exact"/>
        <w:rPr>
          <w:sz w:val="20"/>
          <w:szCs w:val="20"/>
          <w:color w:val="auto"/>
        </w:rPr>
      </w:pPr>
    </w:p>
    <w:p>
      <w:pPr>
        <w:jc w:val="both"/>
        <w:ind w:left="1620" w:right="20"/>
        <w:spacing w:after="0" w:line="311" w:lineRule="auto"/>
        <w:rPr>
          <w:sz w:val="20"/>
          <w:szCs w:val="20"/>
          <w:color w:val="auto"/>
        </w:rPr>
      </w:pPr>
      <w:r>
        <w:rPr>
          <w:rFonts w:ascii="Arial" w:cs="Arial" w:eastAsia="Arial" w:hAnsi="Arial"/>
          <w:sz w:val="20"/>
          <w:szCs w:val="20"/>
          <w:color w:val="auto"/>
        </w:rPr>
        <w:t>As a result of these transactions, the Company and Ganfeng received net cash of approximately $3 and $36,728, respectively, reflecting their 49% and 51% funding proportions for the Cauchari-O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426085</wp:posOffset>
            </wp:positionV>
            <wp:extent cx="1676400" cy="19050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95">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9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19 / 46</w:t>
      </w:r>
    </w:p>
    <w:p>
      <w:pPr>
        <w:sectPr>
          <w:pgSz w:w="11900" w:h="16838" w:orient="portrait"/>
          <w:cols w:equalWidth="0" w:num="1">
            <w:col w:w="10460"/>
          </w:cols>
          <w:pgMar w:left="1440" w:top="1172" w:right="6" w:bottom="0" w:gutter="0" w:footer="0" w:header="0"/>
          <w:type w:val="continuous"/>
        </w:sectPr>
      </w:pPr>
    </w:p>
    <w:bookmarkStart w:id="470" w:name="page471"/>
    <w:bookmarkEnd w:id="4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LITHIUM ARGENTINA AG (FORMERLY LITHIUM AMERICAS (ARGENTINA) CORP.</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NOTES TO THE CONSOLIDATED FINANCIAL STATEMENTS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FOR THE YEAR ENDED DECEMBER 31, 2025</w:t>
      </w:r>
    </w:p>
    <w:p>
      <w:pPr>
        <w:spacing w:after="0" w:line="86" w:lineRule="exact"/>
        <w:rPr>
          <w:sz w:val="20"/>
          <w:szCs w:val="20"/>
          <w:color w:val="auto"/>
        </w:rPr>
      </w:pPr>
    </w:p>
    <w:p>
      <w:pPr>
        <w:ind w:left="900" w:right="460"/>
        <w:spacing w:after="0" w:line="322" w:lineRule="auto"/>
        <w:rPr>
          <w:sz w:val="20"/>
          <w:szCs w:val="20"/>
          <w:color w:val="auto"/>
        </w:rPr>
      </w:pPr>
      <w:r>
        <w:rPr>
          <w:rFonts w:ascii="Arial" w:cs="Arial" w:eastAsia="Arial" w:hAnsi="Arial"/>
          <w:sz w:val="19"/>
          <w:szCs w:val="19"/>
          <w:color w:val="auto"/>
        </w:rPr>
        <w:t>(Expressed in thousands of US dollars, except for per share amounts, per tonne amounts; shares and equity instruments in thousands)</w:t>
      </w:r>
    </w:p>
    <w:p>
      <w:pPr>
        <w:spacing w:after="0" w:line="300" w:lineRule="exact"/>
        <w:rPr>
          <w:sz w:val="20"/>
          <w:szCs w:val="20"/>
          <w:color w:val="auto"/>
        </w:rPr>
      </w:pPr>
    </w:p>
    <w:p>
      <w:pPr>
        <w:ind w:left="1620" w:hanging="726"/>
        <w:spacing w:after="0"/>
        <w:tabs>
          <w:tab w:leader="none" w:pos="1620" w:val="left"/>
        </w:tabs>
        <w:numPr>
          <w:ilvl w:val="0"/>
          <w:numId w:val="202"/>
        </w:numPr>
        <w:rPr>
          <w:rFonts w:ascii="Arial" w:cs="Arial" w:eastAsia="Arial" w:hAnsi="Arial"/>
          <w:sz w:val="20"/>
          <w:szCs w:val="20"/>
          <w:b w:val="1"/>
          <w:bCs w:val="1"/>
          <w:color w:val="153A57"/>
        </w:rPr>
      </w:pPr>
      <w:r>
        <w:rPr>
          <w:rFonts w:ascii="Arial" w:cs="Arial" w:eastAsia="Arial" w:hAnsi="Arial"/>
          <w:sz w:val="20"/>
          <w:szCs w:val="20"/>
          <w:b w:val="1"/>
          <w:bCs w:val="1"/>
          <w:color w:val="153A57"/>
        </w:rPr>
        <w:t xml:space="preserve">SUBSEQUENT EVENTS </w:t>
      </w:r>
      <w:r>
        <w:rPr>
          <w:rFonts w:ascii="Arial" w:cs="Arial" w:eastAsia="Arial" w:hAnsi="Arial"/>
          <w:sz w:val="20"/>
          <w:szCs w:val="20"/>
          <w:i w:val="1"/>
          <w:iCs w:val="1"/>
          <w:color w:val="153A57"/>
        </w:rPr>
        <w:t>(continued)</w:t>
      </w:r>
    </w:p>
    <w:p>
      <w:pPr>
        <w:spacing w:after="0" w:line="270" w:lineRule="exact"/>
        <w:rPr>
          <w:rFonts w:ascii="Arial" w:cs="Arial" w:eastAsia="Arial" w:hAnsi="Arial"/>
          <w:sz w:val="20"/>
          <w:szCs w:val="20"/>
          <w:b w:val="1"/>
          <w:bCs w:val="1"/>
          <w:color w:val="153A57"/>
        </w:rPr>
      </w:pPr>
    </w:p>
    <w:p>
      <w:pPr>
        <w:ind w:left="1620"/>
        <w:spacing w:after="0"/>
        <w:rPr>
          <w:rFonts w:ascii="Arial" w:cs="Arial" w:eastAsia="Arial" w:hAnsi="Arial"/>
          <w:sz w:val="20"/>
          <w:szCs w:val="20"/>
          <w:b w:val="1"/>
          <w:bCs w:val="1"/>
          <w:color w:val="153A57"/>
        </w:rPr>
      </w:pP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Partial Repayment of Outstanding Loan Interest by Exar Capital</w:t>
      </w:r>
    </w:p>
    <w:p>
      <w:pPr>
        <w:spacing w:after="0" w:line="277" w:lineRule="exact"/>
        <w:rPr>
          <w:sz w:val="20"/>
          <w:szCs w:val="20"/>
          <w:color w:val="auto"/>
        </w:rPr>
      </w:pPr>
    </w:p>
    <w:p>
      <w:pPr>
        <w:ind w:left="1620"/>
        <w:spacing w:after="0" w:line="307" w:lineRule="auto"/>
        <w:rPr>
          <w:sz w:val="20"/>
          <w:szCs w:val="20"/>
          <w:color w:val="auto"/>
        </w:rPr>
      </w:pPr>
      <w:r>
        <w:rPr>
          <w:rFonts w:ascii="Arial" w:cs="Arial" w:eastAsia="Arial" w:hAnsi="Arial"/>
          <w:sz w:val="20"/>
          <w:szCs w:val="20"/>
          <w:color w:val="auto"/>
        </w:rPr>
        <w:t>Subsequent to December 31, 2025, in March 2026, Exar Capital used its existing cash balance to r $6,468 of outstanding loan interest to the Company.</w:t>
      </w:r>
    </w:p>
    <w:p>
      <w:pPr>
        <w:spacing w:after="0" w:line="208" w:lineRule="exact"/>
        <w:rPr>
          <w:sz w:val="20"/>
          <w:szCs w:val="20"/>
          <w:color w:val="auto"/>
        </w:rPr>
      </w:pPr>
    </w:p>
    <w:p>
      <w:pPr>
        <w:ind w:left="1980" w:hanging="366"/>
        <w:spacing w:after="0"/>
        <w:tabs>
          <w:tab w:leader="none" w:pos="1980" w:val="left"/>
        </w:tabs>
        <w:numPr>
          <w:ilvl w:val="0"/>
          <w:numId w:val="203"/>
        </w:numPr>
        <w:rPr>
          <w:rFonts w:ascii="Arial" w:cs="Arial" w:eastAsia="Arial" w:hAnsi="Arial"/>
          <w:sz w:val="20"/>
          <w:szCs w:val="20"/>
          <w:color w:val="auto"/>
        </w:rPr>
      </w:pPr>
      <w:r>
        <w:rPr>
          <w:rFonts w:ascii="Arial" w:cs="Arial" w:eastAsia="Arial" w:hAnsi="Arial"/>
          <w:sz w:val="20"/>
          <w:szCs w:val="20"/>
          <w:b w:val="1"/>
          <w:bCs w:val="1"/>
          <w:i w:val="1"/>
          <w:iCs w:val="1"/>
          <w:color w:val="auto"/>
        </w:rPr>
        <w:t>Debt Facility with Ganfeng</w:t>
      </w:r>
    </w:p>
    <w:p>
      <w:pPr>
        <w:spacing w:after="0" w:line="277" w:lineRule="exact"/>
        <w:rPr>
          <w:sz w:val="20"/>
          <w:szCs w:val="20"/>
          <w:color w:val="auto"/>
        </w:rPr>
      </w:pPr>
    </w:p>
    <w:p>
      <w:pPr>
        <w:jc w:val="both"/>
        <w:ind w:left="1620"/>
        <w:spacing w:after="0" w:line="307" w:lineRule="auto"/>
        <w:rPr>
          <w:sz w:val="20"/>
          <w:szCs w:val="20"/>
          <w:color w:val="auto"/>
        </w:rPr>
      </w:pPr>
      <w:r>
        <w:rPr>
          <w:rFonts w:ascii="Arial" w:cs="Arial" w:eastAsia="Arial" w:hAnsi="Arial"/>
          <w:sz w:val="20"/>
          <w:szCs w:val="20"/>
          <w:color w:val="auto"/>
        </w:rPr>
        <w:t>Subsequent to December 31, 2025, in March 2026, the Company entered into a six-year $130,000 facility with Ganfeng bearing interest at SOFR plus 2.5% (the “Debt Facility”).</w:t>
      </w:r>
    </w:p>
    <w:p>
      <w:pPr>
        <w:spacing w:after="0" w:line="215" w:lineRule="exact"/>
        <w:rPr>
          <w:sz w:val="20"/>
          <w:szCs w:val="20"/>
          <w:color w:val="auto"/>
        </w:rPr>
      </w:pPr>
    </w:p>
    <w:p>
      <w:pPr>
        <w:jc w:val="both"/>
        <w:ind w:left="1620"/>
        <w:spacing w:after="0" w:line="313" w:lineRule="auto"/>
        <w:rPr>
          <w:sz w:val="20"/>
          <w:szCs w:val="20"/>
          <w:color w:val="auto"/>
        </w:rPr>
      </w:pPr>
      <w:r>
        <w:rPr>
          <w:rFonts w:ascii="Arial" w:cs="Arial" w:eastAsia="Arial" w:hAnsi="Arial"/>
          <w:sz w:val="20"/>
          <w:szCs w:val="20"/>
          <w:color w:val="auto"/>
        </w:rPr>
        <w:t>The Debt Facility is secured by the Company’s equity interest in a proposed joint venture betwee Company and Ganfeng intended to consolidate their respective interests in the Pozuelos-Pastos Gra and Sal de la Puna lithium brine projects located in Salta, Argentina (the “New JV”). The Debt Facilit be prepaid without penalty and is available to refinance existing corporate debt and for general corp purposes.</w:t>
      </w:r>
    </w:p>
    <w:p>
      <w:pPr>
        <w:spacing w:after="0" w:line="210" w:lineRule="exact"/>
        <w:rPr>
          <w:sz w:val="20"/>
          <w:szCs w:val="20"/>
          <w:color w:val="auto"/>
        </w:rPr>
      </w:pPr>
    </w:p>
    <w:p>
      <w:pPr>
        <w:jc w:val="both"/>
        <w:ind w:left="1620"/>
        <w:spacing w:after="0" w:line="311" w:lineRule="auto"/>
        <w:rPr>
          <w:sz w:val="20"/>
          <w:szCs w:val="20"/>
          <w:color w:val="auto"/>
        </w:rPr>
      </w:pPr>
      <w:r>
        <w:rPr>
          <w:rFonts w:ascii="Arial" w:cs="Arial" w:eastAsia="Arial" w:hAnsi="Arial"/>
          <w:sz w:val="20"/>
          <w:szCs w:val="20"/>
          <w:color w:val="auto"/>
        </w:rPr>
        <w:t>Under the terms of the Debt Facility, the Company has agreed to allocate up 50% of its offtake from the initial development phase of the New JV, capped at 6,000 tonnes per an of lithium carbonate equivalent, to Ganfeng at market prices.</w:t>
      </w:r>
    </w:p>
    <w:p>
      <w:pPr>
        <w:spacing w:after="0" w:line="205" w:lineRule="exact"/>
        <w:rPr>
          <w:sz w:val="20"/>
          <w:szCs w:val="20"/>
          <w:color w:val="auto"/>
        </w:rPr>
      </w:pPr>
    </w:p>
    <w:p>
      <w:pPr>
        <w:ind w:left="1980" w:hanging="366"/>
        <w:spacing w:after="0"/>
        <w:tabs>
          <w:tab w:leader="none" w:pos="1980" w:val="left"/>
        </w:tabs>
        <w:numPr>
          <w:ilvl w:val="0"/>
          <w:numId w:val="204"/>
        </w:numPr>
        <w:rPr>
          <w:rFonts w:ascii="Arial" w:cs="Arial" w:eastAsia="Arial" w:hAnsi="Arial"/>
          <w:sz w:val="20"/>
          <w:szCs w:val="20"/>
          <w:color w:val="auto"/>
        </w:rPr>
      </w:pPr>
      <w:r>
        <w:rPr>
          <w:rFonts w:ascii="Arial" w:cs="Arial" w:eastAsia="Arial" w:hAnsi="Arial"/>
          <w:sz w:val="20"/>
          <w:szCs w:val="20"/>
          <w:b w:val="1"/>
          <w:bCs w:val="1"/>
          <w:i w:val="1"/>
          <w:iCs w:val="1"/>
          <w:color w:val="auto"/>
        </w:rPr>
        <w:t>Minera Exar’s debt facility obtained subsequent to year-end</w:t>
      </w:r>
    </w:p>
    <w:p>
      <w:pPr>
        <w:spacing w:after="0" w:line="277" w:lineRule="exact"/>
        <w:rPr>
          <w:sz w:val="20"/>
          <w:szCs w:val="20"/>
          <w:color w:val="auto"/>
        </w:rPr>
      </w:pPr>
    </w:p>
    <w:p>
      <w:pPr>
        <w:ind w:left="1620"/>
        <w:spacing w:after="0" w:line="307" w:lineRule="auto"/>
        <w:rPr>
          <w:sz w:val="20"/>
          <w:szCs w:val="20"/>
          <w:color w:val="auto"/>
        </w:rPr>
      </w:pPr>
      <w:r>
        <w:rPr>
          <w:rFonts w:ascii="Arial" w:cs="Arial" w:eastAsia="Arial" w:hAnsi="Arial"/>
          <w:sz w:val="20"/>
          <w:szCs w:val="20"/>
          <w:color w:val="auto"/>
        </w:rPr>
        <w:t>Subsequent to December 31, 2025, in March 2026, Minera Exar obtained a short-term expor financing facility of $20,000 from a major financial institution, maturing on August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427990</wp:posOffset>
            </wp:positionV>
            <wp:extent cx="1676400" cy="19050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97">
                      <a:extLst>
                        <a:ext uri="{28A0092B-C50C-407E-A947-70E740481C1C}"/>
                      </a:extLst>
                    </a:blip>
                    <a:srcRect/>
                    <a:stretch>
                      <a:fillRect/>
                    </a:stretch>
                  </pic:blipFill>
                  <pic:spPr bwMode="auto">
                    <a:xfrm>
                      <a:off x="0" y="0"/>
                      <a:ext cx="1676400" cy="190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975360</wp:posOffset>
            </wp:positionV>
            <wp:extent cx="6764020" cy="1905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20 / 46</w:t>
      </w:r>
    </w:p>
    <w:p>
      <w:pPr>
        <w:sectPr>
          <w:pgSz w:w="11900" w:h="16838" w:orient="portrait"/>
          <w:cols w:equalWidth="0" w:num="1">
            <w:col w:w="10460"/>
          </w:cols>
          <w:pgMar w:left="1440" w:top="1440" w:right="6" w:bottom="0" w:gutter="0" w:footer="0" w:header="0"/>
          <w:type w:val="continuous"/>
        </w:sectPr>
      </w:pPr>
    </w:p>
    <w:bookmarkStart w:id="471" w:name="page472"/>
    <w:bookmarkEnd w:id="4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21 / 46</w:t>
      </w:r>
    </w:p>
    <w:p>
      <w:pPr>
        <w:sectPr>
          <w:pgSz w:w="11900" w:h="16838" w:orient="portrait"/>
          <w:cols w:equalWidth="0" w:num="1">
            <w:col w:w="9026"/>
          </w:cols>
          <w:pgMar w:left="1440" w:top="1440" w:right="1440" w:bottom="0" w:gutter="0" w:footer="0" w:header="0"/>
        </w:sectPr>
      </w:pPr>
    </w:p>
    <w:bookmarkStart w:id="472" w:name="page473"/>
    <w:bookmarkEnd w:id="472"/>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255905</wp:posOffset>
            </wp:positionV>
            <wp:extent cx="6078220" cy="260032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9">
                      <a:extLst>
                        <a:ext uri="{28A0092B-C50C-407E-A947-70E740481C1C}"/>
                      </a:extLst>
                    </a:blip>
                    <a:srcRect/>
                    <a:stretch>
                      <a:fillRect/>
                    </a:stretch>
                  </pic:blipFill>
                  <pic:spPr bwMode="auto">
                    <a:xfrm>
                      <a:off x="0" y="0"/>
                      <a:ext cx="6078220" cy="260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20" w:hanging="726"/>
        <w:spacing w:after="0"/>
        <w:tabs>
          <w:tab w:leader="none" w:pos="1620" w:val="left"/>
        </w:tabs>
        <w:numPr>
          <w:ilvl w:val="0"/>
          <w:numId w:val="205"/>
        </w:numPr>
        <w:rPr>
          <w:rFonts w:ascii="Arial" w:cs="Arial" w:eastAsia="Arial" w:hAnsi="Arial"/>
          <w:sz w:val="32"/>
          <w:szCs w:val="32"/>
          <w:b w:val="1"/>
          <w:bCs w:val="1"/>
          <w:color w:val="153A57"/>
        </w:rPr>
      </w:pPr>
      <w:r>
        <w:rPr>
          <w:rFonts w:ascii="Arial" w:cs="Arial" w:eastAsia="Arial" w:hAnsi="Arial"/>
          <w:sz w:val="32"/>
          <w:szCs w:val="32"/>
          <w:b w:val="1"/>
          <w:bCs w:val="1"/>
          <w:color w:val="153A57"/>
        </w:rPr>
        <w:t>Objective and Scope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900"/>
        <w:spacing w:after="0" w:line="311" w:lineRule="auto"/>
        <w:rPr>
          <w:sz w:val="20"/>
          <w:szCs w:val="20"/>
          <w:color w:val="auto"/>
        </w:rPr>
      </w:pPr>
      <w:r>
        <w:rPr>
          <w:rFonts w:ascii="Arial" w:cs="Arial" w:eastAsia="Arial" w:hAnsi="Arial"/>
          <w:sz w:val="22"/>
          <w:szCs w:val="22"/>
          <w:color w:val="auto"/>
        </w:rPr>
        <w:t>The objective of the Securities Trading Policy (the “</w:t>
      </w:r>
      <w:r>
        <w:rPr>
          <w:rFonts w:ascii="Arial" w:cs="Arial" w:eastAsia="Arial" w:hAnsi="Arial"/>
          <w:sz w:val="22"/>
          <w:szCs w:val="22"/>
          <w:b w:val="1"/>
          <w:bCs w:val="1"/>
          <w:color w:val="auto"/>
        </w:rPr>
        <w:t>Policy</w:t>
      </w:r>
      <w:r>
        <w:rPr>
          <w:rFonts w:ascii="Arial" w:cs="Arial" w:eastAsia="Arial" w:hAnsi="Arial"/>
          <w:sz w:val="22"/>
          <w:szCs w:val="22"/>
          <w:color w:val="auto"/>
        </w:rPr>
        <w:t>”) is to ensure that the employees, offic directors and consultants (collectively, “</w:t>
      </w:r>
      <w:r>
        <w:rPr>
          <w:rFonts w:ascii="Arial" w:cs="Arial" w:eastAsia="Arial" w:hAnsi="Arial"/>
          <w:sz w:val="22"/>
          <w:szCs w:val="22"/>
          <w:b w:val="1"/>
          <w:bCs w:val="1"/>
          <w:color w:val="auto"/>
        </w:rPr>
        <w:t>Covered Persons</w:t>
      </w:r>
      <w:r>
        <w:rPr>
          <w:rFonts w:ascii="Arial" w:cs="Arial" w:eastAsia="Arial" w:hAnsi="Arial"/>
          <w:sz w:val="22"/>
          <w:szCs w:val="22"/>
          <w:color w:val="auto"/>
        </w:rPr>
        <w:t>”) of Lithium Argentina AG and subsidiaries and joint venture interests (together with its subsidiaries and joint venture interests referred to as the “</w:t>
      </w:r>
      <w:r>
        <w:rPr>
          <w:rFonts w:ascii="Arial" w:cs="Arial" w:eastAsia="Arial" w:hAnsi="Arial"/>
          <w:sz w:val="22"/>
          <w:szCs w:val="22"/>
          <w:b w:val="1"/>
          <w:bCs w:val="1"/>
          <w:color w:val="auto"/>
        </w:rPr>
        <w:t>Company</w:t>
      </w:r>
      <w:r>
        <w:rPr>
          <w:rFonts w:ascii="Arial" w:cs="Arial" w:eastAsia="Arial" w:hAnsi="Arial"/>
          <w:sz w:val="22"/>
          <w:szCs w:val="22"/>
          <w:color w:val="auto"/>
        </w:rPr>
        <w:t>” or “</w:t>
      </w:r>
      <w:r>
        <w:rPr>
          <w:rFonts w:ascii="Arial" w:cs="Arial" w:eastAsia="Arial" w:hAnsi="Arial"/>
          <w:sz w:val="22"/>
          <w:szCs w:val="22"/>
          <w:b w:val="1"/>
          <w:bCs w:val="1"/>
          <w:color w:val="auto"/>
        </w:rPr>
        <w:t>Lithium Argentina</w:t>
      </w:r>
      <w:r>
        <w:rPr>
          <w:rFonts w:ascii="Arial" w:cs="Arial" w:eastAsia="Arial" w:hAnsi="Arial"/>
          <w:sz w:val="22"/>
          <w:szCs w:val="22"/>
          <w:color w:val="auto"/>
        </w:rPr>
        <w:t>” herein) are in compliance with applicable la rules and regulations when they trade in securities issued by the Company, and comply with requirements of the Company’s long-term equity incentive plan.</w:t>
      </w:r>
    </w:p>
    <w:p>
      <w:pPr>
        <w:spacing w:after="0" w:line="253" w:lineRule="exact"/>
        <w:rPr>
          <w:sz w:val="20"/>
          <w:szCs w:val="20"/>
          <w:color w:val="auto"/>
        </w:rPr>
      </w:pPr>
    </w:p>
    <w:p>
      <w:pPr>
        <w:jc w:val="both"/>
        <w:ind w:left="900"/>
        <w:spacing w:after="0" w:line="309" w:lineRule="auto"/>
        <w:rPr>
          <w:sz w:val="20"/>
          <w:szCs w:val="20"/>
          <w:color w:val="auto"/>
        </w:rPr>
      </w:pPr>
      <w:r>
        <w:rPr>
          <w:rFonts w:ascii="Arial" w:cs="Arial" w:eastAsia="Arial" w:hAnsi="Arial"/>
          <w:sz w:val="22"/>
          <w:szCs w:val="22"/>
          <w:color w:val="auto"/>
        </w:rPr>
        <w:t>The Policy also extends to any trading by trusts and holding companies controlled by a Cove Person. The Company expects Covered Persons will ensure compliance by family and other mem of their household.</w:t>
      </w:r>
    </w:p>
    <w:p>
      <w:pPr>
        <w:spacing w:after="0" w:line="253" w:lineRule="exact"/>
        <w:rPr>
          <w:sz w:val="20"/>
          <w:szCs w:val="20"/>
          <w:color w:val="auto"/>
        </w:rPr>
      </w:pPr>
    </w:p>
    <w:p>
      <w:pPr>
        <w:jc w:val="both"/>
        <w:ind w:left="900"/>
        <w:spacing w:after="0" w:line="311" w:lineRule="auto"/>
        <w:rPr>
          <w:sz w:val="20"/>
          <w:szCs w:val="20"/>
          <w:color w:val="auto"/>
        </w:rPr>
      </w:pPr>
      <w:r>
        <w:rPr>
          <w:rFonts w:ascii="Arial" w:cs="Arial" w:eastAsia="Arial" w:hAnsi="Arial"/>
          <w:sz w:val="22"/>
          <w:szCs w:val="22"/>
          <w:color w:val="auto"/>
        </w:rPr>
        <w:t>The trading restrictions in this Policy will continue to apply after employment, or for any other rele relationship between the Company and Covered Person and ceases for so long as the former Cov Person is in possession of material non-public information. No trading may occur until the informa becomes public or ceases to be material. Transactions that may be necessary or justifiable independent reasons, such as the need to raise money for an emergency expenditure, are exception. Even the appearance of an improper transaction must be avoided.</w:t>
      </w:r>
    </w:p>
    <w:p>
      <w:pPr>
        <w:spacing w:after="0" w:line="253" w:lineRule="exact"/>
        <w:rPr>
          <w:sz w:val="20"/>
          <w:szCs w:val="20"/>
          <w:color w:val="auto"/>
        </w:rPr>
      </w:pPr>
    </w:p>
    <w:p>
      <w:pPr>
        <w:jc w:val="both"/>
        <w:ind w:left="900"/>
        <w:spacing w:after="0" w:line="311" w:lineRule="auto"/>
        <w:rPr>
          <w:sz w:val="20"/>
          <w:szCs w:val="20"/>
          <w:color w:val="auto"/>
        </w:rPr>
      </w:pPr>
      <w:r>
        <w:rPr>
          <w:rFonts w:ascii="Arial" w:cs="Arial" w:eastAsia="Arial" w:hAnsi="Arial"/>
          <w:sz w:val="22"/>
          <w:szCs w:val="22"/>
          <w:color w:val="auto"/>
        </w:rPr>
        <w:t>Directors and certain officers, including the Company’s named executive officers, the principal fina and accounting officers, vice presidents in charge of principal business units, divisions or ot functions and other officers who have similar policy-making authority (collectively, the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Insiders</w:t>
      </w:r>
      <w:r>
        <w:rPr>
          <w:rFonts w:ascii="Arial" w:cs="Arial" w:eastAsia="Arial" w:hAnsi="Arial"/>
          <w:sz w:val="22"/>
          <w:szCs w:val="22"/>
          <w:color w:val="auto"/>
        </w:rPr>
        <w:t>”), are subject to additional requirements under the United States Securities Exchange Ac</w:t>
      </w:r>
      <w:r>
        <w:rPr>
          <w:rFonts w:ascii="Arial" w:cs="Arial" w:eastAsia="Arial" w:hAnsi="Arial"/>
          <w:sz w:val="22"/>
          <w:szCs w:val="22"/>
          <w:b w:val="1"/>
          <w:bCs w:val="1"/>
          <w:color w:val="auto"/>
        </w:rPr>
        <w:t xml:space="preserve"> </w:t>
      </w:r>
      <w:r>
        <w:rPr>
          <w:rFonts w:ascii="Arial" w:cs="Arial" w:eastAsia="Arial" w:hAnsi="Arial"/>
          <w:sz w:val="22"/>
          <w:szCs w:val="22"/>
          <w:color w:val="auto"/>
        </w:rPr>
        <w:t>1934, as amended (the “</w:t>
      </w:r>
      <w:r>
        <w:rPr>
          <w:rFonts w:ascii="Arial" w:cs="Arial" w:eastAsia="Arial" w:hAnsi="Arial"/>
          <w:sz w:val="22"/>
          <w:szCs w:val="22"/>
          <w:b w:val="1"/>
          <w:bCs w:val="1"/>
          <w:color w:val="auto"/>
        </w:rPr>
        <w:t>Exchange Act</w:t>
      </w:r>
      <w:r>
        <w:rPr>
          <w:rFonts w:ascii="Arial" w:cs="Arial" w:eastAsia="Arial" w:hAnsi="Arial"/>
          <w:sz w:val="22"/>
          <w:szCs w:val="22"/>
          <w:color w:val="auto"/>
        </w:rPr>
        <w:t>”).</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22 / 46</w:t>
      </w:r>
    </w:p>
    <w:p>
      <w:pPr>
        <w:sectPr>
          <w:pgSz w:w="11900" w:h="16838" w:orient="portrait"/>
          <w:cols w:equalWidth="0" w:num="1">
            <w:col w:w="10460"/>
          </w:cols>
          <w:pgMar w:left="1440" w:top="1440" w:right="6" w:bottom="0" w:gutter="0" w:footer="0" w:header="0"/>
          <w:type w:val="continuous"/>
        </w:sectPr>
      </w:pPr>
    </w:p>
    <w:bookmarkStart w:id="473" w:name="page474"/>
    <w:bookmarkEnd w:id="473"/>
    <w:p>
      <w:pPr>
        <w:ind w:left="1620" w:hanging="726"/>
        <w:spacing w:after="0"/>
        <w:tabs>
          <w:tab w:leader="none" w:pos="1620" w:val="left"/>
        </w:tabs>
        <w:numPr>
          <w:ilvl w:val="0"/>
          <w:numId w:val="206"/>
        </w:numPr>
        <w:rPr>
          <w:rFonts w:ascii="Arial" w:cs="Arial" w:eastAsia="Arial" w:hAnsi="Arial"/>
          <w:sz w:val="32"/>
          <w:szCs w:val="32"/>
          <w:b w:val="1"/>
          <w:bCs w:val="1"/>
          <w:color w:val="153A57"/>
        </w:rPr>
      </w:pPr>
      <w:r>
        <w:rPr>
          <w:rFonts w:ascii="Arial" w:cs="Arial" w:eastAsia="Arial" w:hAnsi="Arial"/>
          <w:sz w:val="32"/>
          <w:szCs w:val="32"/>
          <w:b w:val="1"/>
          <w:bCs w:val="1"/>
          <w:color w:val="153A57"/>
        </w:rPr>
        <w:t>Securities Trading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900"/>
        <w:spacing w:after="0" w:line="311" w:lineRule="auto"/>
        <w:rPr>
          <w:sz w:val="20"/>
          <w:szCs w:val="20"/>
          <w:color w:val="auto"/>
        </w:rPr>
      </w:pPr>
      <w:r>
        <w:rPr>
          <w:rFonts w:ascii="Arial" w:cs="Arial" w:eastAsia="Arial" w:hAnsi="Arial"/>
          <w:sz w:val="22"/>
          <w:szCs w:val="22"/>
          <w:color w:val="auto"/>
        </w:rPr>
        <w:t>The Company is a public company in Canada and the U.S. as its common shares are listed for tra on the Toronto Stock Exchange and the New York Stock Exchange. As such, the Company an Covered Persons are subject to restrictions against trading in securities of the Company whil possession of material information that has not been publicly disclosed. Trading while in possessi material undisclosed information is generally known as insider trading.</w:t>
      </w:r>
    </w:p>
    <w:p>
      <w:pPr>
        <w:spacing w:after="0" w:line="251" w:lineRule="exact"/>
        <w:rPr>
          <w:sz w:val="20"/>
          <w:szCs w:val="20"/>
          <w:color w:val="auto"/>
        </w:rPr>
      </w:pPr>
    </w:p>
    <w:p>
      <w:pPr>
        <w:ind w:left="900"/>
        <w:spacing w:after="0"/>
        <w:rPr>
          <w:sz w:val="20"/>
          <w:szCs w:val="20"/>
          <w:color w:val="auto"/>
        </w:rPr>
      </w:pPr>
      <w:r>
        <w:rPr>
          <w:rFonts w:ascii="Arial" w:cs="Arial" w:eastAsia="Arial" w:hAnsi="Arial"/>
          <w:sz w:val="21"/>
          <w:szCs w:val="21"/>
          <w:color w:val="auto"/>
        </w:rPr>
        <w:t>“Trade in securities” or “trading in securities” when used in this policy includes, but is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723900</wp:posOffset>
            </wp:positionV>
            <wp:extent cx="6764020" cy="1905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00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8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23 / 46</w:t>
      </w:r>
    </w:p>
    <w:p>
      <w:pPr>
        <w:sectPr>
          <w:pgSz w:w="11900" w:h="16838" w:orient="portrait"/>
          <w:cols w:equalWidth="0" w:num="1">
            <w:col w:w="10460"/>
          </w:cols>
          <w:pgMar w:left="1440" w:top="1182" w:right="6" w:bottom="0" w:gutter="0" w:footer="0" w:header="0"/>
          <w:type w:val="continuous"/>
        </w:sectPr>
      </w:pPr>
    </w:p>
    <w:bookmarkStart w:id="474" w:name="page475"/>
    <w:bookmarkEnd w:id="4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1482090</wp:posOffset>
            </wp:positionH>
            <wp:positionV relativeFrom="page">
              <wp:posOffset>1661160</wp:posOffset>
            </wp:positionV>
            <wp:extent cx="6078220" cy="635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01">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page">
              <wp:posOffset>5777865</wp:posOffset>
            </wp:positionH>
            <wp:positionV relativeFrom="page">
              <wp:posOffset>1177290</wp:posOffset>
            </wp:positionV>
            <wp:extent cx="1782445" cy="22860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02">
                      <a:clrChange>
                        <a:clrFrom>
                          <a:srgbClr val="FFFFFF"/>
                        </a:clrFrom>
                        <a:clrTo>
                          <a:srgbClr val="FFFFFF">
                            <a:alpha val="0"/>
                          </a:srgbClr>
                        </a:clrTo>
                      </a:clrChange>
                      <a:extLst>
                        <a:ext uri="{28A0092B-C50C-407E-A947-70E740481C1C}"/>
                      </a:extLst>
                    </a:blip>
                    <a:srcRect/>
                    <a:stretch>
                      <a:fillRect/>
                    </a:stretch>
                  </pic:blipFill>
                  <pic:spPr bwMode="auto">
                    <a:xfrm>
                      <a:off x="0" y="0"/>
                      <a:ext cx="1782445" cy="22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620" w:hanging="366"/>
        <w:spacing w:after="0"/>
        <w:tabs>
          <w:tab w:leader="none" w:pos="162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purchases or sales of shares, bonds, options, puts and calls;</w:t>
      </w:r>
    </w:p>
    <w:p>
      <w:pPr>
        <w:spacing w:after="0" w:line="354" w:lineRule="exact"/>
        <w:rPr>
          <w:rFonts w:ascii="Arial" w:cs="Arial" w:eastAsia="Arial" w:hAnsi="Arial"/>
          <w:sz w:val="22"/>
          <w:szCs w:val="22"/>
          <w:color w:val="auto"/>
        </w:rPr>
      </w:pPr>
    </w:p>
    <w:p>
      <w:pPr>
        <w:ind w:left="1620" w:right="40" w:hanging="366"/>
        <w:spacing w:after="0" w:line="334" w:lineRule="auto"/>
        <w:tabs>
          <w:tab w:leader="none" w:pos="162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sales of Company shares upon vesting and settlement of RSUs, DSUs and PSUs, and sal Company shares acquired upon options exercise;</w:t>
      </w:r>
    </w:p>
    <w:p>
      <w:pPr>
        <w:spacing w:after="0" w:line="255" w:lineRule="exact"/>
        <w:rPr>
          <w:rFonts w:ascii="Arial" w:cs="Arial" w:eastAsia="Arial" w:hAnsi="Arial"/>
          <w:sz w:val="22"/>
          <w:szCs w:val="22"/>
          <w:color w:val="auto"/>
        </w:rPr>
      </w:pPr>
    </w:p>
    <w:p>
      <w:pPr>
        <w:ind w:left="1620" w:right="40" w:hanging="366"/>
        <w:spacing w:after="0" w:line="334" w:lineRule="auto"/>
        <w:tabs>
          <w:tab w:leader="none" w:pos="162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borrowing money against a trading account if the loan results in the liquidation of any porti common shares issued by the Company;</w:t>
      </w:r>
    </w:p>
    <w:p>
      <w:pPr>
        <w:spacing w:after="0" w:line="255" w:lineRule="exact"/>
        <w:rPr>
          <w:rFonts w:ascii="Arial" w:cs="Arial" w:eastAsia="Arial" w:hAnsi="Arial"/>
          <w:sz w:val="22"/>
          <w:szCs w:val="22"/>
          <w:color w:val="auto"/>
        </w:rPr>
      </w:pPr>
    </w:p>
    <w:p>
      <w:pPr>
        <w:ind w:left="1620" w:hanging="366"/>
        <w:spacing w:after="0" w:line="334" w:lineRule="auto"/>
        <w:tabs>
          <w:tab w:leader="none" w:pos="162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pre-paying a loan if the pre-payment results in an allocation of the proceeds to Comp shares.</w:t>
      </w:r>
    </w:p>
    <w:p>
      <w:pPr>
        <w:spacing w:after="0" w:line="234" w:lineRule="exact"/>
        <w:rPr>
          <w:sz w:val="20"/>
          <w:szCs w:val="20"/>
          <w:color w:val="auto"/>
        </w:rPr>
      </w:pPr>
    </w:p>
    <w:p>
      <w:pPr>
        <w:ind w:left="900"/>
        <w:spacing w:after="0" w:line="305" w:lineRule="auto"/>
        <w:rPr>
          <w:sz w:val="20"/>
          <w:szCs w:val="20"/>
          <w:color w:val="auto"/>
        </w:rPr>
      </w:pPr>
      <w:r>
        <w:rPr>
          <w:rFonts w:ascii="Arial" w:cs="Arial" w:eastAsia="Arial" w:hAnsi="Arial"/>
          <w:sz w:val="22"/>
          <w:szCs w:val="22"/>
          <w:color w:val="auto"/>
        </w:rPr>
        <w:t>This policy does not apply in the case of the following transactions under employee plans, excep specifically noted:</w:t>
      </w:r>
    </w:p>
    <w:p>
      <w:pPr>
        <w:spacing w:after="0" w:line="279" w:lineRule="exact"/>
        <w:rPr>
          <w:sz w:val="20"/>
          <w:szCs w:val="20"/>
          <w:color w:val="auto"/>
        </w:rPr>
      </w:pPr>
    </w:p>
    <w:p>
      <w:pPr>
        <w:jc w:val="both"/>
        <w:ind w:left="1620" w:hanging="366"/>
        <w:spacing w:after="0" w:line="340" w:lineRule="auto"/>
        <w:tabs>
          <w:tab w:leader="none" w:pos="1620" w:val="left"/>
        </w:tabs>
        <w:numPr>
          <w:ilvl w:val="1"/>
          <w:numId w:val="208"/>
        </w:numPr>
        <w:rPr>
          <w:rFonts w:ascii="Arial" w:cs="Arial" w:eastAsia="Arial" w:hAnsi="Arial"/>
          <w:sz w:val="22"/>
          <w:szCs w:val="22"/>
          <w:color w:val="auto"/>
        </w:rPr>
      </w:pPr>
      <w:r>
        <w:rPr>
          <w:rFonts w:ascii="Arial" w:cs="Arial" w:eastAsia="Arial" w:hAnsi="Arial"/>
          <w:sz w:val="22"/>
          <w:szCs w:val="22"/>
          <w:color w:val="auto"/>
        </w:rPr>
        <w:t>Stock Option Exercises. This policy does not apply to the exercise of an employee stock o acquired pursuant to the Company’s plans, or to the exercise of a tax withholding right purs to which a person has elected to have the Company withhold shares subject to an optio satisfy tax withholding requirements. This policy does apply, however, to any sale of stoc part of a broker-assisted cashless exercise of an option, or any other market sale for purpose of generating the cash needed to pay the exercise price of an option or the t related to such exercise.</w:t>
      </w:r>
    </w:p>
    <w:p>
      <w:pPr>
        <w:spacing w:after="0" w:line="251" w:lineRule="exact"/>
        <w:rPr>
          <w:rFonts w:ascii="Arial" w:cs="Arial" w:eastAsia="Arial" w:hAnsi="Arial"/>
          <w:sz w:val="22"/>
          <w:szCs w:val="22"/>
          <w:color w:val="auto"/>
        </w:rPr>
      </w:pPr>
    </w:p>
    <w:p>
      <w:pPr>
        <w:jc w:val="both"/>
        <w:ind w:left="1620" w:hanging="366"/>
        <w:spacing w:after="0" w:line="339" w:lineRule="auto"/>
        <w:tabs>
          <w:tab w:leader="none" w:pos="1620" w:val="left"/>
        </w:tabs>
        <w:numPr>
          <w:ilvl w:val="1"/>
          <w:numId w:val="208"/>
        </w:numPr>
        <w:rPr>
          <w:rFonts w:ascii="Arial" w:cs="Arial" w:eastAsia="Arial" w:hAnsi="Arial"/>
          <w:sz w:val="22"/>
          <w:szCs w:val="22"/>
          <w:color w:val="auto"/>
        </w:rPr>
      </w:pPr>
      <w:r>
        <w:rPr>
          <w:rFonts w:ascii="Arial" w:cs="Arial" w:eastAsia="Arial" w:hAnsi="Arial"/>
          <w:sz w:val="22"/>
          <w:szCs w:val="22"/>
          <w:color w:val="auto"/>
        </w:rPr>
        <w:t>Restricted Stock Awards. This policy does not apply to the vesting of restricted stock, or exercise of a tax withholding right pursuant to which you elect to have the Company with shares of stock to satisfy tax withholding requirements upon the vesting of any restricted s The policy does apply, however, to any market sale of restricted stock, including for the pur of generating the cash needed to pay the taxes related to such vesting.</w:t>
      </w:r>
    </w:p>
    <w:p>
      <w:pPr>
        <w:spacing w:after="0" w:line="238" w:lineRule="exact"/>
        <w:rPr>
          <w:rFonts w:ascii="Arial" w:cs="Arial" w:eastAsia="Arial" w:hAnsi="Arial"/>
          <w:sz w:val="22"/>
          <w:szCs w:val="22"/>
          <w:color w:val="auto"/>
        </w:rPr>
      </w:pPr>
    </w:p>
    <w:p>
      <w:pPr>
        <w:ind w:left="1620" w:hanging="726"/>
        <w:spacing w:after="0"/>
        <w:tabs>
          <w:tab w:leader="none" w:pos="1620" w:val="left"/>
        </w:tabs>
        <w:numPr>
          <w:ilvl w:val="0"/>
          <w:numId w:val="209"/>
        </w:numPr>
        <w:rPr>
          <w:rFonts w:ascii="Arial" w:cs="Arial" w:eastAsia="Arial" w:hAnsi="Arial"/>
          <w:sz w:val="32"/>
          <w:szCs w:val="32"/>
          <w:b w:val="1"/>
          <w:bCs w:val="1"/>
          <w:color w:val="153A57"/>
        </w:rPr>
      </w:pPr>
      <w:r>
        <w:rPr>
          <w:rFonts w:ascii="Arial" w:cs="Arial" w:eastAsia="Arial" w:hAnsi="Arial"/>
          <w:sz w:val="32"/>
          <w:szCs w:val="32"/>
          <w:b w:val="1"/>
          <w:bCs w:val="1"/>
          <w:color w:val="153A57"/>
        </w:rPr>
        <w:t>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Director</w:t>
      </w:r>
      <w:r>
        <w:rPr>
          <w:rFonts w:ascii="Arial" w:cs="Arial" w:eastAsia="Arial" w:hAnsi="Arial"/>
          <w:sz w:val="22"/>
          <w:szCs w:val="22"/>
          <w:color w:val="auto"/>
        </w:rPr>
        <w:t>” means a member of the Board.</w:t>
      </w:r>
    </w:p>
    <w:p>
      <w:pPr>
        <w:spacing w:after="0" w:line="245" w:lineRule="exact"/>
        <w:rPr>
          <w:sz w:val="20"/>
          <w:szCs w:val="20"/>
          <w:color w:val="auto"/>
        </w:rPr>
      </w:pPr>
    </w:p>
    <w:p>
      <w:pPr>
        <w:ind w:left="900" w:right="140"/>
        <w:spacing w:after="0" w:line="30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Management</w:t>
      </w:r>
      <w:r>
        <w:rPr>
          <w:rFonts w:ascii="Arial" w:cs="Arial" w:eastAsia="Arial" w:hAnsi="Arial"/>
          <w:sz w:val="22"/>
          <w:szCs w:val="22"/>
          <w:color w:val="auto"/>
        </w:rPr>
        <w:t>” means the Executive Chairman, the Chief Executive Officer (“</w:t>
      </w:r>
      <w:r>
        <w:rPr>
          <w:rFonts w:ascii="Arial" w:cs="Arial" w:eastAsia="Arial" w:hAnsi="Arial"/>
          <w:sz w:val="22"/>
          <w:szCs w:val="22"/>
          <w:b w:val="1"/>
          <w:bCs w:val="1"/>
          <w:color w:val="auto"/>
        </w:rPr>
        <w:t>CEO</w:t>
      </w:r>
      <w:r>
        <w:rPr>
          <w:rFonts w:ascii="Arial" w:cs="Arial" w:eastAsia="Arial" w:hAnsi="Arial"/>
          <w:sz w:val="22"/>
          <w:szCs w:val="22"/>
          <w:color w:val="auto"/>
        </w:rPr>
        <w:t>”), Financial Officer (“</w:t>
      </w:r>
      <w:r>
        <w:rPr>
          <w:rFonts w:ascii="Arial" w:cs="Arial" w:eastAsia="Arial" w:hAnsi="Arial"/>
          <w:sz w:val="22"/>
          <w:szCs w:val="22"/>
          <w:b w:val="1"/>
          <w:bCs w:val="1"/>
          <w:color w:val="auto"/>
        </w:rPr>
        <w:t>CFO</w:t>
      </w:r>
      <w:r>
        <w:rPr>
          <w:rFonts w:ascii="Arial" w:cs="Arial" w:eastAsia="Arial" w:hAnsi="Arial"/>
          <w:sz w:val="22"/>
          <w:szCs w:val="22"/>
          <w:color w:val="auto"/>
        </w:rPr>
        <w:t>”) and the Executive Vice President, Corporate Development.</w:t>
      </w:r>
    </w:p>
    <w:p>
      <w:pPr>
        <w:spacing w:after="0" w:line="177" w:lineRule="exact"/>
        <w:rPr>
          <w:sz w:val="20"/>
          <w:szCs w:val="20"/>
          <w:color w:val="auto"/>
        </w:rPr>
      </w:pPr>
    </w:p>
    <w:p>
      <w:pPr>
        <w:jc w:val="both"/>
        <w:ind w:left="900" w:right="40"/>
        <w:spacing w:after="0" w:line="30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Executive</w:t>
      </w:r>
      <w:r>
        <w:rPr>
          <w:rFonts w:ascii="Arial" w:cs="Arial" w:eastAsia="Arial" w:hAnsi="Arial"/>
          <w:sz w:val="22"/>
          <w:szCs w:val="22"/>
          <w:color w:val="auto"/>
        </w:rPr>
        <w:t>” means the CFO and their direct reports responsible for financial or internal functions of the Company, holding the title of Executive Vice President, Senior Vice President and President.</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8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24 / 46</w:t>
      </w:r>
    </w:p>
    <w:p>
      <w:pPr>
        <w:sectPr>
          <w:pgSz w:w="11900" w:h="16838" w:orient="portrait"/>
          <w:cols w:equalWidth="0" w:num="1">
            <w:col w:w="10460"/>
          </w:cols>
          <w:pgMar w:left="1440" w:top="1440" w:right="6" w:bottom="0" w:gutter="0" w:footer="0" w:header="0"/>
          <w:type w:val="continuous"/>
        </w:sectPr>
      </w:pPr>
    </w:p>
    <w:bookmarkStart w:id="475" w:name="page476"/>
    <w:bookmarkEnd w:id="475"/>
    <w:p>
      <w:pPr>
        <w:ind w:left="900" w:right="60"/>
        <w:spacing w:after="0" w:line="30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Officer</w:t>
      </w:r>
      <w:r>
        <w:rPr>
          <w:rFonts w:ascii="Arial" w:cs="Arial" w:eastAsia="Arial" w:hAnsi="Arial"/>
          <w:sz w:val="22"/>
          <w:szCs w:val="22"/>
          <w:color w:val="auto"/>
        </w:rPr>
        <w:t>” means all the Company’s employees appointed by the Board or CEO in accordance wit Company’s Articles of Association.</w:t>
      </w:r>
    </w:p>
    <w:p>
      <w:pPr>
        <w:spacing w:after="0" w:line="177" w:lineRule="exact"/>
        <w:rPr>
          <w:sz w:val="20"/>
          <w:szCs w:val="20"/>
          <w:color w:val="auto"/>
        </w:rPr>
      </w:pPr>
    </w:p>
    <w:p>
      <w:pPr>
        <w:ind w:left="900"/>
        <w:spacing w:after="0" w:line="30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Workforce</w:t>
      </w:r>
      <w:r>
        <w:rPr>
          <w:rFonts w:ascii="Arial" w:cs="Arial" w:eastAsia="Arial" w:hAnsi="Arial"/>
          <w:sz w:val="22"/>
          <w:szCs w:val="22"/>
          <w:color w:val="auto"/>
        </w:rPr>
        <w:t>” means all the Company’s employees, consultants and anyone working at a Comp project, operation or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900"/>
        <w:spacing w:after="0"/>
        <w:tabs>
          <w:tab w:leader="none" w:pos="1600" w:val="left"/>
        </w:tabs>
        <w:rPr>
          <w:sz w:val="20"/>
          <w:szCs w:val="20"/>
          <w:color w:val="auto"/>
        </w:rPr>
      </w:pPr>
      <w:r>
        <w:rPr>
          <w:rFonts w:ascii="Arial" w:cs="Arial" w:eastAsia="Arial" w:hAnsi="Arial"/>
          <w:sz w:val="32"/>
          <w:szCs w:val="32"/>
          <w:b w:val="1"/>
          <w:bCs w:val="1"/>
          <w:color w:val="153A57"/>
        </w:rPr>
        <w:t>IV.</w:t>
      </w:r>
      <w:r>
        <w:rPr>
          <w:sz w:val="20"/>
          <w:szCs w:val="20"/>
          <w:color w:val="auto"/>
        </w:rPr>
        <w:tab/>
      </w:r>
      <w:r>
        <w:rPr>
          <w:rFonts w:ascii="Arial" w:cs="Arial" w:eastAsia="Arial" w:hAnsi="Arial"/>
          <w:sz w:val="31"/>
          <w:szCs w:val="31"/>
          <w:b w:val="1"/>
          <w:bCs w:val="1"/>
          <w:color w:val="153A57"/>
        </w:rPr>
        <w:t>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00"/>
        <w:spacing w:after="0"/>
        <w:rPr>
          <w:sz w:val="20"/>
          <w:szCs w:val="20"/>
          <w:color w:val="auto"/>
        </w:rPr>
      </w:pPr>
      <w:r>
        <w:rPr>
          <w:rFonts w:ascii="Arial" w:cs="Arial" w:eastAsia="Arial" w:hAnsi="Arial"/>
          <w:sz w:val="22"/>
          <w:szCs w:val="22"/>
          <w:color w:val="auto"/>
        </w:rPr>
        <w:t>“Material Information” generally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401955</wp:posOffset>
            </wp:positionV>
            <wp:extent cx="6078220" cy="952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03">
                      <a:extLst>
                        <a:ext uri="{28A0092B-C50C-407E-A947-70E740481C1C}"/>
                      </a:extLst>
                    </a:blip>
                    <a:srcRect/>
                    <a:stretch>
                      <a:fillRect/>
                    </a:stretch>
                  </pic:blipFill>
                  <pic:spPr bwMode="auto">
                    <a:xfrm>
                      <a:off x="0" y="0"/>
                      <a:ext cx="607822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SECURITIES TRADING POLICY ● AUGUST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563880</wp:posOffset>
            </wp:positionV>
            <wp:extent cx="6764020" cy="1905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0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6"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25 / 46</w:t>
      </w:r>
    </w:p>
    <w:p>
      <w:pPr>
        <w:sectPr>
          <w:pgSz w:w="11900" w:h="16838" w:orient="portrait"/>
          <w:cols w:equalWidth="0" w:num="1">
            <w:col w:w="10460"/>
          </w:cols>
          <w:pgMar w:left="1440" w:top="1176" w:right="6" w:bottom="0" w:gutter="0" w:footer="0" w:header="0"/>
          <w:type w:val="continuous"/>
        </w:sectPr>
      </w:pPr>
    </w:p>
    <w:bookmarkStart w:id="476" w:name="page477"/>
    <w:bookmarkEnd w:id="4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1482090</wp:posOffset>
            </wp:positionH>
            <wp:positionV relativeFrom="page">
              <wp:posOffset>1661160</wp:posOffset>
            </wp:positionV>
            <wp:extent cx="6078220" cy="635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05">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page">
              <wp:posOffset>5777865</wp:posOffset>
            </wp:positionH>
            <wp:positionV relativeFrom="page">
              <wp:posOffset>1177290</wp:posOffset>
            </wp:positionV>
            <wp:extent cx="1782445" cy="22860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06">
                      <a:clrChange>
                        <a:clrFrom>
                          <a:srgbClr val="FFFFFF"/>
                        </a:clrFrom>
                        <a:clrTo>
                          <a:srgbClr val="FFFFFF">
                            <a:alpha val="0"/>
                          </a:srgbClr>
                        </a:clrTo>
                      </a:clrChange>
                      <a:extLst>
                        <a:ext uri="{28A0092B-C50C-407E-A947-70E740481C1C}"/>
                      </a:extLst>
                    </a:blip>
                    <a:srcRect/>
                    <a:stretch>
                      <a:fillRect/>
                    </a:stretch>
                  </pic:blipFill>
                  <pic:spPr bwMode="auto">
                    <a:xfrm>
                      <a:off x="0" y="0"/>
                      <a:ext cx="1782445" cy="22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1620" w:hanging="366"/>
        <w:spacing w:after="0" w:line="337" w:lineRule="auto"/>
        <w:tabs>
          <w:tab w:leader="none" w:pos="162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“Material Changes” – any changes in the business, operations or capital of an issuer (suc Lithium Argentina) that would reasonably be expected to have a significant effect on the m price or value of the issuer’s securities; and</w:t>
      </w:r>
    </w:p>
    <w:p>
      <w:pPr>
        <w:spacing w:after="0" w:line="254" w:lineRule="exact"/>
        <w:rPr>
          <w:rFonts w:ascii="Arial" w:cs="Arial" w:eastAsia="Arial" w:hAnsi="Arial"/>
          <w:sz w:val="22"/>
          <w:szCs w:val="22"/>
          <w:color w:val="auto"/>
        </w:rPr>
      </w:pPr>
    </w:p>
    <w:p>
      <w:pPr>
        <w:ind w:left="1620" w:hanging="366"/>
        <w:spacing w:after="0" w:line="334" w:lineRule="auto"/>
        <w:tabs>
          <w:tab w:leader="none" w:pos="162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“Material Facts” – facts that would reasonably be expected to have a significant effect on market price or value of an issuer’s (such as Lithium Argentina’s) securities.</w:t>
      </w:r>
    </w:p>
    <w:p>
      <w:pPr>
        <w:spacing w:after="0" w:line="234" w:lineRule="exact"/>
        <w:rPr>
          <w:sz w:val="20"/>
          <w:szCs w:val="20"/>
          <w:color w:val="auto"/>
        </w:rPr>
      </w:pPr>
    </w:p>
    <w:p>
      <w:pPr>
        <w:jc w:val="both"/>
        <w:ind w:left="900"/>
        <w:spacing w:after="0" w:line="311" w:lineRule="auto"/>
        <w:rPr>
          <w:sz w:val="20"/>
          <w:szCs w:val="20"/>
          <w:color w:val="auto"/>
        </w:rPr>
      </w:pPr>
      <w:r>
        <w:rPr>
          <w:rFonts w:ascii="Arial" w:cs="Arial" w:eastAsia="Arial" w:hAnsi="Arial"/>
          <w:sz w:val="22"/>
          <w:szCs w:val="22"/>
          <w:color w:val="auto"/>
        </w:rPr>
        <w:t>Insider trading prohibitions come into play only when you possess information that is material "nonpublic." The fact that information has been disclosed to a few members of the public does make it public for insider trading purposes. To be "public" the information must have been dissemin in a manner designed to reach investors generally, and the investors must be given the opportuni absorb the information. Even after public disclosure of information about the Company, you must until the close of business on the second trading day after the information was publicly disclosed b you can treat the information as public.</w:t>
      </w:r>
    </w:p>
    <w:p>
      <w:pPr>
        <w:spacing w:after="0" w:line="248" w:lineRule="exact"/>
        <w:rPr>
          <w:sz w:val="20"/>
          <w:szCs w:val="20"/>
          <w:color w:val="auto"/>
        </w:rPr>
      </w:pPr>
    </w:p>
    <w:p>
      <w:pPr>
        <w:ind w:left="900"/>
        <w:spacing w:after="0"/>
        <w:rPr>
          <w:sz w:val="20"/>
          <w:szCs w:val="20"/>
          <w:color w:val="auto"/>
        </w:rPr>
      </w:pPr>
      <w:r>
        <w:rPr>
          <w:rFonts w:ascii="Arial" w:cs="Arial" w:eastAsia="Arial" w:hAnsi="Arial"/>
          <w:sz w:val="22"/>
          <w:szCs w:val="22"/>
          <w:color w:val="auto"/>
        </w:rPr>
        <w:t>“Nonpublic” information may include:</w:t>
      </w:r>
    </w:p>
    <w:p>
      <w:pPr>
        <w:spacing w:after="0" w:line="339" w:lineRule="exact"/>
        <w:rPr>
          <w:sz w:val="20"/>
          <w:szCs w:val="20"/>
          <w:color w:val="auto"/>
        </w:rPr>
      </w:pPr>
    </w:p>
    <w:p>
      <w:pPr>
        <w:ind w:left="1620" w:hanging="366"/>
        <w:spacing w:after="0"/>
        <w:tabs>
          <w:tab w:leader="none" w:pos="162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information available to a select group of analysts or brokers or institutional investors;</w:t>
      </w:r>
    </w:p>
    <w:p>
      <w:pPr>
        <w:spacing w:after="0" w:line="347" w:lineRule="exact"/>
        <w:rPr>
          <w:rFonts w:ascii="Arial" w:cs="Arial" w:eastAsia="Arial" w:hAnsi="Arial"/>
          <w:sz w:val="22"/>
          <w:szCs w:val="22"/>
          <w:color w:val="auto"/>
        </w:rPr>
      </w:pPr>
    </w:p>
    <w:p>
      <w:pPr>
        <w:ind w:left="1620" w:hanging="366"/>
        <w:spacing w:after="0"/>
        <w:tabs>
          <w:tab w:leader="none" w:pos="162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undisclosed facts that are the subject of rumors, even if the rumors are widely circulated; a</w:t>
      </w:r>
    </w:p>
    <w:p>
      <w:pPr>
        <w:spacing w:after="0" w:line="354" w:lineRule="exact"/>
        <w:rPr>
          <w:rFonts w:ascii="Arial" w:cs="Arial" w:eastAsia="Arial" w:hAnsi="Arial"/>
          <w:sz w:val="22"/>
          <w:szCs w:val="22"/>
          <w:color w:val="auto"/>
        </w:rPr>
      </w:pPr>
    </w:p>
    <w:p>
      <w:pPr>
        <w:jc w:val="both"/>
        <w:ind w:left="1620" w:right="40" w:hanging="366"/>
        <w:spacing w:after="0" w:line="337" w:lineRule="auto"/>
        <w:tabs>
          <w:tab w:leader="none" w:pos="162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information that has been entrusted to the Company on a confidential basis until a p announcement of the information has been made and enough time has elapsed for the m to respond to a public announcement of the information (normally two trading days).</w:t>
      </w:r>
    </w:p>
    <w:p>
      <w:pPr>
        <w:spacing w:after="0" w:line="233" w:lineRule="exact"/>
        <w:rPr>
          <w:sz w:val="20"/>
          <w:szCs w:val="20"/>
          <w:color w:val="auto"/>
        </w:rPr>
      </w:pPr>
    </w:p>
    <w:p>
      <w:pPr>
        <w:jc w:val="both"/>
        <w:ind w:left="900"/>
        <w:spacing w:after="0" w:line="309" w:lineRule="auto"/>
        <w:rPr>
          <w:sz w:val="20"/>
          <w:szCs w:val="20"/>
          <w:color w:val="auto"/>
        </w:rPr>
      </w:pPr>
      <w:r>
        <w:rPr>
          <w:rFonts w:ascii="Arial" w:cs="Arial" w:eastAsia="Arial" w:hAnsi="Arial"/>
          <w:sz w:val="22"/>
          <w:szCs w:val="22"/>
          <w:color w:val="auto"/>
        </w:rPr>
        <w:t>As with questions of materiality, if you are not sure whether information is considered public, you s either consult with the Chief Financial Officer or the Vice President, Legal &amp; Corporate Secretar assume that the information is nonpublic and treat it as confidential.</w:t>
      </w:r>
    </w:p>
    <w:p>
      <w:pPr>
        <w:spacing w:after="0" w:line="260" w:lineRule="exact"/>
        <w:rPr>
          <w:sz w:val="20"/>
          <w:szCs w:val="20"/>
          <w:color w:val="auto"/>
        </w:rPr>
      </w:pPr>
    </w:p>
    <w:p>
      <w:pPr>
        <w:ind w:left="1620" w:hanging="726"/>
        <w:spacing w:after="0"/>
        <w:tabs>
          <w:tab w:leader="none" w:pos="1620" w:val="left"/>
        </w:tabs>
        <w:numPr>
          <w:ilvl w:val="0"/>
          <w:numId w:val="212"/>
        </w:numPr>
        <w:rPr>
          <w:rFonts w:ascii="Arial" w:cs="Arial" w:eastAsia="Arial" w:hAnsi="Arial"/>
          <w:sz w:val="32"/>
          <w:szCs w:val="32"/>
          <w:b w:val="1"/>
          <w:bCs w:val="1"/>
          <w:color w:val="153A57"/>
        </w:rPr>
      </w:pPr>
      <w:r>
        <w:rPr>
          <w:rFonts w:ascii="Arial" w:cs="Arial" w:eastAsia="Arial" w:hAnsi="Arial"/>
          <w:sz w:val="32"/>
          <w:szCs w:val="32"/>
          <w:b w:val="1"/>
          <w:bCs w:val="1"/>
          <w:color w:val="153A57"/>
        </w:rPr>
        <w:t>Prohibited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00"/>
        <w:spacing w:after="0"/>
        <w:rPr>
          <w:sz w:val="20"/>
          <w:szCs w:val="20"/>
          <w:color w:val="auto"/>
        </w:rPr>
      </w:pPr>
      <w:r>
        <w:rPr>
          <w:rFonts w:ascii="Arial" w:cs="Arial" w:eastAsia="Arial" w:hAnsi="Arial"/>
          <w:sz w:val="22"/>
          <w:szCs w:val="22"/>
          <w:color w:val="auto"/>
        </w:rPr>
        <w:t>Covered Persons are prohibited under applicable securities laws and this policy from:</w:t>
      </w:r>
    </w:p>
    <w:p>
      <w:pPr>
        <w:spacing w:after="0" w:line="267" w:lineRule="exact"/>
        <w:rPr>
          <w:sz w:val="20"/>
          <w:szCs w:val="20"/>
          <w:color w:val="auto"/>
        </w:rPr>
      </w:pPr>
    </w:p>
    <w:p>
      <w:pPr>
        <w:jc w:val="both"/>
        <w:ind w:left="1620" w:right="20" w:hanging="366"/>
        <w:spacing w:after="0" w:line="337" w:lineRule="auto"/>
        <w:tabs>
          <w:tab w:leader="none" w:pos="162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Insider Trading – A Covered Person must not, directly or indirectly through a third party a on their behalf, trade in securities of the Company while in possession of Material Nonp Information.</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26 / 46</w:t>
      </w:r>
    </w:p>
    <w:p>
      <w:pPr>
        <w:sectPr>
          <w:pgSz w:w="11900" w:h="16838" w:orient="portrait"/>
          <w:cols w:equalWidth="0" w:num="1">
            <w:col w:w="10460"/>
          </w:cols>
          <w:pgMar w:left="1440" w:top="1440" w:right="6" w:bottom="0" w:gutter="0" w:footer="0" w:header="0"/>
          <w:type w:val="continuous"/>
        </w:sectPr>
      </w:pPr>
    </w:p>
    <w:bookmarkStart w:id="477" w:name="page478"/>
    <w:bookmarkEnd w:id="477"/>
    <w:p>
      <w:pPr>
        <w:jc w:val="both"/>
        <w:ind w:left="1620" w:hanging="366"/>
        <w:spacing w:after="0" w:line="337" w:lineRule="auto"/>
        <w:tabs>
          <w:tab w:leader="none" w:pos="162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Trading During Blackout Periods – A Covered Person must not trade, directly or indir through a third party acting on their behalf, any securities of the Company during any blac period imposed by the Company.</w:t>
      </w:r>
    </w:p>
    <w:p>
      <w:pPr>
        <w:spacing w:after="0" w:line="134" w:lineRule="exact"/>
        <w:rPr>
          <w:rFonts w:ascii="Arial" w:cs="Arial" w:eastAsia="Arial" w:hAnsi="Arial"/>
          <w:sz w:val="22"/>
          <w:szCs w:val="22"/>
          <w:color w:val="auto"/>
        </w:rPr>
      </w:pPr>
    </w:p>
    <w:p>
      <w:pPr>
        <w:jc w:val="both"/>
        <w:ind w:left="1620" w:hanging="366"/>
        <w:spacing w:after="0" w:line="339" w:lineRule="auto"/>
        <w:tabs>
          <w:tab w:leader="none" w:pos="162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Tipping and Disclosure of Information – A Covered Person must not “tip” or disclose Mat Nonpublic Information to any third party outside of the Company unless the disclosur necessary in the ordinary course of the Company’s business. This includes a prohibition ag selecting providing information to service providers, analysts, investors, news media, rel persons and friends or family members, or posting information on social media.</w:t>
      </w:r>
    </w:p>
    <w:p>
      <w:pPr>
        <w:spacing w:after="0" w:line="133" w:lineRule="exact"/>
        <w:rPr>
          <w:rFonts w:ascii="Arial" w:cs="Arial" w:eastAsia="Arial" w:hAnsi="Arial"/>
          <w:sz w:val="22"/>
          <w:szCs w:val="22"/>
          <w:color w:val="auto"/>
        </w:rPr>
      </w:pPr>
    </w:p>
    <w:p>
      <w:pPr>
        <w:jc w:val="both"/>
        <w:ind w:left="1620" w:hanging="366"/>
        <w:spacing w:after="0" w:line="361" w:lineRule="auto"/>
        <w:tabs>
          <w:tab w:leader="none" w:pos="1620" w:val="left"/>
        </w:tabs>
        <w:numPr>
          <w:ilvl w:val="0"/>
          <w:numId w:val="214"/>
        </w:numPr>
        <w:rPr>
          <w:rFonts w:ascii="Arial" w:cs="Arial" w:eastAsia="Arial" w:hAnsi="Arial"/>
          <w:sz w:val="21"/>
          <w:szCs w:val="21"/>
          <w:color w:val="auto"/>
        </w:rPr>
      </w:pPr>
      <w:r>
        <w:rPr>
          <w:rFonts w:ascii="Arial" w:cs="Arial" w:eastAsia="Arial" w:hAnsi="Arial"/>
          <w:sz w:val="21"/>
          <w:szCs w:val="21"/>
          <w:color w:val="auto"/>
        </w:rPr>
        <w:t>Trading Advice – Generally, a Covered Person should not provide any trading advice to fri or family members, but especially not while in possession of Material Nonpublic Information</w:t>
      </w:r>
    </w:p>
    <w:p>
      <w:pPr>
        <w:spacing w:after="0" w:line="113" w:lineRule="exact"/>
        <w:rPr>
          <w:rFonts w:ascii="Arial" w:cs="Arial" w:eastAsia="Arial" w:hAnsi="Arial"/>
          <w:sz w:val="21"/>
          <w:szCs w:val="21"/>
          <w:color w:val="auto"/>
        </w:rPr>
      </w:pPr>
    </w:p>
    <w:p>
      <w:pPr>
        <w:jc w:val="both"/>
        <w:ind w:left="1620" w:hanging="366"/>
        <w:spacing w:after="0" w:line="337" w:lineRule="auto"/>
        <w:tabs>
          <w:tab w:leader="none" w:pos="162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Hedging and Derivatives Trading – A Covered Person must not engage in short-se activities, or hold speculative or derivative positions (such as put options, call options, for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266700</wp:posOffset>
            </wp:positionV>
            <wp:extent cx="6078220" cy="952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07">
                      <a:extLst>
                        <a:ext uri="{28A0092B-C50C-407E-A947-70E740481C1C}"/>
                      </a:extLst>
                    </a:blip>
                    <a:srcRect/>
                    <a:stretch>
                      <a:fillRect/>
                    </a:stretch>
                  </pic:blipFill>
                  <pic:spPr bwMode="auto">
                    <a:xfrm>
                      <a:off x="0" y="0"/>
                      <a:ext cx="607822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SECURITIES TRADING POLICY ● AUGUST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563880</wp:posOffset>
            </wp:positionV>
            <wp:extent cx="6764020" cy="1905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97"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27 / 46</w:t>
      </w:r>
    </w:p>
    <w:p>
      <w:pPr>
        <w:sectPr>
          <w:pgSz w:w="11900" w:h="16838" w:orient="portrait"/>
          <w:cols w:equalWidth="0" w:num="1">
            <w:col w:w="10460"/>
          </w:cols>
          <w:pgMar w:left="1440" w:top="1197" w:right="6" w:bottom="0" w:gutter="0" w:footer="0" w:header="0"/>
          <w:type w:val="continuous"/>
        </w:sectPr>
      </w:pPr>
    </w:p>
    <w:bookmarkStart w:id="478" w:name="page479"/>
    <w:bookmarkEnd w:id="4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1482090</wp:posOffset>
            </wp:positionH>
            <wp:positionV relativeFrom="page">
              <wp:posOffset>1661160</wp:posOffset>
            </wp:positionV>
            <wp:extent cx="6078220" cy="635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9">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page">
              <wp:posOffset>5777865</wp:posOffset>
            </wp:positionH>
            <wp:positionV relativeFrom="page">
              <wp:posOffset>1177290</wp:posOffset>
            </wp:positionV>
            <wp:extent cx="1782445" cy="22860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10">
                      <a:clrChange>
                        <a:clrFrom>
                          <a:srgbClr val="FFFFFF"/>
                        </a:clrFrom>
                        <a:clrTo>
                          <a:srgbClr val="FFFFFF">
                            <a:alpha val="0"/>
                          </a:srgbClr>
                        </a:clrTo>
                      </a:clrChange>
                      <a:extLst>
                        <a:ext uri="{28A0092B-C50C-407E-A947-70E740481C1C}"/>
                      </a:extLst>
                    </a:blip>
                    <a:srcRect/>
                    <a:stretch>
                      <a:fillRect/>
                    </a:stretch>
                  </pic:blipFill>
                  <pic:spPr bwMode="auto">
                    <a:xfrm>
                      <a:off x="0" y="0"/>
                      <a:ext cx="1782445" cy="22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1620"/>
        <w:spacing w:after="0" w:line="339" w:lineRule="auto"/>
        <w:rPr>
          <w:sz w:val="20"/>
          <w:szCs w:val="20"/>
          <w:color w:val="auto"/>
        </w:rPr>
      </w:pPr>
      <w:r>
        <w:rPr>
          <w:rFonts w:ascii="Arial" w:cs="Arial" w:eastAsia="Arial" w:hAnsi="Arial"/>
          <w:sz w:val="22"/>
          <w:szCs w:val="22"/>
          <w:color w:val="auto"/>
        </w:rPr>
        <w:t>futures contracts, equity swaps, spread bets, contracts for difference or other deriva securities) that have the effect of hedging or offsetting a decrease in the market value of a the Company’s securities in order to limit the Covered Person’s or a third party’s economic arising from such person’s holdings, ownership or interest in securities of the Company.</w:t>
      </w:r>
    </w:p>
    <w:p>
      <w:pPr>
        <w:spacing w:after="0" w:line="131" w:lineRule="exact"/>
        <w:rPr>
          <w:sz w:val="20"/>
          <w:szCs w:val="20"/>
          <w:color w:val="auto"/>
        </w:rPr>
      </w:pPr>
    </w:p>
    <w:p>
      <w:pPr>
        <w:jc w:val="both"/>
        <w:ind w:left="1620" w:hanging="366"/>
        <w:spacing w:after="0" w:line="339" w:lineRule="auto"/>
        <w:tabs>
          <w:tab w:leader="none" w:pos="162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Short Sales for Sales of Options and Warrants – A short sale will be permitted in lim circumstances only, where a Covered Person, other than a Section 16 Insider, is exercisi security granted under an incentive plan of the Company (such as a DSU, RSU, PSU, optio warrant) and requires the funds to facilitate the exercise or pay taxes arising from such exe provided it does not occur during a blackout period.</w:t>
      </w:r>
    </w:p>
    <w:p>
      <w:pPr>
        <w:spacing w:after="0" w:line="133" w:lineRule="exact"/>
        <w:rPr>
          <w:rFonts w:ascii="Arial" w:cs="Arial" w:eastAsia="Arial" w:hAnsi="Arial"/>
          <w:sz w:val="22"/>
          <w:szCs w:val="22"/>
          <w:color w:val="auto"/>
        </w:rPr>
      </w:pPr>
    </w:p>
    <w:p>
      <w:pPr>
        <w:ind w:left="1620" w:right="80" w:hanging="366"/>
        <w:spacing w:after="0" w:line="334" w:lineRule="auto"/>
        <w:tabs>
          <w:tab w:leader="none" w:pos="162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Trading on Margin or Pledging – A Covered Person may not hold Company securities margin account or pledge Company securities as collateral for a loan.</w:t>
      </w:r>
    </w:p>
    <w:p>
      <w:pPr>
        <w:spacing w:after="0" w:line="135" w:lineRule="exact"/>
        <w:rPr>
          <w:rFonts w:ascii="Arial" w:cs="Arial" w:eastAsia="Arial" w:hAnsi="Arial"/>
          <w:sz w:val="22"/>
          <w:szCs w:val="22"/>
          <w:color w:val="auto"/>
        </w:rPr>
      </w:pPr>
    </w:p>
    <w:p>
      <w:pPr>
        <w:jc w:val="both"/>
        <w:ind w:left="1620" w:hanging="366"/>
        <w:spacing w:after="0" w:line="340" w:lineRule="auto"/>
        <w:tabs>
          <w:tab w:leader="none" w:pos="162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Trading in Securities of Other Companies – A Covered Person may not purchase or sell security of any other company while in possession of Material Nonpublic Information that obtained in the course of his or her involvement with the Company. No Covered Person knows of any such Material Nonpublic Information may communicate that information to, o any other person, including family members and friends, or otherwise disclose such inform without the Company’s authorization.</w:t>
      </w:r>
    </w:p>
    <w:p>
      <w:pPr>
        <w:spacing w:after="0" w:line="115" w:lineRule="exact"/>
        <w:rPr>
          <w:sz w:val="20"/>
          <w:szCs w:val="20"/>
          <w:color w:val="auto"/>
        </w:rPr>
      </w:pPr>
    </w:p>
    <w:p>
      <w:pPr>
        <w:ind w:left="900"/>
        <w:spacing w:after="0"/>
        <w:tabs>
          <w:tab w:leader="none" w:pos="1600" w:val="left"/>
        </w:tabs>
        <w:rPr>
          <w:sz w:val="20"/>
          <w:szCs w:val="20"/>
          <w:color w:val="auto"/>
        </w:rPr>
      </w:pPr>
      <w:r>
        <w:rPr>
          <w:rFonts w:ascii="Arial" w:cs="Arial" w:eastAsia="Arial" w:hAnsi="Arial"/>
          <w:sz w:val="32"/>
          <w:szCs w:val="32"/>
          <w:b w:val="1"/>
          <w:bCs w:val="1"/>
          <w:color w:val="153A57"/>
        </w:rPr>
        <w:t>VI.</w:t>
      </w:r>
      <w:r>
        <w:rPr>
          <w:sz w:val="20"/>
          <w:szCs w:val="20"/>
          <w:color w:val="auto"/>
        </w:rPr>
        <w:tab/>
      </w:r>
      <w:r>
        <w:rPr>
          <w:rFonts w:ascii="Arial" w:cs="Arial" w:eastAsia="Arial" w:hAnsi="Arial"/>
          <w:sz w:val="31"/>
          <w:szCs w:val="31"/>
          <w:b w:val="1"/>
          <w:bCs w:val="1"/>
          <w:color w:val="153A57"/>
        </w:rPr>
        <w:t>Blackout Periods</w:t>
      </w:r>
    </w:p>
    <w:p>
      <w:pPr>
        <w:spacing w:after="0" w:line="200" w:lineRule="exact"/>
        <w:rPr>
          <w:sz w:val="20"/>
          <w:szCs w:val="20"/>
          <w:color w:val="auto"/>
        </w:rPr>
      </w:pPr>
    </w:p>
    <w:p>
      <w:pPr>
        <w:spacing w:after="0" w:line="385" w:lineRule="exact"/>
        <w:rPr>
          <w:sz w:val="20"/>
          <w:szCs w:val="20"/>
          <w:color w:val="auto"/>
        </w:rPr>
      </w:pPr>
    </w:p>
    <w:p>
      <w:pPr>
        <w:jc w:val="both"/>
        <w:ind w:left="900"/>
        <w:spacing w:after="0" w:line="311" w:lineRule="auto"/>
        <w:rPr>
          <w:sz w:val="20"/>
          <w:szCs w:val="20"/>
          <w:color w:val="auto"/>
        </w:rPr>
      </w:pPr>
      <w:r>
        <w:rPr>
          <w:rFonts w:ascii="Arial" w:cs="Arial" w:eastAsia="Arial" w:hAnsi="Arial"/>
          <w:sz w:val="22"/>
          <w:szCs w:val="22"/>
          <w:color w:val="auto"/>
        </w:rPr>
        <w:t>The Company will impose trading blackouts from time to time during which trading, including bu selling or engaging in any other activities concerning the securities of the Company, will be str prohibited unless the transaction is subject to a Rule 10b5-1 plan. Trading blackouts may be initiat the Company that apply to all Covered Persons or to specific Covered Persons only, and may als extended to include external advisors such as legal counsel and financial advisors.</w:t>
      </w:r>
    </w:p>
    <w:p>
      <w:pPr>
        <w:spacing w:after="0" w:line="251" w:lineRule="exact"/>
        <w:rPr>
          <w:sz w:val="20"/>
          <w:szCs w:val="20"/>
          <w:color w:val="auto"/>
        </w:rPr>
      </w:pPr>
    </w:p>
    <w:p>
      <w:pPr>
        <w:jc w:val="both"/>
        <w:ind w:left="900"/>
        <w:spacing w:after="0" w:line="305" w:lineRule="auto"/>
        <w:rPr>
          <w:sz w:val="20"/>
          <w:szCs w:val="20"/>
          <w:color w:val="auto"/>
        </w:rPr>
      </w:pPr>
      <w:r>
        <w:rPr>
          <w:rFonts w:ascii="Arial" w:cs="Arial" w:eastAsia="Arial" w:hAnsi="Arial"/>
          <w:sz w:val="22"/>
          <w:szCs w:val="22"/>
          <w:color w:val="auto"/>
        </w:rPr>
        <w:t>Blackout periods will specifically apply to Covered Persons during the period commencing on the e of:</w:t>
      </w:r>
    </w:p>
    <w:p>
      <w:pPr>
        <w:spacing w:after="0" w:line="271" w:lineRule="exact"/>
        <w:rPr>
          <w:sz w:val="20"/>
          <w:szCs w:val="20"/>
          <w:color w:val="auto"/>
        </w:rPr>
      </w:pPr>
    </w:p>
    <w:p>
      <w:pPr>
        <w:jc w:val="both"/>
        <w:ind w:left="1980" w:hanging="366"/>
        <w:spacing w:after="0" w:line="259" w:lineRule="auto"/>
        <w:tabs>
          <w:tab w:leader="none" w:pos="198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the thirtieth (30</w:t>
      </w:r>
      <w:r>
        <w:rPr>
          <w:rFonts w:ascii="Arial" w:cs="Arial" w:eastAsia="Arial" w:hAnsi="Arial"/>
          <w:sz w:val="29"/>
          <w:szCs w:val="29"/>
          <w:color w:val="auto"/>
          <w:vertAlign w:val="superscript"/>
        </w:rPr>
        <w:t>th</w:t>
      </w:r>
      <w:r>
        <w:rPr>
          <w:rFonts w:ascii="Arial" w:cs="Arial" w:eastAsia="Arial" w:hAnsi="Arial"/>
          <w:sz w:val="22"/>
          <w:szCs w:val="22"/>
          <w:color w:val="auto"/>
        </w:rPr>
        <w:t>) day following the end of any fiscal quarter of the Company (the “</w:t>
      </w:r>
      <w:r>
        <w:rPr>
          <w:rFonts w:ascii="Arial" w:cs="Arial" w:eastAsia="Arial" w:hAnsi="Arial"/>
          <w:sz w:val="22"/>
          <w:szCs w:val="22"/>
          <w:b w:val="1"/>
          <w:bCs w:val="1"/>
          <w:color w:val="auto"/>
        </w:rPr>
        <w:t>Quar</w:t>
      </w:r>
      <w:r>
        <w:rPr>
          <w:rFonts w:ascii="Arial" w:cs="Arial" w:eastAsia="Arial" w:hAnsi="Arial"/>
          <w:sz w:val="22"/>
          <w:szCs w:val="22"/>
          <w:color w:val="auto"/>
        </w:rPr>
        <w:t xml:space="preserve"> or, in respect of the Company’s fiscal year-end (the “</w:t>
      </w:r>
      <w:r>
        <w:rPr>
          <w:rFonts w:ascii="Arial" w:cs="Arial" w:eastAsia="Arial" w:hAnsi="Arial"/>
          <w:sz w:val="22"/>
          <w:szCs w:val="22"/>
          <w:b w:val="1"/>
          <w:bCs w:val="1"/>
          <w:color w:val="auto"/>
        </w:rPr>
        <w:t>Year-End</w:t>
      </w:r>
      <w:r>
        <w:rPr>
          <w:rFonts w:ascii="Arial" w:cs="Arial" w:eastAsia="Arial" w:hAnsi="Arial"/>
          <w:sz w:val="22"/>
          <w:szCs w:val="22"/>
          <w:color w:val="auto"/>
        </w:rPr>
        <w:t>”), the sixtieth (60</w:t>
      </w:r>
      <w:r>
        <w:rPr>
          <w:rFonts w:ascii="Arial" w:cs="Arial" w:eastAsia="Arial" w:hAnsi="Arial"/>
          <w:sz w:val="29"/>
          <w:szCs w:val="29"/>
          <w:color w:val="auto"/>
          <w:vertAlign w:val="superscript"/>
        </w:rPr>
        <w:t>th</w:t>
      </w:r>
      <w:r>
        <w:rPr>
          <w:rFonts w:ascii="Arial" w:cs="Arial" w:eastAsia="Arial" w:hAnsi="Arial"/>
          <w:sz w:val="22"/>
          <w:szCs w:val="22"/>
          <w:color w:val="auto"/>
        </w:rPr>
        <w:t>) following the Company’s Year-End; and</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28 / 46</w:t>
      </w:r>
    </w:p>
    <w:p>
      <w:pPr>
        <w:sectPr>
          <w:pgSz w:w="11900" w:h="16838" w:orient="portrait"/>
          <w:cols w:equalWidth="0" w:num="1">
            <w:col w:w="10460"/>
          </w:cols>
          <w:pgMar w:left="1440" w:top="1440" w:right="6" w:bottom="0" w:gutter="0" w:footer="0" w:header="0"/>
          <w:type w:val="continuous"/>
        </w:sectPr>
      </w:pPr>
    </w:p>
    <w:bookmarkStart w:id="479" w:name="page480"/>
    <w:bookmarkEnd w:id="479"/>
    <w:p>
      <w:pPr>
        <w:jc w:val="both"/>
        <w:ind w:left="1980" w:hanging="366"/>
        <w:spacing w:after="0" w:line="337" w:lineRule="auto"/>
        <w:tabs>
          <w:tab w:leader="none" w:pos="198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two weeks prior to the date on which the Company’s audit committee is scheduled to re the interim financial reporting for the Quarter or annual financial reporting for the Year-as applicable,</w:t>
      </w:r>
    </w:p>
    <w:p>
      <w:pPr>
        <w:spacing w:after="0" w:line="233" w:lineRule="exact"/>
        <w:rPr>
          <w:sz w:val="20"/>
          <w:szCs w:val="20"/>
          <w:color w:val="auto"/>
        </w:rPr>
      </w:pPr>
    </w:p>
    <w:p>
      <w:pPr>
        <w:jc w:val="both"/>
        <w:ind w:left="900"/>
        <w:spacing w:after="0" w:line="309" w:lineRule="auto"/>
        <w:rPr>
          <w:sz w:val="20"/>
          <w:szCs w:val="20"/>
          <w:color w:val="auto"/>
        </w:rPr>
      </w:pPr>
      <w:r>
        <w:rPr>
          <w:rFonts w:ascii="Arial" w:cs="Arial" w:eastAsia="Arial" w:hAnsi="Arial"/>
          <w:sz w:val="22"/>
          <w:szCs w:val="22"/>
          <w:color w:val="auto"/>
        </w:rPr>
        <w:t>and ending on the day that is two full business days after the Company’s release of earnings to public. The Chief Financial Officer may designate other blackout periods or adjust the start of the End and Quarter-End periods if he/she deems it appropriate.</w:t>
      </w:r>
    </w:p>
    <w:p>
      <w:pPr>
        <w:spacing w:after="0" w:line="253" w:lineRule="exact"/>
        <w:rPr>
          <w:sz w:val="20"/>
          <w:szCs w:val="20"/>
          <w:color w:val="auto"/>
        </w:rPr>
      </w:pPr>
    </w:p>
    <w:p>
      <w:pPr>
        <w:jc w:val="both"/>
        <w:ind w:left="900"/>
        <w:spacing w:after="0" w:line="311" w:lineRule="auto"/>
        <w:rPr>
          <w:sz w:val="20"/>
          <w:szCs w:val="20"/>
          <w:color w:val="auto"/>
        </w:rPr>
      </w:pPr>
      <w:r>
        <w:rPr>
          <w:rFonts w:ascii="Arial" w:cs="Arial" w:eastAsia="Arial" w:hAnsi="Arial"/>
          <w:sz w:val="22"/>
          <w:szCs w:val="22"/>
          <w:color w:val="auto"/>
        </w:rPr>
        <w:t>Covered Persons subject to the blackout period restrictions whose employment or other relation with the Company terminates during a blackout period will remain subject to the restrictions unti end of the blackout period, regardless of the date of their departure or termination of the relation and ending on the day that is one full business day after the Company’s interim financial reportin the Quarter or annual financing reporting for the Year-End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354965</wp:posOffset>
            </wp:positionV>
            <wp:extent cx="6078220" cy="952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11">
                      <a:extLst>
                        <a:ext uri="{28A0092B-C50C-407E-A947-70E740481C1C}"/>
                      </a:extLst>
                    </a:blip>
                    <a:srcRect/>
                    <a:stretch>
                      <a:fillRect/>
                    </a:stretch>
                  </pic:blipFill>
                  <pic:spPr bwMode="auto">
                    <a:xfrm>
                      <a:off x="0" y="0"/>
                      <a:ext cx="607822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SECURITIES TRADING POLICY ● AUGUST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563880</wp:posOffset>
            </wp:positionV>
            <wp:extent cx="6764020" cy="1905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1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97"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29 / 46</w:t>
      </w:r>
    </w:p>
    <w:p>
      <w:pPr>
        <w:sectPr>
          <w:pgSz w:w="11900" w:h="16838" w:orient="portrait"/>
          <w:cols w:equalWidth="0" w:num="1">
            <w:col w:w="10460"/>
          </w:cols>
          <w:pgMar w:left="1440" w:top="1197" w:right="6" w:bottom="0" w:gutter="0" w:footer="0" w:header="0"/>
          <w:type w:val="continuous"/>
        </w:sectPr>
      </w:pPr>
    </w:p>
    <w:bookmarkStart w:id="480" w:name="page481"/>
    <w:bookmarkEnd w:id="4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1482090</wp:posOffset>
            </wp:positionH>
            <wp:positionV relativeFrom="page">
              <wp:posOffset>1661160</wp:posOffset>
            </wp:positionV>
            <wp:extent cx="6078220" cy="635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13">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page">
              <wp:posOffset>5777865</wp:posOffset>
            </wp:positionH>
            <wp:positionV relativeFrom="page">
              <wp:posOffset>1177290</wp:posOffset>
            </wp:positionV>
            <wp:extent cx="1782445" cy="22860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14">
                      <a:clrChange>
                        <a:clrFrom>
                          <a:srgbClr val="FFFFFF"/>
                        </a:clrFrom>
                        <a:clrTo>
                          <a:srgbClr val="FFFFFF">
                            <a:alpha val="0"/>
                          </a:srgbClr>
                        </a:clrTo>
                      </a:clrChange>
                      <a:extLst>
                        <a:ext uri="{28A0092B-C50C-407E-A947-70E740481C1C}"/>
                      </a:extLst>
                    </a:blip>
                    <a:srcRect/>
                    <a:stretch>
                      <a:fillRect/>
                    </a:stretch>
                  </pic:blipFill>
                  <pic:spPr bwMode="auto">
                    <a:xfrm>
                      <a:off x="0" y="0"/>
                      <a:ext cx="1782445" cy="22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left="900"/>
        <w:spacing w:after="0" w:line="309" w:lineRule="auto"/>
        <w:rPr>
          <w:sz w:val="20"/>
          <w:szCs w:val="20"/>
          <w:color w:val="auto"/>
        </w:rPr>
      </w:pPr>
      <w:r>
        <w:rPr>
          <w:rFonts w:ascii="Arial" w:cs="Arial" w:eastAsia="Arial" w:hAnsi="Arial"/>
          <w:sz w:val="22"/>
          <w:szCs w:val="22"/>
          <w:color w:val="auto"/>
        </w:rPr>
        <w:t>Covered Persons subject to the blackout period restrictions whose employment or other relation with the Company terminates during a blackout period will remain subject to the restrictions unti end of the blackout period, regardless of the date of their departure or termination of the relationsh</w:t>
      </w:r>
    </w:p>
    <w:p>
      <w:pPr>
        <w:spacing w:after="0" w:line="260" w:lineRule="exact"/>
        <w:rPr>
          <w:sz w:val="20"/>
          <w:szCs w:val="20"/>
          <w:color w:val="auto"/>
        </w:rPr>
      </w:pPr>
    </w:p>
    <w:p>
      <w:pPr>
        <w:ind w:left="900"/>
        <w:spacing w:after="0"/>
        <w:rPr>
          <w:sz w:val="20"/>
          <w:szCs w:val="20"/>
          <w:color w:val="auto"/>
        </w:rPr>
      </w:pPr>
      <w:r>
        <w:rPr>
          <w:rFonts w:ascii="Arial" w:cs="Arial" w:eastAsia="Arial" w:hAnsi="Arial"/>
          <w:sz w:val="32"/>
          <w:szCs w:val="32"/>
          <w:b w:val="1"/>
          <w:bCs w:val="1"/>
          <w:color w:val="153A57"/>
        </w:rPr>
        <w:t>VII.  Pre-Clearance of Trades</w:t>
      </w:r>
    </w:p>
    <w:p>
      <w:pPr>
        <w:spacing w:after="0" w:line="200" w:lineRule="exact"/>
        <w:rPr>
          <w:sz w:val="20"/>
          <w:szCs w:val="20"/>
          <w:color w:val="auto"/>
        </w:rPr>
      </w:pPr>
    </w:p>
    <w:p>
      <w:pPr>
        <w:spacing w:after="0" w:line="385" w:lineRule="exact"/>
        <w:rPr>
          <w:sz w:val="20"/>
          <w:szCs w:val="20"/>
          <w:color w:val="auto"/>
        </w:rPr>
      </w:pPr>
    </w:p>
    <w:p>
      <w:pPr>
        <w:jc w:val="both"/>
        <w:ind w:left="900"/>
        <w:spacing w:after="0" w:line="311" w:lineRule="auto"/>
        <w:rPr>
          <w:sz w:val="20"/>
          <w:szCs w:val="20"/>
          <w:color w:val="auto"/>
        </w:rPr>
      </w:pPr>
      <w:r>
        <w:rPr>
          <w:rFonts w:ascii="Arial" w:cs="Arial" w:eastAsia="Arial" w:hAnsi="Arial"/>
          <w:sz w:val="22"/>
          <w:szCs w:val="22"/>
          <w:color w:val="auto"/>
        </w:rPr>
        <w:t>To protect the reputation of the Company and avoid the appearance of impropriety, all Cov Persons of the Company are required to pre-clear all proposed direct and indirect trades in Company’s securities, including common shares and the exercise of stock options, DSUs, RSUs PSUs with the Chief Financial Officer or Vice President, Legal &amp; Corporate Secretary of the Comp or such other person as may be designated by the Company from time to time.</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32"/>
          <w:szCs w:val="32"/>
          <w:b w:val="1"/>
          <w:bCs w:val="1"/>
          <w:color w:val="153A57"/>
        </w:rPr>
        <w:t>VIII. Insider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00"/>
        <w:spacing w:after="0" w:line="310" w:lineRule="auto"/>
        <w:rPr>
          <w:sz w:val="20"/>
          <w:szCs w:val="20"/>
          <w:color w:val="auto"/>
        </w:rPr>
      </w:pPr>
      <w:r>
        <w:rPr>
          <w:rFonts w:ascii="Arial" w:cs="Arial" w:eastAsia="Arial" w:hAnsi="Arial"/>
          <w:sz w:val="22"/>
          <w:szCs w:val="22"/>
          <w:color w:val="auto"/>
        </w:rPr>
        <w:t xml:space="preserve">Pursuant to National Instrument 55-104 </w:t>
      </w:r>
      <w:r>
        <w:rPr>
          <w:rFonts w:ascii="Arial" w:cs="Arial" w:eastAsia="Arial" w:hAnsi="Arial"/>
          <w:sz w:val="22"/>
          <w:szCs w:val="22"/>
          <w:i w:val="1"/>
          <w:iCs w:val="1"/>
          <w:color w:val="auto"/>
        </w:rPr>
        <w:t>Insider Reporting Requirements and Exemptions</w:t>
      </w:r>
      <w:r>
        <w:rPr>
          <w:rFonts w:ascii="Arial" w:cs="Arial" w:eastAsia="Arial" w:hAnsi="Arial"/>
          <w:sz w:val="22"/>
          <w:szCs w:val="22"/>
          <w:color w:val="auto"/>
        </w:rPr>
        <w:t xml:space="preserve"> </w:t>
      </w:r>
      <w:r>
        <w:rPr>
          <w:rFonts w:ascii="Arial" w:cs="Arial" w:eastAsia="Arial" w:hAnsi="Arial"/>
          <w:sz w:val="22"/>
          <w:szCs w:val="22"/>
          <w:b w:val="1"/>
          <w:bCs w:val="1"/>
          <w:color w:val="auto"/>
        </w:rPr>
        <w:t>55-104</w:t>
      </w:r>
      <w:r>
        <w:rPr>
          <w:rFonts w:ascii="Arial" w:cs="Arial" w:eastAsia="Arial" w:hAnsi="Arial"/>
          <w:sz w:val="22"/>
          <w:szCs w:val="22"/>
          <w:color w:val="auto"/>
        </w:rPr>
        <w:t>”), all Reporting Insiders (as that term is defined under NI 55-104) must file an insider repo</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of the Company within 10 days of becoming a Reporting Insider and subsequently within days of a change in the Reporting Insider’s holdings.</w:t>
      </w:r>
    </w:p>
    <w:p>
      <w:pPr>
        <w:spacing w:after="0" w:line="260" w:lineRule="exact"/>
        <w:rPr>
          <w:sz w:val="20"/>
          <w:szCs w:val="20"/>
          <w:color w:val="auto"/>
        </w:rPr>
      </w:pPr>
    </w:p>
    <w:p>
      <w:pPr>
        <w:ind w:left="900"/>
        <w:spacing w:after="0"/>
        <w:tabs>
          <w:tab w:leader="none" w:pos="1600" w:val="left"/>
        </w:tabs>
        <w:rPr>
          <w:sz w:val="20"/>
          <w:szCs w:val="20"/>
          <w:color w:val="auto"/>
        </w:rPr>
      </w:pPr>
      <w:r>
        <w:rPr>
          <w:rFonts w:ascii="Arial" w:cs="Arial" w:eastAsia="Arial" w:hAnsi="Arial"/>
          <w:sz w:val="32"/>
          <w:szCs w:val="32"/>
          <w:b w:val="1"/>
          <w:bCs w:val="1"/>
          <w:color w:val="153A57"/>
        </w:rPr>
        <w:t>IX.</w:t>
      </w:r>
      <w:r>
        <w:rPr>
          <w:sz w:val="20"/>
          <w:szCs w:val="20"/>
          <w:color w:val="auto"/>
        </w:rPr>
        <w:tab/>
      </w:r>
      <w:r>
        <w:rPr>
          <w:rFonts w:ascii="Arial" w:cs="Arial" w:eastAsia="Arial" w:hAnsi="Arial"/>
          <w:sz w:val="31"/>
          <w:szCs w:val="31"/>
          <w:b w:val="1"/>
          <w:bCs w:val="1"/>
          <w:color w:val="153A57"/>
        </w:rPr>
        <w:t>Communication and Non-Compliance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900"/>
        <w:spacing w:after="0" w:line="310" w:lineRule="auto"/>
        <w:rPr>
          <w:sz w:val="20"/>
          <w:szCs w:val="20"/>
          <w:color w:val="auto"/>
        </w:rPr>
      </w:pPr>
      <w:r>
        <w:rPr>
          <w:rFonts w:ascii="Arial" w:cs="Arial" w:eastAsia="Arial" w:hAnsi="Arial"/>
          <w:sz w:val="22"/>
          <w:szCs w:val="22"/>
          <w:color w:val="auto"/>
        </w:rPr>
        <w:t>This Policy extends to all Covered Persons of the Company and is available on the Company’s ext website and intranet. New Covered Persons will be provided with a copy and educated abou importance. This Policy will be circulated to all Covered Persons whenever any changes are made an updated version posted to the website and intranet.</w:t>
      </w:r>
    </w:p>
    <w:p>
      <w:pPr>
        <w:spacing w:after="0" w:line="253" w:lineRule="exact"/>
        <w:rPr>
          <w:sz w:val="20"/>
          <w:szCs w:val="20"/>
          <w:color w:val="auto"/>
        </w:rPr>
      </w:pPr>
    </w:p>
    <w:p>
      <w:pPr>
        <w:jc w:val="both"/>
        <w:ind w:left="900"/>
        <w:spacing w:after="0" w:line="311" w:lineRule="auto"/>
        <w:rPr>
          <w:sz w:val="20"/>
          <w:szCs w:val="20"/>
          <w:color w:val="auto"/>
        </w:rPr>
      </w:pPr>
      <w:r>
        <w:rPr>
          <w:rFonts w:ascii="Arial" w:cs="Arial" w:eastAsia="Arial" w:hAnsi="Arial"/>
          <w:sz w:val="22"/>
          <w:szCs w:val="22"/>
          <w:color w:val="auto"/>
        </w:rPr>
        <w:t>Any Covered Person who violates this Policy may be disciplined by the Company, up to terminati employment or any contractual relationship with the Company without notice. Also, Covered Per should be aware that the violation of this Policy could also violate certain securities laws. As a re the Covered Person could be exposed to regulatory actions such as penalties and fines, ban trading or acting as a director or officer of a public company, or other disciplinary action or punish as determined by securities regulators or other authorities in their discretion.</w:t>
      </w:r>
    </w:p>
    <w:p>
      <w:pPr>
        <w:spacing w:after="0" w:line="260" w:lineRule="exact"/>
        <w:rPr>
          <w:sz w:val="20"/>
          <w:szCs w:val="20"/>
          <w:color w:val="auto"/>
        </w:rPr>
      </w:pPr>
    </w:p>
    <w:p>
      <w:pPr>
        <w:ind w:left="1620" w:hanging="726"/>
        <w:spacing w:after="0"/>
        <w:tabs>
          <w:tab w:leader="none" w:pos="1620" w:val="left"/>
        </w:tabs>
        <w:numPr>
          <w:ilvl w:val="0"/>
          <w:numId w:val="218"/>
        </w:numPr>
        <w:rPr>
          <w:rFonts w:ascii="Arial" w:cs="Arial" w:eastAsia="Arial" w:hAnsi="Arial"/>
          <w:sz w:val="32"/>
          <w:szCs w:val="32"/>
          <w:b w:val="1"/>
          <w:bCs w:val="1"/>
          <w:color w:val="153A57"/>
        </w:rPr>
      </w:pPr>
      <w:r>
        <w:rPr>
          <w:rFonts w:ascii="Arial" w:cs="Arial" w:eastAsia="Arial" w:hAnsi="Arial"/>
          <w:sz w:val="32"/>
          <w:szCs w:val="32"/>
          <w:b w:val="1"/>
          <w:bCs w:val="1"/>
          <w:color w:val="153A57"/>
        </w:rPr>
        <w:t>Amendments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30 / 46</w:t>
      </w:r>
    </w:p>
    <w:p>
      <w:pPr>
        <w:sectPr>
          <w:pgSz w:w="11900" w:h="16838" w:orient="portrait"/>
          <w:cols w:equalWidth="0" w:num="1">
            <w:col w:w="10460"/>
          </w:cols>
          <w:pgMar w:left="1440" w:top="1440" w:right="6" w:bottom="0" w:gutter="0" w:footer="0" w:header="0"/>
          <w:type w:val="continuous"/>
        </w:sectPr>
      </w:pPr>
    </w:p>
    <w:bookmarkStart w:id="481" w:name="page482"/>
    <w:bookmarkEnd w:id="481"/>
    <w:p>
      <w:pPr>
        <w:jc w:val="both"/>
        <w:ind w:left="900"/>
        <w:spacing w:after="0" w:line="309" w:lineRule="auto"/>
        <w:rPr>
          <w:sz w:val="20"/>
          <w:szCs w:val="20"/>
          <w:color w:val="auto"/>
        </w:rPr>
      </w:pPr>
      <w:r>
        <w:rPr>
          <w:rFonts w:ascii="Arial" w:cs="Arial" w:eastAsia="Arial" w:hAnsi="Arial"/>
          <w:sz w:val="22"/>
          <w:szCs w:val="22"/>
          <w:color w:val="auto"/>
        </w:rPr>
        <w:t>This policy will be reviewed periodically as determined necessary by Executive Management submitted to the Board of Directors for its approval. Any minor changes that do not impact objectives of this policy may be updated by Executive Management as necessary.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00"/>
        <w:spacing w:after="0"/>
        <w:tabs>
          <w:tab w:leader="none" w:pos="4100" w:val="left"/>
        </w:tabs>
        <w:rPr>
          <w:sz w:val="20"/>
          <w:szCs w:val="20"/>
          <w:color w:val="auto"/>
        </w:rPr>
      </w:pPr>
      <w:r>
        <w:rPr>
          <w:rFonts w:ascii="Arial" w:cs="Arial" w:eastAsia="Arial" w:hAnsi="Arial"/>
          <w:sz w:val="22"/>
          <w:szCs w:val="22"/>
          <w:color w:val="auto"/>
        </w:rPr>
        <w:t>Effective Date:</w:t>
      </w:r>
      <w:r>
        <w:rPr>
          <w:sz w:val="20"/>
          <w:szCs w:val="20"/>
          <w:color w:val="auto"/>
        </w:rPr>
        <w:tab/>
      </w:r>
      <w:r>
        <w:rPr>
          <w:rFonts w:ascii="Arial" w:cs="Arial" w:eastAsia="Arial" w:hAnsi="Arial"/>
          <w:sz w:val="21"/>
          <w:szCs w:val="21"/>
          <w:color w:val="auto"/>
        </w:rPr>
        <w:t>August 8, 2025</w:t>
      </w:r>
    </w:p>
    <w:p>
      <w:pPr>
        <w:spacing w:after="0" w:line="200" w:lineRule="exact"/>
        <w:rPr>
          <w:sz w:val="20"/>
          <w:szCs w:val="20"/>
          <w:color w:val="auto"/>
        </w:rPr>
      </w:pPr>
    </w:p>
    <w:p>
      <w:pPr>
        <w:spacing w:after="0" w:line="270" w:lineRule="exact"/>
        <w:rPr>
          <w:sz w:val="20"/>
          <w:szCs w:val="20"/>
          <w:color w:val="auto"/>
        </w:rPr>
      </w:pPr>
    </w:p>
    <w:p>
      <w:pPr>
        <w:ind w:left="900"/>
        <w:spacing w:after="0"/>
        <w:tabs>
          <w:tab w:leader="none" w:pos="4100" w:val="left"/>
        </w:tabs>
        <w:rPr>
          <w:sz w:val="20"/>
          <w:szCs w:val="20"/>
          <w:color w:val="auto"/>
        </w:rPr>
      </w:pPr>
      <w:r>
        <w:rPr>
          <w:rFonts w:ascii="Arial" w:cs="Arial" w:eastAsia="Arial" w:hAnsi="Arial"/>
          <w:sz w:val="22"/>
          <w:szCs w:val="22"/>
          <w:color w:val="auto"/>
        </w:rPr>
        <w:t>Approved by:</w:t>
      </w:r>
      <w:r>
        <w:rPr>
          <w:sz w:val="20"/>
          <w:szCs w:val="20"/>
          <w:color w:val="auto"/>
        </w:rPr>
        <w:tab/>
      </w:r>
      <w:r>
        <w:rPr>
          <w:rFonts w:ascii="Arial" w:cs="Arial" w:eastAsia="Arial" w:hAnsi="Arial"/>
          <w:sz w:val="22"/>
          <w:szCs w:val="22"/>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441325</wp:posOffset>
            </wp:positionV>
            <wp:extent cx="6078220" cy="952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15">
                      <a:extLst>
                        <a:ext uri="{28A0092B-C50C-407E-A947-70E740481C1C}"/>
                      </a:extLst>
                    </a:blip>
                    <a:srcRect/>
                    <a:stretch>
                      <a:fillRect/>
                    </a:stretch>
                  </pic:blipFill>
                  <pic:spPr bwMode="auto">
                    <a:xfrm>
                      <a:off x="0" y="0"/>
                      <a:ext cx="607822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SECURITIES TRADING POLICY ● AUGUST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563880</wp:posOffset>
            </wp:positionV>
            <wp:extent cx="6764020" cy="1905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1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40"/>
          </w:cols>
          <w:pgMar w:left="1440" w:top="1176" w:right="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31 / 46</w:t>
      </w:r>
    </w:p>
    <w:p>
      <w:pPr>
        <w:sectPr>
          <w:pgSz w:w="11900" w:h="16838" w:orient="portrait"/>
          <w:cols w:equalWidth="0" w:num="1">
            <w:col w:w="10440"/>
          </w:cols>
          <w:pgMar w:left="1440" w:top="1176" w:right="26" w:bottom="0" w:gutter="0" w:footer="0" w:header="0"/>
          <w:type w:val="continuous"/>
        </w:sectPr>
      </w:pPr>
    </w:p>
    <w:bookmarkStart w:id="482" w:name="page483"/>
    <w:bookmarkEnd w:id="4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32 / 46</w:t>
      </w:r>
    </w:p>
    <w:p>
      <w:pPr>
        <w:sectPr>
          <w:pgSz w:w="11900" w:h="16838" w:orient="portrait"/>
          <w:cols w:equalWidth="0" w:num="1">
            <w:col w:w="9026"/>
          </w:cols>
          <w:pgMar w:left="1440" w:top="1440" w:right="1440" w:bottom="0" w:gutter="0" w:footer="0" w:header="0"/>
        </w:sectPr>
      </w:pPr>
    </w:p>
    <w:bookmarkStart w:id="483" w:name="page484"/>
    <w:bookmarkEnd w:id="4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500"/>
        <w:spacing w:after="0"/>
        <w:rPr>
          <w:sz w:val="20"/>
          <w:szCs w:val="20"/>
          <w:color w:val="auto"/>
        </w:rPr>
      </w:pPr>
      <w:r>
        <w:rPr>
          <w:rFonts w:ascii="Arial" w:cs="Arial" w:eastAsia="Arial" w:hAnsi="Arial"/>
          <w:sz w:val="20"/>
          <w:szCs w:val="20"/>
          <w:b w:val="1"/>
          <w:bCs w:val="1"/>
          <w:color w:val="181818"/>
        </w:rPr>
        <w:t>Exhibit 12</w:t>
      </w:r>
    </w:p>
    <w:p>
      <w:pPr>
        <w:spacing w:after="0" w:line="279" w:lineRule="exact"/>
        <w:rPr>
          <w:sz w:val="20"/>
          <w:szCs w:val="20"/>
          <w:color w:val="auto"/>
        </w:rPr>
      </w:pPr>
    </w:p>
    <w:p>
      <w:pPr>
        <w:jc w:val="center"/>
        <w:ind w:left="2800" w:right="60"/>
        <w:spacing w:after="0" w:line="307" w:lineRule="auto"/>
        <w:rPr>
          <w:sz w:val="20"/>
          <w:szCs w:val="20"/>
          <w:color w:val="auto"/>
        </w:rPr>
      </w:pPr>
      <w:r>
        <w:rPr>
          <w:rFonts w:ascii="Arial" w:cs="Arial" w:eastAsia="Arial" w:hAnsi="Arial"/>
          <w:sz w:val="20"/>
          <w:szCs w:val="20"/>
          <w:b w:val="1"/>
          <w:bCs w:val="1"/>
          <w:color w:val="auto"/>
        </w:rPr>
        <w:t>CERTIFICATION REQUIRED BY RULE 13a-14(a) UNDER THE SECURITIES EXCHANGE ACT OF 1934</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I, Sam Pigott, of Lithium Argentina AG certify that:</w:t>
      </w:r>
    </w:p>
    <w:p>
      <w:pPr>
        <w:spacing w:after="0" w:line="316" w:lineRule="exact"/>
        <w:rPr>
          <w:sz w:val="20"/>
          <w:szCs w:val="20"/>
          <w:color w:val="auto"/>
        </w:rPr>
      </w:pPr>
    </w:p>
    <w:p>
      <w:pPr>
        <w:ind w:left="1980" w:hanging="366"/>
        <w:spacing w:after="0"/>
        <w:tabs>
          <w:tab w:leader="none" w:pos="198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I have reviewed this annual report on Form 20-F of Lithium Argentina AG (the "Issuer");</w:t>
      </w:r>
    </w:p>
    <w:p>
      <w:pPr>
        <w:spacing w:after="0" w:line="337" w:lineRule="exact"/>
        <w:rPr>
          <w:rFonts w:ascii="Arial" w:cs="Arial" w:eastAsia="Arial" w:hAnsi="Arial"/>
          <w:sz w:val="20"/>
          <w:szCs w:val="20"/>
          <w:color w:val="auto"/>
        </w:rPr>
      </w:pPr>
    </w:p>
    <w:p>
      <w:pPr>
        <w:jc w:val="both"/>
        <w:ind w:left="1980" w:hanging="366"/>
        <w:spacing w:after="0" w:line="373" w:lineRule="auto"/>
        <w:tabs>
          <w:tab w:leader="none" w:pos="198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 omit to state a material fact necessary to make the statements made, in light of the circumstance under which such statements were made, not misleading with respect to the period covered b this report;</w:t>
      </w:r>
    </w:p>
    <w:p>
      <w:pPr>
        <w:spacing w:after="0" w:line="210" w:lineRule="exact"/>
        <w:rPr>
          <w:rFonts w:ascii="Arial" w:cs="Arial" w:eastAsia="Arial" w:hAnsi="Arial"/>
          <w:sz w:val="20"/>
          <w:szCs w:val="20"/>
          <w:color w:val="auto"/>
        </w:rPr>
      </w:pPr>
    </w:p>
    <w:p>
      <w:pPr>
        <w:jc w:val="both"/>
        <w:ind w:left="1980" w:hanging="366"/>
        <w:spacing w:after="0" w:line="372" w:lineRule="auto"/>
        <w:tabs>
          <w:tab w:leader="none" w:pos="198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 report, fairly present in all material respects the financial condition, results of operations and cas flows of the Issuer as of, and for, the periods presented in this report;</w:t>
      </w:r>
    </w:p>
    <w:p>
      <w:pPr>
        <w:spacing w:after="0" w:line="210" w:lineRule="exact"/>
        <w:rPr>
          <w:rFonts w:ascii="Arial" w:cs="Arial" w:eastAsia="Arial" w:hAnsi="Arial"/>
          <w:sz w:val="20"/>
          <w:szCs w:val="20"/>
          <w:color w:val="auto"/>
        </w:rPr>
      </w:pPr>
    </w:p>
    <w:p>
      <w:pPr>
        <w:jc w:val="both"/>
        <w:ind w:left="1980" w:hanging="366"/>
        <w:spacing w:after="0" w:line="372" w:lineRule="auto"/>
        <w:tabs>
          <w:tab w:leader="none" w:pos="198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The Issuer's other certifying officer and I are responsible for establishing and maintaining disclosure controls and procedures (as defined in Exchange Act Rules 13a-15(e) and 15d-15(e) and internal control over financial reporting (as defined in Exchange Act Rules 13a-15(f) an</w:t>
      </w:r>
    </w:p>
    <w:p>
      <w:pPr>
        <w:spacing w:after="0" w:line="3" w:lineRule="exact"/>
        <w:rPr>
          <w:rFonts w:ascii="Arial" w:cs="Arial" w:eastAsia="Arial" w:hAnsi="Arial"/>
          <w:sz w:val="20"/>
          <w:szCs w:val="20"/>
          <w:color w:val="auto"/>
        </w:rPr>
      </w:pPr>
    </w:p>
    <w:p>
      <w:pPr>
        <w:ind w:left="1980"/>
        <w:spacing w:after="0"/>
        <w:rPr>
          <w:rFonts w:ascii="Arial" w:cs="Arial" w:eastAsia="Arial" w:hAnsi="Arial"/>
          <w:sz w:val="20"/>
          <w:szCs w:val="20"/>
          <w:color w:val="auto"/>
        </w:rPr>
      </w:pPr>
      <w:r>
        <w:rPr>
          <w:rFonts w:ascii="Arial" w:cs="Arial" w:eastAsia="Arial" w:hAnsi="Arial"/>
          <w:sz w:val="20"/>
          <w:szCs w:val="20"/>
          <w:color w:val="auto"/>
        </w:rPr>
        <w:t>15d-15(f)) for the Issuer and have:</w:t>
      </w:r>
    </w:p>
    <w:p>
      <w:pPr>
        <w:spacing w:after="0" w:line="137" w:lineRule="exact"/>
        <w:rPr>
          <w:rFonts w:ascii="Arial" w:cs="Arial" w:eastAsia="Arial" w:hAnsi="Arial"/>
          <w:sz w:val="20"/>
          <w:szCs w:val="20"/>
          <w:color w:val="auto"/>
        </w:rPr>
      </w:pPr>
    </w:p>
    <w:p>
      <w:pPr>
        <w:jc w:val="both"/>
        <w:ind w:left="2700" w:hanging="366"/>
        <w:spacing w:after="0" w:line="373" w:lineRule="auto"/>
        <w:tabs>
          <w:tab w:leader="none" w:pos="2700" w:val="left"/>
        </w:tabs>
        <w:numPr>
          <w:ilvl w:val="1"/>
          <w:numId w:val="219"/>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 and procedures to be designed under our supervision, to ensure that material informatio relating to the Issuer, including its consolidated subsidiaries, is made known to us b others within those entities, particularly during the period in which this report is bein prepared;</w:t>
      </w:r>
    </w:p>
    <w:p>
      <w:pPr>
        <w:spacing w:after="0" w:line="12" w:lineRule="exact"/>
        <w:rPr>
          <w:rFonts w:ascii="Arial" w:cs="Arial" w:eastAsia="Arial" w:hAnsi="Arial"/>
          <w:sz w:val="20"/>
          <w:szCs w:val="20"/>
          <w:color w:val="auto"/>
        </w:rPr>
      </w:pPr>
    </w:p>
    <w:p>
      <w:pPr>
        <w:jc w:val="both"/>
        <w:ind w:left="2700" w:hanging="366"/>
        <w:spacing w:after="0" w:line="373" w:lineRule="auto"/>
        <w:tabs>
          <w:tab w:leader="none" w:pos="2700" w:val="left"/>
        </w:tabs>
        <w:numPr>
          <w:ilvl w:val="1"/>
          <w:numId w:val="219"/>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 over financial reporting to be designed under our supervision, to provide reasonable assurance regarding the reliability of financial reporting and the preparation of financia statements for external purposes in accordance with generally accepted accounting principles;</w:t>
      </w:r>
    </w:p>
    <w:p>
      <w:pPr>
        <w:spacing w:after="0" w:line="12" w:lineRule="exact"/>
        <w:rPr>
          <w:rFonts w:ascii="Arial" w:cs="Arial" w:eastAsia="Arial" w:hAnsi="Arial"/>
          <w:sz w:val="20"/>
          <w:szCs w:val="20"/>
          <w:color w:val="auto"/>
        </w:rPr>
      </w:pPr>
    </w:p>
    <w:p>
      <w:pPr>
        <w:jc w:val="both"/>
        <w:ind w:left="2700" w:hanging="366"/>
        <w:spacing w:after="0" w:line="373" w:lineRule="auto"/>
        <w:tabs>
          <w:tab w:leader="none" w:pos="2700" w:val="left"/>
        </w:tabs>
        <w:numPr>
          <w:ilvl w:val="1"/>
          <w:numId w:val="219"/>
        </w:numPr>
        <w:rPr>
          <w:rFonts w:ascii="Arial" w:cs="Arial" w:eastAsia="Arial" w:hAnsi="Arial"/>
          <w:sz w:val="20"/>
          <w:szCs w:val="20"/>
          <w:color w:val="auto"/>
        </w:rPr>
      </w:pPr>
      <w:r>
        <w:rPr>
          <w:rFonts w:ascii="Arial" w:cs="Arial" w:eastAsia="Arial" w:hAnsi="Arial"/>
          <w:sz w:val="20"/>
          <w:szCs w:val="20"/>
          <w:color w:val="auto"/>
        </w:rPr>
        <w:t>Evaluated the effectiveness of the Issuer's disclosure controls and procedures and presented in this report our conclusions about the effectiveness of the disclosure control and procedures, as of the end of the period covered by this report based on such evaluation; and</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33 / 46</w:t>
      </w:r>
    </w:p>
    <w:p>
      <w:pPr>
        <w:sectPr>
          <w:pgSz w:w="11900" w:h="16838" w:orient="portrait"/>
          <w:cols w:equalWidth="0" w:num="1">
            <w:col w:w="10460"/>
          </w:cols>
          <w:pgMar w:left="1440" w:top="1440" w:right="6" w:bottom="0" w:gutter="0" w:footer="0" w:header="0"/>
          <w:type w:val="continuous"/>
        </w:sectPr>
      </w:pPr>
    </w:p>
    <w:bookmarkStart w:id="484" w:name="page485"/>
    <w:bookmarkEnd w:id="484"/>
    <w:p>
      <w:pPr>
        <w:jc w:val="both"/>
        <w:ind w:left="2700" w:hanging="366"/>
        <w:spacing w:after="0" w:line="373" w:lineRule="auto"/>
        <w:tabs>
          <w:tab w:leader="none" w:pos="2700" w:val="left"/>
        </w:tabs>
        <w:numPr>
          <w:ilvl w:val="1"/>
          <w:numId w:val="220"/>
        </w:numPr>
        <w:rPr>
          <w:rFonts w:ascii="Arial" w:cs="Arial" w:eastAsia="Arial" w:hAnsi="Arial"/>
          <w:sz w:val="20"/>
          <w:szCs w:val="20"/>
          <w:color w:val="auto"/>
        </w:rPr>
      </w:pPr>
      <w:r>
        <w:rPr>
          <w:rFonts w:ascii="Arial" w:cs="Arial" w:eastAsia="Arial" w:hAnsi="Arial"/>
          <w:sz w:val="20"/>
          <w:szCs w:val="20"/>
          <w:color w:val="auto"/>
        </w:rPr>
        <w:t>Disclosed in this report any change in the Issuer's internal control over financial reportin that occurred during the period covered by the annual report that has materially affected or is reasonably likely to materially affect, the Issuer's internal control over financia reporting.</w:t>
      </w:r>
    </w:p>
    <w:p>
      <w:pPr>
        <w:spacing w:after="0" w:line="210" w:lineRule="exact"/>
        <w:rPr>
          <w:rFonts w:ascii="Arial" w:cs="Arial" w:eastAsia="Arial" w:hAnsi="Arial"/>
          <w:sz w:val="20"/>
          <w:szCs w:val="20"/>
          <w:color w:val="auto"/>
        </w:rPr>
      </w:pPr>
    </w:p>
    <w:p>
      <w:pPr>
        <w:jc w:val="both"/>
        <w:ind w:left="1980" w:hanging="366"/>
        <w:spacing w:after="0" w:line="372" w:lineRule="auto"/>
        <w:tabs>
          <w:tab w:leader="none" w:pos="198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The Issuer's other certifying officer and I have disclosed, based on our most recent evaluation o internal control over financial reporting, to the Issuer's auditor and the audit committee of th Issuer's board of directors (or persons performing the equivalent functions):</w:t>
      </w:r>
    </w:p>
    <w:p>
      <w:pPr>
        <w:spacing w:after="0" w:line="10" w:lineRule="exact"/>
        <w:rPr>
          <w:rFonts w:ascii="Arial" w:cs="Arial" w:eastAsia="Arial" w:hAnsi="Arial"/>
          <w:sz w:val="20"/>
          <w:szCs w:val="20"/>
          <w:color w:val="auto"/>
        </w:rPr>
      </w:pPr>
    </w:p>
    <w:p>
      <w:pPr>
        <w:jc w:val="both"/>
        <w:ind w:left="2700" w:hanging="366"/>
        <w:spacing w:after="0" w:line="372" w:lineRule="auto"/>
        <w:tabs>
          <w:tab w:leader="none" w:pos="2700" w:val="left"/>
        </w:tabs>
        <w:numPr>
          <w:ilvl w:val="1"/>
          <w:numId w:val="22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 control over financial reporting which are reasonably likely to adversely affect the Issuer' ability to record, process, summarize and report financial information; and</w:t>
      </w:r>
    </w:p>
    <w:p>
      <w:pPr>
        <w:spacing w:after="0" w:line="10" w:lineRule="exact"/>
        <w:rPr>
          <w:rFonts w:ascii="Arial" w:cs="Arial" w:eastAsia="Arial" w:hAnsi="Arial"/>
          <w:sz w:val="20"/>
          <w:szCs w:val="20"/>
          <w:color w:val="auto"/>
        </w:rPr>
      </w:pPr>
    </w:p>
    <w:p>
      <w:pPr>
        <w:ind w:left="2700" w:right="40" w:hanging="366"/>
        <w:spacing w:after="0" w:line="368" w:lineRule="auto"/>
        <w:tabs>
          <w:tab w:leader="none" w:pos="2700" w:val="left"/>
        </w:tabs>
        <w:numPr>
          <w:ilvl w:val="1"/>
          <w:numId w:val="22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 have a significant role in the Issuer's internal control over financial reporting.</w:t>
      </w:r>
    </w:p>
    <w:p>
      <w:pPr>
        <w:spacing w:after="0" w:line="296" w:lineRule="exact"/>
        <w:rPr>
          <w:sz w:val="20"/>
          <w:szCs w:val="20"/>
          <w:color w:val="auto"/>
        </w:rPr>
      </w:pPr>
    </w:p>
    <w:p>
      <w:pPr>
        <w:ind w:left="5000"/>
        <w:spacing w:after="0"/>
        <w:tabs>
          <w:tab w:leader="none" w:pos="56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i w:val="1"/>
          <w:iCs w:val="1"/>
          <w:u w:val="single" w:color="auto"/>
          <w:color w:val="auto"/>
        </w:rPr>
        <w:t>/s/Sam Pigott</w:t>
      </w:r>
    </w:p>
    <w:p>
      <w:pPr>
        <w:spacing w:after="0" w:line="72" w:lineRule="exact"/>
        <w:rPr>
          <w:sz w:val="20"/>
          <w:szCs w:val="20"/>
          <w:color w:val="auto"/>
        </w:rPr>
      </w:pPr>
    </w:p>
    <w:p>
      <w:pPr>
        <w:ind w:left="1260"/>
        <w:spacing w:after="0"/>
        <w:tabs>
          <w:tab w:leader="none" w:pos="5600" w:val="left"/>
        </w:tabs>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u w:val="single" w:color="auto"/>
          <w:color w:val="auto"/>
        </w:rPr>
        <w:t>March 23, 2026</w:t>
      </w:r>
      <w:r>
        <w:rPr>
          <w:sz w:val="20"/>
          <w:szCs w:val="20"/>
          <w:color w:val="auto"/>
        </w:rPr>
        <w:tab/>
      </w:r>
      <w:r>
        <w:rPr>
          <w:rFonts w:ascii="Arial" w:cs="Arial" w:eastAsia="Arial" w:hAnsi="Arial"/>
          <w:sz w:val="20"/>
          <w:szCs w:val="20"/>
          <w:color w:val="auto"/>
        </w:rPr>
        <w:t>Sam Pigott</w:t>
      </w:r>
    </w:p>
    <w:p>
      <w:pPr>
        <w:spacing w:after="0" w:line="72"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Chief Executive Officer</w:t>
      </w:r>
    </w:p>
    <w:p>
      <w:pPr>
        <w:spacing w:after="0" w:line="72"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1207135</wp:posOffset>
            </wp:positionV>
            <wp:extent cx="6764020" cy="1905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1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21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34 / 46</w:t>
      </w:r>
    </w:p>
    <w:p>
      <w:pPr>
        <w:sectPr>
          <w:pgSz w:w="11900" w:h="16838" w:orient="portrait"/>
          <w:cols w:equalWidth="0" w:num="1">
            <w:col w:w="10460"/>
          </w:cols>
          <w:pgMar w:left="1440" w:top="1215" w:right="6" w:bottom="0" w:gutter="0" w:footer="0" w:header="0"/>
          <w:type w:val="continuous"/>
        </w:sectPr>
      </w:pPr>
    </w:p>
    <w:bookmarkStart w:id="485" w:name="page486"/>
    <w:bookmarkEnd w:id="4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35 / 46</w:t>
      </w:r>
    </w:p>
    <w:p>
      <w:pPr>
        <w:sectPr>
          <w:pgSz w:w="11900" w:h="16838" w:orient="portrait"/>
          <w:cols w:equalWidth="0" w:num="1">
            <w:col w:w="9026"/>
          </w:cols>
          <w:pgMar w:left="1440" w:top="1440" w:right="1440" w:bottom="0" w:gutter="0" w:footer="0" w:header="0"/>
        </w:sectPr>
      </w:pPr>
    </w:p>
    <w:bookmarkStart w:id="486" w:name="page487"/>
    <w:bookmarkEnd w:id="4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500"/>
        <w:spacing w:after="0"/>
        <w:rPr>
          <w:sz w:val="20"/>
          <w:szCs w:val="20"/>
          <w:color w:val="auto"/>
        </w:rPr>
      </w:pPr>
      <w:r>
        <w:rPr>
          <w:rFonts w:ascii="Arial" w:cs="Arial" w:eastAsia="Arial" w:hAnsi="Arial"/>
          <w:sz w:val="20"/>
          <w:szCs w:val="20"/>
          <w:b w:val="1"/>
          <w:bCs w:val="1"/>
          <w:color w:val="181818"/>
        </w:rPr>
        <w:t>Exhibit 12</w:t>
      </w:r>
    </w:p>
    <w:p>
      <w:pPr>
        <w:spacing w:after="0" w:line="279" w:lineRule="exact"/>
        <w:rPr>
          <w:sz w:val="20"/>
          <w:szCs w:val="20"/>
          <w:color w:val="auto"/>
        </w:rPr>
      </w:pPr>
    </w:p>
    <w:p>
      <w:pPr>
        <w:jc w:val="center"/>
        <w:ind w:left="2800" w:right="60"/>
        <w:spacing w:after="0" w:line="307" w:lineRule="auto"/>
        <w:rPr>
          <w:sz w:val="20"/>
          <w:szCs w:val="20"/>
          <w:color w:val="auto"/>
        </w:rPr>
      </w:pPr>
      <w:r>
        <w:rPr>
          <w:rFonts w:ascii="Arial" w:cs="Arial" w:eastAsia="Arial" w:hAnsi="Arial"/>
          <w:sz w:val="20"/>
          <w:szCs w:val="20"/>
          <w:b w:val="1"/>
          <w:bCs w:val="1"/>
          <w:color w:val="auto"/>
        </w:rPr>
        <w:t>CERTIFICATION REQUIRED BY RULE 13a-14(a) UNDER THE SECURITIES EXCHANGE ACT OF 1934</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I, Alex Shulga, of Lithium Argentina AG certify that:</w:t>
      </w:r>
    </w:p>
    <w:p>
      <w:pPr>
        <w:spacing w:after="0" w:line="316" w:lineRule="exact"/>
        <w:rPr>
          <w:sz w:val="20"/>
          <w:szCs w:val="20"/>
          <w:color w:val="auto"/>
        </w:rPr>
      </w:pPr>
    </w:p>
    <w:p>
      <w:pPr>
        <w:ind w:left="1980" w:hanging="366"/>
        <w:spacing w:after="0"/>
        <w:tabs>
          <w:tab w:leader="none" w:pos="198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I have reviewed this annual report on Form 20-F of Lithium Argentina AG (the "Issuer");</w:t>
      </w:r>
    </w:p>
    <w:p>
      <w:pPr>
        <w:spacing w:after="0" w:line="337" w:lineRule="exact"/>
        <w:rPr>
          <w:rFonts w:ascii="Arial" w:cs="Arial" w:eastAsia="Arial" w:hAnsi="Arial"/>
          <w:sz w:val="20"/>
          <w:szCs w:val="20"/>
          <w:color w:val="auto"/>
        </w:rPr>
      </w:pPr>
    </w:p>
    <w:p>
      <w:pPr>
        <w:jc w:val="both"/>
        <w:ind w:left="1980" w:hanging="366"/>
        <w:spacing w:after="0" w:line="373" w:lineRule="auto"/>
        <w:tabs>
          <w:tab w:leader="none" w:pos="198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 omit to state a material fact necessary to make the statements made, in light of the circumstance under which such statements were made, not misleading with respect to the period covered b this report;</w:t>
      </w:r>
    </w:p>
    <w:p>
      <w:pPr>
        <w:spacing w:after="0" w:line="210" w:lineRule="exact"/>
        <w:rPr>
          <w:rFonts w:ascii="Arial" w:cs="Arial" w:eastAsia="Arial" w:hAnsi="Arial"/>
          <w:sz w:val="20"/>
          <w:szCs w:val="20"/>
          <w:color w:val="auto"/>
        </w:rPr>
      </w:pPr>
    </w:p>
    <w:p>
      <w:pPr>
        <w:jc w:val="both"/>
        <w:ind w:left="1980" w:hanging="366"/>
        <w:spacing w:after="0" w:line="372" w:lineRule="auto"/>
        <w:tabs>
          <w:tab w:leader="none" w:pos="198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 report, fairly present in all material respects the financial condition, results of operations and cas flows of the Issuer as of, and for, the periods presented in this report;</w:t>
      </w:r>
    </w:p>
    <w:p>
      <w:pPr>
        <w:spacing w:after="0" w:line="210" w:lineRule="exact"/>
        <w:rPr>
          <w:rFonts w:ascii="Arial" w:cs="Arial" w:eastAsia="Arial" w:hAnsi="Arial"/>
          <w:sz w:val="20"/>
          <w:szCs w:val="20"/>
          <w:color w:val="auto"/>
        </w:rPr>
      </w:pPr>
    </w:p>
    <w:p>
      <w:pPr>
        <w:jc w:val="both"/>
        <w:ind w:left="1980" w:hanging="366"/>
        <w:spacing w:after="0" w:line="372" w:lineRule="auto"/>
        <w:tabs>
          <w:tab w:leader="none" w:pos="198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The Issuer's other certifying officer and I are responsible for establishing and maintaining disclosure controls and procedures (as defined in Exchange Act Rules 13a-15(e) and 15d-15(e) and internal control over financial reporting (as defined in Exchange Act Rules 13a-15(f) an</w:t>
      </w:r>
    </w:p>
    <w:p>
      <w:pPr>
        <w:spacing w:after="0" w:line="3" w:lineRule="exact"/>
        <w:rPr>
          <w:rFonts w:ascii="Arial" w:cs="Arial" w:eastAsia="Arial" w:hAnsi="Arial"/>
          <w:sz w:val="20"/>
          <w:szCs w:val="20"/>
          <w:color w:val="auto"/>
        </w:rPr>
      </w:pPr>
    </w:p>
    <w:p>
      <w:pPr>
        <w:ind w:left="1980"/>
        <w:spacing w:after="0"/>
        <w:rPr>
          <w:rFonts w:ascii="Arial" w:cs="Arial" w:eastAsia="Arial" w:hAnsi="Arial"/>
          <w:sz w:val="20"/>
          <w:szCs w:val="20"/>
          <w:color w:val="auto"/>
        </w:rPr>
      </w:pPr>
      <w:r>
        <w:rPr>
          <w:rFonts w:ascii="Arial" w:cs="Arial" w:eastAsia="Arial" w:hAnsi="Arial"/>
          <w:sz w:val="20"/>
          <w:szCs w:val="20"/>
          <w:color w:val="auto"/>
        </w:rPr>
        <w:t>15d-15(f)) for the Issuer and have:</w:t>
      </w:r>
    </w:p>
    <w:p>
      <w:pPr>
        <w:spacing w:after="0" w:line="137" w:lineRule="exact"/>
        <w:rPr>
          <w:rFonts w:ascii="Arial" w:cs="Arial" w:eastAsia="Arial" w:hAnsi="Arial"/>
          <w:sz w:val="20"/>
          <w:szCs w:val="20"/>
          <w:color w:val="auto"/>
        </w:rPr>
      </w:pPr>
    </w:p>
    <w:p>
      <w:pPr>
        <w:jc w:val="both"/>
        <w:ind w:left="2700" w:hanging="366"/>
        <w:spacing w:after="0" w:line="373" w:lineRule="auto"/>
        <w:tabs>
          <w:tab w:leader="none" w:pos="270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 and procedures to be designed under our supervision, to ensure that material informatio relating to the Issuer, including its consolidated subsidiaries, is made known to us b others within those entities, particularly during the period in which this report is bein prepared;</w:t>
      </w:r>
    </w:p>
    <w:p>
      <w:pPr>
        <w:spacing w:after="0" w:line="12" w:lineRule="exact"/>
        <w:rPr>
          <w:rFonts w:ascii="Arial" w:cs="Arial" w:eastAsia="Arial" w:hAnsi="Arial"/>
          <w:sz w:val="20"/>
          <w:szCs w:val="20"/>
          <w:color w:val="auto"/>
        </w:rPr>
      </w:pPr>
    </w:p>
    <w:p>
      <w:pPr>
        <w:jc w:val="both"/>
        <w:ind w:left="2700" w:hanging="366"/>
        <w:spacing w:after="0" w:line="373" w:lineRule="auto"/>
        <w:tabs>
          <w:tab w:leader="none" w:pos="270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 over financial reporting to be designed under our supervision, to provide reasonable assurance regarding the reliability of financial reporting and the preparation of financia statements for external purposes in accordance with generally accepted accounting principles;</w:t>
      </w:r>
    </w:p>
    <w:p>
      <w:pPr>
        <w:spacing w:after="0" w:line="12" w:lineRule="exact"/>
        <w:rPr>
          <w:rFonts w:ascii="Arial" w:cs="Arial" w:eastAsia="Arial" w:hAnsi="Arial"/>
          <w:sz w:val="20"/>
          <w:szCs w:val="20"/>
          <w:color w:val="auto"/>
        </w:rPr>
      </w:pPr>
    </w:p>
    <w:p>
      <w:pPr>
        <w:jc w:val="both"/>
        <w:ind w:left="2700" w:hanging="366"/>
        <w:spacing w:after="0" w:line="373" w:lineRule="auto"/>
        <w:tabs>
          <w:tab w:leader="none" w:pos="270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Evaluated the effectiveness of the Issuer's disclosure controls and procedures and presented in this report our conclusions about the effectiveness of the disclosure control and procedures, as of the end of the period covered by this report based on such evaluation; and</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36 / 46</w:t>
      </w:r>
    </w:p>
    <w:p>
      <w:pPr>
        <w:sectPr>
          <w:pgSz w:w="11900" w:h="16838" w:orient="portrait"/>
          <w:cols w:equalWidth="0" w:num="1">
            <w:col w:w="10460"/>
          </w:cols>
          <w:pgMar w:left="1440" w:top="1440" w:right="6" w:bottom="0" w:gutter="0" w:footer="0" w:header="0"/>
          <w:type w:val="continuous"/>
        </w:sectPr>
      </w:pPr>
    </w:p>
    <w:bookmarkStart w:id="487" w:name="page488"/>
    <w:bookmarkEnd w:id="487"/>
    <w:p>
      <w:pPr>
        <w:jc w:val="both"/>
        <w:ind w:left="2880" w:hanging="366"/>
        <w:spacing w:after="0" w:line="373" w:lineRule="auto"/>
        <w:tabs>
          <w:tab w:leader="none" w:pos="2880" w:val="left"/>
        </w:tabs>
        <w:numPr>
          <w:ilvl w:val="1"/>
          <w:numId w:val="223"/>
        </w:numPr>
        <w:rPr>
          <w:rFonts w:ascii="Arial" w:cs="Arial" w:eastAsia="Arial" w:hAnsi="Arial"/>
          <w:sz w:val="20"/>
          <w:szCs w:val="20"/>
          <w:color w:val="auto"/>
        </w:rPr>
      </w:pPr>
      <w:r>
        <w:rPr>
          <w:rFonts w:ascii="Arial" w:cs="Arial" w:eastAsia="Arial" w:hAnsi="Arial"/>
          <w:sz w:val="20"/>
          <w:szCs w:val="20"/>
          <w:color w:val="auto"/>
        </w:rPr>
        <w:t>Disclosed in this report any change in the Issuer's internal control over financial reportin that occurred during the period covered by the annual report that has materially affected or is reasonably likely to materially affect, the Issuer's internal control over financia reporting.</w:t>
      </w:r>
    </w:p>
    <w:p>
      <w:pPr>
        <w:spacing w:after="0" w:line="210" w:lineRule="exact"/>
        <w:rPr>
          <w:rFonts w:ascii="Arial" w:cs="Arial" w:eastAsia="Arial" w:hAnsi="Arial"/>
          <w:sz w:val="20"/>
          <w:szCs w:val="20"/>
          <w:color w:val="auto"/>
        </w:rPr>
      </w:pPr>
    </w:p>
    <w:p>
      <w:pPr>
        <w:jc w:val="both"/>
        <w:ind w:left="2160" w:hanging="366"/>
        <w:spacing w:after="0" w:line="372" w:lineRule="auto"/>
        <w:tabs>
          <w:tab w:leader="none" w:pos="216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The Issuer's other certifying officer and I have disclosed, based on our most recent evaluation o internal control over financial reporting, to the Issuer's auditor and the audit committee of th Issuer's board of directors (or persons performing the equivalent functions):</w:t>
      </w:r>
    </w:p>
    <w:p>
      <w:pPr>
        <w:spacing w:after="0" w:line="10" w:lineRule="exact"/>
        <w:rPr>
          <w:rFonts w:ascii="Arial" w:cs="Arial" w:eastAsia="Arial" w:hAnsi="Arial"/>
          <w:sz w:val="20"/>
          <w:szCs w:val="20"/>
          <w:color w:val="auto"/>
        </w:rPr>
      </w:pPr>
    </w:p>
    <w:p>
      <w:pPr>
        <w:jc w:val="both"/>
        <w:ind w:left="2880" w:hanging="366"/>
        <w:spacing w:after="0" w:line="372" w:lineRule="auto"/>
        <w:tabs>
          <w:tab w:leader="none" w:pos="2880" w:val="left"/>
        </w:tabs>
        <w:numPr>
          <w:ilvl w:val="1"/>
          <w:numId w:val="22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 control over financial reporting which are reasonably likely to adversely affect the Issuer' ability to record, process, summarize and report financial information; and</w:t>
      </w:r>
    </w:p>
    <w:p>
      <w:pPr>
        <w:spacing w:after="0" w:line="10" w:lineRule="exact"/>
        <w:rPr>
          <w:rFonts w:ascii="Arial" w:cs="Arial" w:eastAsia="Arial" w:hAnsi="Arial"/>
          <w:sz w:val="20"/>
          <w:szCs w:val="20"/>
          <w:color w:val="auto"/>
        </w:rPr>
      </w:pPr>
    </w:p>
    <w:p>
      <w:pPr>
        <w:ind w:left="2880" w:right="40" w:hanging="366"/>
        <w:spacing w:after="0" w:line="368" w:lineRule="auto"/>
        <w:tabs>
          <w:tab w:leader="none" w:pos="2880" w:val="left"/>
        </w:tabs>
        <w:numPr>
          <w:ilvl w:val="1"/>
          <w:numId w:val="22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 have a significant role in the Issuer's internal control over financial reporting.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gridSpan w:val="2"/>
          </w:tcPr>
          <w:p>
            <w:pPr>
              <w:ind w:left="1440"/>
              <w:spacing w:after="0"/>
              <w:rPr>
                <w:sz w:val="20"/>
                <w:szCs w:val="20"/>
                <w:color w:val="auto"/>
              </w:rPr>
            </w:pPr>
            <w:r>
              <w:rPr>
                <w:rFonts w:ascii="Arial" w:cs="Arial" w:eastAsia="Arial" w:hAnsi="Arial"/>
                <w:sz w:val="20"/>
                <w:szCs w:val="20"/>
                <w:color w:val="auto"/>
                <w:w w:val="98"/>
              </w:rPr>
              <w:t>Date: March 23, 2026</w:t>
            </w:r>
          </w:p>
        </w:tc>
        <w:tc>
          <w:tcPr>
            <w:tcW w:w="7280" w:type="dxa"/>
            <w:vAlign w:val="bottom"/>
            <w:gridSpan w:val="3"/>
          </w:tcPr>
          <w:p>
            <w:pPr>
              <w:ind w:left="9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/s/Alex Shulga</w:t>
            </w:r>
          </w:p>
        </w:tc>
      </w:tr>
      <w:tr>
        <w:trPr>
          <w:trHeight w:val="303"/>
        </w:trPr>
        <w:tc>
          <w:tcPr>
            <w:tcW w:w="196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Alex Shulga</w:t>
            </w:r>
          </w:p>
        </w:tc>
        <w:tc>
          <w:tcPr>
            <w:tcW w:w="4660" w:type="dxa"/>
            <w:vAlign w:val="bottom"/>
          </w:tcPr>
          <w:p>
            <w:pPr>
              <w:spacing w:after="0"/>
              <w:rPr>
                <w:sz w:val="24"/>
                <w:szCs w:val="24"/>
                <w:color w:val="auto"/>
              </w:rPr>
            </w:pPr>
          </w:p>
        </w:tc>
      </w:tr>
      <w:tr>
        <w:trPr>
          <w:trHeight w:val="302"/>
        </w:trPr>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80" w:type="dxa"/>
            <w:vAlign w:val="bottom"/>
            <w:gridSpan w:val="3"/>
          </w:tcPr>
          <w:p>
            <w:pPr>
              <w:ind w:left="1340"/>
              <w:spacing w:after="0"/>
              <w:rPr>
                <w:sz w:val="20"/>
                <w:szCs w:val="20"/>
                <w:color w:val="auto"/>
              </w:rPr>
            </w:pPr>
            <w:r>
              <w:rPr>
                <w:rFonts w:ascii="Arial" w:cs="Arial" w:eastAsia="Arial" w:hAnsi="Arial"/>
                <w:sz w:val="20"/>
                <w:szCs w:val="20"/>
                <w:color w:val="auto"/>
              </w:rPr>
              <w:t>Chief Financial Officer</w:t>
            </w:r>
          </w:p>
        </w:tc>
      </w:tr>
      <w:tr>
        <w:trPr>
          <w:trHeight w:val="302"/>
        </w:trPr>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80" w:type="dxa"/>
            <w:vAlign w:val="bottom"/>
            <w:gridSpan w:val="3"/>
          </w:tcPr>
          <w:p>
            <w:pPr>
              <w:ind w:left="1340"/>
              <w:spacing w:after="0"/>
              <w:rPr>
                <w:sz w:val="20"/>
                <w:szCs w:val="20"/>
                <w:color w:val="auto"/>
              </w:rPr>
            </w:pPr>
            <w:r>
              <w:rPr>
                <w:rFonts w:ascii="Arial" w:cs="Arial" w:eastAsia="Arial" w:hAnsi="Arial"/>
                <w:sz w:val="20"/>
                <w:szCs w:val="20"/>
                <w:color w:val="auto"/>
              </w:rPr>
              <w:t>(Principal Financial and Accounting Officer)</w:t>
            </w:r>
          </w:p>
        </w:tc>
      </w:tr>
      <w:tr>
        <w:trPr>
          <w:trHeight w:val="1911"/>
        </w:trPr>
        <w:tc>
          <w:tcPr>
            <w:tcW w:w="196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1340" w:type="dxa"/>
            <w:vAlign w:val="bottom"/>
            <w:tcBorders>
              <w:bottom w:val="single" w:sz="8" w:color="010101"/>
            </w:tcBorders>
          </w:tcPr>
          <w:p>
            <w:pPr>
              <w:spacing w:after="0"/>
              <w:rPr>
                <w:sz w:val="24"/>
                <w:szCs w:val="24"/>
                <w:color w:val="auto"/>
              </w:rPr>
            </w:pPr>
          </w:p>
        </w:tc>
        <w:tc>
          <w:tcPr>
            <w:tcW w:w="1280" w:type="dxa"/>
            <w:vAlign w:val="bottom"/>
            <w:tcBorders>
              <w:bottom w:val="single" w:sz="8" w:color="010101"/>
            </w:tcBorders>
          </w:tcPr>
          <w:p>
            <w:pPr>
              <w:spacing w:after="0"/>
              <w:rPr>
                <w:sz w:val="24"/>
                <w:szCs w:val="24"/>
                <w:color w:val="auto"/>
              </w:rPr>
            </w:pPr>
          </w:p>
        </w:tc>
        <w:tc>
          <w:tcPr>
            <w:tcW w:w="46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8">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10640"/>
          </w:cols>
          <w:pgMar w:left="1260" w:top="121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37 / 46</w:t>
      </w:r>
    </w:p>
    <w:p>
      <w:pPr>
        <w:sectPr>
          <w:pgSz w:w="11900" w:h="16838" w:orient="portrait"/>
          <w:cols w:equalWidth="0" w:num="1">
            <w:col w:w="10640"/>
          </w:cols>
          <w:pgMar w:left="1260" w:top="1215" w:right="6" w:bottom="0" w:gutter="0" w:footer="0" w:header="0"/>
          <w:type w:val="continuous"/>
        </w:sectPr>
      </w:pPr>
    </w:p>
    <w:bookmarkStart w:id="488" w:name="page489"/>
    <w:bookmarkEnd w:id="4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38 / 46</w:t>
      </w:r>
    </w:p>
    <w:p>
      <w:pPr>
        <w:sectPr>
          <w:pgSz w:w="11900" w:h="16838" w:orient="portrait"/>
          <w:cols w:equalWidth="0" w:num="1">
            <w:col w:w="9026"/>
          </w:cols>
          <w:pgMar w:left="1440" w:top="1440" w:right="1440" w:bottom="0" w:gutter="0" w:footer="0" w:header="0"/>
        </w:sectPr>
      </w:pPr>
    </w:p>
    <w:bookmarkStart w:id="489" w:name="page490"/>
    <w:bookmarkEnd w:id="4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680"/>
        <w:spacing w:after="0"/>
        <w:rPr>
          <w:sz w:val="20"/>
          <w:szCs w:val="20"/>
          <w:color w:val="auto"/>
        </w:rPr>
      </w:pPr>
      <w:r>
        <w:rPr>
          <w:rFonts w:ascii="Arial" w:cs="Arial" w:eastAsia="Arial" w:hAnsi="Arial"/>
          <w:sz w:val="20"/>
          <w:szCs w:val="20"/>
          <w:b w:val="1"/>
          <w:bCs w:val="1"/>
          <w:color w:val="181818"/>
        </w:rPr>
        <w:t>Exhibit 13</w:t>
      </w:r>
    </w:p>
    <w:p>
      <w:pPr>
        <w:spacing w:after="0" w:line="272" w:lineRule="exact"/>
        <w:rPr>
          <w:sz w:val="20"/>
          <w:szCs w:val="20"/>
          <w:color w:val="auto"/>
        </w:rPr>
      </w:pPr>
    </w:p>
    <w:p>
      <w:pPr>
        <w:jc w:val="center"/>
        <w:ind w:left="2840"/>
        <w:spacing w:after="0"/>
        <w:rPr>
          <w:sz w:val="20"/>
          <w:szCs w:val="20"/>
          <w:color w:val="auto"/>
        </w:rPr>
      </w:pPr>
      <w:r>
        <w:rPr>
          <w:rFonts w:ascii="Arial" w:cs="Arial" w:eastAsia="Arial" w:hAnsi="Arial"/>
          <w:sz w:val="20"/>
          <w:szCs w:val="20"/>
          <w:b w:val="1"/>
          <w:bCs w:val="1"/>
          <w:color w:val="auto"/>
        </w:rPr>
        <w:t>CERTIFICATION PURSUANT TO</w:t>
      </w:r>
    </w:p>
    <w:p>
      <w:pPr>
        <w:spacing w:after="0" w:line="72" w:lineRule="exact"/>
        <w:rPr>
          <w:sz w:val="20"/>
          <w:szCs w:val="20"/>
          <w:color w:val="auto"/>
        </w:rPr>
      </w:pPr>
    </w:p>
    <w:p>
      <w:pPr>
        <w:jc w:val="center"/>
        <w:ind w:left="2840"/>
        <w:spacing w:after="0"/>
        <w:rPr>
          <w:sz w:val="20"/>
          <w:szCs w:val="20"/>
          <w:color w:val="auto"/>
        </w:rPr>
      </w:pPr>
      <w:r>
        <w:rPr>
          <w:rFonts w:ascii="Arial" w:cs="Arial" w:eastAsia="Arial" w:hAnsi="Arial"/>
          <w:sz w:val="20"/>
          <w:szCs w:val="20"/>
          <w:b w:val="1"/>
          <w:bCs w:val="1"/>
          <w:color w:val="auto"/>
        </w:rPr>
        <w:t>18 U.S.C. §1350,</w:t>
      </w:r>
    </w:p>
    <w:p>
      <w:pPr>
        <w:spacing w:after="0" w:line="72" w:lineRule="exact"/>
        <w:rPr>
          <w:sz w:val="20"/>
          <w:szCs w:val="20"/>
          <w:color w:val="auto"/>
        </w:rPr>
      </w:pPr>
    </w:p>
    <w:p>
      <w:pPr>
        <w:jc w:val="center"/>
        <w:ind w:left="2840"/>
        <w:spacing w:after="0"/>
        <w:rPr>
          <w:sz w:val="20"/>
          <w:szCs w:val="20"/>
          <w:color w:val="auto"/>
        </w:rPr>
      </w:pPr>
      <w:r>
        <w:rPr>
          <w:rFonts w:ascii="Arial" w:cs="Arial" w:eastAsia="Arial" w:hAnsi="Arial"/>
          <w:sz w:val="20"/>
          <w:szCs w:val="20"/>
          <w:b w:val="1"/>
          <w:bCs w:val="1"/>
          <w:color w:val="auto"/>
        </w:rPr>
        <w:t>AS ADOPTED PURSUANT TO</w:t>
      </w:r>
    </w:p>
    <w:p>
      <w:pPr>
        <w:spacing w:after="0" w:line="72" w:lineRule="exact"/>
        <w:rPr>
          <w:sz w:val="20"/>
          <w:szCs w:val="20"/>
          <w:color w:val="auto"/>
        </w:rPr>
      </w:pPr>
    </w:p>
    <w:p>
      <w:pPr>
        <w:jc w:val="center"/>
        <w:ind w:left="284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79" w:lineRule="exact"/>
        <w:rPr>
          <w:sz w:val="20"/>
          <w:szCs w:val="20"/>
          <w:color w:val="auto"/>
        </w:rPr>
      </w:pPr>
    </w:p>
    <w:p>
      <w:pPr>
        <w:jc w:val="both"/>
        <w:ind w:left="1440"/>
        <w:spacing w:after="0" w:line="312" w:lineRule="auto"/>
        <w:rPr>
          <w:sz w:val="20"/>
          <w:szCs w:val="20"/>
          <w:color w:val="auto"/>
        </w:rPr>
      </w:pPr>
      <w:r>
        <w:rPr>
          <w:rFonts w:ascii="Arial" w:cs="Arial" w:eastAsia="Arial" w:hAnsi="Arial"/>
          <w:sz w:val="20"/>
          <w:szCs w:val="20"/>
          <w:color w:val="auto"/>
        </w:rPr>
        <w:t>In connection with the Annual Report of Lithium Argentina AG (the "Company") on Form 20-F for th period ended December 31, 2025 as filed with the Securities and Exchange Commission on the dat hereof (the "Report"), I, Sam Pigott, Chief Executive Officer of the Company, certify, pursuant to 18 U.S.C. Section 1350, as adopted pursuant to Section 906 of the Sarbanes-Oxley Act of 2002, that:</w:t>
      </w:r>
    </w:p>
    <w:p>
      <w:pPr>
        <w:spacing w:after="0" w:line="255" w:lineRule="exact"/>
        <w:rPr>
          <w:sz w:val="20"/>
          <w:szCs w:val="20"/>
          <w:color w:val="auto"/>
        </w:rPr>
      </w:pPr>
    </w:p>
    <w:p>
      <w:pPr>
        <w:ind w:left="2160" w:hanging="366"/>
        <w:spacing w:after="0" w:line="368" w:lineRule="auto"/>
        <w:tabs>
          <w:tab w:leader="none" w:pos="216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4" w:lineRule="exact"/>
        <w:rPr>
          <w:rFonts w:ascii="Arial" w:cs="Arial" w:eastAsia="Arial" w:hAnsi="Arial"/>
          <w:sz w:val="20"/>
          <w:szCs w:val="20"/>
          <w:color w:val="auto"/>
        </w:rPr>
      </w:pPr>
    </w:p>
    <w:p>
      <w:pPr>
        <w:ind w:left="2160" w:hanging="366"/>
        <w:spacing w:after="0" w:line="368" w:lineRule="auto"/>
        <w:tabs>
          <w:tab w:leader="none" w:pos="216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The information contained in this Report fairly presents, in all material respects, the financia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gridSpan w:val="2"/>
          </w:tcPr>
          <w:p>
            <w:pPr>
              <w:ind w:left="1440"/>
              <w:spacing w:after="0"/>
              <w:rPr>
                <w:sz w:val="20"/>
                <w:szCs w:val="20"/>
                <w:color w:val="auto"/>
              </w:rPr>
            </w:pPr>
            <w:r>
              <w:rPr>
                <w:rFonts w:ascii="Arial" w:cs="Arial" w:eastAsia="Arial" w:hAnsi="Arial"/>
                <w:sz w:val="20"/>
                <w:szCs w:val="20"/>
                <w:color w:val="auto"/>
                <w:w w:val="98"/>
              </w:rPr>
              <w:t>Date: March 23, 2026</w:t>
            </w:r>
          </w:p>
        </w:tc>
        <w:tc>
          <w:tcPr>
            <w:tcW w:w="7280" w:type="dxa"/>
            <w:vAlign w:val="bottom"/>
          </w:tcPr>
          <w:p>
            <w:pPr>
              <w:ind w:left="2460"/>
              <w:spacing w:after="0"/>
              <w:rPr>
                <w:sz w:val="20"/>
                <w:szCs w:val="20"/>
                <w:color w:val="auto"/>
              </w:rPr>
            </w:pPr>
            <w:r>
              <w:rPr>
                <w:rFonts w:ascii="Arial" w:cs="Arial" w:eastAsia="Arial" w:hAnsi="Arial"/>
                <w:sz w:val="20"/>
                <w:szCs w:val="20"/>
                <w:i w:val="1"/>
                <w:iCs w:val="1"/>
                <w:color w:val="auto"/>
              </w:rPr>
              <w:t>/s/ Sam Pigott</w:t>
            </w:r>
          </w:p>
        </w:tc>
      </w:tr>
      <w:tr>
        <w:trPr>
          <w:trHeight w:val="318"/>
        </w:trPr>
        <w:tc>
          <w:tcPr>
            <w:tcW w:w="196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7280" w:type="dxa"/>
            <w:vAlign w:val="bottom"/>
          </w:tcPr>
          <w:p>
            <w:pPr>
              <w:ind w:left="2280"/>
              <w:spacing w:after="0"/>
              <w:rPr>
                <w:sz w:val="20"/>
                <w:szCs w:val="20"/>
                <w:color w:val="auto"/>
              </w:rPr>
            </w:pPr>
            <w:r>
              <w:rPr>
                <w:rFonts w:ascii="Arial" w:cs="Arial" w:eastAsia="Arial" w:hAnsi="Arial"/>
                <w:sz w:val="20"/>
                <w:szCs w:val="20"/>
                <w:color w:val="auto"/>
              </w:rPr>
              <w:t>Sam Pigott</w:t>
            </w:r>
          </w:p>
        </w:tc>
      </w:tr>
      <w:tr>
        <w:trPr>
          <w:trHeight w:val="302"/>
        </w:trPr>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80" w:type="dxa"/>
            <w:vAlign w:val="bottom"/>
          </w:tcPr>
          <w:p>
            <w:pPr>
              <w:ind w:left="2280"/>
              <w:spacing w:after="0"/>
              <w:rPr>
                <w:sz w:val="20"/>
                <w:szCs w:val="20"/>
                <w:color w:val="auto"/>
              </w:rPr>
            </w:pPr>
            <w:r>
              <w:rPr>
                <w:rFonts w:ascii="Arial" w:cs="Arial" w:eastAsia="Arial" w:hAnsi="Arial"/>
                <w:sz w:val="20"/>
                <w:szCs w:val="20"/>
                <w:color w:val="auto"/>
              </w:rPr>
              <w:t>Chief Executive Officer</w:t>
            </w:r>
          </w:p>
        </w:tc>
      </w:tr>
      <w:tr>
        <w:trPr>
          <w:trHeight w:val="302"/>
        </w:trPr>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80" w:type="dxa"/>
            <w:vAlign w:val="bottom"/>
          </w:tcPr>
          <w:p>
            <w:pPr>
              <w:ind w:left="2280"/>
              <w:spacing w:after="0"/>
              <w:rPr>
                <w:sz w:val="20"/>
                <w:szCs w:val="20"/>
                <w:color w:val="auto"/>
              </w:rPr>
            </w:pPr>
            <w:r>
              <w:rPr>
                <w:rFonts w:ascii="Arial" w:cs="Arial" w:eastAsia="Arial" w:hAnsi="Arial"/>
                <w:sz w:val="20"/>
                <w:szCs w:val="20"/>
                <w:color w:val="auto"/>
              </w:rPr>
              <w:t>(Principal Executive Officer)</w:t>
            </w:r>
          </w:p>
        </w:tc>
      </w:tr>
      <w:tr>
        <w:trPr>
          <w:trHeight w:val="1911"/>
        </w:trPr>
        <w:tc>
          <w:tcPr>
            <w:tcW w:w="196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72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9">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3585210</wp:posOffset>
            </wp:positionH>
            <wp:positionV relativeFrom="paragraph">
              <wp:posOffset>-1784350</wp:posOffset>
            </wp:positionV>
            <wp:extent cx="3175000" cy="952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20">
                      <a:extLst>
                        <a:ext uri="{28A0092B-C50C-407E-A947-70E740481C1C}"/>
                      </a:extLst>
                    </a:blip>
                    <a:srcRect/>
                    <a:stretch>
                      <a:fillRect/>
                    </a:stretch>
                  </pic:blipFill>
                  <pic:spPr bwMode="auto">
                    <a:xfrm>
                      <a:off x="0" y="0"/>
                      <a:ext cx="3175000" cy="9525"/>
                    </a:xfrm>
                    <a:prstGeom prst="rect">
                      <a:avLst/>
                    </a:prstGeom>
                    <a:noFill/>
                  </pic:spPr>
                </pic:pic>
              </a:graphicData>
            </a:graphic>
          </wp:anchor>
        </w:drawing>
      </w:r>
    </w:p>
    <w:p>
      <w:pPr>
        <w:sectPr>
          <w:pgSz w:w="11900" w:h="16838" w:orient="portrait"/>
          <w:cols w:equalWidth="0" w:num="1">
            <w:col w:w="10640"/>
          </w:cols>
          <w:pgMar w:left="126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39 / 46</w:t>
      </w:r>
    </w:p>
    <w:p>
      <w:pPr>
        <w:sectPr>
          <w:pgSz w:w="11900" w:h="16838" w:orient="portrait"/>
          <w:cols w:equalWidth="0" w:num="1">
            <w:col w:w="10640"/>
          </w:cols>
          <w:pgMar w:left="1260" w:top="1440" w:right="6" w:bottom="0" w:gutter="0" w:footer="0" w:header="0"/>
          <w:type w:val="continuous"/>
        </w:sectPr>
      </w:pPr>
    </w:p>
    <w:bookmarkStart w:id="490" w:name="page491"/>
    <w:bookmarkEnd w:id="4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40 / 46</w:t>
      </w:r>
    </w:p>
    <w:p>
      <w:pPr>
        <w:sectPr>
          <w:pgSz w:w="11900" w:h="16838" w:orient="portrait"/>
          <w:cols w:equalWidth="0" w:num="1">
            <w:col w:w="9026"/>
          </w:cols>
          <w:pgMar w:left="1440" w:top="1440" w:right="1440" w:bottom="0" w:gutter="0" w:footer="0" w:header="0"/>
        </w:sectPr>
      </w:pPr>
    </w:p>
    <w:bookmarkStart w:id="491" w:name="page492"/>
    <w:bookmarkEnd w:id="4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680"/>
        <w:spacing w:after="0"/>
        <w:rPr>
          <w:sz w:val="20"/>
          <w:szCs w:val="20"/>
          <w:color w:val="auto"/>
        </w:rPr>
      </w:pPr>
      <w:r>
        <w:rPr>
          <w:rFonts w:ascii="Arial" w:cs="Arial" w:eastAsia="Arial" w:hAnsi="Arial"/>
          <w:sz w:val="20"/>
          <w:szCs w:val="20"/>
          <w:b w:val="1"/>
          <w:bCs w:val="1"/>
          <w:color w:val="181818"/>
        </w:rPr>
        <w:t>Exhibit 13</w:t>
      </w:r>
    </w:p>
    <w:p>
      <w:pPr>
        <w:spacing w:after="0" w:line="72" w:lineRule="exact"/>
        <w:rPr>
          <w:sz w:val="20"/>
          <w:szCs w:val="20"/>
          <w:color w:val="auto"/>
        </w:rPr>
      </w:pPr>
    </w:p>
    <w:p>
      <w:pPr>
        <w:jc w:val="center"/>
        <w:ind w:left="2840"/>
        <w:spacing w:after="0"/>
        <w:rPr>
          <w:sz w:val="20"/>
          <w:szCs w:val="20"/>
          <w:color w:val="auto"/>
        </w:rPr>
      </w:pPr>
      <w:r>
        <w:rPr>
          <w:rFonts w:ascii="Arial" w:cs="Arial" w:eastAsia="Arial" w:hAnsi="Arial"/>
          <w:sz w:val="20"/>
          <w:szCs w:val="20"/>
          <w:b w:val="1"/>
          <w:bCs w:val="1"/>
          <w:color w:val="auto"/>
        </w:rPr>
        <w:t>CERTIFICATION PURSUANT TO</w:t>
      </w:r>
    </w:p>
    <w:p>
      <w:pPr>
        <w:spacing w:after="0" w:line="72" w:lineRule="exact"/>
        <w:rPr>
          <w:sz w:val="20"/>
          <w:szCs w:val="20"/>
          <w:color w:val="auto"/>
        </w:rPr>
      </w:pPr>
    </w:p>
    <w:p>
      <w:pPr>
        <w:jc w:val="center"/>
        <w:ind w:left="2840"/>
        <w:spacing w:after="0"/>
        <w:rPr>
          <w:sz w:val="20"/>
          <w:szCs w:val="20"/>
          <w:color w:val="auto"/>
        </w:rPr>
      </w:pPr>
      <w:r>
        <w:rPr>
          <w:rFonts w:ascii="Arial" w:cs="Arial" w:eastAsia="Arial" w:hAnsi="Arial"/>
          <w:sz w:val="20"/>
          <w:szCs w:val="20"/>
          <w:b w:val="1"/>
          <w:bCs w:val="1"/>
          <w:color w:val="auto"/>
        </w:rPr>
        <w:t>18 U.S.C. §1350,</w:t>
      </w:r>
    </w:p>
    <w:p>
      <w:pPr>
        <w:spacing w:after="0" w:line="72" w:lineRule="exact"/>
        <w:rPr>
          <w:sz w:val="20"/>
          <w:szCs w:val="20"/>
          <w:color w:val="auto"/>
        </w:rPr>
      </w:pPr>
    </w:p>
    <w:p>
      <w:pPr>
        <w:jc w:val="center"/>
        <w:ind w:left="2840"/>
        <w:spacing w:after="0"/>
        <w:rPr>
          <w:sz w:val="20"/>
          <w:szCs w:val="20"/>
          <w:color w:val="auto"/>
        </w:rPr>
      </w:pPr>
      <w:r>
        <w:rPr>
          <w:rFonts w:ascii="Arial" w:cs="Arial" w:eastAsia="Arial" w:hAnsi="Arial"/>
          <w:sz w:val="20"/>
          <w:szCs w:val="20"/>
          <w:b w:val="1"/>
          <w:bCs w:val="1"/>
          <w:color w:val="auto"/>
        </w:rPr>
        <w:t>AS ADOPTED PURSUANT TO</w:t>
      </w:r>
    </w:p>
    <w:p>
      <w:pPr>
        <w:spacing w:after="0" w:line="72" w:lineRule="exact"/>
        <w:rPr>
          <w:sz w:val="20"/>
          <w:szCs w:val="20"/>
          <w:color w:val="auto"/>
        </w:rPr>
      </w:pPr>
    </w:p>
    <w:p>
      <w:pPr>
        <w:jc w:val="center"/>
        <w:ind w:left="284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79" w:lineRule="exact"/>
        <w:rPr>
          <w:sz w:val="20"/>
          <w:szCs w:val="20"/>
          <w:color w:val="auto"/>
        </w:rPr>
      </w:pPr>
    </w:p>
    <w:p>
      <w:pPr>
        <w:jc w:val="both"/>
        <w:ind w:left="1440" w:right="40"/>
        <w:spacing w:after="0" w:line="312" w:lineRule="auto"/>
        <w:rPr>
          <w:sz w:val="20"/>
          <w:szCs w:val="20"/>
          <w:color w:val="auto"/>
        </w:rPr>
      </w:pPr>
      <w:r>
        <w:rPr>
          <w:rFonts w:ascii="Arial" w:cs="Arial" w:eastAsia="Arial" w:hAnsi="Arial"/>
          <w:sz w:val="20"/>
          <w:szCs w:val="20"/>
          <w:color w:val="auto"/>
        </w:rPr>
        <w:t>In connection with the Annual Report of Lithium Argentina AG (the "Company") on Form 20-F for th period ended December 31, 2025 as filed with the Securities and Exchange Commission on the dat hereof (the "Report"), I, Alex Shulga, Chief Financial Officer of the Company, certify, pursuant to 1 U.S.C. Section 1350, as adopted pursuant to Section 906 of the Sarbanes-Oxley Act of 2002, that:</w:t>
      </w:r>
    </w:p>
    <w:p>
      <w:pPr>
        <w:spacing w:after="0" w:line="255" w:lineRule="exact"/>
        <w:rPr>
          <w:sz w:val="20"/>
          <w:szCs w:val="20"/>
          <w:color w:val="auto"/>
        </w:rPr>
      </w:pPr>
    </w:p>
    <w:p>
      <w:pPr>
        <w:ind w:left="2160" w:hanging="366"/>
        <w:spacing w:after="0" w:line="368" w:lineRule="auto"/>
        <w:tabs>
          <w:tab w:leader="none" w:pos="216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4" w:lineRule="exact"/>
        <w:rPr>
          <w:rFonts w:ascii="Arial" w:cs="Arial" w:eastAsia="Arial" w:hAnsi="Arial"/>
          <w:sz w:val="20"/>
          <w:szCs w:val="20"/>
          <w:color w:val="auto"/>
        </w:rPr>
      </w:pPr>
    </w:p>
    <w:p>
      <w:pPr>
        <w:ind w:left="2160" w:hanging="366"/>
        <w:spacing w:after="0" w:line="368" w:lineRule="auto"/>
        <w:tabs>
          <w:tab w:leader="none" w:pos="216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The information contained in this Report fairly presents, in all material respects, the financia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gridSpan w:val="2"/>
          </w:tcPr>
          <w:p>
            <w:pPr>
              <w:ind w:left="1440"/>
              <w:spacing w:after="0"/>
              <w:rPr>
                <w:sz w:val="20"/>
                <w:szCs w:val="20"/>
                <w:color w:val="auto"/>
              </w:rPr>
            </w:pPr>
            <w:r>
              <w:rPr>
                <w:rFonts w:ascii="Arial" w:cs="Arial" w:eastAsia="Arial" w:hAnsi="Arial"/>
                <w:sz w:val="20"/>
                <w:szCs w:val="20"/>
                <w:color w:val="auto"/>
                <w:w w:val="98"/>
              </w:rPr>
              <w:t>Date: March 23, 2026</w:t>
            </w:r>
          </w:p>
        </w:tc>
        <w:tc>
          <w:tcPr>
            <w:tcW w:w="7280" w:type="dxa"/>
            <w:vAlign w:val="bottom"/>
          </w:tcPr>
          <w:p>
            <w:pPr>
              <w:ind w:left="2460"/>
              <w:spacing w:after="0"/>
              <w:rPr>
                <w:sz w:val="20"/>
                <w:szCs w:val="20"/>
                <w:color w:val="auto"/>
              </w:rPr>
            </w:pPr>
            <w:r>
              <w:rPr>
                <w:rFonts w:ascii="Arial" w:cs="Arial" w:eastAsia="Arial" w:hAnsi="Arial"/>
                <w:sz w:val="20"/>
                <w:szCs w:val="20"/>
                <w:i w:val="1"/>
                <w:iCs w:val="1"/>
                <w:color w:val="auto"/>
              </w:rPr>
              <w:t>/s/ Alex Shulga</w:t>
            </w:r>
          </w:p>
        </w:tc>
      </w:tr>
      <w:tr>
        <w:trPr>
          <w:trHeight w:val="318"/>
        </w:trPr>
        <w:tc>
          <w:tcPr>
            <w:tcW w:w="196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7280" w:type="dxa"/>
            <w:vAlign w:val="bottom"/>
          </w:tcPr>
          <w:p>
            <w:pPr>
              <w:ind w:left="2280"/>
              <w:spacing w:after="0"/>
              <w:rPr>
                <w:sz w:val="20"/>
                <w:szCs w:val="20"/>
                <w:color w:val="auto"/>
              </w:rPr>
            </w:pPr>
            <w:r>
              <w:rPr>
                <w:rFonts w:ascii="Arial" w:cs="Arial" w:eastAsia="Arial" w:hAnsi="Arial"/>
                <w:sz w:val="20"/>
                <w:szCs w:val="20"/>
                <w:color w:val="auto"/>
              </w:rPr>
              <w:t>Alex Shulga</w:t>
            </w:r>
          </w:p>
        </w:tc>
      </w:tr>
      <w:tr>
        <w:trPr>
          <w:trHeight w:val="302"/>
        </w:trPr>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80" w:type="dxa"/>
            <w:vAlign w:val="bottom"/>
          </w:tcPr>
          <w:p>
            <w:pPr>
              <w:ind w:left="2280"/>
              <w:spacing w:after="0"/>
              <w:rPr>
                <w:sz w:val="20"/>
                <w:szCs w:val="20"/>
                <w:color w:val="auto"/>
              </w:rPr>
            </w:pPr>
            <w:r>
              <w:rPr>
                <w:rFonts w:ascii="Arial" w:cs="Arial" w:eastAsia="Arial" w:hAnsi="Arial"/>
                <w:sz w:val="20"/>
                <w:szCs w:val="20"/>
                <w:color w:val="auto"/>
              </w:rPr>
              <w:t>Chief Financial Officer</w:t>
            </w:r>
          </w:p>
        </w:tc>
      </w:tr>
      <w:tr>
        <w:trPr>
          <w:trHeight w:val="302"/>
        </w:trPr>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80" w:type="dxa"/>
            <w:vAlign w:val="bottom"/>
          </w:tcPr>
          <w:p>
            <w:pPr>
              <w:ind w:left="2280"/>
              <w:spacing w:after="0"/>
              <w:rPr>
                <w:sz w:val="20"/>
                <w:szCs w:val="20"/>
                <w:color w:val="auto"/>
              </w:rPr>
            </w:pPr>
            <w:r>
              <w:rPr>
                <w:rFonts w:ascii="Arial" w:cs="Arial" w:eastAsia="Arial" w:hAnsi="Arial"/>
                <w:sz w:val="20"/>
                <w:szCs w:val="20"/>
                <w:color w:val="auto"/>
              </w:rPr>
              <w:t>(Principal Financial and Accounting Officer)</w:t>
            </w:r>
          </w:p>
        </w:tc>
      </w:tr>
      <w:tr>
        <w:trPr>
          <w:trHeight w:val="1911"/>
        </w:trPr>
        <w:tc>
          <w:tcPr>
            <w:tcW w:w="196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72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21">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3585210</wp:posOffset>
            </wp:positionH>
            <wp:positionV relativeFrom="paragraph">
              <wp:posOffset>-1784350</wp:posOffset>
            </wp:positionV>
            <wp:extent cx="3175000" cy="952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22">
                      <a:extLst>
                        <a:ext uri="{28A0092B-C50C-407E-A947-70E740481C1C}"/>
                      </a:extLst>
                    </a:blip>
                    <a:srcRect/>
                    <a:stretch>
                      <a:fillRect/>
                    </a:stretch>
                  </pic:blipFill>
                  <pic:spPr bwMode="auto">
                    <a:xfrm>
                      <a:off x="0" y="0"/>
                      <a:ext cx="3175000" cy="9525"/>
                    </a:xfrm>
                    <a:prstGeom prst="rect">
                      <a:avLst/>
                    </a:prstGeom>
                    <a:noFill/>
                  </pic:spPr>
                </pic:pic>
              </a:graphicData>
            </a:graphic>
          </wp:anchor>
        </w:drawing>
      </w:r>
    </w:p>
    <w:p>
      <w:pPr>
        <w:sectPr>
          <w:pgSz w:w="11900" w:h="16838" w:orient="portrait"/>
          <w:cols w:equalWidth="0" w:num="1">
            <w:col w:w="10640"/>
          </w:cols>
          <w:pgMar w:left="126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41 / 46</w:t>
      </w:r>
    </w:p>
    <w:p>
      <w:pPr>
        <w:sectPr>
          <w:pgSz w:w="11900" w:h="16838" w:orient="portrait"/>
          <w:cols w:equalWidth="0" w:num="1">
            <w:col w:w="10640"/>
          </w:cols>
          <w:pgMar w:left="1260" w:top="1440" w:right="6" w:bottom="0" w:gutter="0" w:footer="0" w:header="0"/>
          <w:type w:val="continuous"/>
        </w:sectPr>
      </w:pPr>
    </w:p>
    <w:bookmarkStart w:id="492" w:name="page493"/>
    <w:bookmarkEnd w:id="4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42 / 46</w:t>
      </w:r>
    </w:p>
    <w:p>
      <w:pPr>
        <w:sectPr>
          <w:pgSz w:w="11900" w:h="16838" w:orient="portrait"/>
          <w:cols w:equalWidth="0" w:num="1">
            <w:col w:w="9026"/>
          </w:cols>
          <w:pgMar w:left="1440" w:top="1440" w:right="1440" w:bottom="0" w:gutter="0" w:footer="0" w:header="0"/>
        </w:sectPr>
      </w:pPr>
    </w:p>
    <w:bookmarkStart w:id="493" w:name="page494"/>
    <w:bookmarkEnd w:id="4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860"/>
        <w:spacing w:after="0"/>
        <w:rPr>
          <w:sz w:val="20"/>
          <w:szCs w:val="20"/>
          <w:color w:val="auto"/>
        </w:rPr>
      </w:pPr>
      <w:r>
        <w:rPr>
          <w:rFonts w:ascii="Arial" w:cs="Arial" w:eastAsia="Arial" w:hAnsi="Arial"/>
          <w:sz w:val="19"/>
          <w:szCs w:val="19"/>
          <w:b w:val="1"/>
          <w:bCs w:val="1"/>
          <w:color w:val="auto"/>
        </w:rPr>
        <w:t>Exhibi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3269615</wp:posOffset>
            </wp:positionV>
            <wp:extent cx="5676900" cy="174307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23">
                      <a:extLst>
                        <a:ext uri="{28A0092B-C50C-407E-A947-70E740481C1C}"/>
                      </a:extLst>
                    </a:blip>
                    <a:srcRect/>
                    <a:stretch>
                      <a:fillRect/>
                    </a:stretch>
                  </pic:blipFill>
                  <pic:spPr bwMode="auto">
                    <a:xfrm>
                      <a:off x="0" y="0"/>
                      <a:ext cx="5676900" cy="174307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43 / 46</w:t>
      </w:r>
    </w:p>
    <w:p>
      <w:pPr>
        <w:sectPr>
          <w:pgSz w:w="11900" w:h="16838" w:orient="portrait"/>
          <w:cols w:equalWidth="0" w:num="1">
            <w:col w:w="10460"/>
          </w:cols>
          <w:pgMar w:left="1440" w:top="1440" w:right="6" w:bottom="0" w:gutter="0" w:footer="0" w:header="0"/>
          <w:type w:val="continuous"/>
        </w:sectPr>
      </w:pPr>
    </w:p>
    <w:bookmarkStart w:id="494" w:name="page495"/>
    <w:bookmarkEnd w:id="4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3362325</wp:posOffset>
            </wp:positionV>
            <wp:extent cx="6764020" cy="1905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2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44 / 46</w:t>
      </w:r>
    </w:p>
    <w:p>
      <w:pPr>
        <w:sectPr>
          <w:pgSz w:w="11900" w:h="16838" w:orient="portrait"/>
          <w:cols w:equalWidth="0" w:num="1">
            <w:col w:w="9026"/>
          </w:cols>
          <w:pgMar w:left="1440" w:top="1440" w:right="1440" w:bottom="0" w:gutter="0" w:footer="0" w:header="0"/>
        </w:sectPr>
      </w:pPr>
    </w:p>
    <w:bookmarkStart w:id="495" w:name="page496"/>
    <w:bookmarkEnd w:id="4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25">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BACKGROUND</w:t>
      </w:r>
    </w:p>
    <w:p>
      <w:pPr>
        <w:spacing w:after="0" w:line="379"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Lithium Argentina AG (“</w:t>
      </w:r>
      <w:r>
        <w:rPr>
          <w:rFonts w:ascii="Arial" w:cs="Arial" w:eastAsia="Arial" w:hAnsi="Arial"/>
          <w:sz w:val="20"/>
          <w:szCs w:val="20"/>
          <w:b w:val="1"/>
          <w:bCs w:val="1"/>
          <w:color w:val="auto"/>
        </w:rPr>
        <w:t>Lithium Argentina</w:t>
      </w:r>
      <w:r>
        <w:rPr>
          <w:rFonts w:ascii="Arial" w:cs="Arial" w:eastAsia="Arial" w:hAnsi="Arial"/>
          <w:sz w:val="20"/>
          <w:szCs w:val="20"/>
          <w:color w:val="auto"/>
        </w:rPr>
        <w:t>”, the “</w:t>
      </w:r>
      <w:r>
        <w:rPr>
          <w:rFonts w:ascii="Arial" w:cs="Arial" w:eastAsia="Arial" w:hAnsi="Arial"/>
          <w:sz w:val="20"/>
          <w:szCs w:val="20"/>
          <w:b w:val="1"/>
          <w:bCs w:val="1"/>
          <w:color w:val="auto"/>
        </w:rPr>
        <w:t>Company</w:t>
      </w:r>
      <w:r>
        <w:rPr>
          <w:rFonts w:ascii="Arial" w:cs="Arial" w:eastAsia="Arial" w:hAnsi="Arial"/>
          <w:sz w:val="20"/>
          <w:szCs w:val="20"/>
          <w:color w:val="auto"/>
        </w:rPr>
        <w:t>” or “</w:t>
      </w:r>
      <w:r>
        <w:rPr>
          <w:rFonts w:ascii="Arial" w:cs="Arial" w:eastAsia="Arial" w:hAnsi="Arial"/>
          <w:sz w:val="20"/>
          <w:szCs w:val="20"/>
          <w:b w:val="1"/>
          <w:bCs w:val="1"/>
          <w:color w:val="auto"/>
        </w:rPr>
        <w:t>LAR</w:t>
      </w:r>
      <w:r>
        <w:rPr>
          <w:rFonts w:ascii="Arial" w:cs="Arial" w:eastAsia="Arial" w:hAnsi="Arial"/>
          <w:sz w:val="20"/>
          <w:szCs w:val="20"/>
          <w:color w:val="auto"/>
        </w:rPr>
        <w:t>”), formerly Lithium Americas (Argen Corp., is a Swiss-domiciled resource company with lithium projects located in Argentina. The Company’s office and principal address is Dammstrasse 19, 6300 Zug, Switzerland. On January 23, 2025, the Com completed a plan of arrangement under the laws of the province of British Columbia (the “</w:t>
      </w:r>
      <w:r>
        <w:rPr>
          <w:rFonts w:ascii="Arial" w:cs="Arial" w:eastAsia="Arial" w:hAnsi="Arial"/>
          <w:sz w:val="20"/>
          <w:szCs w:val="20"/>
          <w:b w:val="1"/>
          <w:bCs w:val="1"/>
          <w:color w:val="auto"/>
        </w:rPr>
        <w:t>Arrangem</w:t>
      </w:r>
      <w:r>
        <w:rPr>
          <w:rFonts w:ascii="Arial" w:cs="Arial" w:eastAsia="Arial" w:hAnsi="Arial"/>
          <w:sz w:val="20"/>
          <w:szCs w:val="20"/>
          <w:color w:val="auto"/>
        </w:rPr>
        <w:t xml:space="preserve"> involving the Company’s continuation from the province of British Columbia under the name “Lithium Ame (Argentina) Corp.” into Zug, Canton of Zug, Switzerland, as a Swiss share corporation under the name “Lit Argentina AG”. As a result, the Company ceased to be governed by the Business Corporations Act (B Columbia). Following the Arrangement, the shareholders of the Company prior to the Arrangement continu hold all the issued and outstanding registered common shares of the Company (the “</w:t>
      </w:r>
      <w:r>
        <w:rPr>
          <w:rFonts w:ascii="Arial" w:cs="Arial" w:eastAsia="Arial" w:hAnsi="Arial"/>
          <w:sz w:val="20"/>
          <w:szCs w:val="20"/>
          <w:b w:val="1"/>
          <w:bCs w:val="1"/>
          <w:color w:val="auto"/>
        </w:rPr>
        <w:t>Continuation</w:t>
      </w:r>
      <w:r>
        <w:rPr>
          <w:rFonts w:ascii="Arial" w:cs="Arial" w:eastAsia="Arial" w:hAnsi="Arial"/>
          <w:sz w:val="20"/>
          <w:szCs w:val="20"/>
          <w:color w:val="auto"/>
        </w:rPr>
        <w:t>”). On Ja 27, 2025, the Company began trading under the new symbol “LAR” on the Toronto Stock Exchange (“</w:t>
      </w:r>
      <w:r>
        <w:rPr>
          <w:rFonts w:ascii="Arial" w:cs="Arial" w:eastAsia="Arial" w:hAnsi="Arial"/>
          <w:sz w:val="20"/>
          <w:szCs w:val="20"/>
          <w:b w:val="1"/>
          <w:bCs w:val="1"/>
          <w:color w:val="auto"/>
        </w:rPr>
        <w:t>TSX</w:t>
      </w:r>
      <w:r>
        <w:rPr>
          <w:rFonts w:ascii="Arial" w:cs="Arial" w:eastAsia="Arial" w:hAnsi="Arial"/>
          <w:sz w:val="20"/>
          <w:szCs w:val="20"/>
          <w:color w:val="auto"/>
        </w:rPr>
        <w:t>” the New York Stock Exchange (“</w:t>
      </w:r>
      <w:r>
        <w:rPr>
          <w:rFonts w:ascii="Arial" w:cs="Arial" w:eastAsia="Arial" w:hAnsi="Arial"/>
          <w:sz w:val="20"/>
          <w:szCs w:val="20"/>
          <w:b w:val="1"/>
          <w:bCs w:val="1"/>
          <w:color w:val="auto"/>
        </w:rPr>
        <w:t>NYSE</w:t>
      </w:r>
      <w:r>
        <w:rPr>
          <w:rFonts w:ascii="Arial" w:cs="Arial" w:eastAsia="Arial" w:hAnsi="Arial"/>
          <w:sz w:val="20"/>
          <w:szCs w:val="20"/>
          <w:color w:val="auto"/>
        </w:rPr>
        <w:t>”).</w:t>
      </w:r>
    </w:p>
    <w:p>
      <w:pPr>
        <w:spacing w:after="0" w:line="313"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This Management’s Discussion and Analysis (“</w:t>
      </w:r>
      <w:r>
        <w:rPr>
          <w:rFonts w:ascii="Arial" w:cs="Arial" w:eastAsia="Arial" w:hAnsi="Arial"/>
          <w:sz w:val="20"/>
          <w:szCs w:val="20"/>
          <w:b w:val="1"/>
          <w:bCs w:val="1"/>
          <w:color w:val="auto"/>
        </w:rPr>
        <w:t>MD&amp;A</w:t>
      </w:r>
      <w:r>
        <w:rPr>
          <w:rFonts w:ascii="Arial" w:cs="Arial" w:eastAsia="Arial" w:hAnsi="Arial"/>
          <w:sz w:val="20"/>
          <w:szCs w:val="20"/>
          <w:color w:val="auto"/>
        </w:rPr>
        <w:t>”) of Lithium Argentina provides an overview of Lit Argentina's financial condition and results of operations for the three and twelve months ended Decembe 2025, and has been prepared as of March 23, 2026. It analyzes key factors influencing the Compa performance, including of the Cauchari-Olaroz lithium operation (“</w:t>
      </w:r>
      <w:r>
        <w:rPr>
          <w:rFonts w:ascii="Arial" w:cs="Arial" w:eastAsia="Arial" w:hAnsi="Arial"/>
          <w:sz w:val="20"/>
          <w:szCs w:val="20"/>
          <w:b w:val="1"/>
          <w:bCs w:val="1"/>
          <w:color w:val="auto"/>
        </w:rPr>
        <w:t>Cauchari-Olaroz</w:t>
      </w:r>
      <w:r>
        <w:rPr>
          <w:rFonts w:ascii="Arial" w:cs="Arial" w:eastAsia="Arial" w:hAnsi="Arial"/>
          <w:sz w:val="20"/>
          <w:szCs w:val="20"/>
          <w:color w:val="auto"/>
        </w:rPr>
        <w:t>”), in which the Com holds an interest in its financing activities, and market conditions.</w:t>
      </w:r>
    </w:p>
    <w:p>
      <w:pPr>
        <w:spacing w:after="0" w:line="312" w:lineRule="exact"/>
        <w:rPr>
          <w:sz w:val="20"/>
          <w:szCs w:val="20"/>
          <w:color w:val="auto"/>
        </w:rPr>
      </w:pPr>
    </w:p>
    <w:p>
      <w:pPr>
        <w:jc w:val="both"/>
        <w:ind w:left="900"/>
        <w:spacing w:after="0" w:line="315" w:lineRule="auto"/>
        <w:rPr>
          <w:sz w:val="20"/>
          <w:szCs w:val="20"/>
          <w:color w:val="auto"/>
        </w:rPr>
      </w:pPr>
      <w:r>
        <w:rPr>
          <w:rFonts w:ascii="Arial" w:cs="Arial" w:eastAsia="Arial" w:hAnsi="Arial"/>
          <w:sz w:val="20"/>
          <w:szCs w:val="20"/>
          <w:color w:val="auto"/>
        </w:rPr>
        <w:t>This MD&amp;A should be read in conjunction with the Company’s audited consolidated financial statements an notes thereto for the year ended December 31, 2025 (“</w:t>
      </w:r>
      <w:r>
        <w:rPr>
          <w:rFonts w:ascii="Arial" w:cs="Arial" w:eastAsia="Arial" w:hAnsi="Arial"/>
          <w:sz w:val="20"/>
          <w:szCs w:val="20"/>
          <w:b w:val="1"/>
          <w:bCs w:val="1"/>
          <w:color w:val="auto"/>
        </w:rPr>
        <w:t>YE 2025 financi</w:t>
      </w:r>
      <w:r>
        <w:rPr>
          <w:rFonts w:ascii="Arial" w:cs="Arial" w:eastAsia="Arial" w:hAnsi="Arial"/>
          <w:sz w:val="20"/>
          <w:szCs w:val="20"/>
          <w:color w:val="auto"/>
        </w:rPr>
        <w:t xml:space="preserve"> </w:t>
      </w:r>
      <w:r>
        <w:rPr>
          <w:rFonts w:ascii="Arial" w:cs="Arial" w:eastAsia="Arial" w:hAnsi="Arial"/>
          <w:sz w:val="20"/>
          <w:szCs w:val="20"/>
          <w:b w:val="1"/>
          <w:bCs w:val="1"/>
          <w:color w:val="auto"/>
        </w:rPr>
        <w:t>statements</w:t>
      </w:r>
      <w:r>
        <w:rPr>
          <w:rFonts w:ascii="Arial" w:cs="Arial" w:eastAsia="Arial" w:hAnsi="Arial"/>
          <w:sz w:val="20"/>
          <w:szCs w:val="20"/>
          <w:color w:val="auto"/>
        </w:rPr>
        <w:t>”). Refer to Notes 2 and 3 of the YE 2025 financial statements for disclosure of the Comp</w:t>
      </w:r>
      <w:r>
        <w:rPr>
          <w:rFonts w:ascii="Arial" w:cs="Arial" w:eastAsia="Arial" w:hAnsi="Arial"/>
          <w:sz w:val="20"/>
          <w:szCs w:val="20"/>
          <w:b w:val="1"/>
          <w:bCs w:val="1"/>
          <w:color w:val="auto"/>
        </w:rPr>
        <w:t xml:space="preserve"> </w:t>
      </w:r>
      <w:r>
        <w:rPr>
          <w:rFonts w:ascii="Arial" w:cs="Arial" w:eastAsia="Arial" w:hAnsi="Arial"/>
          <w:sz w:val="20"/>
          <w:szCs w:val="20"/>
          <w:color w:val="auto"/>
        </w:rPr>
        <w:t>material accounting policies. All amounts are expressed in United States dollars (“</w:t>
      </w:r>
      <w:r>
        <w:rPr>
          <w:rFonts w:ascii="Arial" w:cs="Arial" w:eastAsia="Arial" w:hAnsi="Arial"/>
          <w:sz w:val="20"/>
          <w:szCs w:val="20"/>
          <w:b w:val="1"/>
          <w:bCs w:val="1"/>
          <w:color w:val="auto"/>
        </w:rPr>
        <w:t>US dollars</w:t>
      </w:r>
      <w:r>
        <w:rPr>
          <w:rFonts w:ascii="Arial" w:cs="Arial" w:eastAsia="Arial" w:hAnsi="Arial"/>
          <w:sz w:val="20"/>
          <w:szCs w:val="20"/>
          <w:color w:val="auto"/>
        </w:rPr>
        <w:t>” or “</w:t>
      </w:r>
      <w:r>
        <w:rPr>
          <w:rFonts w:ascii="Arial" w:cs="Arial" w:eastAsia="Arial" w:hAnsi="Arial"/>
          <w:sz w:val="20"/>
          <w:szCs w:val="20"/>
          <w:b w:val="1"/>
          <w:bCs w:val="1"/>
          <w:color w:val="auto"/>
        </w:rPr>
        <w:t>US$</w:t>
      </w:r>
      <w:r>
        <w:rPr>
          <w:rFonts w:ascii="Arial" w:cs="Arial" w:eastAsia="Arial" w:hAnsi="Arial"/>
          <w:sz w:val="20"/>
          <w:szCs w:val="20"/>
          <w:color w:val="auto"/>
        </w:rPr>
        <w:t>”), u otherwise stated. References to CDN$ are in Canadian dollars. This MD&amp;A includes certain statements that be deemed “forward-looking statements,” “forward-looking information,” “future-oriented financial informat and/or “financial outlook.” Readers should refer to the cautionary note in the section titled “Forward-Loo Statements” of this MD&amp;A. Information contained on the Company’s website or in other documents referred this MD&amp;A is not incorporated by reference herein and does not form part of this MD&amp;A unless other specifically stated.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Cauchari-Olaroz is a lithium carbonate operation located in Jujuy Province, northwestern Argentina. Company owns a 44.8% interest in the operation through its equity stake in Minera Exar S.A. (“</w:t>
      </w:r>
      <w:r>
        <w:rPr>
          <w:rFonts w:ascii="Arial" w:cs="Arial" w:eastAsia="Arial" w:hAnsi="Arial"/>
          <w:sz w:val="20"/>
          <w:szCs w:val="20"/>
          <w:b w:val="1"/>
          <w:bCs w:val="1"/>
          <w:color w:val="auto"/>
        </w:rPr>
        <w:t>Exar</w:t>
      </w:r>
      <w:r>
        <w:rPr>
          <w:rFonts w:ascii="Arial" w:cs="Arial" w:eastAsia="Arial" w:hAnsi="Arial"/>
          <w:sz w:val="20"/>
          <w:szCs w:val="20"/>
          <w:color w:val="auto"/>
        </w:rPr>
        <w:t>” Argentine entity. Operations related to Cauchari-Olaroz are conducted through equity investees Exar and Capital B.V. (“</w:t>
      </w:r>
      <w:r>
        <w:rPr>
          <w:rFonts w:ascii="Arial" w:cs="Arial" w:eastAsia="Arial" w:hAnsi="Arial"/>
          <w:sz w:val="20"/>
          <w:szCs w:val="20"/>
          <w:b w:val="1"/>
          <w:bCs w:val="1"/>
          <w:color w:val="auto"/>
        </w:rPr>
        <w:t>Exar Capital</w:t>
      </w:r>
      <w:r>
        <w:rPr>
          <w:rFonts w:ascii="Arial" w:cs="Arial" w:eastAsia="Arial" w:hAnsi="Arial"/>
          <w:sz w:val="20"/>
          <w:szCs w:val="20"/>
          <w:color w:val="auto"/>
        </w:rPr>
        <w:t>”), a Netherlands entity that provides project funding. The Company and Gan Lithium Co. Ltd. (“</w:t>
      </w:r>
      <w:r>
        <w:rPr>
          <w:rFonts w:ascii="Arial" w:cs="Arial" w:eastAsia="Arial" w:hAnsi="Arial"/>
          <w:sz w:val="20"/>
          <w:szCs w:val="20"/>
          <w:b w:val="1"/>
          <w:bCs w:val="1"/>
          <w:color w:val="auto"/>
        </w:rPr>
        <w:t>Ganfeng</w:t>
      </w:r>
      <w:r>
        <w:rPr>
          <w:rFonts w:ascii="Arial" w:cs="Arial" w:eastAsia="Arial" w:hAnsi="Arial"/>
          <w:sz w:val="20"/>
          <w:szCs w:val="20"/>
          <w:color w:val="auto"/>
        </w:rPr>
        <w:t>”) collectively own 91.5% of Exar (with the remaining 8.5% held by Jujuy Ener Minería Sociedad del Estado (“</w:t>
      </w:r>
      <w:r>
        <w:rPr>
          <w:rFonts w:ascii="Arial" w:cs="Arial" w:eastAsia="Arial" w:hAnsi="Arial"/>
          <w:sz w:val="20"/>
          <w:szCs w:val="20"/>
          <w:b w:val="1"/>
          <w:bCs w:val="1"/>
          <w:color w:val="auto"/>
        </w:rPr>
        <w:t>JEMSE”</w:t>
      </w:r>
      <w:r>
        <w:rPr>
          <w:rFonts w:ascii="Arial" w:cs="Arial" w:eastAsia="Arial" w:hAnsi="Arial"/>
          <w:sz w:val="20"/>
          <w:szCs w:val="20"/>
          <w:color w:val="auto"/>
        </w:rPr>
        <w:t>)), and 100% of Exar Capital, under a shareholders’ agreement.</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45 / 46</w:t>
      </w:r>
    </w:p>
    <w:p>
      <w:pPr>
        <w:sectPr>
          <w:pgSz w:w="11900" w:h="16838" w:orient="portrait"/>
          <w:cols w:equalWidth="0" w:num="1">
            <w:col w:w="10460"/>
          </w:cols>
          <w:pgMar w:left="1440" w:top="1440" w:right="6" w:bottom="0" w:gutter="0" w:footer="0" w:header="0"/>
          <w:type w:val="continuous"/>
        </w:sectPr>
      </w:pPr>
    </w:p>
    <w:bookmarkStart w:id="496" w:name="page497"/>
    <w:bookmarkEnd w:id="496"/>
    <w:p>
      <w:pPr>
        <w:jc w:val="both"/>
        <w:ind w:left="900"/>
        <w:spacing w:after="0" w:line="313" w:lineRule="auto"/>
        <w:rPr>
          <w:sz w:val="20"/>
          <w:szCs w:val="20"/>
          <w:color w:val="auto"/>
        </w:rPr>
      </w:pPr>
      <w:r>
        <w:rPr>
          <w:rFonts w:ascii="Arial" w:cs="Arial" w:eastAsia="Arial" w:hAnsi="Arial"/>
          <w:sz w:val="20"/>
          <w:szCs w:val="20"/>
          <w:color w:val="auto"/>
        </w:rPr>
        <w:t>As previously announced, the Company and Ganfeng have agreed to enter into a new joint venture (“</w:t>
      </w:r>
      <w:r>
        <w:rPr>
          <w:rFonts w:ascii="Arial" w:cs="Arial" w:eastAsia="Arial" w:hAnsi="Arial"/>
          <w:sz w:val="20"/>
          <w:szCs w:val="20"/>
          <w:b w:val="1"/>
          <w:bCs w:val="1"/>
          <w:color w:val="auto"/>
        </w:rPr>
        <w:t>New</w:t>
      </w:r>
      <w:r>
        <w:rPr>
          <w:rFonts w:ascii="Arial" w:cs="Arial" w:eastAsia="Arial" w:hAnsi="Arial"/>
          <w:sz w:val="20"/>
          <w:szCs w:val="20"/>
          <w:color w:val="auto"/>
        </w:rPr>
        <w:t xml:space="preserve"> that will consolidate Ganfeng’s solely owned Pozuelos-Pastos Grandes project with Lithium Argentina’s P Grandes project (85% owned) and the Sal de la Puna project (65% owned), (collectively, “</w:t>
      </w:r>
      <w:r>
        <w:rPr>
          <w:rFonts w:ascii="Arial" w:cs="Arial" w:eastAsia="Arial" w:hAnsi="Arial"/>
          <w:sz w:val="20"/>
          <w:szCs w:val="20"/>
          <w:b w:val="1"/>
          <w:bCs w:val="1"/>
          <w:color w:val="auto"/>
        </w:rPr>
        <w:t>PPG</w:t>
      </w:r>
      <w:r>
        <w:rPr>
          <w:rFonts w:ascii="Arial" w:cs="Arial" w:eastAsia="Arial" w:hAnsi="Arial"/>
          <w:sz w:val="20"/>
          <w:szCs w:val="20"/>
          <w:color w:val="auto"/>
        </w:rPr>
        <w:t>”). PPG is lo in Salta Province. Upon closing the New JV, Ganfeng will hold a 67% interest and Lithium Argentina will h 33% interest in PPG.</w:t>
      </w:r>
    </w:p>
    <w:p>
      <w:pPr>
        <w:spacing w:after="0" w:line="3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Additional information relating to the Company, including key risk factors which may impact the Compa business and financial condition, as well as other information, is contained in the Company’s Annual Repo Form 20-F for the year ended December 31, 2025 (“</w:t>
      </w:r>
      <w:r>
        <w:rPr>
          <w:rFonts w:ascii="Arial" w:cs="Arial" w:eastAsia="Arial" w:hAnsi="Arial"/>
          <w:sz w:val="20"/>
          <w:szCs w:val="20"/>
          <w:b w:val="1"/>
          <w:bCs w:val="1"/>
          <w:color w:val="auto"/>
        </w:rPr>
        <w:t>Form 20-F</w:t>
      </w:r>
      <w:r>
        <w:rPr>
          <w:rFonts w:ascii="Arial" w:cs="Arial" w:eastAsia="Arial" w:hAnsi="Arial"/>
          <w:sz w:val="20"/>
          <w:szCs w:val="20"/>
          <w:color w:val="auto"/>
        </w:rPr>
        <w:t xml:space="preserve">”), and other filings, which are available o Company’s website at </w:t>
      </w:r>
      <w:r>
        <w:rPr>
          <w:rFonts w:ascii="Arial" w:cs="Arial" w:eastAsia="Arial" w:hAnsi="Arial"/>
          <w:sz w:val="20"/>
          <w:szCs w:val="20"/>
          <w:u w:val="single" w:color="auto"/>
          <w:color w:val="0000FF"/>
        </w:rPr>
        <w:t>www.lithium-argentina.com</w:t>
      </w:r>
      <w:r>
        <w:rPr>
          <w:rFonts w:ascii="Arial" w:cs="Arial" w:eastAsia="Arial" w:hAnsi="Arial"/>
          <w:sz w:val="20"/>
          <w:szCs w:val="20"/>
          <w:color w:val="auto"/>
        </w:rPr>
        <w:t xml:space="preserve">, on SEDAR+ at </w:t>
      </w:r>
      <w:r>
        <w:rPr>
          <w:rFonts w:ascii="Arial" w:cs="Arial" w:eastAsia="Arial" w:hAnsi="Arial"/>
          <w:sz w:val="20"/>
          <w:szCs w:val="20"/>
          <w:u w:val="single" w:color="auto"/>
          <w:color w:val="0000FF"/>
        </w:rPr>
        <w:t>www.sedarplus.ca</w:t>
      </w:r>
      <w:r>
        <w:rPr>
          <w:rFonts w:ascii="Arial" w:cs="Arial" w:eastAsia="Arial" w:hAnsi="Arial"/>
          <w:sz w:val="20"/>
          <w:szCs w:val="20"/>
          <w:color w:val="auto"/>
        </w:rPr>
        <w:t xml:space="preserve"> and on EDGA </w:t>
      </w:r>
      <w:r>
        <w:rPr>
          <w:rFonts w:ascii="Arial" w:cs="Arial" w:eastAsia="Arial" w:hAnsi="Arial"/>
          <w:sz w:val="20"/>
          <w:szCs w:val="20"/>
          <w:u w:val="single" w:color="auto"/>
          <w:color w:val="0000FF"/>
        </w:rPr>
        <w:t>www.sec.gov</w:t>
      </w:r>
      <w:r>
        <w:rPr>
          <w:rFonts w:ascii="Arial" w:cs="Arial" w:eastAsia="Arial" w:hAnsi="Arial"/>
          <w:sz w:val="20"/>
          <w:szCs w:val="20"/>
          <w:color w:val="000000"/>
        </w:rPr>
        <w:t>.</w:t>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46 / 46</w:t>
      </w:r>
    </w:p>
    <w:p>
      <w:pPr>
        <w:sectPr>
          <w:pgSz w:w="11900" w:h="16838" w:orient="portrait"/>
          <w:cols w:equalWidth="0" w:num="1">
            <w:col w:w="10460"/>
          </w:cols>
          <w:pgMar w:left="1440" w:top="1172" w:right="6" w:bottom="0" w:gutter="0" w:footer="0" w:header="0"/>
          <w:type w:val="continuous"/>
        </w:sectPr>
      </w:pPr>
    </w:p>
    <w:bookmarkStart w:id="497" w:name="page498"/>
    <w:bookmarkEnd w:id="497"/>
    <w:p>
      <w:pPr>
        <w:spacing w:after="0" w:line="11"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2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30</w:t>
      </w:r>
    </w:p>
    <w:p>
      <w:pPr>
        <w:sectPr>
          <w:pgSz w:w="11900" w:h="16838" w:orient="portrait"/>
          <w:cols w:equalWidth="0" w:num="1">
            <w:col w:w="9026"/>
          </w:cols>
          <w:pgMar w:left="1440" w:top="1440" w:right="1440" w:bottom="0" w:gutter="0" w:footer="0" w:header="0"/>
          <w:type w:val="continuous"/>
        </w:sectPr>
      </w:pPr>
    </w:p>
    <w:bookmarkStart w:id="498" w:name="page499"/>
    <w:bookmarkEnd w:id="4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27">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Highlights</w:t>
      </w:r>
    </w:p>
    <w:p>
      <w:pPr>
        <w:spacing w:after="0" w:line="372"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u w:val="single" w:color="auto"/>
          <w:color w:val="auto"/>
        </w:rPr>
        <w:t>Cauchari-Olaroz</w:t>
      </w:r>
    </w:p>
    <w:p>
      <w:pPr>
        <w:spacing w:after="0" w:line="374"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Company owns a 44.8% interest in the Cauchari-Olaroz operation through its equity stake in Exar.</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highlights below are on a 100% basis of Cauchari-Olaroz.</w:t>
      </w:r>
    </w:p>
    <w:p>
      <w:pPr>
        <w:spacing w:after="0" w:line="236" w:lineRule="exact"/>
        <w:rPr>
          <w:sz w:val="20"/>
          <w:szCs w:val="20"/>
          <w:color w:val="auto"/>
        </w:rPr>
      </w:pPr>
    </w:p>
    <w:p>
      <w:pPr>
        <w:ind w:left="1620" w:hanging="366"/>
        <w:spacing w:after="0"/>
        <w:tabs>
          <w:tab w:leader="none" w:pos="1620" w:val="left"/>
        </w:tabs>
        <w:numPr>
          <w:ilvl w:val="0"/>
          <w:numId w:val="227"/>
        </w:numPr>
        <w:rPr>
          <w:rFonts w:ascii="Arial" w:cs="Arial" w:eastAsia="Arial" w:hAnsi="Arial"/>
          <w:sz w:val="20"/>
          <w:szCs w:val="20"/>
          <w:color w:val="auto"/>
        </w:rPr>
      </w:pPr>
      <w:r>
        <w:rPr>
          <w:rFonts w:ascii="Arial" w:cs="Arial" w:eastAsia="Arial" w:hAnsi="Arial"/>
          <w:sz w:val="20"/>
          <w:szCs w:val="20"/>
          <w:b w:val="1"/>
          <w:bCs w:val="1"/>
          <w:color w:val="auto"/>
        </w:rPr>
        <w:t xml:space="preserve">Lithium Production: </w:t>
      </w:r>
      <w:r>
        <w:rPr>
          <w:rFonts w:ascii="Arial" w:cs="Arial" w:eastAsia="Arial" w:hAnsi="Arial"/>
          <w:sz w:val="20"/>
          <w:szCs w:val="20"/>
          <w:color w:val="auto"/>
        </w:rPr>
        <w:t>Approximately 9,700 tonnes of lithium carbonate were produced in the fourth</w:t>
      </w:r>
    </w:p>
    <w:p>
      <w:pPr>
        <w:spacing w:after="0" w:line="129" w:lineRule="exact"/>
        <w:rPr>
          <w:rFonts w:ascii="Arial" w:cs="Arial" w:eastAsia="Arial" w:hAnsi="Arial"/>
          <w:sz w:val="20"/>
          <w:szCs w:val="20"/>
          <w:color w:val="auto"/>
        </w:rPr>
      </w:pPr>
    </w:p>
    <w:p>
      <w:pPr>
        <w:ind w:left="1620"/>
        <w:spacing w:after="0"/>
        <w:rPr>
          <w:rFonts w:ascii="Arial" w:cs="Arial" w:eastAsia="Arial" w:hAnsi="Arial"/>
          <w:sz w:val="20"/>
          <w:szCs w:val="20"/>
          <w:color w:val="auto"/>
        </w:rPr>
      </w:pPr>
      <w:r>
        <w:rPr>
          <w:rFonts w:ascii="Arial" w:cs="Arial" w:eastAsia="Arial" w:hAnsi="Arial"/>
          <w:sz w:val="20"/>
          <w:szCs w:val="20"/>
          <w:color w:val="auto"/>
        </w:rPr>
        <w:t>quarter of 2025 and 34,100</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for the year ended December 31, 2025.</w:t>
      </w:r>
    </w:p>
    <w:p>
      <w:pPr>
        <w:spacing w:after="0" w:line="51" w:lineRule="exact"/>
        <w:rPr>
          <w:rFonts w:ascii="Arial" w:cs="Arial" w:eastAsia="Arial" w:hAnsi="Arial"/>
          <w:sz w:val="20"/>
          <w:szCs w:val="20"/>
          <w:color w:val="auto"/>
        </w:rPr>
      </w:pPr>
    </w:p>
    <w:p>
      <w:pPr>
        <w:ind w:left="1880"/>
        <w:spacing w:after="0"/>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9"/>
          <w:szCs w:val="19"/>
          <w:color w:val="auto"/>
        </w:rPr>
        <w:t>2025 production achieved the high end of the guidance</w:t>
      </w:r>
      <w:r>
        <w:rPr>
          <w:rFonts w:ascii="Arial" w:cs="Arial" w:eastAsia="Arial" w:hAnsi="Arial"/>
          <w:sz w:val="25"/>
          <w:szCs w:val="25"/>
          <w:color w:val="auto"/>
          <w:vertAlign w:val="superscript"/>
        </w:rPr>
        <w:t>2</w:t>
      </w:r>
      <w:r>
        <w:rPr>
          <w:rFonts w:ascii="Arial" w:cs="Arial" w:eastAsia="Arial" w:hAnsi="Arial"/>
          <w:sz w:val="19"/>
          <w:szCs w:val="19"/>
          <w:color w:val="auto"/>
        </w:rPr>
        <w:t xml:space="preserve"> range with a 34% increase over 20</w:t>
      </w:r>
    </w:p>
    <w:p>
      <w:pPr>
        <w:spacing w:after="0" w:line="192" w:lineRule="exact"/>
        <w:rPr>
          <w:rFonts w:ascii="Arial" w:cs="Arial" w:eastAsia="Arial" w:hAnsi="Arial"/>
          <w:sz w:val="20"/>
          <w:szCs w:val="20"/>
          <w:color w:val="auto"/>
        </w:rPr>
      </w:pPr>
    </w:p>
    <w:p>
      <w:pPr>
        <w:ind w:left="1620" w:hanging="366"/>
        <w:spacing w:after="0"/>
        <w:tabs>
          <w:tab w:leader="none" w:pos="1620" w:val="left"/>
        </w:tabs>
        <w:numPr>
          <w:ilvl w:val="0"/>
          <w:numId w:val="227"/>
        </w:numPr>
        <w:rPr>
          <w:rFonts w:ascii="Arial" w:cs="Arial" w:eastAsia="Arial" w:hAnsi="Arial"/>
          <w:sz w:val="20"/>
          <w:szCs w:val="20"/>
          <w:color w:val="auto"/>
        </w:rPr>
      </w:pPr>
      <w:r>
        <w:rPr>
          <w:rFonts w:ascii="Arial" w:cs="Arial" w:eastAsia="Arial" w:hAnsi="Arial"/>
          <w:sz w:val="20"/>
          <w:szCs w:val="20"/>
          <w:b w:val="1"/>
          <w:bCs w:val="1"/>
          <w:color w:val="auto"/>
        </w:rPr>
        <w:t xml:space="preserve">Operating Costs: </w:t>
      </w:r>
      <w:r>
        <w:rPr>
          <w:rFonts w:ascii="Arial" w:cs="Arial" w:eastAsia="Arial" w:hAnsi="Arial"/>
          <w:sz w:val="20"/>
          <w:szCs w:val="20"/>
          <w:color w:val="auto"/>
        </w:rPr>
        <w:t>The cost of sales for the fourth quarter of 2025 was $66 million, with cash operati</w:t>
      </w:r>
    </w:p>
    <w:p>
      <w:pPr>
        <w:spacing w:after="0" w:line="129" w:lineRule="exact"/>
        <w:rPr>
          <w:rFonts w:ascii="Arial" w:cs="Arial" w:eastAsia="Arial" w:hAnsi="Arial"/>
          <w:sz w:val="20"/>
          <w:szCs w:val="20"/>
          <w:color w:val="auto"/>
        </w:rPr>
      </w:pPr>
    </w:p>
    <w:p>
      <w:pPr>
        <w:ind w:left="1620"/>
        <w:spacing w:after="0"/>
        <w:rPr>
          <w:rFonts w:ascii="Arial" w:cs="Arial" w:eastAsia="Arial" w:hAnsi="Arial"/>
          <w:sz w:val="20"/>
          <w:szCs w:val="20"/>
          <w:color w:val="auto"/>
        </w:rPr>
      </w:pPr>
      <w:r>
        <w:rPr>
          <w:rFonts w:ascii="Arial" w:cs="Arial" w:eastAsia="Arial" w:hAnsi="Arial"/>
          <w:sz w:val="20"/>
          <w:szCs w:val="20"/>
          <w:color w:val="auto"/>
        </w:rPr>
        <w:t>costs of $5,618 per tonne</w:t>
      </w:r>
      <w:r>
        <w:rPr>
          <w:rFonts w:ascii="Arial" w:cs="Arial" w:eastAsia="Arial" w:hAnsi="Arial"/>
          <w:sz w:val="26"/>
          <w:szCs w:val="26"/>
          <w:color w:val="auto"/>
          <w:vertAlign w:val="superscript"/>
        </w:rPr>
        <w:t>3</w:t>
      </w:r>
      <w:r>
        <w:rPr>
          <w:rFonts w:ascii="Arial" w:cs="Arial" w:eastAsia="Arial" w:hAnsi="Arial"/>
          <w:sz w:val="20"/>
          <w:szCs w:val="20"/>
          <w:color w:val="auto"/>
        </w:rPr>
        <w:t xml:space="preserve"> of lithium carbonate sold.</w:t>
      </w:r>
    </w:p>
    <w:p>
      <w:pPr>
        <w:spacing w:after="0" w:line="68" w:lineRule="exact"/>
        <w:rPr>
          <w:rFonts w:ascii="Arial" w:cs="Arial" w:eastAsia="Arial" w:hAnsi="Arial"/>
          <w:sz w:val="20"/>
          <w:szCs w:val="20"/>
          <w:color w:val="auto"/>
        </w:rPr>
      </w:pPr>
    </w:p>
    <w:p>
      <w:pPr>
        <w:ind w:left="2360" w:hanging="490"/>
        <w:spacing w:after="0" w:line="368" w:lineRule="auto"/>
        <w:rPr>
          <w:rFonts w:ascii="Arial" w:cs="Arial" w:eastAsia="Arial" w:hAnsi="Arial"/>
          <w:sz w:val="20"/>
          <w:szCs w:val="20"/>
          <w:color w:val="auto"/>
        </w:rPr>
      </w:pPr>
      <w:r>
        <w:rPr>
          <w:rFonts w:ascii="Arial" w:cs="Arial" w:eastAsia="Arial" w:hAnsi="Arial"/>
          <w:sz w:val="20"/>
          <w:szCs w:val="20"/>
          <w:color w:val="auto"/>
        </w:rPr>
        <w:t>oThe lower operating costs reflect the implementation of structural improvements and operati efficiencies designed to be sustained.</w:t>
      </w:r>
    </w:p>
    <w:p>
      <w:pPr>
        <w:spacing w:after="0" w:line="127" w:lineRule="exact"/>
        <w:rPr>
          <w:rFonts w:ascii="Arial" w:cs="Arial" w:eastAsia="Arial" w:hAnsi="Arial"/>
          <w:sz w:val="20"/>
          <w:szCs w:val="20"/>
          <w:color w:val="auto"/>
        </w:rPr>
      </w:pPr>
    </w:p>
    <w:p>
      <w:pPr>
        <w:ind w:left="1620" w:hanging="366"/>
        <w:spacing w:after="0" w:line="303" w:lineRule="auto"/>
        <w:tabs>
          <w:tab w:leader="none" w:pos="1620" w:val="left"/>
        </w:tabs>
        <w:numPr>
          <w:ilvl w:val="0"/>
          <w:numId w:val="227"/>
        </w:numPr>
        <w:rPr>
          <w:rFonts w:ascii="Arial" w:cs="Arial" w:eastAsia="Arial" w:hAnsi="Arial"/>
          <w:sz w:val="20"/>
          <w:szCs w:val="20"/>
          <w:color w:val="auto"/>
        </w:rPr>
      </w:pPr>
      <w:r>
        <w:rPr>
          <w:rFonts w:ascii="Arial" w:cs="Arial" w:eastAsia="Arial" w:hAnsi="Arial"/>
          <w:sz w:val="20"/>
          <w:szCs w:val="20"/>
          <w:b w:val="1"/>
          <w:bCs w:val="1"/>
          <w:color w:val="auto"/>
        </w:rPr>
        <w:t xml:space="preserve">Pricing: </w:t>
      </w:r>
      <w:r>
        <w:rPr>
          <w:rFonts w:ascii="Arial" w:cs="Arial" w:eastAsia="Arial" w:hAnsi="Arial"/>
          <w:sz w:val="20"/>
          <w:szCs w:val="20"/>
          <w:color w:val="auto"/>
        </w:rPr>
        <w:t>Revenue for the fourth quarter of 2025 totaled $92 million, with an average realized price</w:t>
      </w:r>
      <w:r>
        <w:rPr>
          <w:rFonts w:ascii="Arial" w:cs="Arial" w:eastAsia="Arial" w:hAnsi="Arial"/>
          <w:sz w:val="26"/>
          <w:szCs w:val="26"/>
          <w:color w:val="auto"/>
          <w:vertAlign w:val="superscript"/>
        </w:rPr>
        <w:t>4</w:t>
      </w:r>
      <w:r>
        <w:rPr>
          <w:rFonts w:ascii="Arial" w:cs="Arial" w:eastAsia="Arial" w:hAnsi="Arial"/>
          <w:sz w:val="20"/>
          <w:szCs w:val="20"/>
          <w:b w:val="1"/>
          <w:bCs w:val="1"/>
          <w:color w:val="auto"/>
        </w:rPr>
        <w:t xml:space="preserve"> </w:t>
      </w:r>
      <w:r>
        <w:rPr>
          <w:rFonts w:ascii="Arial" w:cs="Arial" w:eastAsia="Arial" w:hAnsi="Arial"/>
          <w:sz w:val="20"/>
          <w:szCs w:val="20"/>
          <w:color w:val="auto"/>
        </w:rPr>
        <w:t>o</w:t>
      </w:r>
      <w:r>
        <w:rPr>
          <w:rFonts w:ascii="Arial" w:cs="Arial" w:eastAsia="Arial" w:hAnsi="Arial"/>
          <w:sz w:val="20"/>
          <w:szCs w:val="20"/>
          <w:b w:val="1"/>
          <w:bCs w:val="1"/>
          <w:color w:val="auto"/>
        </w:rPr>
        <w:t xml:space="preserve"> </w:t>
      </w:r>
      <w:r>
        <w:rPr>
          <w:rFonts w:ascii="Arial" w:cs="Arial" w:eastAsia="Arial" w:hAnsi="Arial"/>
          <w:sz w:val="20"/>
          <w:szCs w:val="20"/>
          <w:color w:val="auto"/>
        </w:rPr>
        <w:t>approximately $9,049 per tonne of lithium carbonate sold.</w:t>
      </w:r>
    </w:p>
    <w:p>
      <w:pPr>
        <w:spacing w:after="0" w:line="59" w:lineRule="exact"/>
        <w:rPr>
          <w:rFonts w:ascii="Arial" w:cs="Arial" w:eastAsia="Arial" w:hAnsi="Arial"/>
          <w:sz w:val="20"/>
          <w:szCs w:val="20"/>
          <w:color w:val="auto"/>
        </w:rPr>
      </w:pPr>
    </w:p>
    <w:p>
      <w:pPr>
        <w:ind w:left="2340" w:hanging="360"/>
        <w:spacing w:after="0" w:line="372" w:lineRule="auto"/>
        <w:rPr>
          <w:rFonts w:ascii="Arial" w:cs="Arial" w:eastAsia="Arial" w:hAnsi="Arial"/>
          <w:sz w:val="20"/>
          <w:szCs w:val="20"/>
          <w:color w:val="auto"/>
        </w:rPr>
      </w:pPr>
      <w:r>
        <w:rPr>
          <w:rFonts w:ascii="Arial" w:cs="Arial" w:eastAsia="Arial" w:hAnsi="Arial"/>
          <w:sz w:val="20"/>
          <w:szCs w:val="20"/>
          <w:color w:val="auto"/>
        </w:rPr>
        <w:t>oThe average realized price for first quarter of 2026 is expected to be approximately $17,000 tonne of lithium carbonate sold, reflecting a significant increase in market prices since the en 2025</w:t>
      </w:r>
    </w:p>
    <w:p>
      <w:pPr>
        <w:spacing w:after="0" w:line="130" w:lineRule="exact"/>
        <w:rPr>
          <w:rFonts w:ascii="Arial" w:cs="Arial" w:eastAsia="Arial" w:hAnsi="Arial"/>
          <w:sz w:val="20"/>
          <w:szCs w:val="20"/>
          <w:color w:val="auto"/>
        </w:rPr>
      </w:pPr>
    </w:p>
    <w:p>
      <w:pPr>
        <w:ind w:left="1620" w:hanging="366"/>
        <w:spacing w:after="0" w:line="364" w:lineRule="auto"/>
        <w:tabs>
          <w:tab w:leader="none" w:pos="1620" w:val="left"/>
        </w:tabs>
        <w:numPr>
          <w:ilvl w:val="0"/>
          <w:numId w:val="227"/>
        </w:numPr>
        <w:rPr>
          <w:rFonts w:ascii="Arial" w:cs="Arial" w:eastAsia="Arial" w:hAnsi="Arial"/>
          <w:sz w:val="20"/>
          <w:szCs w:val="20"/>
          <w:color w:val="auto"/>
        </w:rPr>
      </w:pPr>
      <w:r>
        <w:rPr>
          <w:rFonts w:ascii="Arial" w:cs="Arial" w:eastAsia="Arial" w:hAnsi="Arial"/>
          <w:sz w:val="20"/>
          <w:szCs w:val="20"/>
          <w:b w:val="1"/>
          <w:bCs w:val="1"/>
          <w:color w:val="auto"/>
        </w:rPr>
        <w:t xml:space="preserve">Net Income: </w:t>
      </w:r>
      <w:r>
        <w:rPr>
          <w:rFonts w:ascii="Arial" w:cs="Arial" w:eastAsia="Arial" w:hAnsi="Arial"/>
          <w:sz w:val="20"/>
          <w:szCs w:val="20"/>
          <w:color w:val="auto"/>
        </w:rPr>
        <w:t>For the fourth quarter of 2025 was $31 million, and for the year ended December 31, 2</w:t>
      </w:r>
      <w:r>
        <w:rPr>
          <w:rFonts w:ascii="Arial" w:cs="Arial" w:eastAsia="Arial" w:hAnsi="Arial"/>
          <w:sz w:val="20"/>
          <w:szCs w:val="20"/>
          <w:b w:val="1"/>
          <w:bCs w:val="1"/>
          <w:color w:val="auto"/>
        </w:rPr>
        <w:t xml:space="preserve"> </w:t>
      </w:r>
      <w:r>
        <w:rPr>
          <w:rFonts w:ascii="Arial" w:cs="Arial" w:eastAsia="Arial" w:hAnsi="Arial"/>
          <w:sz w:val="20"/>
          <w:szCs w:val="20"/>
          <w:color w:val="auto"/>
        </w:rPr>
        <w:t>was a loss of $39 million</w:t>
      </w:r>
      <w:r>
        <w:rPr>
          <w:rFonts w:ascii="Arial" w:cs="Arial" w:eastAsia="Arial" w:hAnsi="Arial"/>
          <w:sz w:val="26"/>
          <w:szCs w:val="26"/>
          <w:color w:val="auto"/>
          <w:vertAlign w:val="superscript"/>
        </w:rPr>
        <w:t>5</w:t>
      </w:r>
      <w:r>
        <w:rPr>
          <w:rFonts w:ascii="Arial" w:cs="Arial" w:eastAsia="Arial" w:hAnsi="Arial"/>
          <w:sz w:val="20"/>
          <w:szCs w:val="20"/>
          <w:color w:val="auto"/>
        </w:rPr>
        <w:t>.</w:t>
      </w:r>
    </w:p>
    <w:p>
      <w:pPr>
        <w:spacing w:after="0" w:line="30" w:lineRule="exact"/>
        <w:rPr>
          <w:rFonts w:ascii="Arial" w:cs="Arial" w:eastAsia="Arial" w:hAnsi="Arial"/>
          <w:sz w:val="20"/>
          <w:szCs w:val="20"/>
          <w:color w:val="auto"/>
        </w:rPr>
      </w:pPr>
    </w:p>
    <w:p>
      <w:pPr>
        <w:ind w:left="1620" w:right="40" w:hanging="366"/>
        <w:spacing w:after="0" w:line="303" w:lineRule="auto"/>
        <w:tabs>
          <w:tab w:leader="none" w:pos="1620" w:val="left"/>
        </w:tabs>
        <w:numPr>
          <w:ilvl w:val="0"/>
          <w:numId w:val="227"/>
        </w:numPr>
        <w:rPr>
          <w:rFonts w:ascii="Arial" w:cs="Arial" w:eastAsia="Arial" w:hAnsi="Arial"/>
          <w:sz w:val="20"/>
          <w:szCs w:val="20"/>
          <w:color w:val="auto"/>
        </w:rPr>
      </w:pPr>
      <w:r>
        <w:rPr>
          <w:rFonts w:ascii="Arial" w:cs="Arial" w:eastAsia="Arial" w:hAnsi="Arial"/>
          <w:sz w:val="20"/>
          <w:szCs w:val="20"/>
          <w:b w:val="1"/>
          <w:bCs w:val="1"/>
          <w:color w:val="auto"/>
        </w:rPr>
        <w:t>Adjusted EBITDA</w:t>
      </w:r>
      <w:r>
        <w:rPr>
          <w:rFonts w:ascii="Arial" w:cs="Arial" w:eastAsia="Arial" w:hAnsi="Arial"/>
          <w:sz w:val="26"/>
          <w:szCs w:val="26"/>
          <w:b w:val="1"/>
          <w:bCs w:val="1"/>
          <w:color w:val="auto"/>
          <w:vertAlign w:val="superscript"/>
        </w:rPr>
        <w:t>4</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fourth quarter of 2025 was $30 million, and $56 million for the year end</w:t>
      </w:r>
      <w:r>
        <w:rPr>
          <w:rFonts w:ascii="Arial" w:cs="Arial" w:eastAsia="Arial" w:hAnsi="Arial"/>
          <w:sz w:val="20"/>
          <w:szCs w:val="20"/>
          <w:b w:val="1"/>
          <w:bCs w:val="1"/>
          <w:color w:val="auto"/>
        </w:rPr>
        <w:t xml:space="preserve"> </w:t>
      </w:r>
      <w:r>
        <w:rPr>
          <w:rFonts w:ascii="Arial" w:cs="Arial" w:eastAsia="Arial" w:hAnsi="Arial"/>
          <w:sz w:val="20"/>
          <w:szCs w:val="20"/>
          <w:color w:val="auto"/>
        </w:rPr>
        <w:t>December 31, 2025.</w:t>
      </w:r>
    </w:p>
    <w:p>
      <w:pPr>
        <w:spacing w:after="0" w:line="172" w:lineRule="exact"/>
        <w:rPr>
          <w:rFonts w:ascii="Arial" w:cs="Arial" w:eastAsia="Arial" w:hAnsi="Arial"/>
          <w:sz w:val="20"/>
          <w:szCs w:val="20"/>
          <w:color w:val="auto"/>
        </w:rPr>
      </w:pPr>
    </w:p>
    <w:p>
      <w:pPr>
        <w:ind w:left="1620" w:hanging="366"/>
        <w:spacing w:after="0"/>
        <w:tabs>
          <w:tab w:leader="none" w:pos="1620" w:val="left"/>
        </w:tabs>
        <w:numPr>
          <w:ilvl w:val="0"/>
          <w:numId w:val="227"/>
        </w:numPr>
        <w:rPr>
          <w:rFonts w:ascii="Arial" w:cs="Arial" w:eastAsia="Arial" w:hAnsi="Arial"/>
          <w:sz w:val="20"/>
          <w:szCs w:val="20"/>
          <w:color w:val="auto"/>
        </w:rPr>
      </w:pPr>
      <w:r>
        <w:rPr>
          <w:rFonts w:ascii="Arial" w:cs="Arial" w:eastAsia="Arial" w:hAnsi="Arial"/>
          <w:sz w:val="20"/>
          <w:szCs w:val="20"/>
          <w:b w:val="1"/>
          <w:bCs w:val="1"/>
          <w:color w:val="auto"/>
        </w:rPr>
        <w:t>2026 Guidance</w:t>
      </w:r>
      <w:r>
        <w:rPr>
          <w:rFonts w:ascii="Arial" w:cs="Arial" w:eastAsia="Arial" w:hAnsi="Arial"/>
          <w:sz w:val="20"/>
          <w:szCs w:val="20"/>
          <w:color w:val="auto"/>
        </w:rPr>
        <w:t>: 2026 production guidance set at 35,000 - 40,000 tonnes of lithium carbonate</w:t>
      </w:r>
    </w:p>
    <w:p>
      <w:pPr>
        <w:spacing w:after="0" w:line="137" w:lineRule="exact"/>
        <w:rPr>
          <w:sz w:val="20"/>
          <w:szCs w:val="20"/>
          <w:color w:val="auto"/>
        </w:rPr>
      </w:pPr>
    </w:p>
    <w:p>
      <w:pPr>
        <w:ind w:left="2360" w:right="340" w:hanging="487"/>
        <w:spacing w:after="0" w:line="368" w:lineRule="auto"/>
        <w:tabs>
          <w:tab w:leader="none" w:pos="236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Production volumes are expected to increase in 2026 with continued improvements and optimization efforts ongoing to support long-term operational performance.</w:t>
      </w:r>
    </w:p>
    <w:p>
      <w:pPr>
        <w:spacing w:after="0" w:line="204"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u w:val="single" w:color="auto"/>
          <w:color w:val="auto"/>
        </w:rPr>
        <w:t>PPG and Cauchari-Olaroz Expansion</w:t>
      </w:r>
    </w:p>
    <w:p>
      <w:pPr>
        <w:spacing w:after="0" w:line="123" w:lineRule="exact"/>
        <w:rPr>
          <w:sz w:val="20"/>
          <w:szCs w:val="20"/>
          <w:color w:val="auto"/>
        </w:rPr>
      </w:pPr>
    </w:p>
    <w:p>
      <w:pPr>
        <w:ind w:left="1620" w:right="20" w:hanging="366"/>
        <w:spacing w:after="0" w:line="368" w:lineRule="auto"/>
        <w:tabs>
          <w:tab w:leader="none" w:pos="1620" w:val="left"/>
        </w:tabs>
        <w:numPr>
          <w:ilvl w:val="0"/>
          <w:numId w:val="229"/>
        </w:numPr>
        <w:rPr>
          <w:rFonts w:ascii="Arial" w:cs="Arial" w:eastAsia="Arial" w:hAnsi="Arial"/>
          <w:sz w:val="20"/>
          <w:szCs w:val="20"/>
          <w:color w:val="auto"/>
        </w:rPr>
      </w:pPr>
      <w:r>
        <w:rPr>
          <w:rFonts w:ascii="Arial" w:cs="Arial" w:eastAsia="Arial" w:hAnsi="Arial"/>
          <w:sz w:val="20"/>
          <w:szCs w:val="20"/>
          <w:b w:val="1"/>
          <w:bCs w:val="1"/>
          <w:color w:val="auto"/>
        </w:rPr>
        <w:t xml:space="preserve">Stage 2 Expansion: </w:t>
      </w:r>
      <w:r>
        <w:rPr>
          <w:rFonts w:ascii="Arial" w:cs="Arial" w:eastAsia="Arial" w:hAnsi="Arial"/>
          <w:sz w:val="20"/>
          <w:szCs w:val="20"/>
          <w:color w:val="auto"/>
        </w:rPr>
        <w:t>Cauchari-Olaroz is advancing an expansion plan to increase production capac</w:t>
      </w:r>
      <w:r>
        <w:rPr>
          <w:rFonts w:ascii="Arial" w:cs="Arial" w:eastAsia="Arial" w:hAnsi="Arial"/>
          <w:sz w:val="20"/>
          <w:szCs w:val="20"/>
          <w:b w:val="1"/>
          <w:bCs w:val="1"/>
          <w:color w:val="auto"/>
        </w:rPr>
        <w:t xml:space="preserve"> </w:t>
      </w:r>
      <w:r>
        <w:rPr>
          <w:rFonts w:ascii="Arial" w:cs="Arial" w:eastAsia="Arial" w:hAnsi="Arial"/>
          <w:sz w:val="20"/>
          <w:szCs w:val="20"/>
          <w:color w:val="auto"/>
        </w:rPr>
        <w:t>45,000 tpa of LCE ("</w:t>
      </w:r>
      <w:r>
        <w:rPr>
          <w:rFonts w:ascii="Arial" w:cs="Arial" w:eastAsia="Arial" w:hAnsi="Arial"/>
          <w:sz w:val="20"/>
          <w:szCs w:val="20"/>
          <w:b w:val="1"/>
          <w:bCs w:val="1"/>
          <w:color w:val="auto"/>
        </w:rPr>
        <w:t>Stage 2</w:t>
      </w:r>
      <w:r>
        <w:rPr>
          <w:rFonts w:ascii="Arial" w:cs="Arial" w:eastAsia="Arial" w:hAnsi="Arial"/>
          <w:sz w:val="20"/>
          <w:szCs w:val="20"/>
          <w:color w:val="auto"/>
        </w:rPr>
        <w:t>").</w:t>
      </w:r>
    </w:p>
    <w:p>
      <w:pPr>
        <w:spacing w:after="0" w:line="4" w:lineRule="exact"/>
        <w:rPr>
          <w:rFonts w:ascii="Arial" w:cs="Arial" w:eastAsia="Arial" w:hAnsi="Arial"/>
          <w:sz w:val="20"/>
          <w:szCs w:val="20"/>
          <w:color w:val="auto"/>
        </w:rPr>
      </w:pPr>
    </w:p>
    <w:p>
      <w:pPr>
        <w:ind w:left="1980"/>
        <w:spacing w:after="0"/>
        <w:rPr>
          <w:rFonts w:ascii="Arial" w:cs="Arial" w:eastAsia="Arial" w:hAnsi="Arial"/>
          <w:sz w:val="20"/>
          <w:szCs w:val="20"/>
          <w:color w:val="auto"/>
        </w:rPr>
      </w:pPr>
      <w:r>
        <w:rPr>
          <w:rFonts w:ascii="Arial" w:cs="Arial" w:eastAsia="Arial" w:hAnsi="Arial"/>
          <w:sz w:val="20"/>
          <w:szCs w:val="20"/>
          <w:color w:val="auto"/>
        </w:rPr>
        <w:t>oExpanded measured and indicated mineral resource estimate by 42% to 28.1 million tonne</w:t>
      </w:r>
    </w:p>
    <w:p>
      <w:pPr>
        <w:spacing w:after="0" w:line="129" w:lineRule="exact"/>
        <w:rPr>
          <w:rFonts w:ascii="Arial" w:cs="Arial" w:eastAsia="Arial" w:hAnsi="Arial"/>
          <w:sz w:val="20"/>
          <w:szCs w:val="20"/>
          <w:color w:val="auto"/>
        </w:rPr>
      </w:pPr>
    </w:p>
    <w:p>
      <w:pPr>
        <w:ind w:left="2340"/>
        <w:spacing w:after="0"/>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Mt</w:t>
      </w:r>
      <w:r>
        <w:rPr>
          <w:rFonts w:ascii="Arial" w:cs="Arial" w:eastAsia="Arial" w:hAnsi="Arial"/>
          <w:sz w:val="20"/>
          <w:szCs w:val="20"/>
          <w:color w:val="auto"/>
        </w:rPr>
        <w:t>”) of LCE at an average grade of 562 mg/L lithium</w:t>
      </w:r>
      <w:r>
        <w:rPr>
          <w:rFonts w:ascii="Arial" w:cs="Arial" w:eastAsia="Arial" w:hAnsi="Arial"/>
          <w:sz w:val="26"/>
          <w:szCs w:val="26"/>
          <w:color w:val="auto"/>
          <w:vertAlign w:val="superscript"/>
        </w:rPr>
        <w:t>6.</w:t>
      </w:r>
    </w:p>
    <w:p>
      <w:pPr>
        <w:spacing w:after="0" w:line="68" w:lineRule="exact"/>
        <w:rPr>
          <w:rFonts w:ascii="Arial" w:cs="Arial" w:eastAsia="Arial" w:hAnsi="Arial"/>
          <w:sz w:val="20"/>
          <w:szCs w:val="20"/>
          <w:color w:val="auto"/>
        </w:rPr>
      </w:pPr>
    </w:p>
    <w:p>
      <w:pPr>
        <w:ind w:left="2340" w:hanging="360"/>
        <w:spacing w:after="0" w:line="372" w:lineRule="auto"/>
        <w:rPr>
          <w:rFonts w:ascii="Arial" w:cs="Arial" w:eastAsia="Arial" w:hAnsi="Arial"/>
          <w:sz w:val="20"/>
          <w:szCs w:val="20"/>
          <w:color w:val="auto"/>
        </w:rPr>
      </w:pPr>
      <w:r>
        <w:rPr>
          <w:rFonts w:ascii="Arial" w:cs="Arial" w:eastAsia="Arial" w:hAnsi="Arial"/>
          <w:sz w:val="20"/>
          <w:szCs w:val="20"/>
          <w:color w:val="auto"/>
        </w:rPr>
        <w:t>oFollowing stronger than expected performance at Cauchari-Olaroz, development of the 5,00 direct lithium extraction (“</w:t>
      </w:r>
      <w:r>
        <w:rPr>
          <w:rFonts w:ascii="Arial" w:cs="Arial" w:eastAsia="Arial" w:hAnsi="Arial"/>
          <w:sz w:val="20"/>
          <w:szCs w:val="20"/>
          <w:b w:val="1"/>
          <w:bCs w:val="1"/>
          <w:color w:val="auto"/>
        </w:rPr>
        <w:t>DLE</w:t>
      </w:r>
      <w:r>
        <w:rPr>
          <w:rFonts w:ascii="Arial" w:cs="Arial" w:eastAsia="Arial" w:hAnsi="Arial"/>
          <w:sz w:val="20"/>
          <w:szCs w:val="20"/>
          <w:color w:val="auto"/>
        </w:rPr>
        <w:t>”) plant will continue with initial deployment at Ganfeng’s ne Mariana operation to support technology integration and operational learnings.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 / 30</w:t>
      </w:r>
    </w:p>
    <w:p>
      <w:pPr>
        <w:sectPr>
          <w:pgSz w:w="11900" w:h="16838" w:orient="portrait"/>
          <w:cols w:equalWidth="0" w:num="1">
            <w:col w:w="10460"/>
          </w:cols>
          <w:pgMar w:left="1440" w:top="1440" w:right="6" w:bottom="0" w:gutter="0" w:footer="0" w:header="0"/>
          <w:type w:val="continuous"/>
        </w:sectPr>
      </w:pPr>
    </w:p>
    <w:bookmarkStart w:id="499" w:name="page500"/>
    <w:bookmarkEnd w:id="499"/>
    <w:p>
      <w:pPr>
        <w:ind w:left="2340" w:hanging="366"/>
        <w:spacing w:after="0" w:line="368" w:lineRule="auto"/>
        <w:tabs>
          <w:tab w:leader="none" w:pos="2340" w:val="left"/>
        </w:tabs>
        <w:numPr>
          <w:ilvl w:val="0"/>
          <w:numId w:val="230"/>
        </w:numPr>
        <w:rPr>
          <w:rFonts w:ascii="Arial" w:cs="Arial" w:eastAsia="Arial" w:hAnsi="Arial"/>
          <w:sz w:val="20"/>
          <w:szCs w:val="20"/>
          <w:color w:val="auto"/>
        </w:rPr>
      </w:pPr>
      <w:r>
        <w:rPr>
          <w:rFonts w:ascii="Arial" w:cs="Arial" w:eastAsia="Arial" w:hAnsi="Arial"/>
          <w:sz w:val="20"/>
          <w:szCs w:val="20"/>
          <w:color w:val="auto"/>
        </w:rPr>
        <w:t>Completion of Stage 2 development plan, including DLE processing technologies, is expect mid-2026.</w:t>
      </w:r>
    </w:p>
    <w:p>
      <w:pPr>
        <w:spacing w:after="0" w:line="7" w:lineRule="exact"/>
        <w:rPr>
          <w:rFonts w:ascii="Arial" w:cs="Arial" w:eastAsia="Arial" w:hAnsi="Arial"/>
          <w:sz w:val="20"/>
          <w:szCs w:val="20"/>
          <w:color w:val="auto"/>
        </w:rPr>
      </w:pPr>
    </w:p>
    <w:p>
      <w:pPr>
        <w:ind w:left="2340" w:hanging="366"/>
        <w:spacing w:after="0"/>
        <w:tabs>
          <w:tab w:leader="none" w:pos="2340" w:val="left"/>
        </w:tabs>
        <w:numPr>
          <w:ilvl w:val="0"/>
          <w:numId w:val="230"/>
        </w:numPr>
        <w:rPr>
          <w:rFonts w:ascii="Arial" w:cs="Arial" w:eastAsia="Arial" w:hAnsi="Arial"/>
          <w:sz w:val="20"/>
          <w:szCs w:val="20"/>
          <w:color w:val="auto"/>
        </w:rPr>
      </w:pPr>
      <w:r>
        <w:rPr>
          <w:rFonts w:ascii="Arial" w:cs="Arial" w:eastAsia="Arial" w:hAnsi="Arial"/>
          <w:sz w:val="20"/>
          <w:szCs w:val="20"/>
          <w:color w:val="auto"/>
        </w:rPr>
        <w:t>Stage 2 RIGI</w:t>
      </w:r>
      <w:r>
        <w:rPr>
          <w:rFonts w:ascii="Arial" w:cs="Arial" w:eastAsia="Arial" w:hAnsi="Arial"/>
          <w:sz w:val="26"/>
          <w:szCs w:val="26"/>
          <w:color w:val="auto"/>
          <w:vertAlign w:val="superscript"/>
        </w:rPr>
        <w:t>7</w:t>
      </w:r>
      <w:r>
        <w:rPr>
          <w:rFonts w:ascii="Arial" w:cs="Arial" w:eastAsia="Arial" w:hAnsi="Arial"/>
          <w:sz w:val="20"/>
          <w:szCs w:val="20"/>
          <w:color w:val="auto"/>
        </w:rPr>
        <w:t xml:space="preserve"> application and environmental permits were both filed in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946150</wp:posOffset>
            </wp:positionV>
            <wp:extent cx="6078220" cy="952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8">
                      <a:extLst>
                        <a:ext uri="{28A0092B-C50C-407E-A947-70E740481C1C}"/>
                      </a:extLst>
                    </a:blip>
                    <a:srcRect/>
                    <a:stretch>
                      <a:fillRect/>
                    </a:stretch>
                  </pic:blipFill>
                  <pic:spPr bwMode="auto">
                    <a:xfrm>
                      <a:off x="0" y="0"/>
                      <a:ext cx="607822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900" w:hanging="6"/>
        <w:spacing w:after="0" w:line="231" w:lineRule="auto"/>
        <w:tabs>
          <w:tab w:leader="none" w:pos="1019" w:val="left"/>
        </w:tabs>
        <w:numPr>
          <w:ilvl w:val="0"/>
          <w:numId w:val="231"/>
        </w:numPr>
        <w:rPr>
          <w:rFonts w:ascii="Arial" w:cs="Arial" w:eastAsia="Arial" w:hAnsi="Arial"/>
          <w:sz w:val="27"/>
          <w:szCs w:val="27"/>
          <w:color w:val="auto"/>
          <w:vertAlign w:val="superscript"/>
        </w:rPr>
      </w:pPr>
      <w:r>
        <w:rPr>
          <w:rFonts w:ascii="Arial" w:cs="Arial" w:eastAsia="Arial" w:hAnsi="Arial"/>
          <w:sz w:val="16"/>
          <w:szCs w:val="16"/>
          <w:color w:val="auto"/>
        </w:rPr>
        <w:t>Approximately 34,100 tonnes of lithium carbonate production is inclusive of 359 tonnes of lithium carbonate equivalent from lithium chl concentrate produced and sold to Ganfeng in H1 2025 to support the start-up of Ganfeng’s Mariana lithium project.</w:t>
      </w:r>
    </w:p>
    <w:p>
      <w:pPr>
        <w:ind w:left="1020" w:hanging="126"/>
        <w:spacing w:after="0" w:line="232" w:lineRule="auto"/>
        <w:tabs>
          <w:tab w:leader="none" w:pos="1020" w:val="left"/>
        </w:tabs>
        <w:numPr>
          <w:ilvl w:val="0"/>
          <w:numId w:val="232"/>
        </w:numPr>
        <w:rPr>
          <w:rFonts w:ascii="Arial" w:cs="Arial" w:eastAsia="Arial" w:hAnsi="Arial"/>
          <w:sz w:val="27"/>
          <w:szCs w:val="27"/>
          <w:color w:val="auto"/>
          <w:vertAlign w:val="superscript"/>
        </w:rPr>
      </w:pPr>
      <w:r>
        <w:rPr>
          <w:rFonts w:ascii="Arial" w:cs="Arial" w:eastAsia="Arial" w:hAnsi="Arial"/>
          <w:sz w:val="16"/>
          <w:szCs w:val="16"/>
          <w:color w:val="auto"/>
        </w:rPr>
        <w:t>The Company provided 2025 annual production guidance of 30,000 - 35,000 metric tonnes.</w:t>
      </w:r>
    </w:p>
    <w:p>
      <w:pPr>
        <w:spacing w:after="0" w:line="124" w:lineRule="exact"/>
        <w:rPr>
          <w:sz w:val="20"/>
          <w:szCs w:val="20"/>
          <w:color w:val="auto"/>
        </w:rPr>
      </w:pPr>
    </w:p>
    <w:p>
      <w:pPr>
        <w:jc w:val="both"/>
        <w:ind w:left="900" w:hanging="6"/>
        <w:spacing w:after="0" w:line="315" w:lineRule="auto"/>
        <w:tabs>
          <w:tab w:leader="none" w:pos="1026" w:val="left"/>
        </w:tabs>
        <w:numPr>
          <w:ilvl w:val="0"/>
          <w:numId w:val="233"/>
        </w:numPr>
        <w:rPr>
          <w:rFonts w:ascii="Arial" w:cs="Arial" w:eastAsia="Arial" w:hAnsi="Arial"/>
          <w:sz w:val="27"/>
          <w:szCs w:val="27"/>
          <w:color w:val="auto"/>
          <w:vertAlign w:val="superscript"/>
        </w:rPr>
      </w:pPr>
      <w:r>
        <w:rPr>
          <w:rFonts w:ascii="Arial" w:cs="Arial" w:eastAsia="Arial" w:hAnsi="Arial"/>
          <w:sz w:val="16"/>
          <w:szCs w:val="16"/>
          <w:color w:val="auto"/>
        </w:rPr>
        <w:t>Cash operating costs includes all expenditures incurred at the site such as brine management, lithium plant processing, site and pro office overheads and inventory adjustments. These costs also include project general and administrative costs and sales logistics costs operating cost per tonne is a non-GAAP financial measure or ratio and does not have a standardized meaning under IFRS and might comparable to similar financial measures disclosed by other issuers. See “Non-IFRS and Other Financial Measures”.</w:t>
      </w:r>
    </w:p>
    <w:p>
      <w:pPr>
        <w:ind w:left="1020" w:hanging="126"/>
        <w:spacing w:after="0" w:line="189" w:lineRule="auto"/>
        <w:tabs>
          <w:tab w:leader="none" w:pos="1020" w:val="left"/>
        </w:tabs>
        <w:numPr>
          <w:ilvl w:val="0"/>
          <w:numId w:val="234"/>
        </w:numPr>
        <w:rPr>
          <w:rFonts w:ascii="Arial" w:cs="Arial" w:eastAsia="Arial" w:hAnsi="Arial"/>
          <w:sz w:val="27"/>
          <w:szCs w:val="27"/>
          <w:color w:val="auto"/>
          <w:vertAlign w:val="superscript"/>
        </w:rPr>
      </w:pPr>
      <w:r>
        <w:rPr>
          <w:rFonts w:ascii="Arial" w:cs="Arial" w:eastAsia="Arial" w:hAnsi="Arial"/>
          <w:sz w:val="16"/>
          <w:szCs w:val="16"/>
          <w:color w:val="auto"/>
        </w:rPr>
        <w:t>Refer to section titled “Non-IFRS and Other Financial Measures” below.</w:t>
      </w:r>
    </w:p>
    <w:p>
      <w:pPr>
        <w:ind w:left="1060" w:hanging="166"/>
        <w:spacing w:after="0" w:line="232" w:lineRule="auto"/>
        <w:tabs>
          <w:tab w:leader="none" w:pos="1060" w:val="left"/>
        </w:tabs>
        <w:numPr>
          <w:ilvl w:val="0"/>
          <w:numId w:val="235"/>
        </w:numPr>
        <w:rPr>
          <w:rFonts w:ascii="Arial" w:cs="Arial" w:eastAsia="Arial" w:hAnsi="Arial"/>
          <w:sz w:val="27"/>
          <w:szCs w:val="27"/>
          <w:color w:val="auto"/>
          <w:vertAlign w:val="superscript"/>
        </w:rPr>
      </w:pPr>
      <w:r>
        <w:rPr>
          <w:rFonts w:ascii="Arial" w:cs="Arial" w:eastAsia="Arial" w:hAnsi="Arial"/>
          <w:sz w:val="16"/>
          <w:szCs w:val="16"/>
          <w:color w:val="auto"/>
        </w:rPr>
        <w:t>Includes interest on related party loans and other finance costs of $26 million and $139 million accordingly.</w:t>
      </w:r>
    </w:p>
    <w:p>
      <w:pPr>
        <w:spacing w:after="0" w:line="125" w:lineRule="exact"/>
        <w:rPr>
          <w:sz w:val="20"/>
          <w:szCs w:val="20"/>
          <w:color w:val="auto"/>
        </w:rPr>
      </w:pPr>
    </w:p>
    <w:p>
      <w:pPr>
        <w:jc w:val="both"/>
        <w:ind w:left="900" w:hanging="6"/>
        <w:spacing w:after="0" w:line="290" w:lineRule="auto"/>
        <w:tabs>
          <w:tab w:leader="none" w:pos="1057" w:val="left"/>
        </w:tabs>
        <w:numPr>
          <w:ilvl w:val="0"/>
          <w:numId w:val="236"/>
        </w:numPr>
        <w:rPr>
          <w:rFonts w:ascii="Courier New" w:cs="Courier New" w:eastAsia="Courier New" w:hAnsi="Courier New"/>
          <w:sz w:val="27"/>
          <w:szCs w:val="27"/>
          <w:color w:val="auto"/>
          <w:vertAlign w:val="superscript"/>
        </w:rPr>
      </w:pPr>
      <w:r>
        <w:rPr>
          <w:rFonts w:ascii="Arial" w:cs="Arial" w:eastAsia="Arial" w:hAnsi="Arial"/>
          <w:sz w:val="16"/>
          <w:szCs w:val="16"/>
          <w:color w:val="auto"/>
        </w:rPr>
        <w:t>Canadian investors should refer to the technical report titled “2026 Cauchari-Olaroz NI 43-101 Technical Report, Jujuy, Argentina” w effective date of February 27, 2026 filed on the Company’s SEDAR+ profile for more information about the mineral resource estima associated key assumptions and parameters</w:t>
      </w:r>
    </w:p>
    <w:p>
      <w:pPr>
        <w:spacing w:after="0" w:line="88" w:lineRule="exact"/>
        <w:rPr>
          <w:sz w:val="20"/>
          <w:szCs w:val="20"/>
          <w:color w:val="auto"/>
        </w:rPr>
      </w:pPr>
    </w:p>
    <w:p>
      <w:pPr>
        <w:ind w:left="5880" w:right="3060" w:hanging="4986"/>
        <w:spacing w:after="0" w:line="786" w:lineRule="auto"/>
        <w:tabs>
          <w:tab w:leader="none" w:pos="1033" w:val="left"/>
        </w:tabs>
        <w:numPr>
          <w:ilvl w:val="0"/>
          <w:numId w:val="237"/>
        </w:numPr>
        <w:rPr>
          <w:rFonts w:ascii="Courier New" w:cs="Courier New" w:eastAsia="Courier New" w:hAnsi="Courier New"/>
          <w:sz w:val="27"/>
          <w:szCs w:val="27"/>
          <w:color w:val="auto"/>
          <w:vertAlign w:val="superscript"/>
        </w:rPr>
      </w:pPr>
      <w:r>
        <w:rPr>
          <w:rFonts w:ascii="Arial" w:cs="Arial" w:eastAsia="Arial" w:hAnsi="Arial"/>
          <w:sz w:val="16"/>
          <w:szCs w:val="16"/>
          <w:color w:val="auto"/>
        </w:rPr>
        <w:t xml:space="preserve">Incentive Regime for Large Investments, </w:t>
      </w:r>
      <w:r>
        <w:rPr>
          <w:rFonts w:ascii="Arial" w:cs="Arial" w:eastAsia="Arial" w:hAnsi="Arial"/>
          <w:sz w:val="16"/>
          <w:szCs w:val="16"/>
          <w:i w:val="1"/>
          <w:iCs w:val="1"/>
          <w:color w:val="auto"/>
        </w:rPr>
        <w:t>Régimen de Incentivo para Grandes Inversiones</w:t>
      </w:r>
      <w:r>
        <w:rPr>
          <w:rFonts w:ascii="Arial" w:cs="Arial" w:eastAsia="Arial" w:hAnsi="Arial"/>
          <w:sz w:val="16"/>
          <w:szCs w:val="16"/>
          <w:color w:val="auto"/>
        </w:rPr>
        <w:t xml:space="preserv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123825</wp:posOffset>
            </wp:positionV>
            <wp:extent cx="6764020" cy="1905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21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 / 30</w:t>
      </w:r>
    </w:p>
    <w:p>
      <w:pPr>
        <w:sectPr>
          <w:pgSz w:w="11900" w:h="16838" w:orient="portrait"/>
          <w:cols w:equalWidth="0" w:num="1">
            <w:col w:w="10460"/>
          </w:cols>
          <w:pgMar w:left="1440" w:top="1215" w:right="6" w:bottom="0" w:gutter="0" w:footer="0" w:header="0"/>
          <w:type w:val="continuous"/>
        </w:sectPr>
      </w:pPr>
    </w:p>
    <w:bookmarkStart w:id="500" w:name="page501"/>
    <w:bookmarkEnd w:id="5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30">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620" w:right="20" w:hanging="366"/>
        <w:spacing w:after="0" w:line="368" w:lineRule="auto"/>
        <w:tabs>
          <w:tab w:leader="none" w:pos="1620" w:val="left"/>
        </w:tabs>
        <w:numPr>
          <w:ilvl w:val="0"/>
          <w:numId w:val="238"/>
        </w:numPr>
        <w:rPr>
          <w:rFonts w:ascii="Arial" w:cs="Arial" w:eastAsia="Arial" w:hAnsi="Arial"/>
          <w:sz w:val="20"/>
          <w:szCs w:val="20"/>
          <w:color w:val="auto"/>
        </w:rPr>
      </w:pPr>
      <w:r>
        <w:rPr>
          <w:rFonts w:ascii="Arial" w:cs="Arial" w:eastAsia="Arial" w:hAnsi="Arial"/>
          <w:sz w:val="20"/>
          <w:szCs w:val="20"/>
          <w:b w:val="1"/>
          <w:bCs w:val="1"/>
          <w:color w:val="auto"/>
        </w:rPr>
        <w:t xml:space="preserve">PPG: </w:t>
      </w:r>
      <w:r>
        <w:rPr>
          <w:rFonts w:ascii="Arial" w:cs="Arial" w:eastAsia="Arial" w:hAnsi="Arial"/>
          <w:sz w:val="20"/>
          <w:szCs w:val="20"/>
          <w:color w:val="auto"/>
        </w:rPr>
        <w:t>Continues to advance an integrated development plan targeting 150,000 tpa of LCE productio</w:t>
      </w:r>
      <w:r>
        <w:rPr>
          <w:rFonts w:ascii="Arial" w:cs="Arial" w:eastAsia="Arial" w:hAnsi="Arial"/>
          <w:sz w:val="20"/>
          <w:szCs w:val="20"/>
          <w:b w:val="1"/>
          <w:bCs w:val="1"/>
          <w:color w:val="auto"/>
        </w:rPr>
        <w:t xml:space="preserve"> </w:t>
      </w:r>
      <w:r>
        <w:rPr>
          <w:rFonts w:ascii="Arial" w:cs="Arial" w:eastAsia="Arial" w:hAnsi="Arial"/>
          <w:sz w:val="20"/>
          <w:szCs w:val="20"/>
          <w:color w:val="auto"/>
        </w:rPr>
        <w:t>across three phases.</w:t>
      </w:r>
    </w:p>
    <w:p>
      <w:pPr>
        <w:spacing w:after="0" w:line="14" w:lineRule="exact"/>
        <w:rPr>
          <w:rFonts w:ascii="Arial" w:cs="Arial" w:eastAsia="Arial" w:hAnsi="Arial"/>
          <w:sz w:val="20"/>
          <w:szCs w:val="20"/>
          <w:color w:val="auto"/>
        </w:rPr>
      </w:pPr>
    </w:p>
    <w:p>
      <w:pPr>
        <w:ind w:left="2340" w:hanging="360"/>
        <w:spacing w:after="0" w:line="388" w:lineRule="auto"/>
        <w:rPr>
          <w:rFonts w:ascii="Arial" w:cs="Arial" w:eastAsia="Arial" w:hAnsi="Arial"/>
          <w:sz w:val="20"/>
          <w:szCs w:val="20"/>
          <w:color w:val="auto"/>
        </w:rPr>
      </w:pPr>
      <w:r>
        <w:rPr>
          <w:rFonts w:ascii="Arial" w:cs="Arial" w:eastAsia="Arial" w:hAnsi="Arial"/>
          <w:sz w:val="20"/>
          <w:szCs w:val="20"/>
          <w:color w:val="auto"/>
        </w:rPr>
        <w:t>oIn December 2025, a comprehensive Scoping Study was filed producing an after-tax NPV $8.1 billion and IRR of 33% at $18,000 per tonne lithium carbonate price.</w:t>
      </w:r>
    </w:p>
    <w:p>
      <w:pPr>
        <w:ind w:left="2340" w:right="120" w:hanging="360"/>
        <w:spacing w:after="0" w:line="368" w:lineRule="auto"/>
        <w:rPr>
          <w:rFonts w:ascii="Arial" w:cs="Arial" w:eastAsia="Arial" w:hAnsi="Arial"/>
          <w:sz w:val="20"/>
          <w:szCs w:val="20"/>
          <w:color w:val="auto"/>
        </w:rPr>
      </w:pPr>
      <w:r>
        <w:rPr>
          <w:rFonts w:ascii="Arial" w:cs="Arial" w:eastAsia="Arial" w:hAnsi="Arial"/>
          <w:sz w:val="20"/>
          <w:szCs w:val="20"/>
          <w:color w:val="auto"/>
        </w:rPr>
        <w:t>oIn November 2025, PPG received its Stage 1 environmental permit approval with a application submitted in February 2026.</w:t>
      </w:r>
    </w:p>
    <w:p>
      <w:pPr>
        <w:spacing w:after="0" w:line="14" w:lineRule="exact"/>
        <w:rPr>
          <w:rFonts w:ascii="Arial" w:cs="Arial" w:eastAsia="Arial" w:hAnsi="Arial"/>
          <w:sz w:val="20"/>
          <w:szCs w:val="20"/>
          <w:color w:val="auto"/>
        </w:rPr>
      </w:pPr>
    </w:p>
    <w:p>
      <w:pPr>
        <w:ind w:left="2340" w:hanging="360"/>
        <w:spacing w:after="0" w:line="368" w:lineRule="auto"/>
        <w:rPr>
          <w:rFonts w:ascii="Arial" w:cs="Arial" w:eastAsia="Arial" w:hAnsi="Arial"/>
          <w:sz w:val="20"/>
          <w:szCs w:val="20"/>
          <w:color w:val="auto"/>
        </w:rPr>
      </w:pPr>
      <w:r>
        <w:rPr>
          <w:rFonts w:ascii="Arial" w:cs="Arial" w:eastAsia="Arial" w:hAnsi="Arial"/>
          <w:sz w:val="20"/>
          <w:szCs w:val="20"/>
          <w:color w:val="auto"/>
        </w:rPr>
        <w:t>oThe consolidation of PPG into a new JV is substantially complete with closing expected d the second quarter of 2026.</w:t>
      </w:r>
    </w:p>
    <w:p>
      <w:pPr>
        <w:spacing w:after="0" w:line="14" w:lineRule="exact"/>
        <w:rPr>
          <w:rFonts w:ascii="Arial" w:cs="Arial" w:eastAsia="Arial" w:hAnsi="Arial"/>
          <w:sz w:val="20"/>
          <w:szCs w:val="20"/>
          <w:color w:val="auto"/>
        </w:rPr>
      </w:pPr>
    </w:p>
    <w:p>
      <w:pPr>
        <w:ind w:left="2340" w:hanging="360"/>
        <w:spacing w:after="0" w:line="368" w:lineRule="auto"/>
        <w:rPr>
          <w:rFonts w:ascii="Arial" w:cs="Arial" w:eastAsia="Arial" w:hAnsi="Arial"/>
          <w:sz w:val="20"/>
          <w:szCs w:val="20"/>
          <w:color w:val="auto"/>
        </w:rPr>
      </w:pPr>
      <w:r>
        <w:rPr>
          <w:rFonts w:ascii="Arial" w:cs="Arial" w:eastAsia="Arial" w:hAnsi="Arial"/>
          <w:sz w:val="20"/>
          <w:szCs w:val="20"/>
          <w:color w:val="auto"/>
        </w:rPr>
        <w:t>oGanfeng and Lithium Argentina continue to advance financing options with potential custo and strategic partners for offtake and minority ownership interests.</w:t>
      </w:r>
    </w:p>
    <w:p>
      <w:pPr>
        <w:spacing w:after="0" w:line="204"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u w:val="single" w:color="auto"/>
          <w:color w:val="auto"/>
        </w:rPr>
        <w:t>Lithium Argentina Financial and Corporate</w:t>
      </w:r>
    </w:p>
    <w:p>
      <w:pPr>
        <w:spacing w:after="0" w:line="236" w:lineRule="exact"/>
        <w:rPr>
          <w:sz w:val="20"/>
          <w:szCs w:val="20"/>
          <w:color w:val="auto"/>
        </w:rPr>
      </w:pPr>
    </w:p>
    <w:p>
      <w:pPr>
        <w:ind w:left="1620" w:hanging="366"/>
        <w:spacing w:after="0"/>
        <w:tabs>
          <w:tab w:leader="none" w:pos="162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As of December 31, 2025, Lithium Argentina held $61 million in cash and cash equivalents.</w:t>
      </w:r>
    </w:p>
    <w:p>
      <w:pPr>
        <w:spacing w:after="0" w:line="137" w:lineRule="exact"/>
        <w:rPr>
          <w:sz w:val="20"/>
          <w:szCs w:val="20"/>
          <w:color w:val="auto"/>
        </w:rPr>
      </w:pPr>
    </w:p>
    <w:p>
      <w:pPr>
        <w:ind w:left="2340" w:right="40" w:hanging="366"/>
        <w:spacing w:after="0" w:line="368" w:lineRule="auto"/>
        <w:tabs>
          <w:tab w:leader="none" w:pos="2340" w:val="left"/>
        </w:tabs>
        <w:numPr>
          <w:ilvl w:val="1"/>
          <w:numId w:val="240"/>
        </w:numPr>
        <w:rPr>
          <w:rFonts w:ascii="Arial" w:cs="Arial" w:eastAsia="Arial" w:hAnsi="Arial"/>
          <w:sz w:val="20"/>
          <w:szCs w:val="20"/>
          <w:color w:val="auto"/>
        </w:rPr>
      </w:pPr>
      <w:r>
        <w:rPr>
          <w:rFonts w:ascii="Arial" w:cs="Arial" w:eastAsia="Arial" w:hAnsi="Arial"/>
          <w:sz w:val="20"/>
          <w:szCs w:val="20"/>
          <w:color w:val="auto"/>
        </w:rPr>
        <w:t>Subsequent to year-end, Cauchari-Olaroz completed $85 million ($42 million for the Compa share) in cash distributions from the operation.</w:t>
      </w:r>
    </w:p>
    <w:p>
      <w:pPr>
        <w:spacing w:after="0" w:line="14" w:lineRule="exact"/>
        <w:rPr>
          <w:rFonts w:ascii="Arial" w:cs="Arial" w:eastAsia="Arial" w:hAnsi="Arial"/>
          <w:sz w:val="20"/>
          <w:szCs w:val="20"/>
          <w:color w:val="auto"/>
        </w:rPr>
      </w:pPr>
    </w:p>
    <w:p>
      <w:pPr>
        <w:ind w:left="1620" w:right="340" w:hanging="366"/>
        <w:spacing w:after="0" w:line="368" w:lineRule="auto"/>
        <w:tabs>
          <w:tab w:leader="none" w:pos="162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On March 20, 2026, the Company completed the $130 million debt facility (“</w:t>
      </w:r>
      <w:r>
        <w:rPr>
          <w:rFonts w:ascii="Arial" w:cs="Arial" w:eastAsia="Arial" w:hAnsi="Arial"/>
          <w:sz w:val="20"/>
          <w:szCs w:val="20"/>
          <w:b w:val="1"/>
          <w:bCs w:val="1"/>
          <w:color w:val="auto"/>
        </w:rPr>
        <w:t>Debt</w:t>
      </w:r>
      <w:r>
        <w:rPr>
          <w:rFonts w:ascii="Arial" w:cs="Arial" w:eastAsia="Arial" w:hAnsi="Arial"/>
          <w:sz w:val="20"/>
          <w:szCs w:val="20"/>
          <w:color w:val="auto"/>
        </w:rPr>
        <w:t xml:space="preserve"> </w:t>
      </w:r>
      <w:r>
        <w:rPr>
          <w:rFonts w:ascii="Arial" w:cs="Arial" w:eastAsia="Arial" w:hAnsi="Arial"/>
          <w:sz w:val="20"/>
          <w:szCs w:val="20"/>
          <w:b w:val="1"/>
          <w:bCs w:val="1"/>
          <w:color w:val="auto"/>
        </w:rPr>
        <w:t>Facility</w:t>
      </w:r>
      <w:r>
        <w:rPr>
          <w:rFonts w:ascii="Arial" w:cs="Arial" w:eastAsia="Arial" w:hAnsi="Arial"/>
          <w:sz w:val="20"/>
          <w:szCs w:val="20"/>
          <w:color w:val="auto"/>
        </w:rPr>
        <w:t>”) from Ganfeng.</w:t>
      </w:r>
    </w:p>
    <w:p>
      <w:pPr>
        <w:spacing w:after="0" w:line="14" w:lineRule="exact"/>
        <w:rPr>
          <w:rFonts w:ascii="Arial" w:cs="Arial" w:eastAsia="Arial" w:hAnsi="Arial"/>
          <w:sz w:val="20"/>
          <w:szCs w:val="20"/>
          <w:color w:val="auto"/>
        </w:rPr>
      </w:pPr>
    </w:p>
    <w:p>
      <w:pPr>
        <w:ind w:left="2340" w:hanging="366"/>
        <w:spacing w:after="0" w:line="368" w:lineRule="auto"/>
        <w:tabs>
          <w:tab w:leader="none" w:pos="2340" w:val="left"/>
        </w:tabs>
        <w:numPr>
          <w:ilvl w:val="1"/>
          <w:numId w:val="240"/>
        </w:numPr>
        <w:rPr>
          <w:rFonts w:ascii="Arial" w:cs="Arial" w:eastAsia="Arial" w:hAnsi="Arial"/>
          <w:sz w:val="20"/>
          <w:szCs w:val="20"/>
          <w:color w:val="auto"/>
        </w:rPr>
      </w:pPr>
      <w:r>
        <w:rPr>
          <w:rFonts w:ascii="Arial" w:cs="Arial" w:eastAsia="Arial" w:hAnsi="Arial"/>
          <w:sz w:val="20"/>
          <w:szCs w:val="20"/>
          <w:color w:val="auto"/>
        </w:rPr>
        <w:t>The Debt Facility has a 6-year term at an interest rate of SOFR plus 2.5% providing incre flexibility to support refinancing the Company’s existing corporate debt.</w:t>
      </w:r>
    </w:p>
    <w:p>
      <w:pPr>
        <w:spacing w:after="0" w:line="14"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The Company is considering a secondary listing on either the Australian Securities Exchange (“</w:t>
      </w:r>
      <w:r>
        <w:rPr>
          <w:rFonts w:ascii="Arial" w:cs="Arial" w:eastAsia="Arial" w:hAnsi="Arial"/>
          <w:sz w:val="20"/>
          <w:szCs w:val="20"/>
          <w:b w:val="1"/>
          <w:bCs w:val="1"/>
          <w:color w:val="auto"/>
        </w:rPr>
        <w:t>AS</w:t>
      </w:r>
      <w:r>
        <w:rPr>
          <w:rFonts w:ascii="Arial" w:cs="Arial" w:eastAsia="Arial" w:hAnsi="Arial"/>
          <w:sz w:val="20"/>
          <w:szCs w:val="20"/>
          <w:color w:val="auto"/>
        </w:rPr>
        <w:t xml:space="preserve"> the Hong Kong Stock Exchange (“</w:t>
      </w:r>
      <w:r>
        <w:rPr>
          <w:rFonts w:ascii="Arial" w:cs="Arial" w:eastAsia="Arial" w:hAnsi="Arial"/>
          <w:sz w:val="20"/>
          <w:szCs w:val="20"/>
          <w:b w:val="1"/>
          <w:bCs w:val="1"/>
          <w:color w:val="auto"/>
        </w:rPr>
        <w:t>HKEX</w:t>
      </w:r>
      <w:r>
        <w:rPr>
          <w:rFonts w:ascii="Arial" w:cs="Arial" w:eastAsia="Arial" w:hAnsi="Arial"/>
          <w:sz w:val="20"/>
          <w:szCs w:val="20"/>
          <w:color w:val="auto"/>
        </w:rPr>
        <w:t>”) to broaden access to Asia-Pacific investors while mainta the NYSE listing.</w:t>
      </w:r>
    </w:p>
    <w:p>
      <w:pPr>
        <w:spacing w:after="0" w:line="262"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153A57"/>
        </w:rPr>
        <w:t>OPERATIONAL PERFORMANCE</w:t>
      </w:r>
    </w:p>
    <w:p>
      <w:pPr>
        <w:spacing w:after="0" w:line="312"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u w:val="single" w:color="auto"/>
          <w:color w:val="auto"/>
        </w:rPr>
        <w:t>Cauchari-Olaroz (on a 100% basis)</w:t>
      </w:r>
      <w:r>
        <w:rPr>
          <w:rFonts w:ascii="Arial" w:cs="Arial" w:eastAsia="Arial" w:hAnsi="Arial"/>
          <w:sz w:val="26"/>
          <w:szCs w:val="26"/>
          <w:b w:val="1"/>
          <w:bCs w:val="1"/>
          <w:i w:val="1"/>
          <w:iCs w:val="1"/>
          <w:u w:val="single" w:color="auto"/>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193040</wp:posOffset>
            </wp:positionV>
            <wp:extent cx="6078220" cy="1270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31">
                      <a:extLst>
                        <a:ext uri="{28A0092B-C50C-407E-A947-70E740481C1C}"/>
                      </a:extLst>
                    </a:blip>
                    <a:srcRect/>
                    <a:stretch>
                      <a:fillRect/>
                    </a:stretch>
                  </pic:blipFill>
                  <pic:spPr bwMode="auto">
                    <a:xfrm>
                      <a:off x="0" y="0"/>
                      <a:ext cx="6078220" cy="12700"/>
                    </a:xfrm>
                    <a:prstGeom prst="rect">
                      <a:avLst/>
                    </a:prstGeom>
                    <a:noFill/>
                  </pic:spPr>
                </pic:pic>
              </a:graphicData>
            </a:graphic>
          </wp:anchor>
        </w:drawing>
      </w:r>
    </w:p>
    <w:p>
      <w:pPr>
        <w:spacing w:after="0" w:line="284" w:lineRule="exact"/>
        <w:rPr>
          <w:sz w:val="20"/>
          <w:szCs w:val="20"/>
          <w:color w:val="auto"/>
        </w:rPr>
      </w:pPr>
    </w:p>
    <w:tbl>
      <w:tblPr>
        <w:tblLayout w:type="fixed"/>
        <w:tblInd w:w="900" w:type="dxa"/>
        <w:tblCellMar>
          <w:top w:w="0" w:type="dxa"/>
          <w:left w:w="0" w:type="dxa"/>
          <w:bottom w:w="0" w:type="dxa"/>
          <w:right w:w="0" w:type="dxa"/>
        </w:tblCellMar>
      </w:tblPr>
      <w:tr>
        <w:trPr>
          <w:trHeight w:val="268"/>
        </w:trPr>
        <w:tc>
          <w:tcPr>
            <w:tcW w:w="2360" w:type="dxa"/>
            <w:vAlign w:val="bottom"/>
            <w:shd w:val="clear" w:color="auto" w:fill="153A57"/>
          </w:tcPr>
          <w:p>
            <w:pPr>
              <w:ind w:left="100"/>
              <w:spacing w:after="0"/>
              <w:rPr>
                <w:sz w:val="20"/>
                <w:szCs w:val="20"/>
                <w:color w:val="auto"/>
              </w:rPr>
            </w:pPr>
            <w:r>
              <w:rPr>
                <w:rFonts w:ascii="Arial" w:cs="Arial" w:eastAsia="Arial" w:hAnsi="Arial"/>
                <w:sz w:val="19"/>
                <w:szCs w:val="19"/>
                <w:b w:val="1"/>
                <w:bCs w:val="1"/>
                <w:color w:val="FFFFFF"/>
              </w:rPr>
              <w:t>Lithium Carbonate</w:t>
            </w:r>
          </w:p>
        </w:tc>
        <w:tc>
          <w:tcPr>
            <w:tcW w:w="1060" w:type="dxa"/>
            <w:vAlign w:val="bottom"/>
            <w:shd w:val="clear" w:color="auto" w:fill="153A57"/>
          </w:tcPr>
          <w:p>
            <w:pPr>
              <w:spacing w:after="0"/>
              <w:rPr>
                <w:sz w:val="23"/>
                <w:szCs w:val="23"/>
                <w:color w:val="auto"/>
              </w:rPr>
            </w:pPr>
          </w:p>
        </w:tc>
        <w:tc>
          <w:tcPr>
            <w:tcW w:w="900" w:type="dxa"/>
            <w:vAlign w:val="bottom"/>
            <w:shd w:val="clear" w:color="auto" w:fill="153A57"/>
          </w:tcPr>
          <w:p>
            <w:pPr>
              <w:spacing w:after="0"/>
              <w:rPr>
                <w:sz w:val="23"/>
                <w:szCs w:val="23"/>
                <w:color w:val="auto"/>
              </w:rPr>
            </w:pPr>
          </w:p>
        </w:tc>
        <w:tc>
          <w:tcPr>
            <w:tcW w:w="840" w:type="dxa"/>
            <w:vAlign w:val="bottom"/>
            <w:shd w:val="clear" w:color="auto" w:fill="153A57"/>
          </w:tcPr>
          <w:p>
            <w:pPr>
              <w:spacing w:after="0"/>
              <w:rPr>
                <w:sz w:val="23"/>
                <w:szCs w:val="23"/>
                <w:color w:val="auto"/>
              </w:rPr>
            </w:pPr>
          </w:p>
        </w:tc>
        <w:tc>
          <w:tcPr>
            <w:tcW w:w="840" w:type="dxa"/>
            <w:vAlign w:val="bottom"/>
            <w:shd w:val="clear" w:color="auto" w:fill="153A57"/>
          </w:tcPr>
          <w:p>
            <w:pPr>
              <w:spacing w:after="0"/>
              <w:rPr>
                <w:sz w:val="23"/>
                <w:szCs w:val="23"/>
                <w:color w:val="auto"/>
              </w:rPr>
            </w:pPr>
          </w:p>
        </w:tc>
        <w:tc>
          <w:tcPr>
            <w:tcW w:w="820" w:type="dxa"/>
            <w:vAlign w:val="bottom"/>
            <w:shd w:val="clear" w:color="auto" w:fill="153A57"/>
          </w:tcPr>
          <w:p>
            <w:pPr>
              <w:spacing w:after="0"/>
              <w:rPr>
                <w:sz w:val="23"/>
                <w:szCs w:val="23"/>
                <w:color w:val="auto"/>
              </w:rPr>
            </w:pPr>
          </w:p>
        </w:tc>
        <w:tc>
          <w:tcPr>
            <w:tcW w:w="800" w:type="dxa"/>
            <w:vAlign w:val="bottom"/>
            <w:shd w:val="clear" w:color="auto" w:fill="153A57"/>
          </w:tcPr>
          <w:p>
            <w:pPr>
              <w:spacing w:after="0"/>
              <w:rPr>
                <w:sz w:val="23"/>
                <w:szCs w:val="23"/>
                <w:color w:val="auto"/>
              </w:rPr>
            </w:pPr>
          </w:p>
        </w:tc>
        <w:tc>
          <w:tcPr>
            <w:tcW w:w="820" w:type="dxa"/>
            <w:vAlign w:val="bottom"/>
            <w:shd w:val="clear" w:color="auto" w:fill="153A57"/>
          </w:tcPr>
          <w:p>
            <w:pPr>
              <w:spacing w:after="0"/>
              <w:rPr>
                <w:sz w:val="23"/>
                <w:szCs w:val="23"/>
                <w:color w:val="auto"/>
              </w:rPr>
            </w:pPr>
          </w:p>
        </w:tc>
        <w:tc>
          <w:tcPr>
            <w:tcW w:w="840" w:type="dxa"/>
            <w:vAlign w:val="bottom"/>
            <w:shd w:val="clear" w:color="auto" w:fill="153A57"/>
          </w:tcPr>
          <w:p>
            <w:pPr>
              <w:spacing w:after="0"/>
              <w:rPr>
                <w:sz w:val="23"/>
                <w:szCs w:val="23"/>
                <w:color w:val="auto"/>
              </w:rPr>
            </w:pPr>
          </w:p>
        </w:tc>
        <w:tc>
          <w:tcPr>
            <w:tcW w:w="280" w:type="dxa"/>
            <w:vAlign w:val="bottom"/>
            <w:shd w:val="clear" w:color="auto" w:fill="153A57"/>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2360" w:type="dxa"/>
            <w:vAlign w:val="bottom"/>
            <w:shd w:val="clear" w:color="auto" w:fill="153A57"/>
          </w:tcPr>
          <w:p>
            <w:pPr>
              <w:ind w:left="100"/>
              <w:spacing w:after="0"/>
              <w:rPr>
                <w:sz w:val="20"/>
                <w:szCs w:val="20"/>
                <w:color w:val="auto"/>
              </w:rPr>
            </w:pPr>
            <w:r>
              <w:rPr>
                <w:rFonts w:ascii="Arial" w:cs="Arial" w:eastAsia="Arial" w:hAnsi="Arial"/>
                <w:sz w:val="19"/>
                <w:szCs w:val="19"/>
                <w:b w:val="1"/>
                <w:bCs w:val="1"/>
                <w:color w:val="FFFFFF"/>
              </w:rPr>
              <w:t xml:space="preserve">Operations </w:t>
            </w:r>
            <w:r>
              <w:rPr>
                <w:rFonts w:ascii="Arial" w:cs="Arial" w:eastAsia="Arial" w:hAnsi="Arial"/>
                <w:sz w:val="19"/>
                <w:szCs w:val="19"/>
                <w:color w:val="FFFFFF"/>
              </w:rPr>
              <w:t>(100% basis</w:t>
            </w:r>
          </w:p>
        </w:tc>
        <w:tc>
          <w:tcPr>
            <w:tcW w:w="1060" w:type="dxa"/>
            <w:vAlign w:val="bottom"/>
            <w:vMerge w:val="restart"/>
            <w:shd w:val="clear" w:color="auto" w:fill="153A57"/>
          </w:tcPr>
          <w:p>
            <w:pPr>
              <w:ind w:left="340"/>
              <w:spacing w:after="0"/>
              <w:rPr>
                <w:sz w:val="20"/>
                <w:szCs w:val="20"/>
                <w:color w:val="auto"/>
              </w:rPr>
            </w:pPr>
            <w:r>
              <w:rPr>
                <w:rFonts w:ascii="Arial" w:cs="Arial" w:eastAsia="Arial" w:hAnsi="Arial"/>
                <w:sz w:val="19"/>
                <w:szCs w:val="19"/>
                <w:b w:val="1"/>
                <w:bCs w:val="1"/>
                <w:color w:val="FFFFFF"/>
              </w:rPr>
              <w:t>Units</w:t>
            </w:r>
          </w:p>
        </w:tc>
        <w:tc>
          <w:tcPr>
            <w:tcW w:w="900" w:type="dxa"/>
            <w:vAlign w:val="bottom"/>
            <w:shd w:val="clear" w:color="auto" w:fill="153A57"/>
          </w:tcPr>
          <w:p>
            <w:pPr>
              <w:ind w:left="340"/>
              <w:spacing w:after="0"/>
              <w:rPr>
                <w:sz w:val="20"/>
                <w:szCs w:val="20"/>
                <w:color w:val="auto"/>
              </w:rPr>
            </w:pPr>
            <w:r>
              <w:rPr>
                <w:rFonts w:ascii="Arial" w:cs="Arial" w:eastAsia="Arial" w:hAnsi="Arial"/>
                <w:sz w:val="19"/>
                <w:szCs w:val="19"/>
                <w:b w:val="1"/>
                <w:bCs w:val="1"/>
                <w:color w:val="FFFFFF"/>
              </w:rPr>
              <w:t>Q1</w:t>
            </w:r>
          </w:p>
        </w:tc>
        <w:tc>
          <w:tcPr>
            <w:tcW w:w="840" w:type="dxa"/>
            <w:vAlign w:val="bottom"/>
            <w:shd w:val="clear" w:color="auto" w:fill="153A57"/>
          </w:tcPr>
          <w:p>
            <w:pPr>
              <w:ind w:left="280"/>
              <w:spacing w:after="0"/>
              <w:rPr>
                <w:sz w:val="20"/>
                <w:szCs w:val="20"/>
                <w:color w:val="auto"/>
              </w:rPr>
            </w:pPr>
            <w:r>
              <w:rPr>
                <w:rFonts w:ascii="Arial" w:cs="Arial" w:eastAsia="Arial" w:hAnsi="Arial"/>
                <w:sz w:val="19"/>
                <w:szCs w:val="19"/>
                <w:b w:val="1"/>
                <w:bCs w:val="1"/>
                <w:color w:val="FFFFFF"/>
              </w:rPr>
              <w:t>Q2</w:t>
            </w:r>
          </w:p>
        </w:tc>
        <w:tc>
          <w:tcPr>
            <w:tcW w:w="840" w:type="dxa"/>
            <w:vAlign w:val="bottom"/>
            <w:shd w:val="clear" w:color="auto" w:fill="153A57"/>
          </w:tcPr>
          <w:p>
            <w:pPr>
              <w:ind w:left="260"/>
              <w:spacing w:after="0"/>
              <w:rPr>
                <w:sz w:val="20"/>
                <w:szCs w:val="20"/>
                <w:color w:val="auto"/>
              </w:rPr>
            </w:pPr>
            <w:r>
              <w:rPr>
                <w:rFonts w:ascii="Arial" w:cs="Arial" w:eastAsia="Arial" w:hAnsi="Arial"/>
                <w:sz w:val="19"/>
                <w:szCs w:val="19"/>
                <w:b w:val="1"/>
                <w:bCs w:val="1"/>
                <w:color w:val="FFFFFF"/>
              </w:rPr>
              <w:t>Q3</w:t>
            </w:r>
          </w:p>
        </w:tc>
        <w:tc>
          <w:tcPr>
            <w:tcW w:w="820" w:type="dxa"/>
            <w:vAlign w:val="bottom"/>
            <w:shd w:val="clear" w:color="auto" w:fill="153A57"/>
          </w:tcPr>
          <w:p>
            <w:pPr>
              <w:ind w:left="260"/>
              <w:spacing w:after="0"/>
              <w:rPr>
                <w:sz w:val="20"/>
                <w:szCs w:val="20"/>
                <w:color w:val="auto"/>
              </w:rPr>
            </w:pPr>
            <w:r>
              <w:rPr>
                <w:rFonts w:ascii="Arial" w:cs="Arial" w:eastAsia="Arial" w:hAnsi="Arial"/>
                <w:sz w:val="19"/>
                <w:szCs w:val="19"/>
                <w:b w:val="1"/>
                <w:bCs w:val="1"/>
                <w:color w:val="FFFFFF"/>
              </w:rPr>
              <w:t>Q4</w:t>
            </w:r>
          </w:p>
        </w:tc>
        <w:tc>
          <w:tcPr>
            <w:tcW w:w="800" w:type="dxa"/>
            <w:vAlign w:val="bottom"/>
            <w:vMerge w:val="restart"/>
            <w:shd w:val="clear" w:color="auto" w:fill="153A57"/>
          </w:tcPr>
          <w:p>
            <w:pPr>
              <w:ind w:left="200"/>
              <w:spacing w:after="0"/>
              <w:rPr>
                <w:sz w:val="20"/>
                <w:szCs w:val="20"/>
                <w:color w:val="auto"/>
              </w:rPr>
            </w:pPr>
            <w:r>
              <w:rPr>
                <w:rFonts w:ascii="Arial" w:cs="Arial" w:eastAsia="Arial" w:hAnsi="Arial"/>
                <w:sz w:val="19"/>
                <w:szCs w:val="19"/>
                <w:b w:val="1"/>
                <w:bCs w:val="1"/>
                <w:color w:val="FFFFFF"/>
              </w:rPr>
              <w:t>QoQ</w:t>
            </w:r>
          </w:p>
        </w:tc>
        <w:tc>
          <w:tcPr>
            <w:tcW w:w="820" w:type="dxa"/>
            <w:vAlign w:val="bottom"/>
            <w:vMerge w:val="restart"/>
            <w:shd w:val="clear" w:color="auto" w:fill="153A57"/>
          </w:tcPr>
          <w:p>
            <w:pPr>
              <w:jc w:val="center"/>
              <w:spacing w:after="0"/>
              <w:rPr>
                <w:sz w:val="20"/>
                <w:szCs w:val="20"/>
                <w:color w:val="auto"/>
              </w:rPr>
            </w:pPr>
            <w:r>
              <w:rPr>
                <w:rFonts w:ascii="Arial" w:cs="Arial" w:eastAsia="Arial" w:hAnsi="Arial"/>
                <w:sz w:val="19"/>
                <w:szCs w:val="19"/>
                <w:b w:val="1"/>
                <w:bCs w:val="1"/>
                <w:color w:val="FFFFFF"/>
                <w:w w:val="99"/>
              </w:rPr>
              <w:t>2024</w:t>
            </w:r>
          </w:p>
        </w:tc>
        <w:tc>
          <w:tcPr>
            <w:tcW w:w="840" w:type="dxa"/>
            <w:vAlign w:val="bottom"/>
            <w:vMerge w:val="restart"/>
            <w:shd w:val="clear" w:color="auto" w:fill="153A57"/>
          </w:tcPr>
          <w:p>
            <w:pPr>
              <w:jc w:val="center"/>
              <w:spacing w:after="0"/>
              <w:rPr>
                <w:sz w:val="20"/>
                <w:szCs w:val="20"/>
                <w:color w:val="auto"/>
              </w:rPr>
            </w:pPr>
            <w:r>
              <w:rPr>
                <w:rFonts w:ascii="Arial" w:cs="Arial" w:eastAsia="Arial" w:hAnsi="Arial"/>
                <w:sz w:val="19"/>
                <w:szCs w:val="19"/>
                <w:b w:val="1"/>
                <w:bCs w:val="1"/>
                <w:color w:val="FFFFFF"/>
                <w:w w:val="99"/>
              </w:rPr>
              <w:t>2025</w:t>
            </w:r>
          </w:p>
        </w:tc>
        <w:tc>
          <w:tcPr>
            <w:tcW w:w="280" w:type="dxa"/>
            <w:vAlign w:val="bottom"/>
            <w:vMerge w:val="restart"/>
            <w:shd w:val="clear" w:color="auto" w:fill="153A57"/>
          </w:tcPr>
          <w:p>
            <w:pPr>
              <w:jc w:val="right"/>
              <w:spacing w:after="0"/>
              <w:rPr>
                <w:sz w:val="20"/>
                <w:szCs w:val="20"/>
                <w:color w:val="auto"/>
              </w:rPr>
            </w:pPr>
            <w:r>
              <w:rPr>
                <w:rFonts w:ascii="Arial" w:cs="Arial" w:eastAsia="Arial" w:hAnsi="Arial"/>
                <w:sz w:val="19"/>
                <w:szCs w:val="19"/>
                <w:b w:val="1"/>
                <w:bCs w:val="1"/>
                <w:color w:val="FFFFFF"/>
              </w:rPr>
              <w:t>Y</w:t>
            </w:r>
          </w:p>
        </w:tc>
        <w:tc>
          <w:tcPr>
            <w:tcW w:w="0" w:type="dxa"/>
            <w:vAlign w:val="bottom"/>
          </w:tcPr>
          <w:p>
            <w:pPr>
              <w:spacing w:after="0"/>
              <w:rPr>
                <w:sz w:val="1"/>
                <w:szCs w:val="1"/>
                <w:color w:val="auto"/>
              </w:rPr>
            </w:pPr>
          </w:p>
        </w:tc>
      </w:tr>
      <w:tr>
        <w:trPr>
          <w:trHeight w:val="143"/>
        </w:trPr>
        <w:tc>
          <w:tcPr>
            <w:tcW w:w="2360" w:type="dxa"/>
            <w:vAlign w:val="bottom"/>
            <w:vMerge w:val="restart"/>
            <w:shd w:val="clear" w:color="auto" w:fill="153A57"/>
          </w:tcPr>
          <w:p>
            <w:pPr>
              <w:ind w:left="100"/>
              <w:spacing w:after="0"/>
              <w:rPr>
                <w:sz w:val="20"/>
                <w:szCs w:val="20"/>
                <w:color w:val="auto"/>
              </w:rPr>
            </w:pPr>
            <w:r>
              <w:rPr>
                <w:rFonts w:ascii="Arial" w:cs="Arial" w:eastAsia="Arial" w:hAnsi="Arial"/>
                <w:sz w:val="19"/>
                <w:szCs w:val="19"/>
                <w:color w:val="FFFFFF"/>
              </w:rPr>
              <w:t>unless otherwise</w:t>
            </w:r>
          </w:p>
        </w:tc>
        <w:tc>
          <w:tcPr>
            <w:tcW w:w="1060" w:type="dxa"/>
            <w:vAlign w:val="bottom"/>
            <w:vMerge w:val="continue"/>
            <w:shd w:val="clear" w:color="auto" w:fill="153A57"/>
          </w:tcPr>
          <w:p>
            <w:pPr>
              <w:spacing w:after="0"/>
              <w:rPr>
                <w:sz w:val="12"/>
                <w:szCs w:val="12"/>
                <w:color w:val="auto"/>
              </w:rPr>
            </w:pPr>
          </w:p>
        </w:tc>
        <w:tc>
          <w:tcPr>
            <w:tcW w:w="900" w:type="dxa"/>
            <w:vAlign w:val="bottom"/>
            <w:vMerge w:val="restart"/>
            <w:shd w:val="clear" w:color="auto" w:fill="153A57"/>
          </w:tcPr>
          <w:p>
            <w:pPr>
              <w:jc w:val="center"/>
              <w:spacing w:after="0"/>
              <w:rPr>
                <w:sz w:val="20"/>
                <w:szCs w:val="20"/>
                <w:color w:val="auto"/>
              </w:rPr>
            </w:pPr>
            <w:r>
              <w:rPr>
                <w:rFonts w:ascii="Arial" w:cs="Arial" w:eastAsia="Arial" w:hAnsi="Arial"/>
                <w:sz w:val="19"/>
                <w:szCs w:val="19"/>
                <w:b w:val="1"/>
                <w:bCs w:val="1"/>
                <w:color w:val="FFFFFF"/>
                <w:w w:val="99"/>
              </w:rPr>
              <w:t>2025</w:t>
            </w:r>
          </w:p>
        </w:tc>
        <w:tc>
          <w:tcPr>
            <w:tcW w:w="840" w:type="dxa"/>
            <w:vAlign w:val="bottom"/>
            <w:vMerge w:val="restart"/>
            <w:shd w:val="clear" w:color="auto" w:fill="153A57"/>
          </w:tcPr>
          <w:p>
            <w:pPr>
              <w:jc w:val="center"/>
              <w:spacing w:after="0"/>
              <w:rPr>
                <w:sz w:val="20"/>
                <w:szCs w:val="20"/>
                <w:color w:val="auto"/>
              </w:rPr>
            </w:pPr>
            <w:r>
              <w:rPr>
                <w:rFonts w:ascii="Arial" w:cs="Arial" w:eastAsia="Arial" w:hAnsi="Arial"/>
                <w:sz w:val="19"/>
                <w:szCs w:val="19"/>
                <w:b w:val="1"/>
                <w:bCs w:val="1"/>
                <w:color w:val="FFFFFF"/>
                <w:w w:val="99"/>
              </w:rPr>
              <w:t>2025</w:t>
            </w:r>
          </w:p>
        </w:tc>
        <w:tc>
          <w:tcPr>
            <w:tcW w:w="840" w:type="dxa"/>
            <w:vAlign w:val="bottom"/>
            <w:vMerge w:val="restart"/>
            <w:shd w:val="clear" w:color="auto" w:fill="153A57"/>
          </w:tcPr>
          <w:p>
            <w:pPr>
              <w:jc w:val="center"/>
              <w:spacing w:after="0"/>
              <w:rPr>
                <w:sz w:val="20"/>
                <w:szCs w:val="20"/>
                <w:color w:val="auto"/>
              </w:rPr>
            </w:pPr>
            <w:r>
              <w:rPr>
                <w:rFonts w:ascii="Arial" w:cs="Arial" w:eastAsia="Arial" w:hAnsi="Arial"/>
                <w:sz w:val="19"/>
                <w:szCs w:val="19"/>
                <w:b w:val="1"/>
                <w:bCs w:val="1"/>
                <w:color w:val="FFFFFF"/>
                <w:w w:val="99"/>
              </w:rPr>
              <w:t>2025</w:t>
            </w:r>
          </w:p>
        </w:tc>
        <w:tc>
          <w:tcPr>
            <w:tcW w:w="820" w:type="dxa"/>
            <w:vAlign w:val="bottom"/>
            <w:vMerge w:val="restart"/>
            <w:shd w:val="clear" w:color="auto" w:fill="153A57"/>
          </w:tcPr>
          <w:p>
            <w:pPr>
              <w:jc w:val="center"/>
              <w:spacing w:after="0"/>
              <w:rPr>
                <w:sz w:val="20"/>
                <w:szCs w:val="20"/>
                <w:color w:val="auto"/>
              </w:rPr>
            </w:pPr>
            <w:r>
              <w:rPr>
                <w:rFonts w:ascii="Arial" w:cs="Arial" w:eastAsia="Arial" w:hAnsi="Arial"/>
                <w:sz w:val="19"/>
                <w:szCs w:val="19"/>
                <w:b w:val="1"/>
                <w:bCs w:val="1"/>
                <w:color w:val="FFFFFF"/>
                <w:w w:val="99"/>
              </w:rPr>
              <w:t>2025</w:t>
            </w:r>
          </w:p>
        </w:tc>
        <w:tc>
          <w:tcPr>
            <w:tcW w:w="800" w:type="dxa"/>
            <w:vAlign w:val="bottom"/>
            <w:vMerge w:val="continue"/>
            <w:shd w:val="clear" w:color="auto" w:fill="153A57"/>
          </w:tcPr>
          <w:p>
            <w:pPr>
              <w:spacing w:after="0"/>
              <w:rPr>
                <w:sz w:val="12"/>
                <w:szCs w:val="12"/>
                <w:color w:val="auto"/>
              </w:rPr>
            </w:pPr>
          </w:p>
        </w:tc>
        <w:tc>
          <w:tcPr>
            <w:tcW w:w="820" w:type="dxa"/>
            <w:vAlign w:val="bottom"/>
            <w:vMerge w:val="continue"/>
            <w:shd w:val="clear" w:color="auto" w:fill="153A57"/>
          </w:tcPr>
          <w:p>
            <w:pPr>
              <w:spacing w:after="0"/>
              <w:rPr>
                <w:sz w:val="12"/>
                <w:szCs w:val="12"/>
                <w:color w:val="auto"/>
              </w:rPr>
            </w:pPr>
          </w:p>
        </w:tc>
        <w:tc>
          <w:tcPr>
            <w:tcW w:w="840" w:type="dxa"/>
            <w:vAlign w:val="bottom"/>
            <w:vMerge w:val="continue"/>
            <w:shd w:val="clear" w:color="auto" w:fill="153A57"/>
          </w:tcPr>
          <w:p>
            <w:pPr>
              <w:spacing w:after="0"/>
              <w:rPr>
                <w:sz w:val="12"/>
                <w:szCs w:val="12"/>
                <w:color w:val="auto"/>
              </w:rPr>
            </w:pPr>
          </w:p>
        </w:tc>
        <w:tc>
          <w:tcPr>
            <w:tcW w:w="280" w:type="dxa"/>
            <w:vAlign w:val="bottom"/>
            <w:vMerge w:val="continue"/>
            <w:shd w:val="clear" w:color="auto" w:fill="153A57"/>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360" w:type="dxa"/>
            <w:vAlign w:val="bottom"/>
            <w:vMerge w:val="continue"/>
            <w:shd w:val="clear" w:color="auto" w:fill="153A57"/>
          </w:tcPr>
          <w:p>
            <w:pPr>
              <w:spacing w:after="0"/>
              <w:rPr>
                <w:sz w:val="12"/>
                <w:szCs w:val="12"/>
                <w:color w:val="auto"/>
              </w:rPr>
            </w:pPr>
          </w:p>
        </w:tc>
        <w:tc>
          <w:tcPr>
            <w:tcW w:w="1060" w:type="dxa"/>
            <w:vAlign w:val="bottom"/>
            <w:shd w:val="clear" w:color="auto" w:fill="153A57"/>
          </w:tcPr>
          <w:p>
            <w:pPr>
              <w:spacing w:after="0"/>
              <w:rPr>
                <w:sz w:val="12"/>
                <w:szCs w:val="12"/>
                <w:color w:val="auto"/>
              </w:rPr>
            </w:pPr>
          </w:p>
        </w:tc>
        <w:tc>
          <w:tcPr>
            <w:tcW w:w="900" w:type="dxa"/>
            <w:vAlign w:val="bottom"/>
            <w:vMerge w:val="continue"/>
            <w:shd w:val="clear" w:color="auto" w:fill="153A57"/>
          </w:tcPr>
          <w:p>
            <w:pPr>
              <w:spacing w:after="0"/>
              <w:rPr>
                <w:sz w:val="12"/>
                <w:szCs w:val="12"/>
                <w:color w:val="auto"/>
              </w:rPr>
            </w:pPr>
          </w:p>
        </w:tc>
        <w:tc>
          <w:tcPr>
            <w:tcW w:w="840" w:type="dxa"/>
            <w:vAlign w:val="bottom"/>
            <w:vMerge w:val="continue"/>
            <w:shd w:val="clear" w:color="auto" w:fill="153A57"/>
          </w:tcPr>
          <w:p>
            <w:pPr>
              <w:spacing w:after="0"/>
              <w:rPr>
                <w:sz w:val="12"/>
                <w:szCs w:val="12"/>
                <w:color w:val="auto"/>
              </w:rPr>
            </w:pPr>
          </w:p>
        </w:tc>
        <w:tc>
          <w:tcPr>
            <w:tcW w:w="840" w:type="dxa"/>
            <w:vAlign w:val="bottom"/>
            <w:vMerge w:val="continue"/>
            <w:shd w:val="clear" w:color="auto" w:fill="153A57"/>
          </w:tcPr>
          <w:p>
            <w:pPr>
              <w:spacing w:after="0"/>
              <w:rPr>
                <w:sz w:val="12"/>
                <w:szCs w:val="12"/>
                <w:color w:val="auto"/>
              </w:rPr>
            </w:pPr>
          </w:p>
        </w:tc>
        <w:tc>
          <w:tcPr>
            <w:tcW w:w="820" w:type="dxa"/>
            <w:vAlign w:val="bottom"/>
            <w:vMerge w:val="continue"/>
            <w:shd w:val="clear" w:color="auto" w:fill="153A57"/>
          </w:tcPr>
          <w:p>
            <w:pPr>
              <w:spacing w:after="0"/>
              <w:rPr>
                <w:sz w:val="12"/>
                <w:szCs w:val="12"/>
                <w:color w:val="auto"/>
              </w:rPr>
            </w:pPr>
          </w:p>
        </w:tc>
        <w:tc>
          <w:tcPr>
            <w:tcW w:w="800" w:type="dxa"/>
            <w:vAlign w:val="bottom"/>
            <w:shd w:val="clear" w:color="auto" w:fill="153A57"/>
          </w:tcPr>
          <w:p>
            <w:pPr>
              <w:spacing w:after="0"/>
              <w:rPr>
                <w:sz w:val="12"/>
                <w:szCs w:val="12"/>
                <w:color w:val="auto"/>
              </w:rPr>
            </w:pPr>
          </w:p>
        </w:tc>
        <w:tc>
          <w:tcPr>
            <w:tcW w:w="820" w:type="dxa"/>
            <w:vAlign w:val="bottom"/>
            <w:shd w:val="clear" w:color="auto" w:fill="153A57"/>
          </w:tcPr>
          <w:p>
            <w:pPr>
              <w:spacing w:after="0"/>
              <w:rPr>
                <w:sz w:val="12"/>
                <w:szCs w:val="12"/>
                <w:color w:val="auto"/>
              </w:rPr>
            </w:pPr>
          </w:p>
        </w:tc>
        <w:tc>
          <w:tcPr>
            <w:tcW w:w="840" w:type="dxa"/>
            <w:vAlign w:val="bottom"/>
            <w:shd w:val="clear" w:color="auto" w:fill="153A57"/>
          </w:tcPr>
          <w:p>
            <w:pPr>
              <w:spacing w:after="0"/>
              <w:rPr>
                <w:sz w:val="12"/>
                <w:szCs w:val="12"/>
                <w:color w:val="auto"/>
              </w:rPr>
            </w:pPr>
          </w:p>
        </w:tc>
        <w:tc>
          <w:tcPr>
            <w:tcW w:w="280" w:type="dxa"/>
            <w:vAlign w:val="bottom"/>
            <w:shd w:val="clear" w:color="auto" w:fill="153A57"/>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360" w:type="dxa"/>
            <w:vAlign w:val="bottom"/>
            <w:tcBorders>
              <w:bottom w:val="single" w:sz="8" w:color="153A57"/>
            </w:tcBorders>
            <w:shd w:val="clear" w:color="auto" w:fill="153A57"/>
          </w:tcPr>
          <w:p>
            <w:pPr>
              <w:ind w:left="100"/>
              <w:spacing w:after="0"/>
              <w:rPr>
                <w:sz w:val="20"/>
                <w:szCs w:val="20"/>
                <w:color w:val="auto"/>
              </w:rPr>
            </w:pPr>
            <w:r>
              <w:rPr>
                <w:rFonts w:ascii="Arial" w:cs="Arial" w:eastAsia="Arial" w:hAnsi="Arial"/>
                <w:sz w:val="19"/>
                <w:szCs w:val="19"/>
                <w:color w:val="FFFFFF"/>
              </w:rPr>
              <w:t>indicated)</w:t>
            </w:r>
          </w:p>
        </w:tc>
        <w:tc>
          <w:tcPr>
            <w:tcW w:w="1060" w:type="dxa"/>
            <w:vAlign w:val="bottom"/>
            <w:tcBorders>
              <w:bottom w:val="single" w:sz="8" w:color="153A57"/>
            </w:tcBorders>
            <w:shd w:val="clear" w:color="auto" w:fill="153A57"/>
          </w:tcPr>
          <w:p>
            <w:pPr>
              <w:spacing w:after="0"/>
              <w:rPr>
                <w:sz w:val="24"/>
                <w:szCs w:val="24"/>
                <w:color w:val="auto"/>
              </w:rPr>
            </w:pPr>
          </w:p>
        </w:tc>
        <w:tc>
          <w:tcPr>
            <w:tcW w:w="900" w:type="dxa"/>
            <w:vAlign w:val="bottom"/>
            <w:tcBorders>
              <w:bottom w:val="single" w:sz="8" w:color="153A57"/>
            </w:tcBorders>
            <w:shd w:val="clear" w:color="auto" w:fill="153A57"/>
          </w:tcPr>
          <w:p>
            <w:pPr>
              <w:spacing w:after="0"/>
              <w:rPr>
                <w:sz w:val="24"/>
                <w:szCs w:val="24"/>
                <w:color w:val="auto"/>
              </w:rPr>
            </w:pPr>
          </w:p>
        </w:tc>
        <w:tc>
          <w:tcPr>
            <w:tcW w:w="840" w:type="dxa"/>
            <w:vAlign w:val="bottom"/>
            <w:tcBorders>
              <w:bottom w:val="single" w:sz="8" w:color="153A57"/>
            </w:tcBorders>
            <w:shd w:val="clear" w:color="auto" w:fill="153A57"/>
          </w:tcPr>
          <w:p>
            <w:pPr>
              <w:spacing w:after="0"/>
              <w:rPr>
                <w:sz w:val="24"/>
                <w:szCs w:val="24"/>
                <w:color w:val="auto"/>
              </w:rPr>
            </w:pPr>
          </w:p>
        </w:tc>
        <w:tc>
          <w:tcPr>
            <w:tcW w:w="840" w:type="dxa"/>
            <w:vAlign w:val="bottom"/>
            <w:tcBorders>
              <w:bottom w:val="single" w:sz="8" w:color="153A57"/>
            </w:tcBorders>
            <w:shd w:val="clear" w:color="auto" w:fill="153A57"/>
          </w:tcPr>
          <w:p>
            <w:pPr>
              <w:spacing w:after="0"/>
              <w:rPr>
                <w:sz w:val="24"/>
                <w:szCs w:val="24"/>
                <w:color w:val="auto"/>
              </w:rPr>
            </w:pPr>
          </w:p>
        </w:tc>
        <w:tc>
          <w:tcPr>
            <w:tcW w:w="820" w:type="dxa"/>
            <w:vAlign w:val="bottom"/>
            <w:tcBorders>
              <w:bottom w:val="single" w:sz="8" w:color="153A57"/>
            </w:tcBorders>
            <w:shd w:val="clear" w:color="auto" w:fill="153A57"/>
          </w:tcPr>
          <w:p>
            <w:pPr>
              <w:spacing w:after="0"/>
              <w:rPr>
                <w:sz w:val="24"/>
                <w:szCs w:val="24"/>
                <w:color w:val="auto"/>
              </w:rPr>
            </w:pPr>
          </w:p>
        </w:tc>
        <w:tc>
          <w:tcPr>
            <w:tcW w:w="800" w:type="dxa"/>
            <w:vAlign w:val="bottom"/>
            <w:tcBorders>
              <w:bottom w:val="single" w:sz="8" w:color="153A57"/>
            </w:tcBorders>
            <w:shd w:val="clear" w:color="auto" w:fill="153A57"/>
          </w:tcPr>
          <w:p>
            <w:pPr>
              <w:spacing w:after="0"/>
              <w:rPr>
                <w:sz w:val="24"/>
                <w:szCs w:val="24"/>
                <w:color w:val="auto"/>
              </w:rPr>
            </w:pPr>
          </w:p>
        </w:tc>
        <w:tc>
          <w:tcPr>
            <w:tcW w:w="820" w:type="dxa"/>
            <w:vAlign w:val="bottom"/>
            <w:tcBorders>
              <w:bottom w:val="single" w:sz="8" w:color="153A57"/>
            </w:tcBorders>
            <w:shd w:val="clear" w:color="auto" w:fill="153A57"/>
          </w:tcPr>
          <w:p>
            <w:pPr>
              <w:spacing w:after="0"/>
              <w:rPr>
                <w:sz w:val="24"/>
                <w:szCs w:val="24"/>
                <w:color w:val="auto"/>
              </w:rPr>
            </w:pPr>
          </w:p>
        </w:tc>
        <w:tc>
          <w:tcPr>
            <w:tcW w:w="840" w:type="dxa"/>
            <w:vAlign w:val="bottom"/>
            <w:tcBorders>
              <w:bottom w:val="single" w:sz="8" w:color="153A57"/>
            </w:tcBorders>
            <w:shd w:val="clear" w:color="auto" w:fill="153A57"/>
          </w:tcPr>
          <w:p>
            <w:pPr>
              <w:spacing w:after="0"/>
              <w:rPr>
                <w:sz w:val="24"/>
                <w:szCs w:val="24"/>
                <w:color w:val="auto"/>
              </w:rPr>
            </w:pPr>
          </w:p>
        </w:tc>
        <w:tc>
          <w:tcPr>
            <w:tcW w:w="280" w:type="dxa"/>
            <w:vAlign w:val="bottom"/>
            <w:tcBorders>
              <w:bottom w:val="single" w:sz="8" w:color="153A57"/>
            </w:tcBorders>
            <w:shd w:val="clear" w:color="auto" w:fill="153A57"/>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360" w:type="dxa"/>
            <w:vAlign w:val="bottom"/>
          </w:tcPr>
          <w:p>
            <w:pPr>
              <w:ind w:left="100"/>
              <w:spacing w:after="0"/>
              <w:rPr>
                <w:sz w:val="20"/>
                <w:szCs w:val="20"/>
                <w:color w:val="auto"/>
              </w:rPr>
            </w:pPr>
            <w:r>
              <w:rPr>
                <w:rFonts w:ascii="Arial" w:cs="Arial" w:eastAsia="Arial" w:hAnsi="Arial"/>
                <w:sz w:val="19"/>
                <w:szCs w:val="19"/>
                <w:color w:val="auto"/>
              </w:rPr>
              <w:t>Lithium Carbonate</w:t>
            </w:r>
          </w:p>
        </w:tc>
        <w:tc>
          <w:tcPr>
            <w:tcW w:w="1060" w:type="dxa"/>
            <w:vAlign w:val="bottom"/>
            <w:vMerge w:val="restart"/>
          </w:tcPr>
          <w:p>
            <w:pPr>
              <w:ind w:left="160"/>
              <w:spacing w:after="0"/>
              <w:rPr>
                <w:sz w:val="20"/>
                <w:szCs w:val="20"/>
                <w:color w:val="auto"/>
              </w:rPr>
            </w:pPr>
            <w:r>
              <w:rPr>
                <w:rFonts w:ascii="Arial" w:cs="Arial" w:eastAsia="Arial" w:hAnsi="Arial"/>
                <w:sz w:val="19"/>
                <w:szCs w:val="19"/>
                <w:color w:val="auto"/>
              </w:rPr>
              <w:t>k tonnes</w:t>
            </w:r>
          </w:p>
        </w:tc>
        <w:tc>
          <w:tcPr>
            <w:tcW w:w="900" w:type="dxa"/>
            <w:vAlign w:val="bottom"/>
            <w:vMerge w:val="restart"/>
          </w:tcPr>
          <w:p>
            <w:pPr>
              <w:jc w:val="center"/>
              <w:spacing w:after="0"/>
              <w:rPr>
                <w:sz w:val="20"/>
                <w:szCs w:val="20"/>
                <w:color w:val="auto"/>
              </w:rPr>
            </w:pPr>
            <w:r>
              <w:rPr>
                <w:rFonts w:ascii="Arial" w:cs="Arial" w:eastAsia="Arial" w:hAnsi="Arial"/>
                <w:sz w:val="19"/>
                <w:szCs w:val="19"/>
                <w:color w:val="auto"/>
                <w:w w:val="98"/>
              </w:rPr>
              <w:t>7.2</w:t>
            </w:r>
          </w:p>
        </w:tc>
        <w:tc>
          <w:tcPr>
            <w:tcW w:w="840" w:type="dxa"/>
            <w:vAlign w:val="bottom"/>
            <w:vMerge w:val="restart"/>
          </w:tcPr>
          <w:p>
            <w:pPr>
              <w:jc w:val="center"/>
              <w:spacing w:after="0"/>
              <w:rPr>
                <w:sz w:val="20"/>
                <w:szCs w:val="20"/>
                <w:color w:val="auto"/>
              </w:rPr>
            </w:pPr>
            <w:r>
              <w:rPr>
                <w:rFonts w:ascii="Arial" w:cs="Arial" w:eastAsia="Arial" w:hAnsi="Arial"/>
                <w:sz w:val="19"/>
                <w:szCs w:val="19"/>
                <w:color w:val="auto"/>
                <w:w w:val="98"/>
              </w:rPr>
              <w:t>8.5</w:t>
            </w:r>
          </w:p>
        </w:tc>
        <w:tc>
          <w:tcPr>
            <w:tcW w:w="840" w:type="dxa"/>
            <w:vAlign w:val="bottom"/>
            <w:vMerge w:val="restart"/>
          </w:tcPr>
          <w:p>
            <w:pPr>
              <w:jc w:val="center"/>
              <w:spacing w:after="0"/>
              <w:rPr>
                <w:sz w:val="20"/>
                <w:szCs w:val="20"/>
                <w:color w:val="auto"/>
              </w:rPr>
            </w:pPr>
            <w:r>
              <w:rPr>
                <w:rFonts w:ascii="Arial" w:cs="Arial" w:eastAsia="Arial" w:hAnsi="Arial"/>
                <w:sz w:val="19"/>
                <w:szCs w:val="19"/>
                <w:color w:val="auto"/>
              </w:rPr>
              <w:t>8.3</w:t>
            </w:r>
          </w:p>
        </w:tc>
        <w:tc>
          <w:tcPr>
            <w:tcW w:w="820" w:type="dxa"/>
            <w:vAlign w:val="bottom"/>
            <w:vMerge w:val="restart"/>
          </w:tcPr>
          <w:p>
            <w:pPr>
              <w:jc w:val="center"/>
              <w:spacing w:after="0"/>
              <w:rPr>
                <w:sz w:val="20"/>
                <w:szCs w:val="20"/>
                <w:color w:val="auto"/>
              </w:rPr>
            </w:pPr>
            <w:r>
              <w:rPr>
                <w:rFonts w:ascii="Arial" w:cs="Arial" w:eastAsia="Arial" w:hAnsi="Arial"/>
                <w:sz w:val="19"/>
                <w:szCs w:val="19"/>
                <w:color w:val="auto"/>
                <w:w w:val="98"/>
              </w:rPr>
              <w:t>9.7</w:t>
            </w:r>
          </w:p>
        </w:tc>
        <w:tc>
          <w:tcPr>
            <w:tcW w:w="800" w:type="dxa"/>
            <w:vAlign w:val="bottom"/>
            <w:vMerge w:val="restart"/>
            <w:shd w:val="clear" w:color="auto" w:fill="D9D9D9"/>
          </w:tcPr>
          <w:p>
            <w:pPr>
              <w:ind w:left="200"/>
              <w:spacing w:after="0"/>
              <w:rPr>
                <w:sz w:val="20"/>
                <w:szCs w:val="20"/>
                <w:color w:val="auto"/>
              </w:rPr>
            </w:pPr>
            <w:r>
              <w:rPr>
                <w:rFonts w:ascii="Arial" w:cs="Arial" w:eastAsia="Arial" w:hAnsi="Arial"/>
                <w:sz w:val="19"/>
                <w:szCs w:val="19"/>
                <w:color w:val="auto"/>
              </w:rPr>
              <w:t>17%</w:t>
            </w:r>
          </w:p>
        </w:tc>
        <w:tc>
          <w:tcPr>
            <w:tcW w:w="820" w:type="dxa"/>
            <w:vAlign w:val="bottom"/>
            <w:vMerge w:val="restart"/>
          </w:tcPr>
          <w:p>
            <w:pPr>
              <w:jc w:val="center"/>
              <w:spacing w:after="0"/>
              <w:rPr>
                <w:sz w:val="20"/>
                <w:szCs w:val="20"/>
                <w:color w:val="auto"/>
              </w:rPr>
            </w:pPr>
            <w:r>
              <w:rPr>
                <w:rFonts w:ascii="Arial" w:cs="Arial" w:eastAsia="Arial" w:hAnsi="Arial"/>
                <w:sz w:val="19"/>
                <w:szCs w:val="19"/>
                <w:color w:val="auto"/>
              </w:rPr>
              <w:t>25.5</w:t>
            </w:r>
          </w:p>
        </w:tc>
        <w:tc>
          <w:tcPr>
            <w:tcW w:w="840" w:type="dxa"/>
            <w:vAlign w:val="bottom"/>
            <w:vMerge w:val="restart"/>
          </w:tcPr>
          <w:p>
            <w:pPr>
              <w:jc w:val="center"/>
              <w:spacing w:after="0"/>
              <w:rPr>
                <w:sz w:val="20"/>
                <w:szCs w:val="20"/>
                <w:color w:val="auto"/>
              </w:rPr>
            </w:pPr>
            <w:r>
              <w:rPr>
                <w:rFonts w:ascii="Arial" w:cs="Arial" w:eastAsia="Arial" w:hAnsi="Arial"/>
                <w:sz w:val="19"/>
                <w:szCs w:val="19"/>
                <w:color w:val="auto"/>
                <w:w w:val="95"/>
              </w:rPr>
              <w:t>34.1</w:t>
            </w:r>
            <w:r>
              <w:rPr>
                <w:rFonts w:ascii="Arial" w:cs="Arial" w:eastAsia="Arial" w:hAnsi="Arial"/>
                <w:sz w:val="25"/>
                <w:szCs w:val="25"/>
                <w:color w:val="auto"/>
                <w:w w:val="95"/>
                <w:vertAlign w:val="superscript"/>
              </w:rPr>
              <w:t>9</w:t>
            </w:r>
          </w:p>
        </w:tc>
        <w:tc>
          <w:tcPr>
            <w:tcW w:w="280" w:type="dxa"/>
            <w:vAlign w:val="bottom"/>
            <w:vMerge w:val="restart"/>
            <w:shd w:val="clear" w:color="auto" w:fill="D9D9D9"/>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100"/>
              <w:spacing w:after="0"/>
              <w:rPr>
                <w:sz w:val="20"/>
                <w:szCs w:val="20"/>
                <w:color w:val="auto"/>
              </w:rPr>
            </w:pPr>
            <w:r>
              <w:rPr>
                <w:rFonts w:ascii="Arial" w:cs="Arial" w:eastAsia="Arial" w:hAnsi="Arial"/>
                <w:sz w:val="19"/>
                <w:szCs w:val="19"/>
                <w:color w:val="auto"/>
              </w:rPr>
              <w:t>Production</w:t>
            </w:r>
          </w:p>
        </w:tc>
        <w:tc>
          <w:tcPr>
            <w:tcW w:w="10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0" w:type="dxa"/>
            <w:vAlign w:val="bottom"/>
            <w:vMerge w:val="continue"/>
            <w:shd w:val="clear" w:color="auto" w:fill="D9D9D9"/>
          </w:tcPr>
          <w:p>
            <w:pPr>
              <w:spacing w:after="0"/>
              <w:rPr>
                <w:sz w:val="18"/>
                <w:szCs w:val="18"/>
                <w:color w:val="auto"/>
              </w:rPr>
            </w:pPr>
          </w:p>
        </w:tc>
        <w:tc>
          <w:tcPr>
            <w:tcW w:w="8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80" w:type="dxa"/>
            <w:vAlign w:val="bottom"/>
            <w:vMerge w:val="continue"/>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3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9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shd w:val="clear" w:color="auto" w:fill="D9D9D9"/>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shd w:val="clear" w:color="auto" w:fill="D9D9D9"/>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360" w:type="dxa"/>
            <w:vAlign w:val="bottom"/>
          </w:tcPr>
          <w:p>
            <w:pPr>
              <w:ind w:left="100"/>
              <w:spacing w:after="0"/>
              <w:rPr>
                <w:sz w:val="20"/>
                <w:szCs w:val="20"/>
                <w:color w:val="auto"/>
              </w:rPr>
            </w:pPr>
            <w:r>
              <w:rPr>
                <w:rFonts w:ascii="Arial" w:cs="Arial" w:eastAsia="Arial" w:hAnsi="Arial"/>
                <w:sz w:val="19"/>
                <w:szCs w:val="19"/>
                <w:color w:val="auto"/>
              </w:rPr>
              <w:t>Realized Price</w:t>
            </w:r>
          </w:p>
        </w:tc>
        <w:tc>
          <w:tcPr>
            <w:tcW w:w="1060" w:type="dxa"/>
            <w:vAlign w:val="bottom"/>
          </w:tcPr>
          <w:p>
            <w:pPr>
              <w:ind w:left="160"/>
              <w:spacing w:after="0"/>
              <w:rPr>
                <w:sz w:val="20"/>
                <w:szCs w:val="20"/>
                <w:color w:val="auto"/>
              </w:rPr>
            </w:pPr>
            <w:r>
              <w:rPr>
                <w:rFonts w:ascii="Arial" w:cs="Arial" w:eastAsia="Arial" w:hAnsi="Arial"/>
                <w:sz w:val="19"/>
                <w:szCs w:val="19"/>
                <w:color w:val="auto"/>
              </w:rPr>
              <w:t>US$ / t</w:t>
            </w:r>
          </w:p>
        </w:tc>
        <w:tc>
          <w:tcPr>
            <w:tcW w:w="900" w:type="dxa"/>
            <w:vAlign w:val="bottom"/>
          </w:tcPr>
          <w:p>
            <w:pPr>
              <w:jc w:val="center"/>
              <w:spacing w:after="0"/>
              <w:rPr>
                <w:sz w:val="20"/>
                <w:szCs w:val="20"/>
                <w:color w:val="auto"/>
              </w:rPr>
            </w:pPr>
            <w:r>
              <w:rPr>
                <w:rFonts w:ascii="Arial" w:cs="Arial" w:eastAsia="Arial" w:hAnsi="Arial"/>
                <w:sz w:val="19"/>
                <w:szCs w:val="19"/>
                <w:color w:val="auto"/>
                <w:w w:val="99"/>
              </w:rPr>
              <w:t>$8,085</w:t>
            </w:r>
          </w:p>
        </w:tc>
        <w:tc>
          <w:tcPr>
            <w:tcW w:w="840" w:type="dxa"/>
            <w:vAlign w:val="bottom"/>
          </w:tcPr>
          <w:p>
            <w:pPr>
              <w:jc w:val="center"/>
              <w:spacing w:after="0"/>
              <w:rPr>
                <w:sz w:val="20"/>
                <w:szCs w:val="20"/>
                <w:color w:val="auto"/>
              </w:rPr>
            </w:pPr>
            <w:r>
              <w:rPr>
                <w:rFonts w:ascii="Arial" w:cs="Arial" w:eastAsia="Arial" w:hAnsi="Arial"/>
                <w:sz w:val="19"/>
                <w:szCs w:val="19"/>
                <w:color w:val="auto"/>
                <w:w w:val="99"/>
              </w:rPr>
              <w:t>$7,400</w:t>
            </w:r>
          </w:p>
        </w:tc>
        <w:tc>
          <w:tcPr>
            <w:tcW w:w="840" w:type="dxa"/>
            <w:vAlign w:val="bottom"/>
          </w:tcPr>
          <w:p>
            <w:pPr>
              <w:jc w:val="center"/>
              <w:spacing w:after="0"/>
              <w:rPr>
                <w:sz w:val="20"/>
                <w:szCs w:val="20"/>
                <w:color w:val="auto"/>
              </w:rPr>
            </w:pPr>
            <w:r>
              <w:rPr>
                <w:rFonts w:ascii="Arial" w:cs="Arial" w:eastAsia="Arial" w:hAnsi="Arial"/>
                <w:sz w:val="19"/>
                <w:szCs w:val="19"/>
                <w:color w:val="auto"/>
                <w:w w:val="99"/>
              </w:rPr>
              <w:t>$7,522</w:t>
            </w:r>
          </w:p>
        </w:tc>
        <w:tc>
          <w:tcPr>
            <w:tcW w:w="820" w:type="dxa"/>
            <w:vAlign w:val="bottom"/>
          </w:tcPr>
          <w:p>
            <w:pPr>
              <w:jc w:val="center"/>
              <w:spacing w:after="0"/>
              <w:rPr>
                <w:sz w:val="20"/>
                <w:szCs w:val="20"/>
                <w:color w:val="auto"/>
              </w:rPr>
            </w:pPr>
            <w:r>
              <w:rPr>
                <w:rFonts w:ascii="Arial" w:cs="Arial" w:eastAsia="Arial" w:hAnsi="Arial"/>
                <w:sz w:val="19"/>
                <w:szCs w:val="19"/>
                <w:color w:val="auto"/>
                <w:w w:val="99"/>
              </w:rPr>
              <w:t>$9,049</w:t>
            </w:r>
          </w:p>
        </w:tc>
        <w:tc>
          <w:tcPr>
            <w:tcW w:w="800" w:type="dxa"/>
            <w:vAlign w:val="bottom"/>
            <w:shd w:val="clear" w:color="auto" w:fill="D9D9D9"/>
          </w:tcPr>
          <w:p>
            <w:pPr>
              <w:ind w:left="200"/>
              <w:spacing w:after="0"/>
              <w:rPr>
                <w:sz w:val="20"/>
                <w:szCs w:val="20"/>
                <w:color w:val="auto"/>
              </w:rPr>
            </w:pPr>
            <w:r>
              <w:rPr>
                <w:rFonts w:ascii="Arial" w:cs="Arial" w:eastAsia="Arial" w:hAnsi="Arial"/>
                <w:sz w:val="19"/>
                <w:szCs w:val="19"/>
                <w:color w:val="auto"/>
              </w:rPr>
              <w:t>20%</w:t>
            </w:r>
          </w:p>
        </w:tc>
        <w:tc>
          <w:tcPr>
            <w:tcW w:w="820" w:type="dxa"/>
            <w:vAlign w:val="bottom"/>
          </w:tcPr>
          <w:p>
            <w:pPr>
              <w:jc w:val="center"/>
              <w:spacing w:after="0"/>
              <w:rPr>
                <w:sz w:val="20"/>
                <w:szCs w:val="20"/>
                <w:color w:val="auto"/>
              </w:rPr>
            </w:pPr>
            <w:r>
              <w:rPr>
                <w:rFonts w:ascii="Arial" w:cs="Arial" w:eastAsia="Arial" w:hAnsi="Arial"/>
                <w:sz w:val="19"/>
                <w:szCs w:val="19"/>
                <w:color w:val="auto"/>
                <w:w w:val="99"/>
              </w:rPr>
              <w:t>$7,800</w:t>
            </w:r>
          </w:p>
        </w:tc>
        <w:tc>
          <w:tcPr>
            <w:tcW w:w="840" w:type="dxa"/>
            <w:vAlign w:val="bottom"/>
          </w:tcPr>
          <w:p>
            <w:pPr>
              <w:jc w:val="center"/>
              <w:spacing w:after="0"/>
              <w:rPr>
                <w:sz w:val="20"/>
                <w:szCs w:val="20"/>
                <w:color w:val="auto"/>
              </w:rPr>
            </w:pPr>
            <w:r>
              <w:rPr>
                <w:rFonts w:ascii="Arial" w:cs="Arial" w:eastAsia="Arial" w:hAnsi="Arial"/>
                <w:sz w:val="19"/>
                <w:szCs w:val="19"/>
                <w:color w:val="auto"/>
                <w:w w:val="99"/>
              </w:rPr>
              <w:t>$8,014</w:t>
            </w:r>
          </w:p>
        </w:tc>
        <w:tc>
          <w:tcPr>
            <w:tcW w:w="280" w:type="dxa"/>
            <w:vAlign w:val="bottom"/>
            <w:shd w:val="clear" w:color="auto" w:fill="D9D9D9"/>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65"/>
        </w:trPr>
        <w:tc>
          <w:tcPr>
            <w:tcW w:w="2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shd w:val="clear" w:color="auto" w:fill="D9D9D9"/>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-12065</wp:posOffset>
            </wp:positionV>
            <wp:extent cx="6078220" cy="1270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32">
                      <a:extLst>
                        <a:ext uri="{28A0092B-C50C-407E-A947-70E740481C1C}"/>
                      </a:extLst>
                    </a:blip>
                    <a:srcRect/>
                    <a:stretch>
                      <a:fillRect/>
                    </a:stretch>
                  </pic:blipFill>
                  <pic:spPr bwMode="auto">
                    <a:xfrm>
                      <a:off x="0" y="0"/>
                      <a:ext cx="6078220" cy="12700"/>
                    </a:xfrm>
                    <a:prstGeom prst="rect">
                      <a:avLst/>
                    </a:prstGeom>
                    <a:noFill/>
                  </pic:spPr>
                </pic:pic>
              </a:graphicData>
            </a:graphic>
          </wp:anchor>
        </w:drawing>
      </w:r>
    </w:p>
    <w:p>
      <w:pPr>
        <w:spacing w:after="0" w:line="318" w:lineRule="exact"/>
        <w:rPr>
          <w:sz w:val="20"/>
          <w:szCs w:val="20"/>
          <w:color w:val="auto"/>
        </w:rPr>
      </w:pPr>
    </w:p>
    <w:p>
      <w:pPr>
        <w:jc w:val="both"/>
        <w:ind w:left="900"/>
        <w:spacing w:after="0" w:line="333" w:lineRule="auto"/>
        <w:rPr>
          <w:sz w:val="20"/>
          <w:szCs w:val="20"/>
          <w:color w:val="auto"/>
        </w:rPr>
      </w:pPr>
      <w:r>
        <w:rPr>
          <w:rFonts w:ascii="Arial" w:cs="Arial" w:eastAsia="Arial" w:hAnsi="Arial"/>
          <w:sz w:val="19"/>
          <w:szCs w:val="19"/>
          <w:color w:val="auto"/>
        </w:rPr>
        <w:t>Lithium carbonate production totaled approximately 9,700 tonnes in the fourth quarter of 2025. The oper focused on improving consistency while implementing improvements designed to enhance long-term efficien better position the operation in the future. Lithium carbonate production for the twelve months ended Dece 31, 2025, was 34,100 tonnes meeting the high-end of full-year production guidance of 30,000 to 35,000 tonn</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5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 / 30</w:t>
      </w:r>
    </w:p>
    <w:p>
      <w:pPr>
        <w:sectPr>
          <w:pgSz w:w="11900" w:h="16838" w:orient="portrait"/>
          <w:cols w:equalWidth="0" w:num="1">
            <w:col w:w="10460"/>
          </w:cols>
          <w:pgMar w:left="1440" w:top="1440" w:right="6" w:bottom="0" w:gutter="0" w:footer="0" w:header="0"/>
          <w:type w:val="continuous"/>
        </w:sectPr>
      </w:pPr>
    </w:p>
    <w:bookmarkStart w:id="501" w:name="page502"/>
    <w:bookmarkEnd w:id="501"/>
    <w:p>
      <w:pPr>
        <w:spacing w:after="0" w:line="34"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During 2026, the Company expects production of approximately 35,000 to 40,000 tonnes of lithium carbona Cauchari-Olaroz.</w:t>
      </w:r>
    </w:p>
    <w:p>
      <w:pPr>
        <w:spacing w:after="0" w:line="317" w:lineRule="exact"/>
        <w:rPr>
          <w:sz w:val="20"/>
          <w:szCs w:val="20"/>
          <w:color w:val="auto"/>
        </w:rPr>
      </w:pPr>
    </w:p>
    <w:p>
      <w:pPr>
        <w:ind w:left="900" w:right="20"/>
        <w:spacing w:after="0" w:line="307" w:lineRule="auto"/>
        <w:rPr>
          <w:sz w:val="20"/>
          <w:szCs w:val="20"/>
          <w:color w:val="auto"/>
        </w:rPr>
      </w:pPr>
      <w:r>
        <w:rPr>
          <w:rFonts w:ascii="Arial" w:cs="Arial" w:eastAsia="Arial" w:hAnsi="Arial"/>
          <w:sz w:val="20"/>
          <w:szCs w:val="20"/>
          <w:color w:val="auto"/>
        </w:rPr>
        <w:t>The cost of sales for the fourth quarter of 2025 was $66.0 million, with cash operating costs of $5,618 per to of lithium carbonate sold. Fourth quarter costs benefited from optimization and higher production volumes.</w:t>
      </w:r>
    </w:p>
    <w:p>
      <w:pPr>
        <w:spacing w:after="0" w:line="317"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For the year ended December 31, 2025, cost of sales was $238.5 million, with cash operating costs of $6,10 tonne of lithium carbonate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175895</wp:posOffset>
            </wp:positionV>
            <wp:extent cx="6078220" cy="952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33">
                      <a:extLst>
                        <a:ext uri="{28A0092B-C50C-407E-A947-70E740481C1C}"/>
                      </a:extLst>
                    </a:blip>
                    <a:srcRect/>
                    <a:stretch>
                      <a:fillRect/>
                    </a:stretch>
                  </pic:blipFill>
                  <pic:spPr bwMode="auto">
                    <a:xfrm>
                      <a:off x="0" y="0"/>
                      <a:ext cx="6078220" cy="952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1020" w:hanging="126"/>
        <w:spacing w:after="0"/>
        <w:tabs>
          <w:tab w:leader="none" w:pos="1020" w:val="left"/>
        </w:tabs>
        <w:numPr>
          <w:ilvl w:val="0"/>
          <w:numId w:val="241"/>
        </w:numPr>
        <w:rPr>
          <w:rFonts w:ascii="Arial" w:cs="Arial" w:eastAsia="Arial" w:hAnsi="Arial"/>
          <w:sz w:val="27"/>
          <w:szCs w:val="27"/>
          <w:color w:val="auto"/>
          <w:vertAlign w:val="superscript"/>
        </w:rPr>
      </w:pPr>
      <w:r>
        <w:rPr>
          <w:rFonts w:ascii="Arial" w:cs="Arial" w:eastAsia="Arial" w:hAnsi="Arial"/>
          <w:sz w:val="16"/>
          <w:szCs w:val="16"/>
          <w:color w:val="auto"/>
        </w:rPr>
        <w:t>Information in this section is presented on a 100% basis of the Cauchari-Olaroz operation; the Company’s economic interest is 44.8%</w:t>
      </w:r>
    </w:p>
    <w:p>
      <w:pPr>
        <w:spacing w:after="0" w:line="1" w:lineRule="exact"/>
        <w:rPr>
          <w:sz w:val="20"/>
          <w:szCs w:val="20"/>
          <w:color w:val="auto"/>
        </w:rPr>
      </w:pPr>
    </w:p>
    <w:p>
      <w:pPr>
        <w:ind w:left="1020" w:hanging="126"/>
        <w:spacing w:after="0"/>
        <w:tabs>
          <w:tab w:leader="none" w:pos="1020" w:val="left"/>
        </w:tabs>
        <w:numPr>
          <w:ilvl w:val="0"/>
          <w:numId w:val="242"/>
        </w:numPr>
        <w:rPr>
          <w:rFonts w:ascii="Arial" w:cs="Arial" w:eastAsia="Arial" w:hAnsi="Arial"/>
          <w:sz w:val="26"/>
          <w:szCs w:val="26"/>
          <w:color w:val="auto"/>
          <w:vertAlign w:val="superscript"/>
        </w:rPr>
      </w:pPr>
      <w:r>
        <w:rPr>
          <w:rFonts w:ascii="Arial" w:cs="Arial" w:eastAsia="Arial" w:hAnsi="Arial"/>
          <w:sz w:val="15"/>
          <w:szCs w:val="15"/>
          <w:color w:val="auto"/>
        </w:rPr>
        <w:t>Approximately 34,100 tonnes of lithium carbonate production is inclusive of 359 tonnes of lithium carbonate equivalent from lithium chl</w:t>
      </w:r>
    </w:p>
    <w:p>
      <w:pPr>
        <w:spacing w:after="0" w:line="123" w:lineRule="exact"/>
        <w:rPr>
          <w:sz w:val="20"/>
          <w:szCs w:val="20"/>
          <w:color w:val="auto"/>
        </w:rPr>
      </w:pPr>
    </w:p>
    <w:p>
      <w:pPr>
        <w:jc w:val="both"/>
        <w:ind w:left="900" w:hanging="6"/>
        <w:spacing w:after="0" w:line="315" w:lineRule="auto"/>
        <w:tabs>
          <w:tab w:leader="none" w:pos="1097" w:val="left"/>
        </w:tabs>
        <w:numPr>
          <w:ilvl w:val="0"/>
          <w:numId w:val="243"/>
        </w:numPr>
        <w:rPr>
          <w:rFonts w:ascii="Arial" w:cs="Arial" w:eastAsia="Arial" w:hAnsi="Arial"/>
          <w:sz w:val="27"/>
          <w:szCs w:val="27"/>
          <w:color w:val="auto"/>
          <w:vertAlign w:val="superscript"/>
        </w:rPr>
      </w:pPr>
      <w:r>
        <w:rPr>
          <w:rFonts w:ascii="Arial" w:cs="Arial" w:eastAsia="Arial" w:hAnsi="Arial"/>
          <w:sz w:val="16"/>
          <w:szCs w:val="16"/>
          <w:color w:val="auto"/>
        </w:rPr>
        <w:t>Cash operating costs includes all expenditures incurred at the site such as brine management, lithium plant processing, site and pro office overheads and inventory adjustments. These costs also include project general and administrative costs and sales logistics costs operating cost per tonne is a non-GAAP financial measure or ratio and does not have a standardized meaning under IFRS and might comparable to similar financial measures disclosed by other issuers. See “Non-IFRS and Other Financial Measures”.</w:t>
      </w:r>
    </w:p>
    <w:p>
      <w:pPr>
        <w:spacing w:after="0" w:line="193"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3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 / 30</w:t>
      </w:r>
    </w:p>
    <w:p>
      <w:pPr>
        <w:sectPr>
          <w:pgSz w:w="11900" w:h="16838" w:orient="portrait"/>
          <w:cols w:equalWidth="0" w:num="1">
            <w:col w:w="10460"/>
          </w:cols>
          <w:pgMar w:left="1440" w:top="1440" w:right="6" w:bottom="0" w:gutter="0" w:footer="0" w:header="0"/>
          <w:type w:val="continuous"/>
        </w:sectPr>
      </w:pPr>
    </w:p>
    <w:bookmarkStart w:id="502" w:name="page503"/>
    <w:bookmarkEnd w:id="5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35">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Health and Safety</w:t>
      </w:r>
    </w:p>
    <w:p>
      <w:pPr>
        <w:spacing w:after="0" w:line="279" w:lineRule="exact"/>
        <w:rPr>
          <w:sz w:val="20"/>
          <w:szCs w:val="20"/>
          <w:color w:val="auto"/>
        </w:rPr>
      </w:pPr>
    </w:p>
    <w:p>
      <w:pPr>
        <w:jc w:val="both"/>
        <w:ind w:left="900" w:right="20"/>
        <w:spacing w:after="0" w:line="307" w:lineRule="auto"/>
        <w:rPr>
          <w:sz w:val="20"/>
          <w:szCs w:val="20"/>
          <w:color w:val="auto"/>
        </w:rPr>
      </w:pPr>
      <w:r>
        <w:rPr>
          <w:rFonts w:ascii="Arial" w:cs="Arial" w:eastAsia="Arial" w:hAnsi="Arial"/>
          <w:sz w:val="20"/>
          <w:szCs w:val="20"/>
          <w:color w:val="auto"/>
        </w:rPr>
        <w:t>The Total Recordable Injury Frequency rate for Cauchari-Olaroz for the twelve months ended December 31, was 0.71 per 200,000 hours worked (including contractors at site).</w:t>
      </w:r>
    </w:p>
    <w:p>
      <w:pPr>
        <w:spacing w:after="0" w:line="215"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The Lost Time Injury Frequency Rate for Cauchari-Olaroz for the twelve months ended December 31, 2025 0.08 per 200,000 hours worked (including contractors at site).</w:t>
      </w:r>
    </w:p>
    <w:p>
      <w:pPr>
        <w:spacing w:after="0" w:line="215"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Cauchari-Olaroz remains committed to maintaining a safe, and supportive work environment, with ongoing e focused on strengthening safety practices.</w:t>
      </w:r>
    </w:p>
    <w:p>
      <w:pPr>
        <w:spacing w:after="0" w:line="310"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Environmental and Social Responsibility</w:t>
      </w:r>
    </w:p>
    <w:p>
      <w:pPr>
        <w:spacing w:after="0" w:line="319" w:lineRule="exact"/>
        <w:rPr>
          <w:sz w:val="20"/>
          <w:szCs w:val="20"/>
          <w:color w:val="auto"/>
        </w:rPr>
      </w:pPr>
    </w:p>
    <w:p>
      <w:pPr>
        <w:jc w:val="both"/>
        <w:ind w:left="900" w:right="20"/>
        <w:spacing w:after="0" w:line="312" w:lineRule="auto"/>
        <w:rPr>
          <w:sz w:val="20"/>
          <w:szCs w:val="20"/>
          <w:color w:val="auto"/>
        </w:rPr>
      </w:pPr>
      <w:r>
        <w:rPr>
          <w:rFonts w:ascii="Arial" w:cs="Arial" w:eastAsia="Arial" w:hAnsi="Arial"/>
          <w:sz w:val="20"/>
          <w:szCs w:val="20"/>
          <w:color w:val="auto"/>
        </w:rPr>
        <w:t>Cauchari-Olaroz initiated the Responsible Minerals Initiative (RMI) Responsible Sourcing Assurance Proces (“</w:t>
      </w:r>
      <w:r>
        <w:rPr>
          <w:rFonts w:ascii="Arial" w:cs="Arial" w:eastAsia="Arial" w:hAnsi="Arial"/>
          <w:sz w:val="20"/>
          <w:szCs w:val="20"/>
          <w:b w:val="1"/>
          <w:bCs w:val="1"/>
          <w:color w:val="auto"/>
        </w:rPr>
        <w:t>RMAP</w:t>
      </w:r>
      <w:r>
        <w:rPr>
          <w:rFonts w:ascii="Arial" w:cs="Arial" w:eastAsia="Arial" w:hAnsi="Arial"/>
          <w:sz w:val="20"/>
          <w:szCs w:val="20"/>
          <w:color w:val="auto"/>
        </w:rPr>
        <w:t>”) to ensure its supply chain adheres to the highest ethical and environmental standards. In Decemb 2024, it was officially added to the RMAP active list. Subsequently, in June 2025, the operation successfully completed an on-site audit as part of the RMAP requirements.</w:t>
      </w:r>
    </w:p>
    <w:p>
      <w:pPr>
        <w:spacing w:after="0" w:line="200" w:lineRule="exact"/>
        <w:rPr>
          <w:sz w:val="20"/>
          <w:szCs w:val="20"/>
          <w:color w:val="auto"/>
        </w:rPr>
      </w:pPr>
    </w:p>
    <w:p>
      <w:pPr>
        <w:spacing w:after="0" w:line="226"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Mineral Resource and Reserve Estimation</w:t>
      </w:r>
    </w:p>
    <w:p>
      <w:pPr>
        <w:spacing w:after="0" w:line="373" w:lineRule="exact"/>
        <w:rPr>
          <w:sz w:val="20"/>
          <w:szCs w:val="20"/>
          <w:color w:val="auto"/>
        </w:rPr>
      </w:pPr>
    </w:p>
    <w:p>
      <w:pPr>
        <w:jc w:val="both"/>
        <w:ind w:left="900"/>
        <w:spacing w:after="0" w:line="310" w:lineRule="auto"/>
        <w:rPr>
          <w:sz w:val="20"/>
          <w:szCs w:val="20"/>
          <w:color w:val="auto"/>
        </w:rPr>
      </w:pPr>
      <w:r>
        <w:rPr>
          <w:rFonts w:ascii="Arial" w:cs="Arial" w:eastAsia="Arial" w:hAnsi="Arial"/>
          <w:sz w:val="19"/>
          <w:szCs w:val="19"/>
          <w:color w:val="auto"/>
        </w:rPr>
        <w:t>The Company released an updated mineral resource and reserve estimate (“</w:t>
      </w:r>
      <w:r>
        <w:rPr>
          <w:rFonts w:ascii="Arial" w:cs="Arial" w:eastAsia="Arial" w:hAnsi="Arial"/>
          <w:sz w:val="19"/>
          <w:szCs w:val="19"/>
          <w:b w:val="1"/>
          <w:bCs w:val="1"/>
          <w:color w:val="auto"/>
        </w:rPr>
        <w:t>Updated Estimate</w:t>
      </w:r>
      <w:r>
        <w:rPr>
          <w:rFonts w:ascii="Arial" w:cs="Arial" w:eastAsia="Arial" w:hAnsi="Arial"/>
          <w:sz w:val="19"/>
          <w:szCs w:val="19"/>
          <w:color w:val="auto"/>
        </w:rPr>
        <w:t>”)</w:t>
      </w:r>
      <w:r>
        <w:rPr>
          <w:rFonts w:ascii="Arial" w:cs="Arial" w:eastAsia="Arial" w:hAnsi="Arial"/>
          <w:sz w:val="25"/>
          <w:szCs w:val="25"/>
          <w:color w:val="auto"/>
          <w:vertAlign w:val="superscript"/>
        </w:rPr>
        <w:t>11</w:t>
      </w:r>
      <w:r>
        <w:rPr>
          <w:rFonts w:ascii="Arial" w:cs="Arial" w:eastAsia="Arial" w:hAnsi="Arial"/>
          <w:sz w:val="19"/>
          <w:szCs w:val="19"/>
          <w:color w:val="auto"/>
        </w:rPr>
        <w:t>, whic believe confirms that Cauchari-Olaroz is not only a high-quality, low-cost operating asset, but also a gro long-life resource base capable of supporting future expansion beyond the current 40,000 tpa LCE name capacity. The expanded measured and indicated mineral resource estimate by 42% to 28.1 million tonnes ( of LCE at an average grade of 562 mg/L lithium, to support the Stage 2 development plan expected in mid-2</w:t>
      </w:r>
    </w:p>
    <w:p>
      <w:pPr>
        <w:spacing w:after="0" w:line="318"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Updated Estimate shows a mineral reserve estimate reflecting the existing Stage 1 operation plan w capacity of 40,000 tpa. The project life supports an additional 35-year operating period using the exi production wells from 2026 through 2060 consistent with the previous 40-year project life after incorporating brine production and existing brine inventory. The estimate incorporates updated hydrogeological modeling brine production data since 2018, further strengthening confidence in the long-term performance of the basi supporting continued development.</w:t>
      </w:r>
    </w:p>
    <w:p>
      <w:pPr>
        <w:spacing w:after="0" w:line="200" w:lineRule="exact"/>
        <w:rPr>
          <w:sz w:val="20"/>
          <w:szCs w:val="20"/>
          <w:color w:val="auto"/>
        </w:rPr>
      </w:pPr>
    </w:p>
    <w:p>
      <w:pPr>
        <w:spacing w:after="0" w:line="226"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u w:val="single" w:color="auto"/>
          <w:color w:val="auto"/>
        </w:rPr>
        <w:t>PPG Project</w:t>
      </w:r>
    </w:p>
    <w:p>
      <w:pPr>
        <w:spacing w:after="0" w:line="199" w:lineRule="exact"/>
        <w:rPr>
          <w:sz w:val="20"/>
          <w:szCs w:val="20"/>
          <w:color w:val="auto"/>
        </w:rPr>
      </w:pPr>
    </w:p>
    <w:p>
      <w:pPr>
        <w:ind w:left="900"/>
        <w:spacing w:after="0" w:line="332" w:lineRule="auto"/>
        <w:rPr>
          <w:sz w:val="20"/>
          <w:szCs w:val="20"/>
          <w:color w:val="auto"/>
        </w:rPr>
      </w:pPr>
      <w:r>
        <w:rPr>
          <w:rFonts w:ascii="Arial" w:cs="Arial" w:eastAsia="Arial" w:hAnsi="Arial"/>
          <w:sz w:val="19"/>
          <w:szCs w:val="19"/>
          <w:color w:val="auto"/>
        </w:rPr>
        <w:t>Lithium Argentina have entered into a framework agreement with respect to the New JV to develop PPG. closing, Ganfeng and Lithium Argentina will own 67% and 33%, respectively. The New JV will be modelled o Cauchari-Olaroz joint venture including proportional ownership and funding, shared governance with decision rights, and pro-rata offtake allocation. Under the contemplated structure, Ganfeng will act as the technical partner and operator, incorporating its technical expertise for Direct Lithium Extraction (“</w:t>
      </w:r>
      <w:r>
        <w:rPr>
          <w:rFonts w:ascii="Arial" w:cs="Arial" w:eastAsia="Arial" w:hAnsi="Arial"/>
          <w:sz w:val="19"/>
          <w:szCs w:val="19"/>
          <w:b w:val="1"/>
          <w:bCs w:val="1"/>
          <w:color w:val="auto"/>
        </w:rPr>
        <w:t>DLE</w:t>
      </w:r>
      <w:r>
        <w:rPr>
          <w:rFonts w:ascii="Arial" w:cs="Arial" w:eastAsia="Arial" w:hAnsi="Arial"/>
          <w:sz w:val="19"/>
          <w:szCs w:val="19"/>
          <w:color w:val="auto"/>
        </w:rPr>
        <w:t>” defined herein) and downstream processing, while Lithium Argentina will provide its strong upstream and knowledge and bring expertise to support the permitting, in-country execution, and stakeholder engagement.</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 / 30</w:t>
      </w:r>
    </w:p>
    <w:p>
      <w:pPr>
        <w:sectPr>
          <w:pgSz w:w="11900" w:h="16838" w:orient="portrait"/>
          <w:cols w:equalWidth="0" w:num="1">
            <w:col w:w="10460"/>
          </w:cols>
          <w:pgMar w:left="1440" w:top="1440" w:right="6" w:bottom="0" w:gutter="0" w:footer="0" w:header="0"/>
          <w:type w:val="continuous"/>
        </w:sectPr>
      </w:pPr>
    </w:p>
    <w:bookmarkStart w:id="503" w:name="page504"/>
    <w:bookmarkEnd w:id="503"/>
    <w:p>
      <w:pPr>
        <w:jc w:val="both"/>
        <w:ind w:left="900"/>
        <w:spacing w:after="0" w:line="313" w:lineRule="auto"/>
        <w:rPr>
          <w:sz w:val="20"/>
          <w:szCs w:val="20"/>
          <w:color w:val="auto"/>
        </w:rPr>
      </w:pPr>
      <w:r>
        <w:rPr>
          <w:rFonts w:ascii="Arial" w:cs="Arial" w:eastAsia="Arial" w:hAnsi="Arial"/>
          <w:sz w:val="20"/>
          <w:szCs w:val="20"/>
          <w:color w:val="auto"/>
        </w:rPr>
        <w:t>A Scoping Study (“</w:t>
      </w:r>
      <w:r>
        <w:rPr>
          <w:rFonts w:ascii="Arial" w:cs="Arial" w:eastAsia="Arial" w:hAnsi="Arial"/>
          <w:sz w:val="20"/>
          <w:szCs w:val="20"/>
          <w:b w:val="1"/>
          <w:bCs w:val="1"/>
          <w:color w:val="auto"/>
        </w:rPr>
        <w:t>Scoping Study”</w:t>
      </w:r>
      <w:r>
        <w:rPr>
          <w:rFonts w:ascii="Arial" w:cs="Arial" w:eastAsia="Arial" w:hAnsi="Arial"/>
          <w:sz w:val="20"/>
          <w:szCs w:val="20"/>
          <w:color w:val="auto"/>
        </w:rPr>
        <w:t>) for PPG completed in November 2025 outlines a phased development initial 50,000 tpa of LCE increasing to 150,000 tpa using a hybrid DLE flowsheet that pre-concentrates bri ponds, then selectively recovers lithium from concentrated brine before final purification and production of lit carbonate. The technical approach aims to lower reagent and environmental intensity versus traditional proc and is expected to improve product consistency and quality, while reducing costs at a large production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365125</wp:posOffset>
            </wp:positionV>
            <wp:extent cx="6078220" cy="952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36">
                      <a:extLst>
                        <a:ext uri="{28A0092B-C50C-407E-A947-70E740481C1C}"/>
                      </a:extLst>
                    </a:blip>
                    <a:srcRect/>
                    <a:stretch>
                      <a:fillRect/>
                    </a:stretch>
                  </pic:blipFill>
                  <pic:spPr bwMode="auto">
                    <a:xfrm>
                      <a:off x="0" y="0"/>
                      <a:ext cx="607822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00" w:right="40" w:hanging="6"/>
        <w:spacing w:after="0" w:line="315" w:lineRule="auto"/>
        <w:tabs>
          <w:tab w:leader="none" w:pos="1099" w:val="left"/>
        </w:tabs>
        <w:numPr>
          <w:ilvl w:val="0"/>
          <w:numId w:val="244"/>
        </w:numPr>
        <w:rPr>
          <w:rFonts w:ascii="Arial" w:cs="Arial" w:eastAsia="Arial" w:hAnsi="Arial"/>
          <w:sz w:val="27"/>
          <w:szCs w:val="27"/>
          <w:color w:val="auto"/>
          <w:vertAlign w:val="superscript"/>
        </w:rPr>
      </w:pPr>
      <w:r>
        <w:rPr>
          <w:rFonts w:ascii="Arial" w:cs="Arial" w:eastAsia="Arial" w:hAnsi="Arial"/>
          <w:sz w:val="16"/>
          <w:szCs w:val="16"/>
          <w:color w:val="auto"/>
        </w:rPr>
        <w:t>See the detailed scientific and technical information on Cauchari-Olaroz prepared in accordance with NI 43-101 (including mineral resources and reserves estimates prepared in accordance with CIM Definition Standards adopted by the Canadian Institute of Mining, Metallurgy and Petroleum on May 10, 2014) and are also reported in accordance SK-1300. The estimates are supported by a technical with an effective date of February 27, 2026 which was filed on SEDAR+ and with the SEC.</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3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 / 30</w:t>
      </w:r>
    </w:p>
    <w:p>
      <w:pPr>
        <w:sectPr>
          <w:pgSz w:w="11900" w:h="16838" w:orient="portrait"/>
          <w:cols w:equalWidth="0" w:num="1">
            <w:col w:w="10460"/>
          </w:cols>
          <w:pgMar w:left="1440" w:top="1172" w:right="6" w:bottom="0" w:gutter="0" w:footer="0" w:header="0"/>
          <w:type w:val="continuous"/>
        </w:sectPr>
      </w:pPr>
    </w:p>
    <w:bookmarkStart w:id="504" w:name="page505"/>
    <w:bookmarkEnd w:id="5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38">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A technical report, prepared by Golder Associates (“</w:t>
      </w:r>
      <w:r>
        <w:rPr>
          <w:rFonts w:ascii="Arial" w:cs="Arial" w:eastAsia="Arial" w:hAnsi="Arial"/>
          <w:sz w:val="20"/>
          <w:szCs w:val="20"/>
          <w:b w:val="1"/>
          <w:bCs w:val="1"/>
          <w:color w:val="auto"/>
        </w:rPr>
        <w:t>Golder</w:t>
      </w:r>
      <w:r>
        <w:rPr>
          <w:rFonts w:ascii="Arial" w:cs="Arial" w:eastAsia="Arial" w:hAnsi="Arial"/>
          <w:sz w:val="20"/>
          <w:szCs w:val="20"/>
          <w:color w:val="auto"/>
        </w:rPr>
        <w:t xml:space="preserve">”), in accordance with National Instrument 43 </w:t>
      </w:r>
      <w:r>
        <w:rPr>
          <w:rFonts w:ascii="Arial" w:cs="Arial" w:eastAsia="Arial" w:hAnsi="Arial"/>
          <w:sz w:val="20"/>
          <w:szCs w:val="20"/>
          <w:i w:val="1"/>
          <w:iCs w:val="1"/>
          <w:color w:val="auto"/>
        </w:rPr>
        <w:t xml:space="preserve">Standards of Disclosure for Mineral Projects </w:t>
      </w:r>
      <w:r>
        <w:rPr>
          <w:rFonts w:ascii="Arial" w:cs="Arial" w:eastAsia="Arial" w:hAnsi="Arial"/>
          <w:sz w:val="20"/>
          <w:szCs w:val="20"/>
          <w:color w:val="auto"/>
        </w:rPr>
        <w:t>(“</w:t>
      </w:r>
      <w:r>
        <w:rPr>
          <w:rFonts w:ascii="Arial" w:cs="Arial" w:eastAsia="Arial" w:hAnsi="Arial"/>
          <w:sz w:val="20"/>
          <w:szCs w:val="20"/>
          <w:b w:val="1"/>
          <w:bCs w:val="1"/>
          <w:color w:val="auto"/>
        </w:rPr>
        <w:t>NI 43-101</w:t>
      </w:r>
      <w:r>
        <w:rPr>
          <w:rFonts w:ascii="Arial" w:cs="Arial" w:eastAsia="Arial" w:hAnsi="Arial"/>
          <w:sz w:val="20"/>
          <w:szCs w:val="20"/>
          <w:color w:val="auto"/>
        </w:rPr>
        <w:t>”) and Subpart 1300 of Regulation S-K (“</w:t>
      </w:r>
      <w:r>
        <w:rPr>
          <w:rFonts w:ascii="Arial" w:cs="Arial" w:eastAsia="Arial" w:hAnsi="Arial"/>
          <w:sz w:val="20"/>
          <w:szCs w:val="20"/>
          <w:b w:val="1"/>
          <w:bCs w:val="1"/>
          <w:color w:val="auto"/>
        </w:rPr>
        <w:t>SK 1300</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filed. The technical report has an effective date of October 31, 2025.Unless otherwise indicated, all figures a U.S. dollars and on a 100% basis.</w:t>
      </w:r>
    </w:p>
    <w:p>
      <w:pPr>
        <w:spacing w:after="0" w:line="304"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Scoping Study Results - Summary</w:t>
      </w:r>
      <w:r>
        <w:rPr>
          <w:rFonts w:ascii="Arial" w:cs="Arial" w:eastAsia="Arial" w:hAnsi="Arial"/>
          <w:sz w:val="26"/>
          <w:szCs w:val="26"/>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180340</wp:posOffset>
            </wp:positionV>
            <wp:extent cx="6090920" cy="4152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9">
                      <a:extLst>
                        <a:ext uri="{28A0092B-C50C-407E-A947-70E740481C1C}"/>
                      </a:extLst>
                    </a:blip>
                    <a:srcRect/>
                    <a:stretch>
                      <a:fillRect/>
                    </a:stretch>
                  </pic:blipFill>
                  <pic:spPr bwMode="auto">
                    <a:xfrm>
                      <a:off x="0" y="0"/>
                      <a:ext cx="6090920" cy="415290"/>
                    </a:xfrm>
                    <a:prstGeom prst="rect">
                      <a:avLst/>
                    </a:prstGeom>
                    <a:noFill/>
                  </pic:spPr>
                </pic:pic>
              </a:graphicData>
            </a:graphic>
          </wp:anchor>
        </w:drawing>
      </w:r>
    </w:p>
    <w:p>
      <w:pPr>
        <w:spacing w:after="0" w:line="325"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FFFFFF"/>
        </w:rPr>
        <w:t>Key Results</w:t>
      </w:r>
    </w:p>
    <w:p>
      <w:pPr>
        <w:spacing w:after="0" w:line="82"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FFFFFF"/>
        </w:rPr>
        <w:t>Operating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32385</wp:posOffset>
            </wp:positionV>
            <wp:extent cx="5129530" cy="19812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40">
                      <a:extLst>
                        <a:ext uri="{28A0092B-C50C-407E-A947-70E740481C1C}"/>
                      </a:extLst>
                    </a:blip>
                    <a:srcRect/>
                    <a:stretch>
                      <a:fillRect/>
                    </a:stretch>
                  </pic:blipFill>
                  <pic:spPr bwMode="auto">
                    <a:xfrm>
                      <a:off x="0" y="0"/>
                      <a:ext cx="5129530" cy="198120"/>
                    </a:xfrm>
                    <a:prstGeom prst="rect">
                      <a:avLst/>
                    </a:prstGeom>
                    <a:noFill/>
                  </pic:spPr>
                </pic:pic>
              </a:graphicData>
            </a:graphic>
          </wp:anchor>
        </w:drawing>
      </w:r>
    </w:p>
    <w:p>
      <w:pPr>
        <w:spacing w:after="0" w:line="62"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5680" w:type="dxa"/>
            <w:vAlign w:val="bottom"/>
          </w:tcPr>
          <w:p>
            <w:pPr>
              <w:ind w:left="720"/>
              <w:spacing w:after="0"/>
              <w:rPr>
                <w:sz w:val="20"/>
                <w:szCs w:val="20"/>
                <w:color w:val="auto"/>
              </w:rPr>
            </w:pPr>
            <w:r>
              <w:rPr>
                <w:rFonts w:ascii="Arial" w:cs="Arial" w:eastAsia="Arial" w:hAnsi="Arial"/>
                <w:sz w:val="20"/>
                <w:szCs w:val="20"/>
                <w:color w:val="auto"/>
              </w:rPr>
              <w:t>Annual Production</w:t>
            </w:r>
          </w:p>
        </w:tc>
        <w:tc>
          <w:tcPr>
            <w:tcW w:w="3760" w:type="dxa"/>
            <w:vAlign w:val="bottom"/>
          </w:tcPr>
          <w:p>
            <w:pPr>
              <w:ind w:left="2520"/>
              <w:spacing w:after="0"/>
              <w:rPr>
                <w:sz w:val="20"/>
                <w:szCs w:val="20"/>
                <w:color w:val="auto"/>
              </w:rPr>
            </w:pPr>
            <w:r>
              <w:rPr>
                <w:rFonts w:ascii="Arial" w:cs="Arial" w:eastAsia="Arial" w:hAnsi="Arial"/>
                <w:sz w:val="20"/>
                <w:szCs w:val="20"/>
                <w:color w:val="auto"/>
                <w:w w:val="99"/>
              </w:rPr>
              <w:t>150,000 tpa L</w:t>
            </w:r>
          </w:p>
        </w:tc>
      </w:tr>
      <w:tr>
        <w:trPr>
          <w:trHeight w:val="312"/>
        </w:trPr>
        <w:tc>
          <w:tcPr>
            <w:tcW w:w="5680" w:type="dxa"/>
            <w:vAlign w:val="bottom"/>
          </w:tcPr>
          <w:p>
            <w:pPr>
              <w:ind w:left="600"/>
              <w:spacing w:after="0"/>
              <w:rPr>
                <w:sz w:val="20"/>
                <w:szCs w:val="20"/>
                <w:color w:val="auto"/>
              </w:rPr>
            </w:pPr>
            <w:r>
              <w:rPr>
                <w:rFonts w:ascii="Arial" w:cs="Arial" w:eastAsia="Arial" w:hAnsi="Arial"/>
                <w:sz w:val="20"/>
                <w:szCs w:val="20"/>
                <w:color w:val="auto"/>
              </w:rPr>
              <w:t>Annual Production – Stage 1</w:t>
            </w:r>
          </w:p>
        </w:tc>
        <w:tc>
          <w:tcPr>
            <w:tcW w:w="3760" w:type="dxa"/>
            <w:vAlign w:val="bottom"/>
          </w:tcPr>
          <w:p>
            <w:pPr>
              <w:ind w:left="2580"/>
              <w:spacing w:after="0"/>
              <w:rPr>
                <w:sz w:val="20"/>
                <w:szCs w:val="20"/>
                <w:color w:val="auto"/>
              </w:rPr>
            </w:pPr>
            <w:r>
              <w:rPr>
                <w:rFonts w:ascii="Arial" w:cs="Arial" w:eastAsia="Arial" w:hAnsi="Arial"/>
                <w:sz w:val="20"/>
                <w:szCs w:val="20"/>
                <w:color w:val="auto"/>
                <w:w w:val="92"/>
              </w:rPr>
              <w:t>50,000 tpa LC</w:t>
            </w:r>
          </w:p>
        </w:tc>
      </w:tr>
      <w:tr>
        <w:trPr>
          <w:trHeight w:val="312"/>
        </w:trPr>
        <w:tc>
          <w:tcPr>
            <w:tcW w:w="5680" w:type="dxa"/>
            <w:vAlign w:val="bottom"/>
          </w:tcPr>
          <w:p>
            <w:pPr>
              <w:ind w:left="720"/>
              <w:spacing w:after="0"/>
              <w:rPr>
                <w:sz w:val="20"/>
                <w:szCs w:val="20"/>
                <w:color w:val="auto"/>
              </w:rPr>
            </w:pPr>
            <w:r>
              <w:rPr>
                <w:rFonts w:ascii="Arial" w:cs="Arial" w:eastAsia="Arial" w:hAnsi="Arial"/>
                <w:sz w:val="20"/>
                <w:szCs w:val="20"/>
                <w:color w:val="auto"/>
              </w:rPr>
              <w:t>Project life</w:t>
            </w:r>
          </w:p>
        </w:tc>
        <w:tc>
          <w:tcPr>
            <w:tcW w:w="3760" w:type="dxa"/>
            <w:vAlign w:val="bottom"/>
          </w:tcPr>
          <w:p>
            <w:pPr>
              <w:jc w:val="center"/>
              <w:ind w:left="2680"/>
              <w:spacing w:after="0"/>
              <w:rPr>
                <w:sz w:val="20"/>
                <w:szCs w:val="20"/>
                <w:color w:val="auto"/>
              </w:rPr>
            </w:pPr>
            <w:r>
              <w:rPr>
                <w:rFonts w:ascii="Arial" w:cs="Arial" w:eastAsia="Arial" w:hAnsi="Arial"/>
                <w:sz w:val="20"/>
                <w:szCs w:val="20"/>
                <w:color w:val="auto"/>
              </w:rPr>
              <w:t>30 years</w:t>
            </w:r>
          </w:p>
        </w:tc>
      </w:tr>
      <w:tr>
        <w:trPr>
          <w:trHeight w:val="386"/>
        </w:trPr>
        <w:tc>
          <w:tcPr>
            <w:tcW w:w="5680" w:type="dxa"/>
            <w:vAlign w:val="bottom"/>
          </w:tcPr>
          <w:p>
            <w:pPr>
              <w:spacing w:after="0"/>
              <w:rPr>
                <w:sz w:val="20"/>
                <w:szCs w:val="20"/>
                <w:color w:val="auto"/>
              </w:rPr>
            </w:pPr>
            <w:r>
              <w:rPr>
                <w:rFonts w:ascii="Arial" w:cs="Arial" w:eastAsia="Arial" w:hAnsi="Arial"/>
                <w:sz w:val="20"/>
                <w:szCs w:val="20"/>
                <w:b w:val="1"/>
                <w:bCs w:val="1"/>
                <w:color w:val="auto"/>
              </w:rPr>
              <w:t>Economic Parameters</w:t>
            </w:r>
            <w:r>
              <w:rPr>
                <w:rFonts w:ascii="Arial" w:cs="Arial" w:eastAsia="Arial" w:hAnsi="Arial"/>
                <w:sz w:val="26"/>
                <w:szCs w:val="26"/>
                <w:b w:val="1"/>
                <w:bCs w:val="1"/>
                <w:color w:val="auto"/>
                <w:vertAlign w:val="superscript"/>
              </w:rPr>
              <w:t>13</w:t>
            </w:r>
          </w:p>
        </w:tc>
        <w:tc>
          <w:tcPr>
            <w:tcW w:w="3760" w:type="dxa"/>
            <w:vAlign w:val="bottom"/>
          </w:tcPr>
          <w:p>
            <w:pPr>
              <w:spacing w:after="0"/>
              <w:rPr>
                <w:sz w:val="24"/>
                <w:szCs w:val="24"/>
                <w:color w:val="auto"/>
              </w:rPr>
            </w:pPr>
          </w:p>
        </w:tc>
      </w:tr>
      <w:tr>
        <w:trPr>
          <w:trHeight w:val="238"/>
        </w:trPr>
        <w:tc>
          <w:tcPr>
            <w:tcW w:w="5680" w:type="dxa"/>
            <w:vAlign w:val="bottom"/>
          </w:tcPr>
          <w:p>
            <w:pPr>
              <w:ind w:left="720"/>
              <w:spacing w:after="0"/>
              <w:rPr>
                <w:sz w:val="20"/>
                <w:szCs w:val="20"/>
                <w:color w:val="auto"/>
              </w:rPr>
            </w:pPr>
            <w:r>
              <w:rPr>
                <w:rFonts w:ascii="Arial" w:cs="Arial" w:eastAsia="Arial" w:hAnsi="Arial"/>
                <w:sz w:val="20"/>
                <w:szCs w:val="20"/>
                <w:color w:val="auto"/>
              </w:rPr>
              <w:t>Lithium Carbonate Price</w:t>
            </w:r>
          </w:p>
        </w:tc>
        <w:tc>
          <w:tcPr>
            <w:tcW w:w="3760" w:type="dxa"/>
            <w:vAlign w:val="bottom"/>
          </w:tcPr>
          <w:p>
            <w:pPr>
              <w:jc w:val="center"/>
              <w:ind w:left="2680"/>
              <w:spacing w:after="0"/>
              <w:rPr>
                <w:sz w:val="20"/>
                <w:szCs w:val="20"/>
                <w:color w:val="auto"/>
              </w:rPr>
            </w:pPr>
            <w:r>
              <w:rPr>
                <w:rFonts w:ascii="Arial" w:cs="Arial" w:eastAsia="Arial" w:hAnsi="Arial"/>
                <w:sz w:val="20"/>
                <w:szCs w:val="20"/>
                <w:color w:val="auto"/>
                <w:w w:val="99"/>
              </w:rPr>
              <w:t>$18,000 / t</w:t>
            </w:r>
          </w:p>
        </w:tc>
      </w:tr>
      <w:tr>
        <w:trPr>
          <w:trHeight w:val="318"/>
        </w:trPr>
        <w:tc>
          <w:tcPr>
            <w:tcW w:w="5680" w:type="dxa"/>
            <w:vAlign w:val="bottom"/>
          </w:tcPr>
          <w:p>
            <w:pPr>
              <w:ind w:left="720"/>
              <w:spacing w:after="0"/>
              <w:rPr>
                <w:sz w:val="20"/>
                <w:szCs w:val="20"/>
                <w:color w:val="auto"/>
              </w:rPr>
            </w:pPr>
            <w:r>
              <w:rPr>
                <w:rFonts w:ascii="Arial" w:cs="Arial" w:eastAsia="Arial" w:hAnsi="Arial"/>
                <w:sz w:val="20"/>
                <w:szCs w:val="20"/>
                <w:color w:val="auto"/>
              </w:rPr>
              <w:t>NPV</w:t>
            </w:r>
            <w:r>
              <w:rPr>
                <w:rFonts w:ascii="Arial" w:cs="Arial" w:eastAsia="Arial" w:hAnsi="Arial"/>
                <w:sz w:val="13"/>
                <w:szCs w:val="13"/>
                <w:color w:val="auto"/>
              </w:rPr>
              <w:t>8%</w:t>
            </w:r>
          </w:p>
        </w:tc>
        <w:tc>
          <w:tcPr>
            <w:tcW w:w="3760" w:type="dxa"/>
            <w:vAlign w:val="bottom"/>
          </w:tcPr>
          <w:p>
            <w:pPr>
              <w:jc w:val="center"/>
              <w:ind w:left="2680"/>
              <w:spacing w:after="0"/>
              <w:rPr>
                <w:sz w:val="20"/>
                <w:szCs w:val="20"/>
                <w:color w:val="auto"/>
              </w:rPr>
            </w:pPr>
            <w:r>
              <w:rPr>
                <w:rFonts w:ascii="Arial" w:cs="Arial" w:eastAsia="Arial" w:hAnsi="Arial"/>
                <w:sz w:val="20"/>
                <w:szCs w:val="20"/>
                <w:color w:val="auto"/>
              </w:rPr>
              <w:t>$8.1 B</w:t>
            </w:r>
          </w:p>
        </w:tc>
      </w:tr>
      <w:tr>
        <w:trPr>
          <w:trHeight w:val="312"/>
        </w:trPr>
        <w:tc>
          <w:tcPr>
            <w:tcW w:w="5680" w:type="dxa"/>
            <w:vAlign w:val="bottom"/>
          </w:tcPr>
          <w:p>
            <w:pPr>
              <w:ind w:left="720"/>
              <w:spacing w:after="0"/>
              <w:rPr>
                <w:sz w:val="20"/>
                <w:szCs w:val="20"/>
                <w:color w:val="auto"/>
              </w:rPr>
            </w:pPr>
            <w:r>
              <w:rPr>
                <w:rFonts w:ascii="Arial" w:cs="Arial" w:eastAsia="Arial" w:hAnsi="Arial"/>
                <w:sz w:val="20"/>
                <w:szCs w:val="20"/>
                <w:color w:val="auto"/>
              </w:rPr>
              <w:t>NPV</w:t>
            </w:r>
            <w:r>
              <w:rPr>
                <w:rFonts w:ascii="Arial" w:cs="Arial" w:eastAsia="Arial" w:hAnsi="Arial"/>
                <w:sz w:val="13"/>
                <w:szCs w:val="13"/>
                <w:color w:val="auto"/>
              </w:rPr>
              <w:t>10%</w:t>
            </w:r>
          </w:p>
        </w:tc>
        <w:tc>
          <w:tcPr>
            <w:tcW w:w="3760" w:type="dxa"/>
            <w:vAlign w:val="bottom"/>
          </w:tcPr>
          <w:p>
            <w:pPr>
              <w:jc w:val="center"/>
              <w:ind w:left="2680"/>
              <w:spacing w:after="0"/>
              <w:rPr>
                <w:sz w:val="20"/>
                <w:szCs w:val="20"/>
                <w:color w:val="auto"/>
              </w:rPr>
            </w:pPr>
            <w:r>
              <w:rPr>
                <w:rFonts w:ascii="Arial" w:cs="Arial" w:eastAsia="Arial" w:hAnsi="Arial"/>
                <w:sz w:val="20"/>
                <w:szCs w:val="20"/>
                <w:color w:val="auto"/>
              </w:rPr>
              <w:t>$5.8 B</w:t>
            </w:r>
          </w:p>
        </w:tc>
      </w:tr>
      <w:tr>
        <w:trPr>
          <w:trHeight w:val="306"/>
        </w:trPr>
        <w:tc>
          <w:tcPr>
            <w:tcW w:w="5680" w:type="dxa"/>
            <w:vAlign w:val="bottom"/>
          </w:tcPr>
          <w:p>
            <w:pPr>
              <w:ind w:left="720"/>
              <w:spacing w:after="0"/>
              <w:rPr>
                <w:sz w:val="20"/>
                <w:szCs w:val="20"/>
                <w:color w:val="auto"/>
              </w:rPr>
            </w:pPr>
            <w:r>
              <w:rPr>
                <w:rFonts w:ascii="Arial" w:cs="Arial" w:eastAsia="Arial" w:hAnsi="Arial"/>
                <w:sz w:val="20"/>
                <w:szCs w:val="20"/>
                <w:color w:val="auto"/>
              </w:rPr>
              <w:t>IRR</w:t>
            </w:r>
          </w:p>
        </w:tc>
        <w:tc>
          <w:tcPr>
            <w:tcW w:w="3760" w:type="dxa"/>
            <w:vAlign w:val="bottom"/>
          </w:tcPr>
          <w:p>
            <w:pPr>
              <w:jc w:val="center"/>
              <w:ind w:left="2680"/>
              <w:spacing w:after="0"/>
              <w:rPr>
                <w:sz w:val="20"/>
                <w:szCs w:val="20"/>
                <w:color w:val="auto"/>
              </w:rPr>
            </w:pPr>
            <w:r>
              <w:rPr>
                <w:rFonts w:ascii="Arial" w:cs="Arial" w:eastAsia="Arial" w:hAnsi="Arial"/>
                <w:sz w:val="20"/>
                <w:szCs w:val="20"/>
                <w:color w:val="auto"/>
              </w:rPr>
              <w:t>32.7%</w:t>
            </w:r>
          </w:p>
        </w:tc>
      </w:tr>
      <w:tr>
        <w:trPr>
          <w:trHeight w:val="312"/>
        </w:trPr>
        <w:tc>
          <w:tcPr>
            <w:tcW w:w="5680" w:type="dxa"/>
            <w:vAlign w:val="bottom"/>
          </w:tcPr>
          <w:p>
            <w:pPr>
              <w:ind w:left="720"/>
              <w:spacing w:after="0"/>
              <w:rPr>
                <w:sz w:val="20"/>
                <w:szCs w:val="20"/>
                <w:color w:val="auto"/>
              </w:rPr>
            </w:pPr>
            <w:r>
              <w:rPr>
                <w:rFonts w:ascii="Arial" w:cs="Arial" w:eastAsia="Arial" w:hAnsi="Arial"/>
                <w:sz w:val="20"/>
                <w:szCs w:val="20"/>
                <w:color w:val="auto"/>
              </w:rPr>
              <w:t>Payback</w:t>
            </w:r>
          </w:p>
        </w:tc>
        <w:tc>
          <w:tcPr>
            <w:tcW w:w="3760" w:type="dxa"/>
            <w:vAlign w:val="bottom"/>
          </w:tcPr>
          <w:p>
            <w:pPr>
              <w:jc w:val="center"/>
              <w:ind w:left="2680"/>
              <w:spacing w:after="0"/>
              <w:rPr>
                <w:sz w:val="20"/>
                <w:szCs w:val="20"/>
                <w:color w:val="auto"/>
              </w:rPr>
            </w:pPr>
            <w:r>
              <w:rPr>
                <w:rFonts w:ascii="Arial" w:cs="Arial" w:eastAsia="Arial" w:hAnsi="Arial"/>
                <w:sz w:val="20"/>
                <w:szCs w:val="20"/>
                <w:color w:val="auto"/>
              </w:rPr>
              <w:t>7 years</w:t>
            </w:r>
          </w:p>
        </w:tc>
      </w:tr>
      <w:tr>
        <w:trPr>
          <w:trHeight w:val="312"/>
        </w:trPr>
        <w:tc>
          <w:tcPr>
            <w:tcW w:w="5680" w:type="dxa"/>
            <w:vAlign w:val="bottom"/>
          </w:tcPr>
          <w:p>
            <w:pPr>
              <w:spacing w:after="0"/>
              <w:rPr>
                <w:sz w:val="20"/>
                <w:szCs w:val="20"/>
                <w:color w:val="auto"/>
              </w:rPr>
            </w:pPr>
            <w:r>
              <w:rPr>
                <w:rFonts w:ascii="Arial" w:cs="Arial" w:eastAsia="Arial" w:hAnsi="Arial"/>
                <w:sz w:val="20"/>
                <w:szCs w:val="20"/>
                <w:b w:val="1"/>
                <w:bCs w:val="1"/>
                <w:color w:val="auto"/>
              </w:rPr>
              <w:t>Financial Metrics</w:t>
            </w:r>
          </w:p>
        </w:tc>
        <w:tc>
          <w:tcPr>
            <w:tcW w:w="3760" w:type="dxa"/>
            <w:vAlign w:val="bottom"/>
          </w:tcPr>
          <w:p>
            <w:pPr>
              <w:spacing w:after="0"/>
              <w:rPr>
                <w:sz w:val="24"/>
                <w:szCs w:val="24"/>
                <w:color w:val="auto"/>
              </w:rPr>
            </w:pPr>
          </w:p>
        </w:tc>
      </w:tr>
      <w:tr>
        <w:trPr>
          <w:trHeight w:val="312"/>
        </w:trPr>
        <w:tc>
          <w:tcPr>
            <w:tcW w:w="5680" w:type="dxa"/>
            <w:vAlign w:val="bottom"/>
          </w:tcPr>
          <w:p>
            <w:pPr>
              <w:ind w:left="720"/>
              <w:spacing w:after="0"/>
              <w:rPr>
                <w:sz w:val="20"/>
                <w:szCs w:val="20"/>
                <w:color w:val="auto"/>
              </w:rPr>
            </w:pPr>
            <w:r>
              <w:rPr>
                <w:rFonts w:ascii="Arial" w:cs="Arial" w:eastAsia="Arial" w:hAnsi="Arial"/>
                <w:sz w:val="20"/>
                <w:szCs w:val="20"/>
                <w:color w:val="auto"/>
              </w:rPr>
              <w:t>Capital Costs</w:t>
            </w:r>
          </w:p>
        </w:tc>
        <w:tc>
          <w:tcPr>
            <w:tcW w:w="3760" w:type="dxa"/>
            <w:vAlign w:val="bottom"/>
          </w:tcPr>
          <w:p>
            <w:pPr>
              <w:jc w:val="center"/>
              <w:ind w:left="2680"/>
              <w:spacing w:after="0"/>
              <w:rPr>
                <w:sz w:val="20"/>
                <w:szCs w:val="20"/>
                <w:color w:val="auto"/>
              </w:rPr>
            </w:pPr>
            <w:r>
              <w:rPr>
                <w:rFonts w:ascii="Arial" w:cs="Arial" w:eastAsia="Arial" w:hAnsi="Arial"/>
                <w:sz w:val="20"/>
                <w:szCs w:val="20"/>
                <w:color w:val="auto"/>
              </w:rPr>
              <w:t>$3.3 B</w:t>
            </w:r>
          </w:p>
        </w:tc>
      </w:tr>
      <w:tr>
        <w:trPr>
          <w:trHeight w:val="312"/>
        </w:trPr>
        <w:tc>
          <w:tcPr>
            <w:tcW w:w="5680" w:type="dxa"/>
            <w:vAlign w:val="bottom"/>
          </w:tcPr>
          <w:p>
            <w:pPr>
              <w:ind w:left="600"/>
              <w:spacing w:after="0"/>
              <w:rPr>
                <w:sz w:val="20"/>
                <w:szCs w:val="20"/>
                <w:color w:val="auto"/>
              </w:rPr>
            </w:pPr>
            <w:r>
              <w:rPr>
                <w:rFonts w:ascii="Arial" w:cs="Arial" w:eastAsia="Arial" w:hAnsi="Arial"/>
                <w:sz w:val="20"/>
                <w:szCs w:val="20"/>
                <w:color w:val="auto"/>
              </w:rPr>
              <w:t>Capital Costs – Stage 1</w:t>
            </w:r>
          </w:p>
        </w:tc>
        <w:tc>
          <w:tcPr>
            <w:tcW w:w="3760" w:type="dxa"/>
            <w:vAlign w:val="bottom"/>
          </w:tcPr>
          <w:p>
            <w:pPr>
              <w:jc w:val="center"/>
              <w:ind w:left="2680"/>
              <w:spacing w:after="0"/>
              <w:rPr>
                <w:sz w:val="20"/>
                <w:szCs w:val="20"/>
                <w:color w:val="auto"/>
              </w:rPr>
            </w:pPr>
            <w:r>
              <w:rPr>
                <w:rFonts w:ascii="Arial" w:cs="Arial" w:eastAsia="Arial" w:hAnsi="Arial"/>
                <w:sz w:val="20"/>
                <w:szCs w:val="20"/>
                <w:color w:val="auto"/>
              </w:rPr>
              <w:t>$1.1 B</w:t>
            </w:r>
          </w:p>
        </w:tc>
      </w:tr>
      <w:tr>
        <w:trPr>
          <w:trHeight w:val="312"/>
        </w:trPr>
        <w:tc>
          <w:tcPr>
            <w:tcW w:w="5680" w:type="dxa"/>
            <w:vAlign w:val="bottom"/>
          </w:tcPr>
          <w:p>
            <w:pPr>
              <w:ind w:left="720"/>
              <w:spacing w:after="0"/>
              <w:rPr>
                <w:sz w:val="20"/>
                <w:szCs w:val="20"/>
                <w:color w:val="auto"/>
              </w:rPr>
            </w:pPr>
            <w:r>
              <w:rPr>
                <w:rFonts w:ascii="Arial" w:cs="Arial" w:eastAsia="Arial" w:hAnsi="Arial"/>
                <w:sz w:val="20"/>
                <w:szCs w:val="20"/>
                <w:color w:val="auto"/>
              </w:rPr>
              <w:t>Operating Costs</w:t>
            </w:r>
          </w:p>
        </w:tc>
        <w:tc>
          <w:tcPr>
            <w:tcW w:w="3760" w:type="dxa"/>
            <w:vAlign w:val="bottom"/>
          </w:tcPr>
          <w:p>
            <w:pPr>
              <w:jc w:val="center"/>
              <w:ind w:left="2680"/>
              <w:spacing w:after="0"/>
              <w:rPr>
                <w:sz w:val="20"/>
                <w:szCs w:val="20"/>
                <w:color w:val="auto"/>
              </w:rPr>
            </w:pPr>
            <w:r>
              <w:rPr>
                <w:rFonts w:ascii="Arial" w:cs="Arial" w:eastAsia="Arial" w:hAnsi="Arial"/>
                <w:sz w:val="20"/>
                <w:szCs w:val="20"/>
                <w:color w:val="auto"/>
                <w:w w:val="98"/>
              </w:rPr>
              <w:t>$5,027 / t</w:t>
            </w:r>
          </w:p>
        </w:tc>
      </w:tr>
      <w:tr>
        <w:trPr>
          <w:trHeight w:val="313"/>
        </w:trPr>
        <w:tc>
          <w:tcPr>
            <w:tcW w:w="5680" w:type="dxa"/>
            <w:vAlign w:val="bottom"/>
          </w:tcPr>
          <w:p>
            <w:pPr>
              <w:ind w:left="600"/>
              <w:spacing w:after="0"/>
              <w:rPr>
                <w:sz w:val="20"/>
                <w:szCs w:val="20"/>
                <w:color w:val="auto"/>
              </w:rPr>
            </w:pPr>
            <w:r>
              <w:rPr>
                <w:rFonts w:ascii="Arial" w:cs="Arial" w:eastAsia="Arial" w:hAnsi="Arial"/>
                <w:sz w:val="20"/>
                <w:szCs w:val="20"/>
                <w:color w:val="auto"/>
              </w:rPr>
              <w:t>Sustaining Capex</w:t>
            </w:r>
          </w:p>
        </w:tc>
        <w:tc>
          <w:tcPr>
            <w:tcW w:w="3760" w:type="dxa"/>
            <w:vAlign w:val="bottom"/>
          </w:tcPr>
          <w:p>
            <w:pPr>
              <w:jc w:val="center"/>
              <w:ind w:left="2680"/>
              <w:spacing w:after="0"/>
              <w:rPr>
                <w:sz w:val="20"/>
                <w:szCs w:val="20"/>
                <w:color w:val="auto"/>
              </w:rPr>
            </w:pPr>
            <w:r>
              <w:rPr>
                <w:rFonts w:ascii="Arial" w:cs="Arial" w:eastAsia="Arial" w:hAnsi="Arial"/>
                <w:sz w:val="20"/>
                <w:szCs w:val="20"/>
                <w:color w:val="auto"/>
                <w:w w:val="98"/>
              </w:rPr>
              <w:t>$324 / 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-2548890</wp:posOffset>
            </wp:positionV>
            <wp:extent cx="6078220" cy="257873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41">
                      <a:extLst>
                        <a:ext uri="{28A0092B-C50C-407E-A947-70E740481C1C}"/>
                      </a:extLst>
                    </a:blip>
                    <a:srcRect/>
                    <a:stretch>
                      <a:fillRect/>
                    </a:stretch>
                  </pic:blipFill>
                  <pic:spPr bwMode="auto">
                    <a:xfrm>
                      <a:off x="0" y="0"/>
                      <a:ext cx="6078220" cy="257873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-2548890</wp:posOffset>
            </wp:positionV>
            <wp:extent cx="6078220" cy="257873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42">
                      <a:extLst>
                        <a:ext uri="{28A0092B-C50C-407E-A947-70E740481C1C}"/>
                      </a:extLst>
                    </a:blip>
                    <a:srcRect/>
                    <a:stretch>
                      <a:fillRect/>
                    </a:stretch>
                  </pic:blipFill>
                  <pic:spPr bwMode="auto">
                    <a:xfrm>
                      <a:off x="0" y="0"/>
                      <a:ext cx="6078220" cy="257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 xml:space="preserve">The Secretariat of Mining and Energy of the Province of Salta, Argentina, issued the Environmental Im Statement, </w:t>
      </w:r>
      <w:r>
        <w:rPr>
          <w:rFonts w:ascii="Arial" w:cs="Arial" w:eastAsia="Arial" w:hAnsi="Arial"/>
          <w:sz w:val="20"/>
          <w:szCs w:val="20"/>
          <w:i w:val="1"/>
          <w:iCs w:val="1"/>
          <w:color w:val="auto"/>
        </w:rPr>
        <w:t>Declaración de Impacto Ambiental,</w:t>
      </w:r>
      <w:r>
        <w:rPr>
          <w:rFonts w:ascii="Arial" w:cs="Arial" w:eastAsia="Arial" w:hAnsi="Arial"/>
          <w:sz w:val="20"/>
          <w:szCs w:val="20"/>
          <w:color w:val="auto"/>
        </w:rPr>
        <w:t xml:space="preserve"> (</w:t>
      </w:r>
      <w:r>
        <w:rPr>
          <w:rFonts w:ascii="Arial" w:cs="Arial" w:eastAsia="Arial" w:hAnsi="Arial"/>
          <w:sz w:val="20"/>
          <w:szCs w:val="20"/>
          <w:b w:val="1"/>
          <w:bCs w:val="1"/>
          <w:color w:val="auto"/>
        </w:rPr>
        <w:t>“DIA</w:t>
      </w:r>
      <w:r>
        <w:rPr>
          <w:rFonts w:ascii="Arial" w:cs="Arial" w:eastAsia="Arial" w:hAnsi="Arial"/>
          <w:sz w:val="20"/>
          <w:szCs w:val="20"/>
          <w:color w:val="auto"/>
        </w:rPr>
        <w:t>”) for Stage 1 of the PPG Project, closing a 14-month re of the project and the technology. The project has submitted its application to seek eligibility under Argent Régimen de Incentivo para Grandes Inversiones (“</w:t>
      </w:r>
      <w:r>
        <w:rPr>
          <w:rFonts w:ascii="Arial" w:cs="Arial" w:eastAsia="Arial" w:hAnsi="Arial"/>
          <w:sz w:val="20"/>
          <w:szCs w:val="20"/>
          <w:b w:val="1"/>
          <w:bCs w:val="1"/>
          <w:color w:val="auto"/>
        </w:rPr>
        <w:t>RIGI</w:t>
      </w:r>
      <w:r>
        <w:rPr>
          <w:rFonts w:ascii="Arial" w:cs="Arial" w:eastAsia="Arial" w:hAnsi="Arial"/>
          <w:sz w:val="20"/>
          <w:szCs w:val="20"/>
          <w:color w:val="auto"/>
        </w:rPr>
        <w:t>”) framework to enhance fiscal stability and long-competitiveness.</w:t>
      </w:r>
    </w:p>
    <w:p>
      <w:pPr>
        <w:spacing w:after="0" w:line="3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The partners are jointly pursuing financing options, including collaboration with potential partners and stra partners for offtake and minority ownership interests.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 / 30</w:t>
      </w:r>
    </w:p>
    <w:p>
      <w:pPr>
        <w:sectPr>
          <w:pgSz w:w="11900" w:h="16838" w:orient="portrait"/>
          <w:cols w:equalWidth="0" w:num="1">
            <w:col w:w="10460"/>
          </w:cols>
          <w:pgMar w:left="1440" w:top="1440" w:right="6" w:bottom="0" w:gutter="0" w:footer="0" w:header="0"/>
          <w:type w:val="continuous"/>
        </w:sectPr>
      </w:pPr>
    </w:p>
    <w:bookmarkStart w:id="505" w:name="page506"/>
    <w:bookmarkEnd w:id="5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1482090</wp:posOffset>
            </wp:positionH>
            <wp:positionV relativeFrom="page">
              <wp:posOffset>1102360</wp:posOffset>
            </wp:positionV>
            <wp:extent cx="6078220" cy="952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43">
                      <a:extLst>
                        <a:ext uri="{28A0092B-C50C-407E-A947-70E740481C1C}"/>
                      </a:extLst>
                    </a:blip>
                    <a:srcRect/>
                    <a:stretch>
                      <a:fillRect/>
                    </a:stretch>
                  </pic:blipFill>
                  <pic:spPr bwMode="auto">
                    <a:xfrm>
                      <a:off x="0" y="0"/>
                      <a:ext cx="6078220" cy="9525"/>
                    </a:xfrm>
                    <a:prstGeom prst="rect">
                      <a:avLst/>
                    </a:prstGeom>
                    <a:noFill/>
                  </pic:spPr>
                </pic:pic>
              </a:graphicData>
            </a:graphic>
          </wp:anchor>
        </w:drawing>
      </w:r>
    </w:p>
    <w:p>
      <w:pPr>
        <w:spacing w:after="0" w:line="373" w:lineRule="exact"/>
        <w:rPr>
          <w:sz w:val="20"/>
          <w:szCs w:val="20"/>
          <w:color w:val="auto"/>
        </w:rPr>
      </w:pPr>
    </w:p>
    <w:p>
      <w:pPr>
        <w:ind w:left="1100" w:hanging="206"/>
        <w:spacing w:after="0"/>
        <w:tabs>
          <w:tab w:leader="none" w:pos="1100" w:val="left"/>
        </w:tabs>
        <w:numPr>
          <w:ilvl w:val="0"/>
          <w:numId w:val="245"/>
        </w:numPr>
        <w:rPr>
          <w:rFonts w:ascii="Arial" w:cs="Arial" w:eastAsia="Arial" w:hAnsi="Arial"/>
          <w:sz w:val="27"/>
          <w:szCs w:val="27"/>
          <w:color w:val="auto"/>
          <w:vertAlign w:val="superscript"/>
        </w:rPr>
      </w:pPr>
      <w:r>
        <w:rPr>
          <w:rFonts w:ascii="Arial" w:cs="Arial" w:eastAsia="Arial" w:hAnsi="Arial"/>
          <w:sz w:val="16"/>
          <w:szCs w:val="16"/>
          <w:color w:val="auto"/>
        </w:rPr>
        <w:t>All dollar figures are in United States dollars and are on a 100% basis unless otherwise indicated. Canadian investors should review</w:t>
      </w:r>
    </w:p>
    <w:p>
      <w:pPr>
        <w:spacing w:after="0" w:line="123" w:lineRule="exact"/>
        <w:rPr>
          <w:rFonts w:ascii="Arial" w:cs="Arial" w:eastAsia="Arial" w:hAnsi="Arial"/>
          <w:sz w:val="27"/>
          <w:szCs w:val="27"/>
          <w:color w:val="auto"/>
          <w:vertAlign w:val="superscript"/>
        </w:rPr>
      </w:pPr>
    </w:p>
    <w:p>
      <w:pPr>
        <w:jc w:val="both"/>
        <w:ind w:left="900"/>
        <w:spacing w:after="0" w:line="373" w:lineRule="auto"/>
        <w:rPr>
          <w:rFonts w:ascii="Arial" w:cs="Arial" w:eastAsia="Arial" w:hAnsi="Arial"/>
          <w:sz w:val="27"/>
          <w:szCs w:val="27"/>
          <w:color w:val="auto"/>
          <w:vertAlign w:val="superscript"/>
        </w:rPr>
      </w:pPr>
      <w:r>
        <w:rPr>
          <w:rFonts w:ascii="Arial" w:cs="Arial" w:eastAsia="Arial" w:hAnsi="Arial"/>
          <w:sz w:val="16"/>
          <w:szCs w:val="16"/>
          <w:color w:val="auto"/>
        </w:rPr>
        <w:t>43-101 technical report entitled “Technical Report Scoping Study at the PPG Salar, Salta Province, Argentina” with an effective date of October 31, 2025, available on SEDAR+. An S-K 1300 Technical Report Scoping Study Report at the PPG Salars, Salta Province, Arg is also available on EDGAR.</w:t>
      </w:r>
    </w:p>
    <w:p>
      <w:pPr>
        <w:ind w:left="1100" w:hanging="206"/>
        <w:spacing w:after="0" w:line="233" w:lineRule="auto"/>
        <w:tabs>
          <w:tab w:leader="none" w:pos="1100" w:val="left"/>
        </w:tabs>
        <w:numPr>
          <w:ilvl w:val="0"/>
          <w:numId w:val="245"/>
        </w:numPr>
        <w:rPr>
          <w:rFonts w:ascii="Arial" w:cs="Arial" w:eastAsia="Arial" w:hAnsi="Arial"/>
          <w:sz w:val="27"/>
          <w:szCs w:val="27"/>
          <w:color w:val="auto"/>
          <w:vertAlign w:val="superscript"/>
        </w:rPr>
      </w:pPr>
      <w:r>
        <w:rPr>
          <w:rFonts w:ascii="Arial" w:cs="Arial" w:eastAsia="Arial" w:hAnsi="Arial"/>
          <w:sz w:val="16"/>
          <w:szCs w:val="16"/>
          <w:color w:val="auto"/>
        </w:rPr>
        <w:t>After-tax economic results.</w:t>
      </w:r>
    </w:p>
    <w:p>
      <w:pPr>
        <w:spacing w:after="0" w:line="248"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4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40"/>
          </w:cols>
          <w:pgMar w:left="1440" w:top="1440" w:right="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9 / 30</w:t>
      </w:r>
    </w:p>
    <w:p>
      <w:pPr>
        <w:sectPr>
          <w:pgSz w:w="11900" w:h="16838" w:orient="portrait"/>
          <w:cols w:equalWidth="0" w:num="1">
            <w:col w:w="10440"/>
          </w:cols>
          <w:pgMar w:left="1440" w:top="1440" w:right="26" w:bottom="0" w:gutter="0" w:footer="0" w:header="0"/>
          <w:type w:val="continuous"/>
        </w:sectPr>
      </w:pPr>
    </w:p>
    <w:bookmarkStart w:id="506" w:name="page507"/>
    <w:bookmarkEnd w:id="5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45">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153A57"/>
        </w:rPr>
        <w:t>FINANCIAL INFORMATION OF EXAR (on a 100% basis)</w:t>
      </w:r>
      <w:r>
        <w:rPr>
          <w:rFonts w:ascii="Arial" w:cs="Arial" w:eastAsia="Arial" w:hAnsi="Arial"/>
          <w:sz w:val="26"/>
          <w:szCs w:val="26"/>
          <w:b w:val="1"/>
          <w:bCs w:val="1"/>
          <w:i w:val="1"/>
          <w:iCs w:val="1"/>
          <w:color w:val="153A57"/>
          <w:vertAlign w:val="superscript"/>
        </w:rPr>
        <w:t>14</w:t>
      </w:r>
    </w:p>
    <w:p>
      <w:pPr>
        <w:spacing w:after="0" w:line="3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following is the condensed financial information of Exar on a 100% basis, as amended to reflect Company’s accounting policies. The Company holds a 44.8% economic interest in Exar and accounts f interest using the equity method of accounting. Accordingly, the recorded results and financial position of Ex included in a single line item in the Company’s consolidated statements of comprehensive loss and fina position,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192405</wp:posOffset>
            </wp:positionV>
            <wp:extent cx="6078220" cy="2857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46">
                      <a:extLst>
                        <a:ext uri="{28A0092B-C50C-407E-A947-70E740481C1C}"/>
                      </a:extLst>
                    </a:blip>
                    <a:srcRect/>
                    <a:stretch>
                      <a:fillRect/>
                    </a:stretch>
                  </pic:blipFill>
                  <pic:spPr bwMode="auto">
                    <a:xfrm>
                      <a:off x="0" y="0"/>
                      <a:ext cx="6078220" cy="28575"/>
                    </a:xfrm>
                    <a:prstGeom prst="rect">
                      <a:avLst/>
                    </a:prstGeom>
                    <a:noFill/>
                  </pic:spPr>
                </pic:pic>
              </a:graphicData>
            </a:graphic>
          </wp:anchor>
        </w:drawing>
      </w:r>
    </w:p>
    <w:p>
      <w:pPr>
        <w:spacing w:after="0" w:line="371"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0"/>
                <w:szCs w:val="20"/>
                <w:color w:val="auto"/>
              </w:rPr>
            </w:pPr>
            <w:r>
              <w:rPr>
                <w:rFonts w:ascii="Arial" w:cs="Arial" w:eastAsia="Arial" w:hAnsi="Arial"/>
                <w:sz w:val="18"/>
                <w:szCs w:val="18"/>
                <w:b w:val="1"/>
                <w:bCs w:val="1"/>
                <w:color w:val="auto"/>
              </w:rPr>
              <w:t>Exar Condensed Statement of Comprehensive Income</w:t>
            </w:r>
          </w:p>
        </w:tc>
        <w:tc>
          <w:tcPr>
            <w:tcW w:w="1620" w:type="dxa"/>
            <w:vAlign w:val="bottom"/>
            <w:gridSpan w:val="2"/>
            <w:shd w:val="clear" w:color="auto" w:fill="D9D9D9"/>
          </w:tcPr>
          <w:p>
            <w:pPr>
              <w:jc w:val="right"/>
              <w:spacing w:after="0"/>
              <w:rPr>
                <w:sz w:val="20"/>
                <w:szCs w:val="20"/>
                <w:color w:val="auto"/>
              </w:rPr>
            </w:pPr>
            <w:r>
              <w:rPr>
                <w:rFonts w:ascii="Arial" w:cs="Arial" w:eastAsia="Arial" w:hAnsi="Arial"/>
                <w:sz w:val="18"/>
                <w:szCs w:val="18"/>
                <w:b w:val="1"/>
                <w:bCs w:val="1"/>
                <w:color w:val="auto"/>
              </w:rPr>
              <w:t>2025</w:t>
            </w:r>
          </w:p>
        </w:tc>
        <w:tc>
          <w:tcPr>
            <w:tcW w:w="1200" w:type="dxa"/>
            <w:vAlign w:val="bottom"/>
          </w:tcPr>
          <w:p>
            <w:pPr>
              <w:spacing w:after="0"/>
              <w:rPr>
                <w:sz w:val="21"/>
                <w:szCs w:val="21"/>
                <w:color w:val="auto"/>
              </w:rPr>
            </w:pPr>
          </w:p>
        </w:tc>
        <w:tc>
          <w:tcPr>
            <w:tcW w:w="11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4860" w:type="dxa"/>
            <w:vAlign w:val="bottom"/>
          </w:tcPr>
          <w:p>
            <w:pPr>
              <w:spacing w:after="0"/>
              <w:rPr>
                <w:sz w:val="20"/>
                <w:szCs w:val="20"/>
                <w:color w:val="auto"/>
              </w:rPr>
            </w:pPr>
            <w:r>
              <w:rPr>
                <w:rFonts w:ascii="Arial" w:cs="Arial" w:eastAsia="Arial" w:hAnsi="Arial"/>
                <w:sz w:val="18"/>
                <w:szCs w:val="18"/>
                <w:b w:val="1"/>
                <w:bCs w:val="1"/>
                <w:color w:val="auto"/>
              </w:rPr>
              <w:t>(100% basis unless otherwise indicated)</w:t>
            </w:r>
          </w:p>
        </w:tc>
        <w:tc>
          <w:tcPr>
            <w:tcW w:w="1620" w:type="dxa"/>
            <w:vAlign w:val="bottom"/>
            <w:gridSpan w:val="2"/>
            <w:shd w:val="clear" w:color="auto" w:fill="D9D9D9"/>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spacing w:after="0"/>
              <w:rPr>
                <w:sz w:val="24"/>
                <w:szCs w:val="24"/>
                <w:color w:val="auto"/>
              </w:rPr>
            </w:pPr>
          </w:p>
        </w:tc>
        <w:tc>
          <w:tcPr>
            <w:tcW w:w="118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860" w:type="dxa"/>
            <w:vAlign w:val="bottom"/>
          </w:tcPr>
          <w:p>
            <w:pPr>
              <w:spacing w:after="0"/>
              <w:rPr>
                <w:sz w:val="20"/>
                <w:szCs w:val="20"/>
                <w:color w:val="auto"/>
              </w:rPr>
            </w:pPr>
            <w:r>
              <w:rPr>
                <w:rFonts w:ascii="Arial" w:cs="Arial" w:eastAsia="Arial" w:hAnsi="Arial"/>
                <w:sz w:val="18"/>
                <w:szCs w:val="18"/>
                <w:color w:val="auto"/>
              </w:rPr>
              <w:t>Sales</w:t>
            </w:r>
          </w:p>
        </w:tc>
        <w:tc>
          <w:tcPr>
            <w:tcW w:w="100" w:type="dxa"/>
            <w:vAlign w:val="bottom"/>
            <w:tcBorders>
              <w:bottom w:val="single" w:sz="8" w:color="D9D9D9"/>
            </w:tcBorders>
            <w:shd w:val="clear" w:color="auto" w:fill="D9D9D9"/>
          </w:tcPr>
          <w:p>
            <w:pPr>
              <w:spacing w:after="0"/>
              <w:rPr>
                <w:sz w:val="24"/>
                <w:szCs w:val="24"/>
                <w:color w:val="auto"/>
              </w:rPr>
            </w:pPr>
          </w:p>
        </w:tc>
        <w:tc>
          <w:tcPr>
            <w:tcW w:w="152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rPr>
              <w:t>271.5</w:t>
            </w:r>
          </w:p>
        </w:tc>
        <w:tc>
          <w:tcPr>
            <w:tcW w:w="1200" w:type="dxa"/>
            <w:vAlign w:val="bottom"/>
          </w:tcPr>
          <w:p>
            <w:pPr>
              <w:spacing w:after="0"/>
              <w:rPr>
                <w:sz w:val="24"/>
                <w:szCs w:val="24"/>
                <w:color w:val="auto"/>
              </w:rPr>
            </w:pPr>
          </w:p>
        </w:tc>
        <w:tc>
          <w:tcPr>
            <w:tcW w:w="1180" w:type="dxa"/>
            <w:vAlign w:val="bottom"/>
          </w:tcPr>
          <w:p>
            <w:pPr>
              <w:jc w:val="right"/>
              <w:ind w:right="570"/>
              <w:spacing w:after="0"/>
              <w:rPr>
                <w:sz w:val="20"/>
                <w:szCs w:val="20"/>
                <w:color w:val="auto"/>
              </w:rPr>
            </w:pPr>
            <w:r>
              <w:rPr>
                <w:rFonts w:ascii="Arial" w:cs="Arial" w:eastAsia="Arial" w:hAnsi="Arial"/>
                <w:sz w:val="18"/>
                <w:szCs w:val="18"/>
                <w:color w:val="auto"/>
              </w:rPr>
              <w:t>197.7</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D9D9D9"/>
          </w:tcPr>
          <w:p>
            <w:pPr>
              <w:spacing w:after="0"/>
              <w:rPr>
                <w:sz w:val="21"/>
                <w:szCs w:val="21"/>
                <w:color w:val="auto"/>
              </w:rPr>
            </w:pPr>
          </w:p>
        </w:tc>
        <w:tc>
          <w:tcPr>
            <w:tcW w:w="2720" w:type="dxa"/>
            <w:vAlign w:val="bottom"/>
            <w:gridSpan w:val="2"/>
          </w:tcPr>
          <w:p>
            <w:pPr>
              <w:jc w:val="right"/>
              <w:ind w:right="1140"/>
              <w:spacing w:after="0"/>
              <w:rPr>
                <w:sz w:val="20"/>
                <w:szCs w:val="20"/>
                <w:color w:val="auto"/>
              </w:rPr>
            </w:pPr>
            <w:r>
              <w:rPr>
                <w:rFonts w:ascii="Arial" w:cs="Arial" w:eastAsia="Arial" w:hAnsi="Arial"/>
                <w:sz w:val="18"/>
                <w:szCs w:val="18"/>
                <w:color w:val="auto"/>
              </w:rPr>
              <w:t>(238.5)</w:t>
            </w:r>
          </w:p>
        </w:tc>
        <w:tc>
          <w:tcPr>
            <w:tcW w:w="1180" w:type="dxa"/>
            <w:vAlign w:val="bottom"/>
          </w:tcPr>
          <w:p>
            <w:pPr>
              <w:jc w:val="right"/>
              <w:ind w:right="510"/>
              <w:spacing w:after="0"/>
              <w:rPr>
                <w:sz w:val="20"/>
                <w:szCs w:val="20"/>
                <w:color w:val="auto"/>
              </w:rPr>
            </w:pPr>
            <w:r>
              <w:rPr>
                <w:rFonts w:ascii="Arial" w:cs="Arial" w:eastAsia="Arial" w:hAnsi="Arial"/>
                <w:sz w:val="18"/>
                <w:szCs w:val="18"/>
                <w:color w:val="auto"/>
                <w:w w:val="98"/>
              </w:rPr>
              <w:t>(178.0)</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486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D9D9D9"/>
            </w:tcBorders>
            <w:shd w:val="clear" w:color="auto" w:fill="D9D9D9"/>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33.0</w:t>
            </w:r>
          </w:p>
        </w:tc>
        <w:tc>
          <w:tcPr>
            <w:tcW w:w="1200" w:type="dxa"/>
            <w:vAlign w:val="bottom"/>
          </w:tcPr>
          <w:p>
            <w:pPr>
              <w:spacing w:after="0"/>
              <w:rPr>
                <w:sz w:val="24"/>
                <w:szCs w:val="24"/>
                <w:color w:val="auto"/>
              </w:rPr>
            </w:pPr>
          </w:p>
        </w:tc>
        <w:tc>
          <w:tcPr>
            <w:tcW w:w="1180" w:type="dxa"/>
            <w:vAlign w:val="bottom"/>
          </w:tcPr>
          <w:p>
            <w:pPr>
              <w:jc w:val="right"/>
              <w:ind w:right="570"/>
              <w:spacing w:after="0"/>
              <w:rPr>
                <w:sz w:val="20"/>
                <w:szCs w:val="20"/>
                <w:color w:val="auto"/>
              </w:rPr>
            </w:pPr>
            <w:r>
              <w:rPr>
                <w:rFonts w:ascii="Arial" w:cs="Arial" w:eastAsia="Arial" w:hAnsi="Arial"/>
                <w:sz w:val="18"/>
                <w:szCs w:val="18"/>
                <w:color w:val="auto"/>
              </w:rPr>
              <w:t>19.7</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860" w:type="dxa"/>
            <w:vAlign w:val="bottom"/>
            <w:vMerge w:val="restart"/>
          </w:tcPr>
          <w:p>
            <w:pPr>
              <w:spacing w:after="0"/>
              <w:rPr>
                <w:sz w:val="20"/>
                <w:szCs w:val="20"/>
                <w:color w:val="auto"/>
              </w:rPr>
            </w:pPr>
            <w:r>
              <w:rPr>
                <w:rFonts w:ascii="Arial" w:cs="Arial" w:eastAsia="Arial" w:hAnsi="Arial"/>
                <w:sz w:val="18"/>
                <w:szCs w:val="18"/>
                <w:color w:val="auto"/>
              </w:rPr>
              <w:t>Selling and distribution expenses</w:t>
            </w:r>
          </w:p>
        </w:tc>
        <w:tc>
          <w:tcPr>
            <w:tcW w:w="1620" w:type="dxa"/>
            <w:vAlign w:val="bottom"/>
            <w:gridSpan w:val="2"/>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vMerge w:val="restart"/>
          </w:tcPr>
          <w:p>
            <w:pPr>
              <w:jc w:val="right"/>
              <w:ind w:right="510"/>
              <w:spacing w:after="0"/>
              <w:rPr>
                <w:sz w:val="20"/>
                <w:szCs w:val="20"/>
                <w:color w:val="auto"/>
              </w:rPr>
            </w:pPr>
            <w:r>
              <w:rPr>
                <w:rFonts w:ascii="Arial" w:cs="Arial" w:eastAsia="Arial" w:hAnsi="Arial"/>
                <w:sz w:val="18"/>
                <w:szCs w:val="18"/>
                <w:color w:val="auto"/>
              </w:rPr>
              <w:t>(13.5)</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60" w:type="dxa"/>
            <w:vAlign w:val="bottom"/>
            <w:vMerge w:val="continue"/>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2720" w:type="dxa"/>
            <w:vAlign w:val="bottom"/>
            <w:gridSpan w:val="2"/>
          </w:tcPr>
          <w:p>
            <w:pPr>
              <w:jc w:val="right"/>
              <w:ind w:right="1140"/>
              <w:spacing w:after="0"/>
              <w:rPr>
                <w:sz w:val="20"/>
                <w:szCs w:val="20"/>
                <w:color w:val="auto"/>
              </w:rPr>
            </w:pPr>
            <w:r>
              <w:rPr>
                <w:rFonts w:ascii="Arial" w:cs="Arial" w:eastAsia="Arial" w:hAnsi="Arial"/>
                <w:sz w:val="18"/>
                <w:szCs w:val="18"/>
                <w:color w:val="auto"/>
              </w:rPr>
              <w:t>(20.6)</w:t>
            </w:r>
          </w:p>
        </w:tc>
        <w:tc>
          <w:tcPr>
            <w:tcW w:w="118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4860" w:type="dxa"/>
            <w:vAlign w:val="bottom"/>
          </w:tcPr>
          <w:p>
            <w:pPr>
              <w:spacing w:after="0"/>
              <w:rPr>
                <w:sz w:val="20"/>
                <w:szCs w:val="20"/>
                <w:color w:val="auto"/>
              </w:rPr>
            </w:pPr>
            <w:r>
              <w:rPr>
                <w:rFonts w:ascii="Arial" w:cs="Arial" w:eastAsia="Arial" w:hAnsi="Arial"/>
                <w:sz w:val="18"/>
                <w:szCs w:val="18"/>
                <w:color w:val="auto"/>
              </w:rPr>
              <w:t>Administrative and other expenses</w:t>
            </w:r>
          </w:p>
        </w:tc>
        <w:tc>
          <w:tcPr>
            <w:tcW w:w="100" w:type="dxa"/>
            <w:vAlign w:val="bottom"/>
            <w:shd w:val="clear" w:color="auto" w:fill="D9D9D9"/>
          </w:tcPr>
          <w:p>
            <w:pPr>
              <w:spacing w:after="0"/>
              <w:rPr>
                <w:sz w:val="24"/>
                <w:szCs w:val="24"/>
                <w:color w:val="auto"/>
              </w:rPr>
            </w:pPr>
          </w:p>
        </w:tc>
        <w:tc>
          <w:tcPr>
            <w:tcW w:w="2720" w:type="dxa"/>
            <w:vAlign w:val="bottom"/>
            <w:gridSpan w:val="2"/>
          </w:tcPr>
          <w:p>
            <w:pPr>
              <w:jc w:val="right"/>
              <w:ind w:right="1140"/>
              <w:spacing w:after="0"/>
              <w:rPr>
                <w:sz w:val="20"/>
                <w:szCs w:val="20"/>
                <w:color w:val="auto"/>
              </w:rPr>
            </w:pPr>
            <w:r>
              <w:rPr>
                <w:rFonts w:ascii="Arial" w:cs="Arial" w:eastAsia="Arial" w:hAnsi="Arial"/>
                <w:sz w:val="18"/>
                <w:szCs w:val="18"/>
                <w:color w:val="auto"/>
              </w:rPr>
              <w:t>(11.0)</w:t>
            </w: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(8.3)</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860" w:type="dxa"/>
            <w:vAlign w:val="bottom"/>
          </w:tcPr>
          <w:p>
            <w:pPr>
              <w:spacing w:after="0"/>
              <w:rPr>
                <w:sz w:val="20"/>
                <w:szCs w:val="20"/>
                <w:color w:val="auto"/>
              </w:rPr>
            </w:pPr>
            <w:r>
              <w:rPr>
                <w:rFonts w:ascii="Arial" w:cs="Arial" w:eastAsia="Arial" w:hAnsi="Arial"/>
                <w:sz w:val="18"/>
                <w:szCs w:val="18"/>
                <w:color w:val="auto"/>
              </w:rPr>
              <w:t>Finance costs</w:t>
            </w:r>
          </w:p>
        </w:tc>
        <w:tc>
          <w:tcPr>
            <w:tcW w:w="100" w:type="dxa"/>
            <w:vAlign w:val="bottom"/>
            <w:shd w:val="clear" w:color="auto" w:fill="D9D9D9"/>
          </w:tcPr>
          <w:p>
            <w:pPr>
              <w:spacing w:after="0"/>
              <w:rPr>
                <w:sz w:val="24"/>
                <w:szCs w:val="24"/>
                <w:color w:val="auto"/>
              </w:rPr>
            </w:pPr>
          </w:p>
        </w:tc>
        <w:tc>
          <w:tcPr>
            <w:tcW w:w="2720" w:type="dxa"/>
            <w:vAlign w:val="bottom"/>
            <w:gridSpan w:val="2"/>
          </w:tcPr>
          <w:p>
            <w:pPr>
              <w:jc w:val="right"/>
              <w:ind w:right="1140"/>
              <w:spacing w:after="0"/>
              <w:rPr>
                <w:sz w:val="20"/>
                <w:szCs w:val="20"/>
                <w:color w:val="auto"/>
              </w:rPr>
            </w:pPr>
            <w:r>
              <w:rPr>
                <w:rFonts w:ascii="Arial" w:cs="Arial" w:eastAsia="Arial" w:hAnsi="Arial"/>
                <w:sz w:val="18"/>
                <w:szCs w:val="18"/>
                <w:color w:val="auto"/>
              </w:rPr>
              <w:t>(138.6)</w:t>
            </w: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(36.2)</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860" w:type="dxa"/>
            <w:vAlign w:val="bottom"/>
          </w:tcPr>
          <w:p>
            <w:pPr>
              <w:spacing w:after="0"/>
              <w:rPr>
                <w:sz w:val="20"/>
                <w:szCs w:val="20"/>
                <w:color w:val="auto"/>
              </w:rPr>
            </w:pPr>
            <w:r>
              <w:rPr>
                <w:rFonts w:ascii="Arial" w:cs="Arial" w:eastAsia="Arial" w:hAnsi="Arial"/>
                <w:sz w:val="18"/>
                <w:szCs w:val="18"/>
                <w:color w:val="auto"/>
              </w:rPr>
              <w:t>Foreign exchange (loss)/gain</w:t>
            </w:r>
          </w:p>
        </w:tc>
        <w:tc>
          <w:tcPr>
            <w:tcW w:w="100" w:type="dxa"/>
            <w:vAlign w:val="bottom"/>
            <w:shd w:val="clear" w:color="auto" w:fill="D9D9D9"/>
          </w:tcPr>
          <w:p>
            <w:pPr>
              <w:spacing w:after="0"/>
              <w:rPr>
                <w:sz w:val="24"/>
                <w:szCs w:val="24"/>
                <w:color w:val="auto"/>
              </w:rPr>
            </w:pPr>
          </w:p>
        </w:tc>
        <w:tc>
          <w:tcPr>
            <w:tcW w:w="2720" w:type="dxa"/>
            <w:vAlign w:val="bottom"/>
            <w:gridSpan w:val="2"/>
          </w:tcPr>
          <w:p>
            <w:pPr>
              <w:jc w:val="right"/>
              <w:ind w:right="1140"/>
              <w:spacing w:after="0"/>
              <w:rPr>
                <w:sz w:val="20"/>
                <w:szCs w:val="20"/>
                <w:color w:val="auto"/>
              </w:rPr>
            </w:pPr>
            <w:r>
              <w:rPr>
                <w:rFonts w:ascii="Arial" w:cs="Arial" w:eastAsia="Arial" w:hAnsi="Arial"/>
                <w:sz w:val="18"/>
                <w:szCs w:val="18"/>
                <w:color w:val="auto"/>
              </w:rPr>
              <w:t>(9.7)</w:t>
            </w:r>
          </w:p>
        </w:tc>
        <w:tc>
          <w:tcPr>
            <w:tcW w:w="1180" w:type="dxa"/>
            <w:vAlign w:val="bottom"/>
          </w:tcPr>
          <w:p>
            <w:pPr>
              <w:jc w:val="right"/>
              <w:ind w:right="570"/>
              <w:spacing w:after="0"/>
              <w:rPr>
                <w:sz w:val="20"/>
                <w:szCs w:val="20"/>
                <w:color w:val="auto"/>
              </w:rPr>
            </w:pPr>
            <w:r>
              <w:rPr>
                <w:rFonts w:ascii="Arial" w:cs="Arial" w:eastAsia="Arial" w:hAnsi="Arial"/>
                <w:sz w:val="18"/>
                <w:szCs w:val="18"/>
                <w:color w:val="auto"/>
              </w:rPr>
              <w:t>85.9</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4860" w:type="dxa"/>
            <w:vAlign w:val="bottom"/>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4860" w:type="dxa"/>
            <w:vAlign w:val="bottom"/>
          </w:tcPr>
          <w:p>
            <w:pPr>
              <w:spacing w:after="0"/>
              <w:rPr>
                <w:sz w:val="20"/>
                <w:szCs w:val="20"/>
                <w:color w:val="auto"/>
              </w:rPr>
            </w:pPr>
            <w:r>
              <w:rPr>
                <w:rFonts w:ascii="Arial" w:cs="Arial" w:eastAsia="Arial" w:hAnsi="Arial"/>
                <w:sz w:val="18"/>
                <w:szCs w:val="18"/>
                <w:color w:val="auto"/>
              </w:rPr>
              <w:t>Derivative gain/(loss)</w:t>
            </w:r>
          </w:p>
        </w:tc>
        <w:tc>
          <w:tcPr>
            <w:tcW w:w="100" w:type="dxa"/>
            <w:vAlign w:val="bottom"/>
            <w:tcBorders>
              <w:bottom w:val="single" w:sz="8" w:color="D9D9D9"/>
            </w:tcBorders>
            <w:shd w:val="clear" w:color="auto" w:fill="D9D9D9"/>
          </w:tcPr>
          <w:p>
            <w:pPr>
              <w:spacing w:after="0"/>
              <w:rPr>
                <w:sz w:val="23"/>
                <w:szCs w:val="23"/>
                <w:color w:val="auto"/>
              </w:rPr>
            </w:pPr>
          </w:p>
        </w:tc>
        <w:tc>
          <w:tcPr>
            <w:tcW w:w="152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rPr>
              <w:t>89.9</w:t>
            </w:r>
          </w:p>
        </w:tc>
        <w:tc>
          <w:tcPr>
            <w:tcW w:w="1200" w:type="dxa"/>
            <w:vAlign w:val="bottom"/>
          </w:tcPr>
          <w:p>
            <w:pPr>
              <w:spacing w:after="0"/>
              <w:rPr>
                <w:sz w:val="23"/>
                <w:szCs w:val="23"/>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(3.7)</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D9D9D9"/>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c>
          <w:tcPr>
            <w:tcW w:w="1200" w:type="dxa"/>
            <w:vAlign w:val="bottom"/>
          </w:tcPr>
          <w:p>
            <w:pPr>
              <w:spacing w:after="0"/>
              <w:rPr>
                <w:sz w:val="21"/>
                <w:szCs w:val="21"/>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(3.9)</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4860" w:type="dxa"/>
            <w:vAlign w:val="bottom"/>
          </w:tcPr>
          <w:p>
            <w:pPr>
              <w:spacing w:after="0"/>
              <w:rPr>
                <w:sz w:val="20"/>
                <w:szCs w:val="20"/>
                <w:color w:val="auto"/>
              </w:rPr>
            </w:pPr>
            <w:r>
              <w:rPr>
                <w:rFonts w:ascii="Arial" w:cs="Arial" w:eastAsia="Arial" w:hAnsi="Arial"/>
                <w:sz w:val="18"/>
                <w:szCs w:val="18"/>
                <w:color w:val="auto"/>
              </w:rPr>
              <w:t>Deferred tax recovery/ (expense)</w:t>
            </w:r>
          </w:p>
        </w:tc>
        <w:tc>
          <w:tcPr>
            <w:tcW w:w="100" w:type="dxa"/>
            <w:vAlign w:val="bottom"/>
            <w:shd w:val="clear" w:color="auto" w:fill="D9D9D9"/>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14.6</w:t>
            </w:r>
          </w:p>
        </w:tc>
        <w:tc>
          <w:tcPr>
            <w:tcW w:w="1200" w:type="dxa"/>
            <w:vAlign w:val="bottom"/>
          </w:tcPr>
          <w:p>
            <w:pPr>
              <w:spacing w:after="0"/>
              <w:rPr>
                <w:sz w:val="24"/>
                <w:szCs w:val="24"/>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(72.8)</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6"/>
        </w:trPr>
        <w:tc>
          <w:tcPr>
            <w:tcW w:w="4860" w:type="dxa"/>
            <w:vAlign w:val="bottom"/>
          </w:tcPr>
          <w:p>
            <w:pPr>
              <w:spacing w:after="0"/>
              <w:rPr>
                <w:sz w:val="20"/>
                <w:szCs w:val="20"/>
                <w:color w:val="auto"/>
              </w:rPr>
            </w:pPr>
            <w:r>
              <w:rPr>
                <w:rFonts w:ascii="Arial" w:cs="Arial" w:eastAsia="Arial" w:hAnsi="Arial"/>
                <w:sz w:val="18"/>
                <w:szCs w:val="18"/>
                <w:color w:val="auto"/>
              </w:rPr>
              <w:t>Net (loss)/income</w:t>
            </w:r>
          </w:p>
        </w:tc>
        <w:tc>
          <w:tcPr>
            <w:tcW w:w="100" w:type="dxa"/>
            <w:vAlign w:val="bottom"/>
            <w:shd w:val="clear" w:color="auto" w:fill="D9D9D9"/>
          </w:tcPr>
          <w:p>
            <w:pPr>
              <w:spacing w:after="0"/>
              <w:rPr>
                <w:sz w:val="24"/>
                <w:szCs w:val="24"/>
                <w:color w:val="auto"/>
              </w:rPr>
            </w:pPr>
          </w:p>
        </w:tc>
        <w:tc>
          <w:tcPr>
            <w:tcW w:w="2720" w:type="dxa"/>
            <w:vAlign w:val="bottom"/>
            <w:gridSpan w:val="2"/>
          </w:tcPr>
          <w:p>
            <w:pPr>
              <w:jc w:val="right"/>
              <w:ind w:right="1140"/>
              <w:spacing w:after="0"/>
              <w:rPr>
                <w:sz w:val="20"/>
                <w:szCs w:val="20"/>
                <w:color w:val="auto"/>
              </w:rPr>
            </w:pPr>
            <w:r>
              <w:rPr>
                <w:rFonts w:ascii="Arial" w:cs="Arial" w:eastAsia="Arial" w:hAnsi="Arial"/>
                <w:sz w:val="18"/>
                <w:szCs w:val="18"/>
                <w:color w:val="auto"/>
              </w:rPr>
              <w:t>(38.8)</w:t>
            </w: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(32.8)</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6"/>
        </w:trPr>
        <w:tc>
          <w:tcPr>
            <w:tcW w:w="4860" w:type="dxa"/>
            <w:vAlign w:val="bottom"/>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1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-2574290</wp:posOffset>
            </wp:positionV>
            <wp:extent cx="6078220" cy="183578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47">
                      <a:extLst>
                        <a:ext uri="{28A0092B-C50C-407E-A947-70E740481C1C}"/>
                      </a:extLst>
                    </a:blip>
                    <a:srcRect/>
                    <a:stretch>
                      <a:fillRect/>
                    </a:stretch>
                  </pic:blipFill>
                  <pic:spPr bwMode="auto">
                    <a:xfrm>
                      <a:off x="0" y="0"/>
                      <a:ext cx="6078220" cy="183578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-193675</wp:posOffset>
            </wp:positionV>
            <wp:extent cx="6078220" cy="19431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48">
                      <a:extLst>
                        <a:ext uri="{28A0092B-C50C-407E-A947-70E740481C1C}"/>
                      </a:extLst>
                    </a:blip>
                    <a:srcRect/>
                    <a:stretch>
                      <a:fillRect/>
                    </a:stretch>
                  </pic:blipFill>
                  <pic:spPr bwMode="auto">
                    <a:xfrm>
                      <a:off x="0" y="0"/>
                      <a:ext cx="6078220" cy="194310"/>
                    </a:xfrm>
                    <a:prstGeom prst="rect">
                      <a:avLst/>
                    </a:prstGeom>
                    <a:noFill/>
                  </pic:spPr>
                </pic:pic>
              </a:graphicData>
            </a:graphic>
          </wp:anchor>
        </w:drawing>
      </w:r>
    </w:p>
    <w:p>
      <w:pPr>
        <w:spacing w:after="0" w:line="313"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Revenue and Gross Profit</w:t>
      </w:r>
    </w:p>
    <w:p>
      <w:pPr>
        <w:spacing w:after="0" w:line="243" w:lineRule="exact"/>
        <w:rPr>
          <w:sz w:val="20"/>
          <w:szCs w:val="20"/>
          <w:color w:val="auto"/>
        </w:rPr>
      </w:pPr>
    </w:p>
    <w:p>
      <w:pPr>
        <w:ind w:left="1880" w:right="60" w:hanging="497"/>
        <w:spacing w:after="0" w:line="368" w:lineRule="auto"/>
        <w:tabs>
          <w:tab w:leader="none" w:pos="1880" w:val="left"/>
        </w:tabs>
        <w:numPr>
          <w:ilvl w:val="0"/>
          <w:numId w:val="246"/>
        </w:numPr>
        <w:rPr>
          <w:rFonts w:ascii="Arial" w:cs="Arial" w:eastAsia="Arial" w:hAnsi="Arial"/>
          <w:sz w:val="20"/>
          <w:szCs w:val="20"/>
          <w:color w:val="auto"/>
        </w:rPr>
      </w:pPr>
      <w:r>
        <w:rPr>
          <w:rFonts w:ascii="Arial" w:cs="Arial" w:eastAsia="Arial" w:hAnsi="Arial"/>
          <w:sz w:val="20"/>
          <w:szCs w:val="20"/>
          <w:color w:val="auto"/>
        </w:rPr>
        <w:t>Sales increased 37% to $271.5 million in 2025 (2024 – $197.7 million), primarily driven by a increase in sales volumes, with modestly higher realized prices.</w:t>
      </w:r>
    </w:p>
    <w:p>
      <w:pPr>
        <w:spacing w:after="0" w:line="7" w:lineRule="exact"/>
        <w:rPr>
          <w:rFonts w:ascii="Arial" w:cs="Arial" w:eastAsia="Arial" w:hAnsi="Arial"/>
          <w:sz w:val="20"/>
          <w:szCs w:val="20"/>
          <w:color w:val="auto"/>
        </w:rPr>
      </w:pPr>
    </w:p>
    <w:p>
      <w:pPr>
        <w:ind w:left="1880" w:hanging="497"/>
        <w:spacing w:after="0"/>
        <w:tabs>
          <w:tab w:leader="none" w:pos="1880" w:val="left"/>
        </w:tabs>
        <w:numPr>
          <w:ilvl w:val="0"/>
          <w:numId w:val="246"/>
        </w:numPr>
        <w:rPr>
          <w:rFonts w:ascii="Arial" w:cs="Arial" w:eastAsia="Arial" w:hAnsi="Arial"/>
          <w:sz w:val="20"/>
          <w:szCs w:val="20"/>
          <w:color w:val="auto"/>
        </w:rPr>
      </w:pPr>
      <w:r>
        <w:rPr>
          <w:rFonts w:ascii="Arial" w:cs="Arial" w:eastAsia="Arial" w:hAnsi="Arial"/>
          <w:sz w:val="20"/>
          <w:szCs w:val="20"/>
          <w:color w:val="auto"/>
        </w:rPr>
        <w:t>Gross profit increased to $33.0 million (2024 – $19.7 million), with gross margin improving to 1</w:t>
      </w:r>
    </w:p>
    <w:p>
      <w:pPr>
        <w:spacing w:after="0" w:line="130"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from 10.0%, reflecting improved pricing and operating efficiencies as production increased.</w:t>
      </w:r>
    </w:p>
    <w:p>
      <w:pPr>
        <w:spacing w:after="0" w:line="86"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Net Loss</w:t>
      </w:r>
    </w:p>
    <w:p>
      <w:pPr>
        <w:spacing w:after="0" w:line="116" w:lineRule="exact"/>
        <w:rPr>
          <w:sz w:val="20"/>
          <w:szCs w:val="20"/>
          <w:color w:val="auto"/>
        </w:rPr>
      </w:pPr>
    </w:p>
    <w:p>
      <w:pPr>
        <w:ind w:left="1880" w:hanging="497"/>
        <w:spacing w:after="0"/>
        <w:tabs>
          <w:tab w:leader="none" w:pos="188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Net loss was $38.8 million (2024 – $32.8 million).</w:t>
      </w:r>
    </w:p>
    <w:p>
      <w:pPr>
        <w:spacing w:after="0" w:line="257" w:lineRule="exact"/>
        <w:rPr>
          <w:rFonts w:ascii="Arial" w:cs="Arial" w:eastAsia="Arial" w:hAnsi="Arial"/>
          <w:sz w:val="20"/>
          <w:szCs w:val="20"/>
          <w:color w:val="auto"/>
        </w:rPr>
      </w:pPr>
    </w:p>
    <w:p>
      <w:pPr>
        <w:ind w:left="1880" w:hanging="497"/>
        <w:spacing w:after="0" w:line="368" w:lineRule="auto"/>
        <w:tabs>
          <w:tab w:leader="none" w:pos="188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Exar’s cost of sales for the year ended December 31, 2025, includes depreciation of $54.3 m (2024 – $20.2 million).</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10 / 30</w:t>
      </w:r>
    </w:p>
    <w:p>
      <w:pPr>
        <w:sectPr>
          <w:pgSz w:w="11900" w:h="16838" w:orient="portrait"/>
          <w:cols w:equalWidth="0" w:num="1">
            <w:col w:w="10460"/>
          </w:cols>
          <w:pgMar w:left="1440" w:top="1440" w:right="6" w:bottom="0" w:gutter="0" w:footer="0" w:header="0"/>
          <w:type w:val="continuous"/>
        </w:sectPr>
      </w:pPr>
    </w:p>
    <w:bookmarkStart w:id="507" w:name="page508"/>
    <w:bookmarkEnd w:id="5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1482090</wp:posOffset>
            </wp:positionH>
            <wp:positionV relativeFrom="page">
              <wp:posOffset>2253615</wp:posOffset>
            </wp:positionV>
            <wp:extent cx="6078220" cy="952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9">
                      <a:extLst>
                        <a:ext uri="{28A0092B-C50C-407E-A947-70E740481C1C}"/>
                      </a:extLst>
                    </a:blip>
                    <a:srcRect/>
                    <a:stretch>
                      <a:fillRect/>
                    </a:stretch>
                  </pic:blipFill>
                  <pic:spPr bwMode="auto">
                    <a:xfrm>
                      <a:off x="0" y="0"/>
                      <a:ext cx="607822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80" w:hanging="186"/>
        <w:spacing w:after="0"/>
        <w:tabs>
          <w:tab w:leader="none" w:pos="1080" w:val="left"/>
        </w:tabs>
        <w:numPr>
          <w:ilvl w:val="0"/>
          <w:numId w:val="248"/>
        </w:numPr>
        <w:rPr>
          <w:rFonts w:ascii="Arial" w:cs="Arial" w:eastAsia="Arial" w:hAnsi="Arial"/>
          <w:sz w:val="25"/>
          <w:szCs w:val="25"/>
          <w:color w:val="auto"/>
          <w:vertAlign w:val="superscript"/>
        </w:rPr>
      </w:pPr>
      <w:r>
        <w:rPr>
          <w:rFonts w:ascii="Arial" w:cs="Arial" w:eastAsia="Arial" w:hAnsi="Arial"/>
          <w:sz w:val="15"/>
          <w:szCs w:val="15"/>
          <w:color w:val="auto"/>
        </w:rPr>
        <w:t>Information in this section is presented on a 100% basis of the Cauchari-Olaroz operation; the Company’s economic interest is 44.8%</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5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11 / 30</w:t>
      </w:r>
    </w:p>
    <w:p>
      <w:pPr>
        <w:sectPr>
          <w:pgSz w:w="11900" w:h="16838" w:orient="portrait"/>
          <w:cols w:equalWidth="0" w:num="1">
            <w:col w:w="10460"/>
          </w:cols>
          <w:pgMar w:left="1440" w:top="1440" w:right="6" w:bottom="0" w:gutter="0" w:footer="0" w:header="0"/>
          <w:type w:val="continuous"/>
        </w:sectPr>
      </w:pPr>
    </w:p>
    <w:bookmarkStart w:id="508" w:name="page509"/>
    <w:bookmarkEnd w:id="5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51">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drawing>
          <wp:anchor simplePos="0" relativeHeight="251657728" behindDoc="1" locked="0" layoutInCell="0" allowOverlap="1">
            <wp:simplePos x="0" y="0"/>
            <wp:positionH relativeFrom="page">
              <wp:posOffset>1482090</wp:posOffset>
            </wp:positionH>
            <wp:positionV relativeFrom="page">
              <wp:posOffset>1648460</wp:posOffset>
            </wp:positionV>
            <wp:extent cx="6078220" cy="2857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52">
                      <a:extLst>
                        <a:ext uri="{28A0092B-C50C-407E-A947-70E740481C1C}"/>
                      </a:extLst>
                    </a:blip>
                    <a:srcRect/>
                    <a:stretch>
                      <a:fillRect/>
                    </a:stretch>
                  </pic:blipFill>
                  <pic:spPr bwMode="auto">
                    <a:xfrm>
                      <a:off x="0" y="0"/>
                      <a:ext cx="607822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900" w:type="dxa"/>
        <w:tblCellMar>
          <w:top w:w="0" w:type="dxa"/>
          <w:left w:w="0" w:type="dxa"/>
          <w:bottom w:w="0" w:type="dxa"/>
          <w:right w:w="0" w:type="dxa"/>
        </w:tblCellMar>
      </w:tblPr>
      <w:tr>
        <w:trPr>
          <w:trHeight w:val="311"/>
        </w:trPr>
        <w:tc>
          <w:tcPr>
            <w:tcW w:w="5880" w:type="dxa"/>
            <w:vAlign w:val="bottom"/>
          </w:tcPr>
          <w:p>
            <w:pPr>
              <w:spacing w:after="0"/>
              <w:rPr>
                <w:sz w:val="20"/>
                <w:szCs w:val="20"/>
                <w:color w:val="auto"/>
              </w:rPr>
            </w:pPr>
            <w:r>
              <w:rPr>
                <w:rFonts w:ascii="Arial" w:cs="Arial" w:eastAsia="Arial" w:hAnsi="Arial"/>
                <w:sz w:val="18"/>
                <w:szCs w:val="18"/>
                <w:b w:val="1"/>
                <w:bCs w:val="1"/>
                <w:color w:val="auto"/>
              </w:rPr>
              <w:t>Exar Condensed Balance Sheet</w:t>
            </w:r>
          </w:p>
        </w:tc>
        <w:tc>
          <w:tcPr>
            <w:tcW w:w="100" w:type="dxa"/>
            <w:vAlign w:val="bottom"/>
            <w:tcBorders>
              <w:bottom w:val="single" w:sz="8" w:color="D9D9D9"/>
            </w:tcBorders>
            <w:shd w:val="clear" w:color="auto" w:fill="D9D9D9"/>
          </w:tcPr>
          <w:p>
            <w:pPr>
              <w:spacing w:after="0"/>
              <w:rPr>
                <w:sz w:val="24"/>
                <w:szCs w:val="24"/>
                <w:color w:val="auto"/>
              </w:rPr>
            </w:pPr>
          </w:p>
        </w:tc>
        <w:tc>
          <w:tcPr>
            <w:tcW w:w="188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8"/>
                <w:szCs w:val="18"/>
                <w:b w:val="1"/>
                <w:bCs w:val="1"/>
                <w:color w:val="auto"/>
              </w:rPr>
              <w:t>December 31, 2025</w:t>
            </w:r>
          </w:p>
        </w:tc>
        <w:tc>
          <w:tcPr>
            <w:tcW w:w="100" w:type="dxa"/>
            <w:vAlign w:val="bottom"/>
            <w:tcBorders>
              <w:bottom w:val="single" w:sz="8" w:color="D9D9D9"/>
            </w:tcBorders>
            <w:shd w:val="clear" w:color="auto" w:fill="D9D9D9"/>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50"/>
        </w:trPr>
        <w:tc>
          <w:tcPr>
            <w:tcW w:w="5880" w:type="dxa"/>
            <w:vAlign w:val="bottom"/>
          </w:tcPr>
          <w:p>
            <w:pPr>
              <w:spacing w:after="0"/>
              <w:rPr>
                <w:sz w:val="20"/>
                <w:szCs w:val="20"/>
                <w:color w:val="auto"/>
              </w:rPr>
            </w:pPr>
            <w:r>
              <w:rPr>
                <w:rFonts w:ascii="Arial" w:cs="Arial" w:eastAsia="Arial" w:hAnsi="Arial"/>
                <w:sz w:val="18"/>
                <w:szCs w:val="18"/>
                <w:b w:val="1"/>
                <w:bCs w:val="1"/>
                <w:color w:val="auto"/>
              </w:rPr>
              <w:t>(100% basis unless otherwise indicated)</w:t>
            </w:r>
          </w:p>
        </w:tc>
        <w:tc>
          <w:tcPr>
            <w:tcW w:w="1980" w:type="dxa"/>
            <w:vAlign w:val="bottom"/>
            <w:gridSpan w:val="2"/>
            <w:shd w:val="clear" w:color="auto" w:fill="D9D9D9"/>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58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D9D9D9"/>
          </w:tcPr>
          <w:p>
            <w:pPr>
              <w:spacing w:after="0"/>
              <w:rPr>
                <w:sz w:val="24"/>
                <w:szCs w:val="24"/>
                <w:color w:val="auto"/>
              </w:rPr>
            </w:pPr>
          </w:p>
        </w:tc>
        <w:tc>
          <w:tcPr>
            <w:tcW w:w="1880" w:type="dxa"/>
            <w:vAlign w:val="bottom"/>
            <w:shd w:val="clear" w:color="auto" w:fill="D9D9D9"/>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8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D9D9D9"/>
          </w:tcPr>
          <w:p>
            <w:pPr>
              <w:spacing w:after="0"/>
              <w:rPr>
                <w:sz w:val="24"/>
                <w:szCs w:val="24"/>
                <w:color w:val="auto"/>
              </w:rPr>
            </w:pPr>
          </w:p>
        </w:tc>
        <w:tc>
          <w:tcPr>
            <w:tcW w:w="1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8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D9D9D9"/>
          </w:tcPr>
          <w:p>
            <w:pPr>
              <w:spacing w:after="0"/>
              <w:rPr>
                <w:sz w:val="24"/>
                <w:szCs w:val="24"/>
                <w:color w:val="auto"/>
              </w:rPr>
            </w:pPr>
          </w:p>
        </w:tc>
        <w:tc>
          <w:tcPr>
            <w:tcW w:w="1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88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D9D9D9"/>
          </w:tcPr>
          <w:p>
            <w:pPr>
              <w:spacing w:after="0"/>
              <w:rPr>
                <w:sz w:val="24"/>
                <w:szCs w:val="24"/>
                <w:color w:val="auto"/>
              </w:rPr>
            </w:pPr>
          </w:p>
        </w:tc>
        <w:tc>
          <w:tcPr>
            <w:tcW w:w="1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344.5</w:t>
            </w:r>
          </w:p>
        </w:tc>
        <w:tc>
          <w:tcPr>
            <w:tcW w:w="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6"/>
        </w:trPr>
        <w:tc>
          <w:tcPr>
            <w:tcW w:w="588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D9D9D9"/>
          </w:tcPr>
          <w:p>
            <w:pPr>
              <w:spacing w:after="0"/>
              <w:rPr>
                <w:sz w:val="24"/>
                <w:szCs w:val="24"/>
                <w:color w:val="auto"/>
              </w:rPr>
            </w:pPr>
          </w:p>
        </w:tc>
        <w:tc>
          <w:tcPr>
            <w:tcW w:w="1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431.3</w:t>
            </w:r>
          </w:p>
        </w:tc>
        <w:tc>
          <w:tcPr>
            <w:tcW w:w="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2"/>
        </w:trPr>
        <w:tc>
          <w:tcPr>
            <w:tcW w:w="588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Borders>
              <w:bottom w:val="single" w:sz="8" w:color="D9D9D9"/>
            </w:tcBorders>
            <w:shd w:val="clear" w:color="auto" w:fill="D9D9D9"/>
          </w:tcPr>
          <w:p>
            <w:pPr>
              <w:spacing w:after="0"/>
              <w:rPr>
                <w:sz w:val="24"/>
                <w:szCs w:val="24"/>
                <w:color w:val="auto"/>
              </w:rPr>
            </w:pPr>
          </w:p>
        </w:tc>
        <w:tc>
          <w:tcPr>
            <w:tcW w:w="188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rPr>
              <w:t>1,409.3</w:t>
            </w:r>
          </w:p>
        </w:tc>
        <w:tc>
          <w:tcPr>
            <w:tcW w:w="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58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5880" w:type="dxa"/>
            <w:vAlign w:val="bottom"/>
            <w:vMerge w:val="restart"/>
          </w:tcPr>
          <w:p>
            <w:pPr>
              <w:ind w:left="200"/>
              <w:spacing w:after="0"/>
              <w:rPr>
                <w:sz w:val="20"/>
                <w:szCs w:val="20"/>
                <w:color w:val="auto"/>
              </w:rPr>
            </w:pPr>
            <w:r>
              <w:rPr>
                <w:rFonts w:ascii="Arial" w:cs="Arial" w:eastAsia="Arial" w:hAnsi="Arial"/>
                <w:sz w:val="18"/>
                <w:szCs w:val="18"/>
                <w:color w:val="auto"/>
              </w:rPr>
              <w:t>Third-party loans</w:t>
            </w:r>
          </w:p>
        </w:tc>
        <w:tc>
          <w:tcPr>
            <w:tcW w:w="19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250"/>
        </w:trPr>
        <w:tc>
          <w:tcPr>
            <w:tcW w:w="5880" w:type="dxa"/>
            <w:vAlign w:val="bottom"/>
            <w:vMerge w:val="continue"/>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(242.9)</w:t>
            </w: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5880" w:type="dxa"/>
            <w:vAlign w:val="bottom"/>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Pr>
          <w:p>
            <w:pPr>
              <w:ind w:left="200"/>
              <w:spacing w:after="0"/>
              <w:rPr>
                <w:sz w:val="20"/>
                <w:szCs w:val="20"/>
                <w:color w:val="auto"/>
              </w:rPr>
            </w:pPr>
            <w:r>
              <w:rPr>
                <w:rFonts w:ascii="Arial" w:cs="Arial" w:eastAsia="Arial" w:hAnsi="Arial"/>
                <w:sz w:val="18"/>
                <w:szCs w:val="18"/>
                <w:color w:val="auto"/>
              </w:rPr>
              <w:t>Loans from Exar Capital</w:t>
            </w:r>
          </w:p>
        </w:tc>
        <w:tc>
          <w:tcPr>
            <w:tcW w:w="100" w:type="dxa"/>
            <w:vAlign w:val="bottom"/>
            <w:shd w:val="clear" w:color="auto" w:fill="D9D9D9"/>
          </w:tcPr>
          <w:p>
            <w:pPr>
              <w:spacing w:after="0"/>
              <w:rPr>
                <w:sz w:val="21"/>
                <w:szCs w:val="21"/>
                <w:color w:val="auto"/>
              </w:rPr>
            </w:pPr>
          </w:p>
        </w:tc>
        <w:tc>
          <w:tcPr>
            <w:tcW w:w="1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6"/>
        </w:trPr>
        <w:tc>
          <w:tcPr>
            <w:tcW w:w="5880" w:type="dxa"/>
            <w:vAlign w:val="bottom"/>
          </w:tcPr>
          <w:p>
            <w:pPr>
              <w:ind w:left="200"/>
              <w:spacing w:after="0"/>
              <w:rPr>
                <w:sz w:val="20"/>
                <w:szCs w:val="20"/>
                <w:color w:val="auto"/>
              </w:rPr>
            </w:pPr>
            <w:r>
              <w:rPr>
                <w:rFonts w:ascii="Arial" w:cs="Arial" w:eastAsia="Arial" w:hAnsi="Arial"/>
                <w:sz w:val="18"/>
                <w:szCs w:val="18"/>
                <w:color w:val="auto"/>
              </w:rPr>
              <w:t>Derivative liability on loans from Exar Capital</w:t>
            </w:r>
          </w:p>
        </w:tc>
        <w:tc>
          <w:tcPr>
            <w:tcW w:w="100" w:type="dxa"/>
            <w:vAlign w:val="bottom"/>
            <w:shd w:val="clear" w:color="auto" w:fill="D9D9D9"/>
          </w:tcPr>
          <w:p>
            <w:pPr>
              <w:spacing w:after="0"/>
              <w:rPr>
                <w:sz w:val="24"/>
                <w:szCs w:val="24"/>
                <w:color w:val="auto"/>
              </w:rPr>
            </w:pPr>
          </w:p>
        </w:tc>
        <w:tc>
          <w:tcPr>
            <w:tcW w:w="1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5880" w:type="dxa"/>
            <w:vAlign w:val="bottom"/>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880" w:type="dxa"/>
            <w:vAlign w:val="bottom"/>
            <w:shd w:val="clear" w:color="auto" w:fill="D9D9D9"/>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588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2080" w:type="dxa"/>
            <w:vAlign w:val="bottom"/>
            <w:tcBorders>
              <w:bottom w:val="single" w:sz="8" w:color="D9D9D9"/>
            </w:tcBorders>
            <w:gridSpan w:val="3"/>
            <w:shd w:val="clear" w:color="auto" w:fill="D9D9D9"/>
          </w:tcPr>
          <w:p>
            <w:pPr>
              <w:jc w:val="right"/>
              <w:ind w:right="40"/>
              <w:spacing w:after="0"/>
              <w:rPr>
                <w:sz w:val="20"/>
                <w:szCs w:val="20"/>
                <w:color w:val="auto"/>
              </w:rPr>
            </w:pPr>
            <w:r>
              <w:rPr>
                <w:rFonts w:ascii="Arial" w:cs="Arial" w:eastAsia="Arial" w:hAnsi="Arial"/>
                <w:sz w:val="18"/>
                <w:szCs w:val="18"/>
                <w:color w:val="auto"/>
              </w:rPr>
              <w:t>(61.6)</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5880" w:type="dxa"/>
            <w:vAlign w:val="bottom"/>
            <w:vMerge w:val="restart"/>
          </w:tcPr>
          <w:p>
            <w:pPr>
              <w:ind w:left="200"/>
              <w:spacing w:after="0"/>
              <w:rPr>
                <w:sz w:val="20"/>
                <w:szCs w:val="20"/>
                <w:color w:val="auto"/>
              </w:rPr>
            </w:pPr>
            <w:r>
              <w:rPr>
                <w:rFonts w:ascii="Arial" w:cs="Arial" w:eastAsia="Arial" w:hAnsi="Arial"/>
                <w:sz w:val="18"/>
                <w:szCs w:val="18"/>
                <w:color w:val="auto"/>
              </w:rPr>
              <w:t>Third-party loans</w:t>
            </w:r>
          </w:p>
        </w:tc>
        <w:tc>
          <w:tcPr>
            <w:tcW w:w="19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vMerge w:val="continue"/>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(49.8)</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5880" w:type="dxa"/>
            <w:vAlign w:val="bottom"/>
          </w:tcPr>
          <w:p>
            <w:pPr>
              <w:ind w:left="200"/>
              <w:spacing w:after="0"/>
              <w:rPr>
                <w:sz w:val="20"/>
                <w:szCs w:val="20"/>
                <w:color w:val="auto"/>
              </w:rPr>
            </w:pPr>
            <w:r>
              <w:rPr>
                <w:rFonts w:ascii="Arial" w:cs="Arial" w:eastAsia="Arial" w:hAnsi="Arial"/>
                <w:sz w:val="18"/>
                <w:szCs w:val="18"/>
                <w:color w:val="auto"/>
              </w:rPr>
              <w:t>Loans from Exar Capital</w:t>
            </w:r>
          </w:p>
        </w:tc>
        <w:tc>
          <w:tcPr>
            <w:tcW w:w="100" w:type="dxa"/>
            <w:vAlign w:val="bottom"/>
            <w:shd w:val="clear" w:color="auto" w:fill="D9D9D9"/>
          </w:tcPr>
          <w:p>
            <w:pPr>
              <w:spacing w:after="0"/>
              <w:rPr>
                <w:sz w:val="24"/>
                <w:szCs w:val="24"/>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(911.3)</w:t>
            </w: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86"/>
        </w:trPr>
        <w:tc>
          <w:tcPr>
            <w:tcW w:w="5880" w:type="dxa"/>
            <w:vAlign w:val="bottom"/>
          </w:tcPr>
          <w:p>
            <w:pPr>
              <w:ind w:left="200"/>
              <w:spacing w:after="0"/>
              <w:rPr>
                <w:sz w:val="20"/>
                <w:szCs w:val="20"/>
                <w:color w:val="auto"/>
              </w:rPr>
            </w:pPr>
            <w:r>
              <w:rPr>
                <w:rFonts w:ascii="Arial" w:cs="Arial" w:eastAsia="Arial" w:hAnsi="Arial"/>
                <w:sz w:val="18"/>
                <w:szCs w:val="18"/>
                <w:color w:val="auto"/>
              </w:rPr>
              <w:t>Loans from PGCo</w:t>
            </w:r>
          </w:p>
        </w:tc>
        <w:tc>
          <w:tcPr>
            <w:tcW w:w="100" w:type="dxa"/>
            <w:vAlign w:val="bottom"/>
            <w:shd w:val="clear" w:color="auto" w:fill="D9D9D9"/>
          </w:tcPr>
          <w:p>
            <w:pPr>
              <w:spacing w:after="0"/>
              <w:rPr>
                <w:sz w:val="24"/>
                <w:szCs w:val="24"/>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(71.5)</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80" w:type="dxa"/>
            <w:vAlign w:val="bottom"/>
          </w:tcPr>
          <w:p>
            <w:pPr>
              <w:ind w:left="200"/>
              <w:spacing w:after="0"/>
              <w:rPr>
                <w:sz w:val="20"/>
                <w:szCs w:val="20"/>
                <w:color w:val="auto"/>
              </w:rPr>
            </w:pPr>
            <w:r>
              <w:rPr>
                <w:rFonts w:ascii="Arial" w:cs="Arial" w:eastAsia="Arial" w:hAnsi="Arial"/>
                <w:sz w:val="18"/>
                <w:szCs w:val="18"/>
                <w:color w:val="auto"/>
              </w:rPr>
              <w:t>Derivative liability on loans from Exar Capital and PGCo</w:t>
            </w:r>
          </w:p>
        </w:tc>
        <w:tc>
          <w:tcPr>
            <w:tcW w:w="100" w:type="dxa"/>
            <w:vAlign w:val="bottom"/>
            <w:shd w:val="clear" w:color="auto" w:fill="D9D9D9"/>
          </w:tcPr>
          <w:p>
            <w:pPr>
              <w:spacing w:after="0"/>
              <w:rPr>
                <w:sz w:val="24"/>
                <w:szCs w:val="24"/>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5880" w:type="dxa"/>
            <w:vAlign w:val="bottom"/>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980" w:type="dxa"/>
            <w:vAlign w:val="bottom"/>
            <w:gridSpan w:val="2"/>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0"/>
        </w:trPr>
        <w:tc>
          <w:tcPr>
            <w:tcW w:w="5880" w:type="dxa"/>
            <w:vAlign w:val="bottom"/>
          </w:tcPr>
          <w:p>
            <w:pPr>
              <w:ind w:left="20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D9D9D9"/>
          </w:tcPr>
          <w:p>
            <w:pPr>
              <w:spacing w:after="0"/>
              <w:rPr>
                <w:sz w:val="22"/>
                <w:szCs w:val="22"/>
                <w:color w:val="auto"/>
              </w:rPr>
            </w:pPr>
          </w:p>
        </w:tc>
        <w:tc>
          <w:tcPr>
            <w:tcW w:w="1980" w:type="dxa"/>
            <w:vAlign w:val="bottom"/>
            <w:gridSpan w:val="2"/>
            <w:shd w:val="clear" w:color="auto" w:fill="D9D9D9"/>
          </w:tcPr>
          <w:p>
            <w:pPr>
              <w:jc w:val="right"/>
              <w:ind w:right="40"/>
              <w:spacing w:after="0"/>
              <w:rPr>
                <w:sz w:val="20"/>
                <w:szCs w:val="20"/>
                <w:color w:val="auto"/>
              </w:rPr>
            </w:pPr>
            <w:r>
              <w:rPr>
                <w:rFonts w:ascii="Arial" w:cs="Arial" w:eastAsia="Arial" w:hAnsi="Arial"/>
                <w:sz w:val="18"/>
                <w:szCs w:val="18"/>
                <w:color w:val="auto"/>
              </w:rPr>
              <w:t>(90.6)</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588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D9D9D9"/>
          </w:tcPr>
          <w:p>
            <w:pPr>
              <w:spacing w:after="0"/>
              <w:rPr>
                <w:sz w:val="24"/>
                <w:szCs w:val="24"/>
                <w:color w:val="auto"/>
              </w:rPr>
            </w:pPr>
          </w:p>
        </w:tc>
        <w:tc>
          <w:tcPr>
            <w:tcW w:w="1880" w:type="dxa"/>
            <w:vAlign w:val="bottom"/>
            <w:shd w:val="clear" w:color="auto" w:fill="D9D9D9"/>
          </w:tcPr>
          <w:p>
            <w:pPr>
              <w:jc w:val="right"/>
              <w:spacing w:after="0"/>
              <w:rPr>
                <w:sz w:val="20"/>
                <w:szCs w:val="20"/>
                <w:color w:val="auto"/>
              </w:rPr>
            </w:pPr>
            <w:r>
              <w:rPr>
                <w:rFonts w:ascii="Arial" w:cs="Arial" w:eastAsia="Arial" w:hAnsi="Arial"/>
                <w:sz w:val="18"/>
                <w:szCs w:val="18"/>
                <w:b w:val="1"/>
                <w:bCs w:val="1"/>
                <w:color w:val="auto"/>
              </w:rPr>
              <w:t>402.3</w:t>
            </w:r>
          </w:p>
        </w:tc>
        <w:tc>
          <w:tcPr>
            <w:tcW w:w="100" w:type="dxa"/>
            <w:vAlign w:val="bottom"/>
            <w:shd w:val="clear" w:color="auto" w:fill="D9D9D9"/>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46"/>
        </w:trPr>
        <w:tc>
          <w:tcPr>
            <w:tcW w:w="5880" w:type="dxa"/>
            <w:vAlign w:val="bottom"/>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188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-2010410</wp:posOffset>
            </wp:positionV>
            <wp:extent cx="1188085" cy="18161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53">
                      <a:extLst>
                        <a:ext uri="{28A0092B-C50C-407E-A947-70E740481C1C}"/>
                      </a:extLst>
                    </a:blip>
                    <a:srcRect/>
                    <a:stretch>
                      <a:fillRect/>
                    </a:stretch>
                  </pic:blipFill>
                  <pic:spPr bwMode="auto">
                    <a:xfrm>
                      <a:off x="0" y="0"/>
                      <a:ext cx="1188085" cy="181610"/>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-1647190</wp:posOffset>
            </wp:positionV>
            <wp:extent cx="64135" cy="18161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54">
                      <a:extLst>
                        <a:ext uri="{28A0092B-C50C-407E-A947-70E740481C1C}"/>
                      </a:extLst>
                    </a:blip>
                    <a:srcRect/>
                    <a:stretch>
                      <a:fillRect/>
                    </a:stretch>
                  </pic:blipFill>
                  <pic:spPr bwMode="auto">
                    <a:xfrm>
                      <a:off x="0" y="0"/>
                      <a:ext cx="64135" cy="181610"/>
                    </a:xfrm>
                    <a:prstGeom prst="rect">
                      <a:avLst/>
                    </a:prstGeom>
                    <a:noFill/>
                  </pic:spPr>
                </pic:pic>
              </a:graphicData>
            </a:graphic>
          </wp:anchor>
        </w:drawing>
        <w:drawing>
          <wp:anchor simplePos="0" relativeHeight="251657728" behindDoc="1" locked="0" layoutInCell="0" allowOverlap="1">
            <wp:simplePos x="0" y="0"/>
            <wp:positionH relativeFrom="column">
              <wp:posOffset>4369435</wp:posOffset>
            </wp:positionH>
            <wp:positionV relativeFrom="paragraph">
              <wp:posOffset>-1101725</wp:posOffset>
            </wp:positionV>
            <wp:extent cx="1188085" cy="18161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55">
                      <a:extLst>
                        <a:ext uri="{28A0092B-C50C-407E-A947-70E740481C1C}"/>
                      </a:extLst>
                    </a:blip>
                    <a:srcRect/>
                    <a:stretch>
                      <a:fillRect/>
                    </a:stretch>
                  </pic:blipFill>
                  <pic:spPr bwMode="auto">
                    <a:xfrm>
                      <a:off x="0" y="0"/>
                      <a:ext cx="1188085" cy="181610"/>
                    </a:xfrm>
                    <a:prstGeom prst="rect">
                      <a:avLst/>
                    </a:prstGeom>
                    <a:noFill/>
                  </pic:spPr>
                </pic:pic>
              </a:graphicData>
            </a:graphic>
          </wp:anchor>
        </w:drawing>
        <w:drawing>
          <wp:anchor simplePos="0" relativeHeight="251657728" behindDoc="1" locked="0" layoutInCell="0" allowOverlap="1">
            <wp:simplePos x="0" y="0"/>
            <wp:positionH relativeFrom="column">
              <wp:posOffset>4369435</wp:posOffset>
            </wp:positionH>
            <wp:positionV relativeFrom="paragraph">
              <wp:posOffset>-556895</wp:posOffset>
            </wp:positionV>
            <wp:extent cx="1252220" cy="18161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56">
                      <a:extLst>
                        <a:ext uri="{28A0092B-C50C-407E-A947-70E740481C1C}"/>
                      </a:extLst>
                    </a:blip>
                    <a:srcRect/>
                    <a:stretch>
                      <a:fillRect/>
                    </a:stretch>
                  </pic:blipFill>
                  <pic:spPr bwMode="auto">
                    <a:xfrm>
                      <a:off x="0" y="0"/>
                      <a:ext cx="1252220" cy="18161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-3294380</wp:posOffset>
            </wp:positionV>
            <wp:extent cx="6078220" cy="635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57">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-2561590</wp:posOffset>
            </wp:positionV>
            <wp:extent cx="2339975" cy="635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58">
                      <a:extLst>
                        <a:ext uri="{28A0092B-C50C-407E-A947-70E740481C1C}"/>
                      </a:extLst>
                    </a:blip>
                    <a:srcRect/>
                    <a:stretch>
                      <a:fillRect/>
                    </a:stretch>
                  </pic:blipFill>
                  <pic:spPr bwMode="auto">
                    <a:xfrm>
                      <a:off x="0" y="0"/>
                      <a:ext cx="2339975" cy="635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-193675</wp:posOffset>
            </wp:positionV>
            <wp:extent cx="2339975" cy="635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9">
                      <a:extLst>
                        <a:ext uri="{28A0092B-C50C-407E-A947-70E740481C1C}"/>
                      </a:extLst>
                    </a:blip>
                    <a:srcRect/>
                    <a:stretch>
                      <a:fillRect/>
                    </a:stretch>
                  </pic:blipFill>
                  <pic:spPr bwMode="auto">
                    <a:xfrm>
                      <a:off x="0" y="0"/>
                      <a:ext cx="2339975"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-5715</wp:posOffset>
            </wp:positionV>
            <wp:extent cx="6078220" cy="635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60">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Financial Position</w:t>
      </w:r>
    </w:p>
    <w:p>
      <w:pPr>
        <w:spacing w:after="0" w:line="183" w:lineRule="exact"/>
        <w:rPr>
          <w:sz w:val="20"/>
          <w:szCs w:val="20"/>
          <w:color w:val="auto"/>
        </w:rPr>
      </w:pPr>
    </w:p>
    <w:p>
      <w:pPr>
        <w:ind w:left="1880" w:right="220" w:hanging="497"/>
        <w:spacing w:after="0" w:line="368" w:lineRule="auto"/>
        <w:tabs>
          <w:tab w:leader="none" w:pos="188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Net assets increased to $402.3 million at December 31, 2025 (2024 – $211.9 million), primarily reflecting a debt-to-equity restructuring of intercompany loans during the year.</w:t>
      </w:r>
    </w:p>
    <w:p>
      <w:pPr>
        <w:spacing w:after="0" w:line="14" w:lineRule="exact"/>
        <w:rPr>
          <w:rFonts w:ascii="Arial" w:cs="Arial" w:eastAsia="Arial" w:hAnsi="Arial"/>
          <w:sz w:val="20"/>
          <w:szCs w:val="20"/>
          <w:color w:val="auto"/>
        </w:rPr>
      </w:pPr>
    </w:p>
    <w:p>
      <w:pPr>
        <w:ind w:left="1880" w:hanging="497"/>
        <w:spacing w:after="0" w:line="368" w:lineRule="auto"/>
        <w:tabs>
          <w:tab w:leader="none" w:pos="188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Current assets increased to $431.3 million (2024 – $312.4 million), mainly due to higher cash, sho term investments, trade receivables, prepayments and inventory as operations scaled.</w:t>
      </w:r>
    </w:p>
    <w:p>
      <w:pPr>
        <w:spacing w:after="0" w:line="7" w:lineRule="exact"/>
        <w:rPr>
          <w:rFonts w:ascii="Arial" w:cs="Arial" w:eastAsia="Arial" w:hAnsi="Arial"/>
          <w:sz w:val="20"/>
          <w:szCs w:val="20"/>
          <w:color w:val="auto"/>
        </w:rPr>
      </w:pPr>
    </w:p>
    <w:p>
      <w:pPr>
        <w:ind w:left="1880" w:hanging="497"/>
        <w:spacing w:after="0"/>
        <w:tabs>
          <w:tab w:leader="none" w:pos="188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Cash and short-term investments totaled $86.7 million (2024 – $11.2 million).</w:t>
      </w:r>
    </w:p>
    <w:p>
      <w:pPr>
        <w:spacing w:after="0" w:line="130" w:lineRule="exact"/>
        <w:rPr>
          <w:rFonts w:ascii="Arial" w:cs="Arial" w:eastAsia="Arial" w:hAnsi="Arial"/>
          <w:sz w:val="20"/>
          <w:szCs w:val="20"/>
          <w:color w:val="auto"/>
        </w:rPr>
      </w:pPr>
    </w:p>
    <w:p>
      <w:pPr>
        <w:ind w:left="1880" w:hanging="497"/>
        <w:spacing w:after="0"/>
        <w:tabs>
          <w:tab w:leader="none" w:pos="188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Third-party loans totaled $292.7 million, reflecting external financing drawn during 2025.</w:t>
      </w:r>
    </w:p>
    <w:p>
      <w:pPr>
        <w:spacing w:after="0" w:line="130" w:lineRule="exact"/>
        <w:rPr>
          <w:rFonts w:ascii="Arial" w:cs="Arial" w:eastAsia="Arial" w:hAnsi="Arial"/>
          <w:sz w:val="20"/>
          <w:szCs w:val="20"/>
          <w:color w:val="auto"/>
        </w:rPr>
      </w:pPr>
    </w:p>
    <w:p>
      <w:pPr>
        <w:ind w:left="1880" w:hanging="497"/>
        <w:spacing w:after="0"/>
        <w:tabs>
          <w:tab w:leader="none" w:pos="188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Third-party net debt totaled $206.0 million (2024 – $199.2 million)</w:t>
      </w:r>
    </w:p>
    <w:p>
      <w:pPr>
        <w:spacing w:after="0" w:line="137" w:lineRule="exact"/>
        <w:rPr>
          <w:rFonts w:ascii="Arial" w:cs="Arial" w:eastAsia="Arial" w:hAnsi="Arial"/>
          <w:sz w:val="20"/>
          <w:szCs w:val="20"/>
          <w:color w:val="auto"/>
        </w:rPr>
      </w:pPr>
    </w:p>
    <w:p>
      <w:pPr>
        <w:ind w:left="1880" w:hanging="497"/>
        <w:spacing w:after="0"/>
        <w:tabs>
          <w:tab w:leader="none" w:pos="1880" w:val="left"/>
        </w:tabs>
        <w:numPr>
          <w:ilvl w:val="0"/>
          <w:numId w:val="249"/>
        </w:numPr>
        <w:rPr>
          <w:rFonts w:ascii="Arial" w:cs="Arial" w:eastAsia="Arial" w:hAnsi="Arial"/>
          <w:sz w:val="19"/>
          <w:szCs w:val="19"/>
          <w:color w:val="auto"/>
        </w:rPr>
      </w:pPr>
      <w:r>
        <w:rPr>
          <w:rFonts w:ascii="Arial" w:cs="Arial" w:eastAsia="Arial" w:hAnsi="Arial"/>
          <w:sz w:val="19"/>
          <w:szCs w:val="19"/>
          <w:color w:val="auto"/>
        </w:rPr>
        <w:t>Shareholder loans from Exar Capital, representing historical source of funding, totaled $911.3 mill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Non-IFRS Measures – Cauchari-Olaroz (on 100% basis)</w:t>
      </w:r>
    </w:p>
    <w:p>
      <w:pPr>
        <w:spacing w:after="0" w:line="371" w:lineRule="exact"/>
        <w:rPr>
          <w:sz w:val="20"/>
          <w:szCs w:val="20"/>
          <w:color w:val="auto"/>
        </w:rPr>
      </w:pPr>
    </w:p>
    <w:tbl>
      <w:tblPr>
        <w:tblLayout w:type="fixed"/>
        <w:tblInd w:w="900" w:type="dxa"/>
        <w:tblCellMar>
          <w:top w:w="0" w:type="dxa"/>
          <w:left w:w="0" w:type="dxa"/>
          <w:bottom w:w="0" w:type="dxa"/>
          <w:right w:w="0" w:type="dxa"/>
        </w:tblCellMar>
      </w:tblPr>
      <w:tr>
        <w:trPr>
          <w:trHeight w:val="293"/>
        </w:trPr>
        <w:tc>
          <w:tcPr>
            <w:tcW w:w="2560" w:type="dxa"/>
            <w:vAlign w:val="bottom"/>
            <w:shd w:val="clear" w:color="auto" w:fill="153A57"/>
          </w:tcPr>
          <w:p>
            <w:pPr>
              <w:ind w:left="80"/>
              <w:spacing w:after="0"/>
              <w:rPr>
                <w:sz w:val="20"/>
                <w:szCs w:val="20"/>
                <w:color w:val="auto"/>
              </w:rPr>
            </w:pPr>
            <w:r>
              <w:rPr>
                <w:rFonts w:ascii="Arial" w:cs="Arial" w:eastAsia="Arial" w:hAnsi="Arial"/>
                <w:sz w:val="18"/>
                <w:szCs w:val="18"/>
                <w:b w:val="1"/>
                <w:bCs w:val="1"/>
                <w:color w:val="FFFFFF"/>
              </w:rPr>
              <w:t>Metric</w:t>
            </w:r>
          </w:p>
        </w:tc>
        <w:tc>
          <w:tcPr>
            <w:tcW w:w="1680" w:type="dxa"/>
            <w:vAlign w:val="bottom"/>
            <w:shd w:val="clear" w:color="auto" w:fill="153A57"/>
          </w:tcPr>
          <w:p>
            <w:pPr>
              <w:jc w:val="right"/>
              <w:ind w:right="330"/>
              <w:spacing w:after="0"/>
              <w:rPr>
                <w:sz w:val="20"/>
                <w:szCs w:val="20"/>
                <w:color w:val="auto"/>
              </w:rPr>
            </w:pPr>
            <w:r>
              <w:rPr>
                <w:rFonts w:ascii="Arial" w:cs="Arial" w:eastAsia="Arial" w:hAnsi="Arial"/>
                <w:sz w:val="18"/>
                <w:szCs w:val="18"/>
                <w:b w:val="1"/>
                <w:bCs w:val="1"/>
                <w:color w:val="FFFFFF"/>
              </w:rPr>
              <w:t>Q4-25</w:t>
            </w:r>
          </w:p>
        </w:tc>
        <w:tc>
          <w:tcPr>
            <w:tcW w:w="1280" w:type="dxa"/>
            <w:vAlign w:val="bottom"/>
            <w:shd w:val="clear" w:color="auto" w:fill="153A57"/>
          </w:tcPr>
          <w:p>
            <w:pPr>
              <w:jc w:val="right"/>
              <w:ind w:right="290"/>
              <w:spacing w:after="0"/>
              <w:rPr>
                <w:sz w:val="20"/>
                <w:szCs w:val="20"/>
                <w:color w:val="auto"/>
              </w:rPr>
            </w:pPr>
            <w:r>
              <w:rPr>
                <w:rFonts w:ascii="Arial" w:cs="Arial" w:eastAsia="Arial" w:hAnsi="Arial"/>
                <w:sz w:val="18"/>
                <w:szCs w:val="18"/>
                <w:b w:val="1"/>
                <w:bCs w:val="1"/>
                <w:color w:val="FFFFFF"/>
              </w:rPr>
              <w:t>Q4-24</w:t>
            </w:r>
          </w:p>
        </w:tc>
        <w:tc>
          <w:tcPr>
            <w:tcW w:w="1140" w:type="dxa"/>
            <w:vAlign w:val="bottom"/>
            <w:shd w:val="clear" w:color="auto" w:fill="153A57"/>
          </w:tcPr>
          <w:p>
            <w:pPr>
              <w:jc w:val="right"/>
              <w:ind w:right="210"/>
              <w:spacing w:after="0"/>
              <w:rPr>
                <w:sz w:val="20"/>
                <w:szCs w:val="20"/>
                <w:color w:val="auto"/>
              </w:rPr>
            </w:pPr>
            <w:r>
              <w:rPr>
                <w:rFonts w:ascii="Arial" w:cs="Arial" w:eastAsia="Arial" w:hAnsi="Arial"/>
                <w:sz w:val="18"/>
                <w:szCs w:val="18"/>
                <w:b w:val="1"/>
                <w:bCs w:val="1"/>
                <w:color w:val="FFFFFF"/>
              </w:rPr>
              <w:t>%</w:t>
            </w:r>
          </w:p>
        </w:tc>
        <w:tc>
          <w:tcPr>
            <w:tcW w:w="1380" w:type="dxa"/>
            <w:vAlign w:val="bottom"/>
            <w:shd w:val="clear" w:color="auto" w:fill="153A57"/>
          </w:tcPr>
          <w:p>
            <w:pPr>
              <w:jc w:val="right"/>
              <w:ind w:right="290"/>
              <w:spacing w:after="0"/>
              <w:rPr>
                <w:sz w:val="20"/>
                <w:szCs w:val="20"/>
                <w:color w:val="auto"/>
              </w:rPr>
            </w:pPr>
            <w:r>
              <w:rPr>
                <w:rFonts w:ascii="Arial" w:cs="Arial" w:eastAsia="Arial" w:hAnsi="Arial"/>
                <w:sz w:val="18"/>
                <w:szCs w:val="18"/>
                <w:b w:val="1"/>
                <w:bCs w:val="1"/>
                <w:color w:val="FFFFFF"/>
              </w:rPr>
              <w:t>FY-25</w:t>
            </w:r>
          </w:p>
        </w:tc>
        <w:tc>
          <w:tcPr>
            <w:tcW w:w="1520" w:type="dxa"/>
            <w:vAlign w:val="bottom"/>
            <w:shd w:val="clear" w:color="auto" w:fill="153A57"/>
          </w:tcPr>
          <w:p>
            <w:pPr>
              <w:jc w:val="right"/>
              <w:ind w:right="510"/>
              <w:spacing w:after="0"/>
              <w:rPr>
                <w:sz w:val="20"/>
                <w:szCs w:val="20"/>
                <w:color w:val="auto"/>
              </w:rPr>
            </w:pPr>
            <w:r>
              <w:rPr>
                <w:rFonts w:ascii="Arial" w:cs="Arial" w:eastAsia="Arial" w:hAnsi="Arial"/>
                <w:sz w:val="18"/>
                <w:szCs w:val="18"/>
                <w:b w:val="1"/>
                <w:bCs w:val="1"/>
                <w:color w:val="FFFFFF"/>
              </w:rPr>
              <w:t>FY-24</w:t>
            </w:r>
          </w:p>
        </w:tc>
      </w:tr>
      <w:tr>
        <w:trPr>
          <w:trHeight w:val="94"/>
        </w:trPr>
        <w:tc>
          <w:tcPr>
            <w:tcW w:w="2560" w:type="dxa"/>
            <w:vAlign w:val="bottom"/>
            <w:shd w:val="clear" w:color="auto" w:fill="153A57"/>
          </w:tcPr>
          <w:p>
            <w:pPr>
              <w:spacing w:after="0"/>
              <w:rPr>
                <w:sz w:val="8"/>
                <w:szCs w:val="8"/>
                <w:color w:val="auto"/>
              </w:rPr>
            </w:pPr>
          </w:p>
        </w:tc>
        <w:tc>
          <w:tcPr>
            <w:tcW w:w="1680" w:type="dxa"/>
            <w:vAlign w:val="bottom"/>
            <w:shd w:val="clear" w:color="auto" w:fill="153A57"/>
          </w:tcPr>
          <w:p>
            <w:pPr>
              <w:spacing w:after="0"/>
              <w:rPr>
                <w:sz w:val="8"/>
                <w:szCs w:val="8"/>
                <w:color w:val="auto"/>
              </w:rPr>
            </w:pPr>
          </w:p>
        </w:tc>
        <w:tc>
          <w:tcPr>
            <w:tcW w:w="1280" w:type="dxa"/>
            <w:vAlign w:val="bottom"/>
            <w:shd w:val="clear" w:color="auto" w:fill="153A57"/>
          </w:tcPr>
          <w:p>
            <w:pPr>
              <w:spacing w:after="0"/>
              <w:rPr>
                <w:sz w:val="8"/>
                <w:szCs w:val="8"/>
                <w:color w:val="auto"/>
              </w:rPr>
            </w:pPr>
          </w:p>
        </w:tc>
        <w:tc>
          <w:tcPr>
            <w:tcW w:w="1140" w:type="dxa"/>
            <w:vAlign w:val="bottom"/>
            <w:shd w:val="clear" w:color="auto" w:fill="153A57"/>
          </w:tcPr>
          <w:p>
            <w:pPr>
              <w:spacing w:after="0"/>
              <w:rPr>
                <w:sz w:val="8"/>
                <w:szCs w:val="8"/>
                <w:color w:val="auto"/>
              </w:rPr>
            </w:pPr>
          </w:p>
        </w:tc>
        <w:tc>
          <w:tcPr>
            <w:tcW w:w="1380" w:type="dxa"/>
            <w:vAlign w:val="bottom"/>
            <w:shd w:val="clear" w:color="auto" w:fill="153A57"/>
          </w:tcPr>
          <w:p>
            <w:pPr>
              <w:spacing w:after="0"/>
              <w:rPr>
                <w:sz w:val="8"/>
                <w:szCs w:val="8"/>
                <w:color w:val="auto"/>
              </w:rPr>
            </w:pPr>
          </w:p>
        </w:tc>
        <w:tc>
          <w:tcPr>
            <w:tcW w:w="1520" w:type="dxa"/>
            <w:vAlign w:val="bottom"/>
            <w:shd w:val="clear" w:color="auto" w:fill="153A57"/>
          </w:tcPr>
          <w:p>
            <w:pPr>
              <w:spacing w:after="0"/>
              <w:rPr>
                <w:sz w:val="8"/>
                <w:szCs w:val="8"/>
                <w:color w:val="auto"/>
              </w:rPr>
            </w:pPr>
          </w:p>
        </w:tc>
      </w:tr>
      <w:tr>
        <w:trPr>
          <w:trHeight w:val="344"/>
        </w:trPr>
        <w:tc>
          <w:tcPr>
            <w:tcW w:w="2560" w:type="dxa"/>
            <w:vAlign w:val="bottom"/>
          </w:tcPr>
          <w:p>
            <w:pPr>
              <w:ind w:left="80"/>
              <w:spacing w:after="0"/>
              <w:rPr>
                <w:sz w:val="20"/>
                <w:szCs w:val="20"/>
                <w:color w:val="auto"/>
              </w:rPr>
            </w:pPr>
            <w:r>
              <w:rPr>
                <w:rFonts w:ascii="Arial" w:cs="Arial" w:eastAsia="Arial" w:hAnsi="Arial"/>
                <w:sz w:val="18"/>
                <w:szCs w:val="18"/>
                <w:b w:val="1"/>
                <w:bCs w:val="1"/>
                <w:color w:val="333333"/>
              </w:rPr>
              <w:t>Production (tonnes)</w:t>
            </w:r>
          </w:p>
        </w:tc>
        <w:tc>
          <w:tcPr>
            <w:tcW w:w="1680" w:type="dxa"/>
            <w:vAlign w:val="bottom"/>
          </w:tcPr>
          <w:p>
            <w:pPr>
              <w:jc w:val="right"/>
              <w:ind w:right="330"/>
              <w:spacing w:after="0"/>
              <w:rPr>
                <w:sz w:val="20"/>
                <w:szCs w:val="20"/>
                <w:color w:val="auto"/>
              </w:rPr>
            </w:pPr>
            <w:r>
              <w:rPr>
                <w:rFonts w:ascii="Arial" w:cs="Arial" w:eastAsia="Arial" w:hAnsi="Arial"/>
                <w:sz w:val="18"/>
                <w:szCs w:val="18"/>
                <w:color w:val="333333"/>
              </w:rPr>
              <w:t>9,685</w:t>
            </w:r>
          </w:p>
        </w:tc>
        <w:tc>
          <w:tcPr>
            <w:tcW w:w="1280" w:type="dxa"/>
            <w:vAlign w:val="bottom"/>
          </w:tcPr>
          <w:p>
            <w:pPr>
              <w:jc w:val="right"/>
              <w:ind w:right="290"/>
              <w:spacing w:after="0"/>
              <w:rPr>
                <w:sz w:val="20"/>
                <w:szCs w:val="20"/>
                <w:color w:val="auto"/>
              </w:rPr>
            </w:pPr>
            <w:r>
              <w:rPr>
                <w:rFonts w:ascii="Arial" w:cs="Arial" w:eastAsia="Arial" w:hAnsi="Arial"/>
                <w:sz w:val="18"/>
                <w:szCs w:val="18"/>
                <w:color w:val="333333"/>
              </w:rPr>
              <w:t>8,565</w:t>
            </w:r>
          </w:p>
        </w:tc>
        <w:tc>
          <w:tcPr>
            <w:tcW w:w="1140" w:type="dxa"/>
            <w:vAlign w:val="bottom"/>
          </w:tcPr>
          <w:p>
            <w:pPr>
              <w:jc w:val="right"/>
              <w:ind w:right="210"/>
              <w:spacing w:after="0"/>
              <w:rPr>
                <w:sz w:val="20"/>
                <w:szCs w:val="20"/>
                <w:color w:val="auto"/>
              </w:rPr>
            </w:pPr>
            <w:r>
              <w:rPr>
                <w:rFonts w:ascii="Arial" w:cs="Arial" w:eastAsia="Arial" w:hAnsi="Arial"/>
                <w:sz w:val="18"/>
                <w:szCs w:val="18"/>
                <w:color w:val="2E7D32"/>
              </w:rPr>
              <w:t>+13%</w:t>
            </w:r>
          </w:p>
        </w:tc>
        <w:tc>
          <w:tcPr>
            <w:tcW w:w="1380" w:type="dxa"/>
            <w:vAlign w:val="bottom"/>
          </w:tcPr>
          <w:p>
            <w:pPr>
              <w:jc w:val="right"/>
              <w:ind w:right="290"/>
              <w:spacing w:after="0"/>
              <w:rPr>
                <w:sz w:val="20"/>
                <w:szCs w:val="20"/>
                <w:color w:val="auto"/>
              </w:rPr>
            </w:pPr>
            <w:r>
              <w:rPr>
                <w:rFonts w:ascii="Arial" w:cs="Arial" w:eastAsia="Arial" w:hAnsi="Arial"/>
                <w:sz w:val="18"/>
                <w:szCs w:val="18"/>
                <w:color w:val="333333"/>
              </w:rPr>
              <w:t>34,100</w:t>
            </w:r>
            <w:r>
              <w:rPr>
                <w:rFonts w:ascii="Arial" w:cs="Arial" w:eastAsia="Arial" w:hAnsi="Arial"/>
                <w:sz w:val="24"/>
                <w:szCs w:val="24"/>
                <w:color w:val="333333"/>
                <w:vertAlign w:val="superscript"/>
              </w:rPr>
              <w:t>15</w:t>
            </w:r>
          </w:p>
        </w:tc>
        <w:tc>
          <w:tcPr>
            <w:tcW w:w="1520" w:type="dxa"/>
            <w:vAlign w:val="bottom"/>
          </w:tcPr>
          <w:p>
            <w:pPr>
              <w:jc w:val="right"/>
              <w:ind w:right="510"/>
              <w:spacing w:after="0"/>
              <w:rPr>
                <w:sz w:val="20"/>
                <w:szCs w:val="20"/>
                <w:color w:val="auto"/>
              </w:rPr>
            </w:pPr>
            <w:r>
              <w:rPr>
                <w:rFonts w:ascii="Arial" w:cs="Arial" w:eastAsia="Arial" w:hAnsi="Arial"/>
                <w:sz w:val="18"/>
                <w:szCs w:val="18"/>
                <w:color w:val="333333"/>
              </w:rPr>
              <w:t>25,471</w:t>
            </w:r>
          </w:p>
        </w:tc>
      </w:tr>
      <w:tr>
        <w:trPr>
          <w:trHeight w:val="293"/>
        </w:trPr>
        <w:tc>
          <w:tcPr>
            <w:tcW w:w="2560" w:type="dxa"/>
            <w:vAlign w:val="bottom"/>
          </w:tcPr>
          <w:p>
            <w:pPr>
              <w:ind w:left="80"/>
              <w:spacing w:after="0"/>
              <w:rPr>
                <w:sz w:val="20"/>
                <w:szCs w:val="20"/>
                <w:color w:val="auto"/>
              </w:rPr>
            </w:pPr>
            <w:r>
              <w:rPr>
                <w:rFonts w:ascii="Arial" w:cs="Arial" w:eastAsia="Arial" w:hAnsi="Arial"/>
                <w:sz w:val="18"/>
                <w:szCs w:val="18"/>
                <w:color w:val="333333"/>
              </w:rPr>
              <w:t>Avg Sales Price ($/t)</w:t>
            </w:r>
          </w:p>
        </w:tc>
        <w:tc>
          <w:tcPr>
            <w:tcW w:w="1680" w:type="dxa"/>
            <w:vAlign w:val="bottom"/>
          </w:tcPr>
          <w:p>
            <w:pPr>
              <w:jc w:val="right"/>
              <w:ind w:right="330"/>
              <w:spacing w:after="0"/>
              <w:rPr>
                <w:sz w:val="20"/>
                <w:szCs w:val="20"/>
                <w:color w:val="auto"/>
              </w:rPr>
            </w:pPr>
            <w:r>
              <w:rPr>
                <w:rFonts w:ascii="Arial" w:cs="Arial" w:eastAsia="Arial" w:hAnsi="Arial"/>
                <w:sz w:val="18"/>
                <w:szCs w:val="18"/>
                <w:color w:val="333333"/>
              </w:rPr>
              <w:t>9,049</w:t>
            </w:r>
          </w:p>
        </w:tc>
        <w:tc>
          <w:tcPr>
            <w:tcW w:w="1280" w:type="dxa"/>
            <w:vAlign w:val="bottom"/>
          </w:tcPr>
          <w:p>
            <w:pPr>
              <w:jc w:val="right"/>
              <w:ind w:right="290"/>
              <w:spacing w:after="0"/>
              <w:rPr>
                <w:sz w:val="20"/>
                <w:szCs w:val="20"/>
                <w:color w:val="auto"/>
              </w:rPr>
            </w:pPr>
            <w:r>
              <w:rPr>
                <w:rFonts w:ascii="Arial" w:cs="Arial" w:eastAsia="Arial" w:hAnsi="Arial"/>
                <w:sz w:val="18"/>
                <w:szCs w:val="18"/>
                <w:color w:val="333333"/>
              </w:rPr>
              <w:t>7,118</w:t>
            </w:r>
          </w:p>
        </w:tc>
        <w:tc>
          <w:tcPr>
            <w:tcW w:w="1140" w:type="dxa"/>
            <w:vAlign w:val="bottom"/>
          </w:tcPr>
          <w:p>
            <w:pPr>
              <w:jc w:val="right"/>
              <w:ind w:right="210"/>
              <w:spacing w:after="0"/>
              <w:rPr>
                <w:sz w:val="20"/>
                <w:szCs w:val="20"/>
                <w:color w:val="auto"/>
              </w:rPr>
            </w:pPr>
            <w:r>
              <w:rPr>
                <w:rFonts w:ascii="Arial" w:cs="Arial" w:eastAsia="Arial" w:hAnsi="Arial"/>
                <w:sz w:val="18"/>
                <w:szCs w:val="18"/>
                <w:color w:val="2E7D32"/>
              </w:rPr>
              <w:t>+27%</w:t>
            </w:r>
          </w:p>
        </w:tc>
        <w:tc>
          <w:tcPr>
            <w:tcW w:w="1380" w:type="dxa"/>
            <w:vAlign w:val="bottom"/>
          </w:tcPr>
          <w:p>
            <w:pPr>
              <w:jc w:val="right"/>
              <w:ind w:right="290"/>
              <w:spacing w:after="0"/>
              <w:rPr>
                <w:sz w:val="20"/>
                <w:szCs w:val="20"/>
                <w:color w:val="auto"/>
              </w:rPr>
            </w:pPr>
            <w:r>
              <w:rPr>
                <w:rFonts w:ascii="Arial" w:cs="Arial" w:eastAsia="Arial" w:hAnsi="Arial"/>
                <w:sz w:val="18"/>
                <w:szCs w:val="18"/>
                <w:color w:val="333333"/>
              </w:rPr>
              <w:t>8,014</w:t>
            </w:r>
          </w:p>
        </w:tc>
        <w:tc>
          <w:tcPr>
            <w:tcW w:w="1520" w:type="dxa"/>
            <w:vAlign w:val="bottom"/>
          </w:tcPr>
          <w:p>
            <w:pPr>
              <w:jc w:val="right"/>
              <w:ind w:right="510"/>
              <w:spacing w:after="0"/>
              <w:rPr>
                <w:sz w:val="20"/>
                <w:szCs w:val="20"/>
                <w:color w:val="auto"/>
              </w:rPr>
            </w:pPr>
            <w:r>
              <w:rPr>
                <w:rFonts w:ascii="Arial" w:cs="Arial" w:eastAsia="Arial" w:hAnsi="Arial"/>
                <w:sz w:val="18"/>
                <w:szCs w:val="18"/>
                <w:color w:val="333333"/>
              </w:rPr>
              <w:t>7,800</w:t>
            </w:r>
          </w:p>
        </w:tc>
      </w:tr>
      <w:tr>
        <w:trPr>
          <w:trHeight w:val="358"/>
        </w:trPr>
        <w:tc>
          <w:tcPr>
            <w:tcW w:w="2560" w:type="dxa"/>
            <w:vAlign w:val="bottom"/>
          </w:tcPr>
          <w:p>
            <w:pPr>
              <w:ind w:left="80"/>
              <w:spacing w:after="0"/>
              <w:rPr>
                <w:sz w:val="20"/>
                <w:szCs w:val="20"/>
                <w:color w:val="auto"/>
              </w:rPr>
            </w:pPr>
            <w:r>
              <w:rPr>
                <w:rFonts w:ascii="Arial" w:cs="Arial" w:eastAsia="Arial" w:hAnsi="Arial"/>
                <w:sz w:val="18"/>
                <w:szCs w:val="18"/>
                <w:b w:val="1"/>
                <w:bCs w:val="1"/>
                <w:color w:val="333333"/>
              </w:rPr>
              <w:t>Revenue ($M)</w:t>
            </w:r>
          </w:p>
        </w:tc>
        <w:tc>
          <w:tcPr>
            <w:tcW w:w="1680" w:type="dxa"/>
            <w:vAlign w:val="bottom"/>
          </w:tcPr>
          <w:p>
            <w:pPr>
              <w:jc w:val="right"/>
              <w:ind w:right="330"/>
              <w:spacing w:after="0"/>
              <w:rPr>
                <w:sz w:val="20"/>
                <w:szCs w:val="20"/>
                <w:color w:val="auto"/>
              </w:rPr>
            </w:pPr>
            <w:r>
              <w:rPr>
                <w:rFonts w:ascii="Arial" w:cs="Arial" w:eastAsia="Arial" w:hAnsi="Arial"/>
                <w:sz w:val="18"/>
                <w:szCs w:val="18"/>
                <w:color w:val="333333"/>
              </w:rPr>
              <w:t>91.5</w:t>
            </w:r>
          </w:p>
        </w:tc>
        <w:tc>
          <w:tcPr>
            <w:tcW w:w="1280" w:type="dxa"/>
            <w:vAlign w:val="bottom"/>
          </w:tcPr>
          <w:p>
            <w:pPr>
              <w:jc w:val="right"/>
              <w:ind w:right="290"/>
              <w:spacing w:after="0"/>
              <w:rPr>
                <w:sz w:val="20"/>
                <w:szCs w:val="20"/>
                <w:color w:val="auto"/>
              </w:rPr>
            </w:pPr>
            <w:r>
              <w:rPr>
                <w:rFonts w:ascii="Arial" w:cs="Arial" w:eastAsia="Arial" w:hAnsi="Arial"/>
                <w:sz w:val="18"/>
                <w:szCs w:val="18"/>
                <w:color w:val="333333"/>
              </w:rPr>
              <w:t>66.8</w:t>
            </w:r>
          </w:p>
        </w:tc>
        <w:tc>
          <w:tcPr>
            <w:tcW w:w="1140" w:type="dxa"/>
            <w:vAlign w:val="bottom"/>
          </w:tcPr>
          <w:p>
            <w:pPr>
              <w:jc w:val="right"/>
              <w:ind w:right="210"/>
              <w:spacing w:after="0"/>
              <w:rPr>
                <w:sz w:val="20"/>
                <w:szCs w:val="20"/>
                <w:color w:val="auto"/>
              </w:rPr>
            </w:pPr>
            <w:r>
              <w:rPr>
                <w:rFonts w:ascii="Arial" w:cs="Arial" w:eastAsia="Arial" w:hAnsi="Arial"/>
                <w:sz w:val="18"/>
                <w:szCs w:val="18"/>
                <w:color w:val="2E7D32"/>
              </w:rPr>
              <w:t>+37%</w:t>
            </w:r>
          </w:p>
        </w:tc>
        <w:tc>
          <w:tcPr>
            <w:tcW w:w="1380" w:type="dxa"/>
            <w:vAlign w:val="bottom"/>
          </w:tcPr>
          <w:p>
            <w:pPr>
              <w:jc w:val="right"/>
              <w:ind w:right="290"/>
              <w:spacing w:after="0"/>
              <w:rPr>
                <w:sz w:val="20"/>
                <w:szCs w:val="20"/>
                <w:color w:val="auto"/>
              </w:rPr>
            </w:pPr>
            <w:r>
              <w:rPr>
                <w:rFonts w:ascii="Arial" w:cs="Arial" w:eastAsia="Arial" w:hAnsi="Arial"/>
                <w:sz w:val="18"/>
                <w:szCs w:val="18"/>
                <w:color w:val="333333"/>
              </w:rPr>
              <w:t>271.5</w:t>
            </w:r>
          </w:p>
        </w:tc>
        <w:tc>
          <w:tcPr>
            <w:tcW w:w="1520" w:type="dxa"/>
            <w:vAlign w:val="bottom"/>
          </w:tcPr>
          <w:p>
            <w:pPr>
              <w:jc w:val="right"/>
              <w:ind w:right="510"/>
              <w:spacing w:after="0"/>
              <w:rPr>
                <w:sz w:val="20"/>
                <w:szCs w:val="20"/>
                <w:color w:val="auto"/>
              </w:rPr>
            </w:pPr>
            <w:r>
              <w:rPr>
                <w:rFonts w:ascii="Arial" w:cs="Arial" w:eastAsia="Arial" w:hAnsi="Arial"/>
                <w:sz w:val="18"/>
                <w:szCs w:val="18"/>
                <w:color w:val="333333"/>
              </w:rPr>
              <w:t>197.7</w:t>
            </w:r>
          </w:p>
        </w:tc>
      </w:tr>
      <w:tr>
        <w:trPr>
          <w:trHeight w:val="368"/>
        </w:trPr>
        <w:tc>
          <w:tcPr>
            <w:tcW w:w="2560" w:type="dxa"/>
            <w:vAlign w:val="bottom"/>
          </w:tcPr>
          <w:p>
            <w:pPr>
              <w:ind w:left="80"/>
              <w:spacing w:after="0"/>
              <w:rPr>
                <w:sz w:val="20"/>
                <w:szCs w:val="20"/>
                <w:color w:val="auto"/>
              </w:rPr>
            </w:pPr>
            <w:r>
              <w:rPr>
                <w:rFonts w:ascii="Arial" w:cs="Arial" w:eastAsia="Arial" w:hAnsi="Arial"/>
                <w:sz w:val="18"/>
                <w:szCs w:val="18"/>
                <w:color w:val="333333"/>
              </w:rPr>
              <w:t>Operating Costs ($M)</w:t>
            </w:r>
          </w:p>
        </w:tc>
        <w:tc>
          <w:tcPr>
            <w:tcW w:w="1680" w:type="dxa"/>
            <w:vAlign w:val="bottom"/>
          </w:tcPr>
          <w:p>
            <w:pPr>
              <w:jc w:val="right"/>
              <w:ind w:right="330"/>
              <w:spacing w:after="0"/>
              <w:rPr>
                <w:sz w:val="20"/>
                <w:szCs w:val="20"/>
                <w:color w:val="auto"/>
              </w:rPr>
            </w:pPr>
            <w:r>
              <w:rPr>
                <w:rFonts w:ascii="Arial" w:cs="Arial" w:eastAsia="Arial" w:hAnsi="Arial"/>
                <w:sz w:val="18"/>
                <w:szCs w:val="18"/>
                <w:color w:val="333333"/>
              </w:rPr>
              <w:t>48.7</w:t>
            </w:r>
          </w:p>
        </w:tc>
        <w:tc>
          <w:tcPr>
            <w:tcW w:w="1280" w:type="dxa"/>
            <w:vAlign w:val="bottom"/>
          </w:tcPr>
          <w:p>
            <w:pPr>
              <w:jc w:val="right"/>
              <w:ind w:right="290"/>
              <w:spacing w:after="0"/>
              <w:rPr>
                <w:sz w:val="20"/>
                <w:szCs w:val="20"/>
                <w:color w:val="auto"/>
              </w:rPr>
            </w:pPr>
            <w:r>
              <w:rPr>
                <w:rFonts w:ascii="Arial" w:cs="Arial" w:eastAsia="Arial" w:hAnsi="Arial"/>
                <w:sz w:val="18"/>
                <w:szCs w:val="18"/>
                <w:color w:val="333333"/>
              </w:rPr>
              <w:t>60.6</w:t>
            </w:r>
          </w:p>
        </w:tc>
        <w:tc>
          <w:tcPr>
            <w:tcW w:w="1140" w:type="dxa"/>
            <w:vAlign w:val="bottom"/>
          </w:tcPr>
          <w:p>
            <w:pPr>
              <w:jc w:val="right"/>
              <w:ind w:right="210"/>
              <w:spacing w:after="0"/>
              <w:rPr>
                <w:sz w:val="20"/>
                <w:szCs w:val="20"/>
                <w:color w:val="auto"/>
              </w:rPr>
            </w:pPr>
            <w:r>
              <w:rPr>
                <w:rFonts w:ascii="Arial" w:cs="Arial" w:eastAsia="Arial" w:hAnsi="Arial"/>
                <w:sz w:val="18"/>
                <w:szCs w:val="18"/>
                <w:color w:val="333333"/>
              </w:rPr>
              <w:t>-20%</w:t>
            </w:r>
          </w:p>
        </w:tc>
        <w:tc>
          <w:tcPr>
            <w:tcW w:w="1380" w:type="dxa"/>
            <w:vAlign w:val="bottom"/>
          </w:tcPr>
          <w:p>
            <w:pPr>
              <w:jc w:val="right"/>
              <w:ind w:right="290"/>
              <w:spacing w:after="0"/>
              <w:rPr>
                <w:sz w:val="20"/>
                <w:szCs w:val="20"/>
                <w:color w:val="auto"/>
              </w:rPr>
            </w:pPr>
            <w:r>
              <w:rPr>
                <w:rFonts w:ascii="Arial" w:cs="Arial" w:eastAsia="Arial" w:hAnsi="Arial"/>
                <w:sz w:val="18"/>
                <w:szCs w:val="18"/>
                <w:color w:val="333333"/>
              </w:rPr>
              <w:t>203.6</w:t>
            </w:r>
          </w:p>
        </w:tc>
        <w:tc>
          <w:tcPr>
            <w:tcW w:w="1520" w:type="dxa"/>
            <w:vAlign w:val="bottom"/>
          </w:tcPr>
          <w:p>
            <w:pPr>
              <w:jc w:val="right"/>
              <w:ind w:right="510"/>
              <w:spacing w:after="0"/>
              <w:rPr>
                <w:sz w:val="20"/>
                <w:szCs w:val="20"/>
                <w:color w:val="auto"/>
              </w:rPr>
            </w:pPr>
            <w:r>
              <w:rPr>
                <w:rFonts w:ascii="Arial" w:cs="Arial" w:eastAsia="Arial" w:hAnsi="Arial"/>
                <w:sz w:val="18"/>
                <w:szCs w:val="18"/>
                <w:color w:val="333333"/>
              </w:rPr>
              <w:t>201.0</w:t>
            </w:r>
          </w:p>
        </w:tc>
      </w:tr>
      <w:tr>
        <w:trPr>
          <w:trHeight w:val="358"/>
        </w:trPr>
        <w:tc>
          <w:tcPr>
            <w:tcW w:w="2560" w:type="dxa"/>
            <w:vAlign w:val="bottom"/>
          </w:tcPr>
          <w:p>
            <w:pPr>
              <w:ind w:left="80"/>
              <w:spacing w:after="0"/>
              <w:rPr>
                <w:sz w:val="20"/>
                <w:szCs w:val="20"/>
                <w:color w:val="auto"/>
              </w:rPr>
            </w:pPr>
            <w:r>
              <w:rPr>
                <w:rFonts w:ascii="Arial" w:cs="Arial" w:eastAsia="Arial" w:hAnsi="Arial"/>
                <w:sz w:val="18"/>
                <w:szCs w:val="18"/>
                <w:b w:val="1"/>
                <w:bCs w:val="1"/>
                <w:color w:val="333333"/>
              </w:rPr>
              <w:t>C1 Cash Cost ($/t)</w:t>
            </w:r>
          </w:p>
        </w:tc>
        <w:tc>
          <w:tcPr>
            <w:tcW w:w="1680" w:type="dxa"/>
            <w:vAlign w:val="bottom"/>
          </w:tcPr>
          <w:p>
            <w:pPr>
              <w:jc w:val="right"/>
              <w:ind w:right="330"/>
              <w:spacing w:after="0"/>
              <w:rPr>
                <w:sz w:val="20"/>
                <w:szCs w:val="20"/>
                <w:color w:val="auto"/>
              </w:rPr>
            </w:pPr>
            <w:r>
              <w:rPr>
                <w:rFonts w:ascii="Arial" w:cs="Arial" w:eastAsia="Arial" w:hAnsi="Arial"/>
                <w:sz w:val="18"/>
                <w:szCs w:val="18"/>
                <w:color w:val="333333"/>
              </w:rPr>
              <w:t>5,618</w:t>
            </w:r>
          </w:p>
        </w:tc>
        <w:tc>
          <w:tcPr>
            <w:tcW w:w="1280" w:type="dxa"/>
            <w:vAlign w:val="bottom"/>
          </w:tcPr>
          <w:p>
            <w:pPr>
              <w:jc w:val="right"/>
              <w:ind w:right="290"/>
              <w:spacing w:after="0"/>
              <w:rPr>
                <w:sz w:val="20"/>
                <w:szCs w:val="20"/>
                <w:color w:val="auto"/>
              </w:rPr>
            </w:pPr>
            <w:r>
              <w:rPr>
                <w:rFonts w:ascii="Arial" w:cs="Arial" w:eastAsia="Arial" w:hAnsi="Arial"/>
                <w:sz w:val="18"/>
                <w:szCs w:val="18"/>
                <w:color w:val="333333"/>
              </w:rPr>
              <w:t>6,630</w:t>
            </w:r>
          </w:p>
        </w:tc>
        <w:tc>
          <w:tcPr>
            <w:tcW w:w="1140" w:type="dxa"/>
            <w:vAlign w:val="bottom"/>
          </w:tcPr>
          <w:p>
            <w:pPr>
              <w:jc w:val="right"/>
              <w:ind w:right="210"/>
              <w:spacing w:after="0"/>
              <w:rPr>
                <w:sz w:val="20"/>
                <w:szCs w:val="20"/>
                <w:color w:val="auto"/>
              </w:rPr>
            </w:pPr>
            <w:r>
              <w:rPr>
                <w:rFonts w:ascii="Arial" w:cs="Arial" w:eastAsia="Arial" w:hAnsi="Arial"/>
                <w:sz w:val="18"/>
                <w:szCs w:val="18"/>
                <w:color w:val="333333"/>
              </w:rPr>
              <w:t>-15%</w:t>
            </w:r>
          </w:p>
        </w:tc>
        <w:tc>
          <w:tcPr>
            <w:tcW w:w="1380" w:type="dxa"/>
            <w:vAlign w:val="bottom"/>
          </w:tcPr>
          <w:p>
            <w:pPr>
              <w:jc w:val="right"/>
              <w:ind w:right="290"/>
              <w:spacing w:after="0"/>
              <w:rPr>
                <w:sz w:val="20"/>
                <w:szCs w:val="20"/>
                <w:color w:val="auto"/>
              </w:rPr>
            </w:pPr>
            <w:r>
              <w:rPr>
                <w:rFonts w:ascii="Arial" w:cs="Arial" w:eastAsia="Arial" w:hAnsi="Arial"/>
                <w:sz w:val="18"/>
                <w:szCs w:val="18"/>
                <w:color w:val="333333"/>
              </w:rPr>
              <w:t>6,108</w:t>
            </w:r>
          </w:p>
        </w:tc>
        <w:tc>
          <w:tcPr>
            <w:tcW w:w="1520" w:type="dxa"/>
            <w:vAlign w:val="bottom"/>
          </w:tcPr>
          <w:p>
            <w:pPr>
              <w:jc w:val="right"/>
              <w:ind w:right="510"/>
              <w:spacing w:after="0"/>
              <w:rPr>
                <w:sz w:val="20"/>
                <w:szCs w:val="20"/>
                <w:color w:val="auto"/>
              </w:rPr>
            </w:pPr>
            <w:r>
              <w:rPr>
                <w:rFonts w:ascii="Arial" w:cs="Arial" w:eastAsia="Arial" w:hAnsi="Arial"/>
                <w:sz w:val="18"/>
                <w:szCs w:val="18"/>
                <w:color w:val="333333"/>
              </w:rPr>
              <w:t>7,131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-410210</wp:posOffset>
            </wp:positionV>
            <wp:extent cx="6078220" cy="635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61">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50165</wp:posOffset>
            </wp:positionV>
            <wp:extent cx="6078220" cy="635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62">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6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12 / 30</w:t>
      </w:r>
    </w:p>
    <w:p>
      <w:pPr>
        <w:sectPr>
          <w:pgSz w:w="11900" w:h="16838" w:orient="portrait"/>
          <w:cols w:equalWidth="0" w:num="1">
            <w:col w:w="10460"/>
          </w:cols>
          <w:pgMar w:left="1440" w:top="1440" w:right="6" w:bottom="0" w:gutter="0" w:footer="0" w:header="0"/>
          <w:type w:val="continuous"/>
        </w:sectPr>
      </w:pPr>
    </w:p>
    <w:bookmarkStart w:id="509" w:name="page510"/>
    <w:bookmarkEnd w:id="509"/>
    <w:tbl>
      <w:tblPr>
        <w:tblLayout w:type="fixed"/>
        <w:tblInd w:w="980" w:type="dxa"/>
        <w:tblCellMar>
          <w:top w:w="0" w:type="dxa"/>
          <w:left w:w="0" w:type="dxa"/>
          <w:bottom w:w="0" w:type="dxa"/>
          <w:right w:w="0" w:type="dxa"/>
        </w:tblCellMar>
      </w:tblPr>
      <w:tr>
        <w:trPr>
          <w:trHeight w:val="207"/>
        </w:trPr>
        <w:tc>
          <w:tcPr>
            <w:tcW w:w="2660" w:type="dxa"/>
            <w:vAlign w:val="bottom"/>
          </w:tcPr>
          <w:p>
            <w:pPr>
              <w:spacing w:after="0"/>
              <w:rPr>
                <w:sz w:val="20"/>
                <w:szCs w:val="20"/>
                <w:color w:val="auto"/>
              </w:rPr>
            </w:pPr>
            <w:r>
              <w:rPr>
                <w:rFonts w:ascii="Arial" w:cs="Arial" w:eastAsia="Arial" w:hAnsi="Arial"/>
                <w:sz w:val="18"/>
                <w:szCs w:val="18"/>
                <w:b w:val="1"/>
                <w:bCs w:val="1"/>
                <w:color w:val="333333"/>
              </w:rPr>
              <w:t>Net Income ($M)</w:t>
            </w:r>
          </w:p>
        </w:tc>
        <w:tc>
          <w:tcPr>
            <w:tcW w:w="1560" w:type="dxa"/>
            <w:vAlign w:val="bottom"/>
          </w:tcPr>
          <w:p>
            <w:pPr>
              <w:jc w:val="right"/>
              <w:ind w:right="390"/>
              <w:spacing w:after="0"/>
              <w:rPr>
                <w:sz w:val="20"/>
                <w:szCs w:val="20"/>
                <w:color w:val="auto"/>
              </w:rPr>
            </w:pPr>
            <w:r>
              <w:rPr>
                <w:rFonts w:ascii="Arial" w:cs="Arial" w:eastAsia="Arial" w:hAnsi="Arial"/>
                <w:sz w:val="18"/>
                <w:szCs w:val="18"/>
                <w:color w:val="333333"/>
              </w:rPr>
              <w:t>31.2</w:t>
            </w:r>
          </w:p>
        </w:tc>
        <w:tc>
          <w:tcPr>
            <w:tcW w:w="1160" w:type="dxa"/>
            <w:vAlign w:val="bottom"/>
          </w:tcPr>
          <w:p>
            <w:pPr>
              <w:jc w:val="right"/>
              <w:ind w:right="230"/>
              <w:spacing w:after="0"/>
              <w:rPr>
                <w:sz w:val="20"/>
                <w:szCs w:val="20"/>
                <w:color w:val="auto"/>
              </w:rPr>
            </w:pPr>
            <w:r>
              <w:rPr>
                <w:rFonts w:ascii="Arial" w:cs="Arial" w:eastAsia="Arial" w:hAnsi="Arial"/>
                <w:sz w:val="18"/>
                <w:szCs w:val="18"/>
                <w:color w:val="333333"/>
              </w:rPr>
              <w:t>(0.5)</w:t>
            </w:r>
          </w:p>
        </w:tc>
        <w:tc>
          <w:tcPr>
            <w:tcW w:w="1320" w:type="dxa"/>
            <w:vAlign w:val="bottom"/>
          </w:tcPr>
          <w:p>
            <w:pPr>
              <w:jc w:val="right"/>
              <w:ind w:right="330"/>
              <w:spacing w:after="0"/>
              <w:rPr>
                <w:sz w:val="20"/>
                <w:szCs w:val="20"/>
                <w:color w:val="auto"/>
              </w:rPr>
            </w:pPr>
            <w:r>
              <w:rPr>
                <w:rFonts w:ascii="Arial" w:cs="Arial" w:eastAsia="Arial" w:hAnsi="Arial"/>
                <w:sz w:val="18"/>
                <w:szCs w:val="18"/>
                <w:color w:val="2E7D32"/>
              </w:rPr>
              <w:t>n/a</w:t>
            </w:r>
          </w:p>
        </w:tc>
        <w:tc>
          <w:tcPr>
            <w:tcW w:w="1300" w:type="dxa"/>
            <w:vAlign w:val="bottom"/>
          </w:tcPr>
          <w:p>
            <w:pPr>
              <w:jc w:val="right"/>
              <w:ind w:right="330"/>
              <w:spacing w:after="0"/>
              <w:rPr>
                <w:sz w:val="20"/>
                <w:szCs w:val="20"/>
                <w:color w:val="auto"/>
              </w:rPr>
            </w:pPr>
            <w:r>
              <w:rPr>
                <w:rFonts w:ascii="Arial" w:cs="Arial" w:eastAsia="Arial" w:hAnsi="Arial"/>
                <w:sz w:val="18"/>
                <w:szCs w:val="18"/>
                <w:color w:val="333333"/>
              </w:rPr>
              <w:t>(38.8)</w:t>
            </w:r>
          </w:p>
        </w:tc>
        <w:tc>
          <w:tcPr>
            <w:tcW w:w="1120" w:type="dxa"/>
            <w:vAlign w:val="bottom"/>
          </w:tcPr>
          <w:p>
            <w:pPr>
              <w:jc w:val="right"/>
              <w:ind w:right="150"/>
              <w:spacing w:after="0"/>
              <w:rPr>
                <w:sz w:val="20"/>
                <w:szCs w:val="20"/>
                <w:color w:val="auto"/>
              </w:rPr>
            </w:pPr>
            <w:r>
              <w:rPr>
                <w:rFonts w:ascii="Arial" w:cs="Arial" w:eastAsia="Arial" w:hAnsi="Arial"/>
                <w:sz w:val="18"/>
                <w:szCs w:val="18"/>
                <w:color w:val="333333"/>
              </w:rPr>
              <w:t>(32.8)</w:t>
            </w:r>
          </w:p>
        </w:tc>
        <w:tc>
          <w:tcPr>
            <w:tcW w:w="320" w:type="dxa"/>
            <w:vAlign w:val="bottom"/>
          </w:tcPr>
          <w:p>
            <w:pPr>
              <w:spacing w:after="0"/>
              <w:rPr>
                <w:sz w:val="17"/>
                <w:szCs w:val="17"/>
                <w:color w:val="auto"/>
              </w:rPr>
            </w:pPr>
          </w:p>
        </w:tc>
      </w:tr>
      <w:tr>
        <w:trPr>
          <w:trHeight w:val="368"/>
        </w:trPr>
        <w:tc>
          <w:tcPr>
            <w:tcW w:w="2660" w:type="dxa"/>
            <w:vAlign w:val="bottom"/>
          </w:tcPr>
          <w:p>
            <w:pPr>
              <w:spacing w:after="0"/>
              <w:rPr>
                <w:sz w:val="20"/>
                <w:szCs w:val="20"/>
                <w:color w:val="auto"/>
              </w:rPr>
            </w:pPr>
            <w:r>
              <w:rPr>
                <w:rFonts w:ascii="Arial" w:cs="Arial" w:eastAsia="Arial" w:hAnsi="Arial"/>
                <w:sz w:val="18"/>
                <w:szCs w:val="18"/>
                <w:b w:val="1"/>
                <w:bCs w:val="1"/>
                <w:color w:val="333333"/>
              </w:rPr>
              <w:t>EBITDA ($M)</w:t>
            </w:r>
          </w:p>
        </w:tc>
        <w:tc>
          <w:tcPr>
            <w:tcW w:w="1560" w:type="dxa"/>
            <w:vAlign w:val="bottom"/>
          </w:tcPr>
          <w:p>
            <w:pPr>
              <w:jc w:val="right"/>
              <w:ind w:right="390"/>
              <w:spacing w:after="0"/>
              <w:rPr>
                <w:sz w:val="20"/>
                <w:szCs w:val="20"/>
                <w:color w:val="auto"/>
              </w:rPr>
            </w:pPr>
            <w:r>
              <w:rPr>
                <w:rFonts w:ascii="Arial" w:cs="Arial" w:eastAsia="Arial" w:hAnsi="Arial"/>
                <w:sz w:val="18"/>
                <w:szCs w:val="18"/>
                <w:color w:val="333333"/>
              </w:rPr>
              <w:t>68.3</w:t>
            </w:r>
          </w:p>
        </w:tc>
        <w:tc>
          <w:tcPr>
            <w:tcW w:w="1160" w:type="dxa"/>
            <w:vAlign w:val="bottom"/>
          </w:tcPr>
          <w:p>
            <w:pPr>
              <w:jc w:val="right"/>
              <w:ind w:right="230"/>
              <w:spacing w:after="0"/>
              <w:rPr>
                <w:sz w:val="20"/>
                <w:szCs w:val="20"/>
                <w:color w:val="auto"/>
              </w:rPr>
            </w:pPr>
            <w:r>
              <w:rPr>
                <w:rFonts w:ascii="Arial" w:cs="Arial" w:eastAsia="Arial" w:hAnsi="Arial"/>
                <w:sz w:val="18"/>
                <w:szCs w:val="18"/>
                <w:color w:val="333333"/>
              </w:rPr>
              <w:t>91.9</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-26%</w:t>
            </w:r>
          </w:p>
        </w:tc>
        <w:tc>
          <w:tcPr>
            <w:tcW w:w="1300" w:type="dxa"/>
            <w:vAlign w:val="bottom"/>
          </w:tcPr>
          <w:p>
            <w:pPr>
              <w:jc w:val="right"/>
              <w:ind w:right="330"/>
              <w:spacing w:after="0"/>
              <w:rPr>
                <w:sz w:val="20"/>
                <w:szCs w:val="20"/>
                <w:color w:val="auto"/>
              </w:rPr>
            </w:pPr>
            <w:r>
              <w:rPr>
                <w:rFonts w:ascii="Arial" w:cs="Arial" w:eastAsia="Arial" w:hAnsi="Arial"/>
                <w:sz w:val="18"/>
                <w:szCs w:val="18"/>
                <w:color w:val="333333"/>
              </w:rPr>
              <w:t>139.4</w:t>
            </w:r>
          </w:p>
        </w:tc>
        <w:tc>
          <w:tcPr>
            <w:tcW w:w="1120" w:type="dxa"/>
            <w:vAlign w:val="bottom"/>
          </w:tcPr>
          <w:p>
            <w:pPr>
              <w:jc w:val="right"/>
              <w:ind w:right="150"/>
              <w:spacing w:after="0"/>
              <w:rPr>
                <w:sz w:val="20"/>
                <w:szCs w:val="20"/>
                <w:color w:val="auto"/>
              </w:rPr>
            </w:pPr>
            <w:r>
              <w:rPr>
                <w:rFonts w:ascii="Arial" w:cs="Arial" w:eastAsia="Arial" w:hAnsi="Arial"/>
                <w:sz w:val="18"/>
                <w:szCs w:val="18"/>
                <w:color w:val="333333"/>
              </w:rPr>
              <w:t>96.4</w:t>
            </w:r>
          </w:p>
        </w:tc>
        <w:tc>
          <w:tcPr>
            <w:tcW w:w="320" w:type="dxa"/>
            <w:vAlign w:val="bottom"/>
          </w:tcPr>
          <w:p>
            <w:pPr>
              <w:spacing w:after="0"/>
              <w:rPr>
                <w:sz w:val="24"/>
                <w:szCs w:val="24"/>
                <w:color w:val="auto"/>
              </w:rPr>
            </w:pPr>
          </w:p>
        </w:tc>
      </w:tr>
      <w:tr>
        <w:trPr>
          <w:trHeight w:val="368"/>
        </w:trPr>
        <w:tc>
          <w:tcPr>
            <w:tcW w:w="2660" w:type="dxa"/>
            <w:vAlign w:val="bottom"/>
          </w:tcPr>
          <w:p>
            <w:pPr>
              <w:spacing w:after="0"/>
              <w:rPr>
                <w:sz w:val="20"/>
                <w:szCs w:val="20"/>
                <w:color w:val="auto"/>
              </w:rPr>
            </w:pPr>
            <w:r>
              <w:rPr>
                <w:rFonts w:ascii="Arial" w:cs="Arial" w:eastAsia="Arial" w:hAnsi="Arial"/>
                <w:sz w:val="18"/>
                <w:szCs w:val="18"/>
                <w:b w:val="1"/>
                <w:bCs w:val="1"/>
                <w:color w:val="333333"/>
              </w:rPr>
              <w:t>Adjusted EBITDA ($M)</w:t>
            </w:r>
          </w:p>
        </w:tc>
        <w:tc>
          <w:tcPr>
            <w:tcW w:w="1560" w:type="dxa"/>
            <w:vAlign w:val="bottom"/>
          </w:tcPr>
          <w:p>
            <w:pPr>
              <w:jc w:val="right"/>
              <w:ind w:right="390"/>
              <w:spacing w:after="0"/>
              <w:rPr>
                <w:sz w:val="20"/>
                <w:szCs w:val="20"/>
                <w:color w:val="auto"/>
              </w:rPr>
            </w:pPr>
            <w:r>
              <w:rPr>
                <w:rFonts w:ascii="Arial" w:cs="Arial" w:eastAsia="Arial" w:hAnsi="Arial"/>
                <w:sz w:val="18"/>
                <w:szCs w:val="18"/>
                <w:color w:val="333333"/>
              </w:rPr>
              <w:t>30.4</w:t>
            </w:r>
          </w:p>
        </w:tc>
        <w:tc>
          <w:tcPr>
            <w:tcW w:w="1160" w:type="dxa"/>
            <w:vAlign w:val="bottom"/>
          </w:tcPr>
          <w:p>
            <w:pPr>
              <w:jc w:val="right"/>
              <w:ind w:right="230"/>
              <w:spacing w:after="0"/>
              <w:rPr>
                <w:sz w:val="20"/>
                <w:szCs w:val="20"/>
                <w:color w:val="auto"/>
              </w:rPr>
            </w:pPr>
            <w:r>
              <w:rPr>
                <w:rFonts w:ascii="Arial" w:cs="Arial" w:eastAsia="Arial" w:hAnsi="Arial"/>
                <w:sz w:val="18"/>
                <w:szCs w:val="18"/>
                <w:color w:val="333333"/>
              </w:rPr>
              <w:t>6.0</w:t>
            </w:r>
          </w:p>
        </w:tc>
        <w:tc>
          <w:tcPr>
            <w:tcW w:w="1320" w:type="dxa"/>
            <w:vAlign w:val="bottom"/>
          </w:tcPr>
          <w:p>
            <w:pPr>
              <w:jc w:val="right"/>
              <w:ind w:right="330"/>
              <w:spacing w:after="0"/>
              <w:rPr>
                <w:sz w:val="20"/>
                <w:szCs w:val="20"/>
                <w:color w:val="auto"/>
              </w:rPr>
            </w:pPr>
            <w:r>
              <w:rPr>
                <w:rFonts w:ascii="Arial" w:cs="Arial" w:eastAsia="Arial" w:hAnsi="Arial"/>
                <w:sz w:val="18"/>
                <w:szCs w:val="18"/>
                <w:color w:val="2E7D32"/>
              </w:rPr>
              <w:t>+407%</w:t>
            </w:r>
          </w:p>
        </w:tc>
        <w:tc>
          <w:tcPr>
            <w:tcW w:w="1300" w:type="dxa"/>
            <w:vAlign w:val="bottom"/>
          </w:tcPr>
          <w:p>
            <w:pPr>
              <w:jc w:val="right"/>
              <w:ind w:right="330"/>
              <w:spacing w:after="0"/>
              <w:rPr>
                <w:sz w:val="20"/>
                <w:szCs w:val="20"/>
                <w:color w:val="auto"/>
              </w:rPr>
            </w:pPr>
            <w:r>
              <w:rPr>
                <w:rFonts w:ascii="Arial" w:cs="Arial" w:eastAsia="Arial" w:hAnsi="Arial"/>
                <w:sz w:val="18"/>
                <w:szCs w:val="18"/>
                <w:color w:val="333333"/>
              </w:rPr>
              <w:t>55.6</w:t>
            </w:r>
          </w:p>
        </w:tc>
        <w:tc>
          <w:tcPr>
            <w:tcW w:w="1120" w:type="dxa"/>
            <w:vAlign w:val="bottom"/>
          </w:tcPr>
          <w:p>
            <w:pPr>
              <w:jc w:val="right"/>
              <w:ind w:right="150"/>
              <w:spacing w:after="0"/>
              <w:rPr>
                <w:sz w:val="20"/>
                <w:szCs w:val="20"/>
                <w:color w:val="auto"/>
              </w:rPr>
            </w:pPr>
            <w:r>
              <w:rPr>
                <w:rFonts w:ascii="Arial" w:cs="Arial" w:eastAsia="Arial" w:hAnsi="Arial"/>
                <w:sz w:val="18"/>
                <w:szCs w:val="18"/>
                <w:color w:val="333333"/>
              </w:rPr>
              <w:t>18.1</w:t>
            </w:r>
          </w:p>
        </w:tc>
        <w:tc>
          <w:tcPr>
            <w:tcW w:w="320" w:type="dxa"/>
            <w:vAlign w:val="bottom"/>
          </w:tcPr>
          <w:p>
            <w:pPr>
              <w:jc w:val="right"/>
              <w:spacing w:after="0"/>
              <w:rPr>
                <w:sz w:val="20"/>
                <w:szCs w:val="20"/>
                <w:color w:val="auto"/>
              </w:rPr>
            </w:pPr>
            <w:r>
              <w:rPr>
                <w:rFonts w:ascii="Arial" w:cs="Arial" w:eastAsia="Arial" w:hAnsi="Arial"/>
                <w:sz w:val="18"/>
                <w:szCs w:val="18"/>
                <w:color w:val="2E7D32"/>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-416560</wp:posOffset>
            </wp:positionV>
            <wp:extent cx="6078220" cy="635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63">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-182880</wp:posOffset>
            </wp:positionV>
            <wp:extent cx="6078220" cy="635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64">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50165</wp:posOffset>
            </wp:positionV>
            <wp:extent cx="6078220" cy="635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65">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142" w:lineRule="exact"/>
        <w:rPr>
          <w:sz w:val="20"/>
          <w:szCs w:val="20"/>
          <w:color w:val="auto"/>
        </w:rPr>
      </w:pPr>
    </w:p>
    <w:p>
      <w:pPr>
        <w:ind w:left="900"/>
        <w:spacing w:after="0" w:line="381" w:lineRule="auto"/>
        <w:rPr>
          <w:sz w:val="20"/>
          <w:szCs w:val="20"/>
          <w:color w:val="auto"/>
        </w:rPr>
      </w:pPr>
      <w:r>
        <w:rPr>
          <w:rFonts w:ascii="Arial" w:cs="Arial" w:eastAsia="Arial" w:hAnsi="Arial"/>
          <w:sz w:val="16"/>
          <w:szCs w:val="16"/>
          <w:color w:val="auto"/>
        </w:rPr>
        <w:t xml:space="preserve">Note: </w:t>
      </w:r>
      <w:r>
        <w:rPr>
          <w:rFonts w:ascii="Arial" w:cs="Arial" w:eastAsia="Arial" w:hAnsi="Arial"/>
          <w:sz w:val="16"/>
          <w:szCs w:val="16"/>
          <w:i w:val="1"/>
          <w:iCs w:val="1"/>
          <w:color w:val="auto"/>
        </w:rPr>
        <w:t>C1 Cash Costs, EBITDA and Adjusted EBITDA are non-IFRS measures. Please refer to section Non-IFRS and Other Fin</w:t>
      </w:r>
      <w:r>
        <w:rPr>
          <w:rFonts w:ascii="Arial" w:cs="Arial" w:eastAsia="Arial" w:hAnsi="Arial"/>
          <w:sz w:val="16"/>
          <w:szCs w:val="16"/>
          <w:color w:val="auto"/>
        </w:rPr>
        <w:t xml:space="preserve"> </w:t>
      </w:r>
      <w:r>
        <w:rPr>
          <w:rFonts w:ascii="Arial" w:cs="Arial" w:eastAsia="Arial" w:hAnsi="Arial"/>
          <w:sz w:val="16"/>
          <w:szCs w:val="16"/>
          <w:i w:val="1"/>
          <w:iCs w:val="1"/>
          <w:color w:val="auto"/>
        </w:rPr>
        <w:t>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730885</wp:posOffset>
            </wp:positionV>
            <wp:extent cx="6078220" cy="952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66">
                      <a:extLst>
                        <a:ext uri="{28A0092B-C50C-407E-A947-70E740481C1C}"/>
                      </a:extLst>
                    </a:blip>
                    <a:srcRect/>
                    <a:stretch>
                      <a:fillRect/>
                    </a:stretch>
                  </pic:blipFill>
                  <pic:spPr bwMode="auto">
                    <a:xfrm>
                      <a:off x="0" y="0"/>
                      <a:ext cx="607822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80" w:hanging="186"/>
        <w:spacing w:after="0"/>
        <w:tabs>
          <w:tab w:leader="none" w:pos="1080" w:val="left"/>
        </w:tabs>
        <w:numPr>
          <w:ilvl w:val="0"/>
          <w:numId w:val="250"/>
        </w:numPr>
        <w:rPr>
          <w:rFonts w:ascii="Arial" w:cs="Arial" w:eastAsia="Arial" w:hAnsi="Arial"/>
          <w:sz w:val="25"/>
          <w:szCs w:val="25"/>
          <w:color w:val="auto"/>
          <w:vertAlign w:val="superscript"/>
        </w:rPr>
      </w:pPr>
      <w:r>
        <w:rPr>
          <w:rFonts w:ascii="Arial" w:cs="Arial" w:eastAsia="Arial" w:hAnsi="Arial"/>
          <w:sz w:val="15"/>
          <w:szCs w:val="15"/>
          <w:color w:val="auto"/>
        </w:rPr>
        <w:t>Approximately 34,100 tonnes of lithium carbonate production is inclusive of 359 tonnes of lithium carbonate equivalent from lithium c</w:t>
      </w:r>
    </w:p>
    <w:p>
      <w:pPr>
        <w:spacing w:after="0" w:line="200" w:lineRule="exact"/>
        <w:rPr>
          <w:rFonts w:ascii="Arial" w:cs="Arial" w:eastAsia="Arial" w:hAnsi="Arial"/>
          <w:sz w:val="25"/>
          <w:szCs w:val="25"/>
          <w:color w:val="auto"/>
          <w:vertAlign w:val="superscript"/>
        </w:rPr>
      </w:pPr>
    </w:p>
    <w:p>
      <w:pPr>
        <w:spacing w:after="0" w:line="200" w:lineRule="exact"/>
        <w:rPr>
          <w:rFonts w:ascii="Arial" w:cs="Arial" w:eastAsia="Arial" w:hAnsi="Arial"/>
          <w:sz w:val="25"/>
          <w:szCs w:val="25"/>
          <w:color w:val="auto"/>
          <w:vertAlign w:val="superscript"/>
        </w:rPr>
      </w:pPr>
    </w:p>
    <w:p>
      <w:pPr>
        <w:spacing w:after="0" w:line="200" w:lineRule="exact"/>
        <w:rPr>
          <w:rFonts w:ascii="Arial" w:cs="Arial" w:eastAsia="Arial" w:hAnsi="Arial"/>
          <w:sz w:val="25"/>
          <w:szCs w:val="25"/>
          <w:color w:val="auto"/>
          <w:vertAlign w:val="superscript"/>
        </w:rPr>
      </w:pPr>
    </w:p>
    <w:p>
      <w:pPr>
        <w:spacing w:after="0" w:line="249" w:lineRule="exact"/>
        <w:rPr>
          <w:rFonts w:ascii="Arial" w:cs="Arial" w:eastAsia="Arial" w:hAnsi="Arial"/>
          <w:sz w:val="25"/>
          <w:szCs w:val="25"/>
          <w:color w:val="auto"/>
          <w:vertAlign w:val="superscript"/>
        </w:rPr>
      </w:pPr>
    </w:p>
    <w:p>
      <w:pPr>
        <w:ind w:left="5880"/>
        <w:spacing w:after="0"/>
        <w:rPr>
          <w:rFonts w:ascii="Arial" w:cs="Arial" w:eastAsia="Arial" w:hAnsi="Arial"/>
          <w:sz w:val="25"/>
          <w:szCs w:val="25"/>
          <w:color w:val="auto"/>
          <w:vertAlign w:val="superscript"/>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6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20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13 / 30</w:t>
      </w:r>
    </w:p>
    <w:p>
      <w:pPr>
        <w:sectPr>
          <w:pgSz w:w="11900" w:h="16838" w:orient="portrait"/>
          <w:cols w:equalWidth="0" w:num="1">
            <w:col w:w="10460"/>
          </w:cols>
          <w:pgMar w:left="1440" w:top="1205" w:right="6" w:bottom="0" w:gutter="0" w:footer="0" w:header="0"/>
          <w:type w:val="continuous"/>
        </w:sectPr>
      </w:pPr>
    </w:p>
    <w:bookmarkStart w:id="510" w:name="page511"/>
    <w:bookmarkEnd w:id="5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68">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 xml:space="preserve">Operational Performance (Non-IFRS Measures) </w:t>
      </w:r>
      <w:r>
        <w:rPr>
          <w:rFonts w:ascii="Arial" w:cs="Arial" w:eastAsia="Arial" w:hAnsi="Arial"/>
          <w:sz w:val="26"/>
          <w:szCs w:val="26"/>
          <w:b w:val="1"/>
          <w:bCs w:val="1"/>
          <w:i w:val="1"/>
          <w:iCs w:val="1"/>
          <w:color w:val="auto"/>
          <w:vertAlign w:val="superscript"/>
        </w:rPr>
        <w:t>16</w:t>
      </w:r>
    </w:p>
    <w:p>
      <w:pPr>
        <w:spacing w:after="0" w:line="174" w:lineRule="exact"/>
        <w:rPr>
          <w:sz w:val="20"/>
          <w:szCs w:val="20"/>
          <w:color w:val="auto"/>
        </w:rPr>
      </w:pPr>
    </w:p>
    <w:p>
      <w:pPr>
        <w:ind w:left="1880" w:right="20" w:hanging="497"/>
        <w:spacing w:after="0" w:line="368" w:lineRule="auto"/>
        <w:tabs>
          <w:tab w:leader="none" w:pos="188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Adjusted EBITDA increased to $55.6 million in 2025 (2024 – $18.1 million), reflecting higher prod volumes and improved operating efficiency.</w:t>
      </w:r>
    </w:p>
    <w:p>
      <w:pPr>
        <w:spacing w:after="0" w:line="7" w:lineRule="exact"/>
        <w:rPr>
          <w:rFonts w:ascii="Arial" w:cs="Arial" w:eastAsia="Arial" w:hAnsi="Arial"/>
          <w:sz w:val="20"/>
          <w:szCs w:val="20"/>
          <w:color w:val="auto"/>
        </w:rPr>
      </w:pPr>
    </w:p>
    <w:p>
      <w:pPr>
        <w:ind w:left="1880" w:hanging="497"/>
        <w:spacing w:after="0"/>
        <w:tabs>
          <w:tab w:leader="none" w:pos="188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Q4 2025 Adjusted EBITDA was $30.4 million, compared to $6.0 million in Q4 2024.</w:t>
      </w:r>
    </w:p>
    <w:p>
      <w:pPr>
        <w:spacing w:after="0" w:line="137" w:lineRule="exact"/>
        <w:rPr>
          <w:rFonts w:ascii="Arial" w:cs="Arial" w:eastAsia="Arial" w:hAnsi="Arial"/>
          <w:sz w:val="20"/>
          <w:szCs w:val="20"/>
          <w:color w:val="auto"/>
        </w:rPr>
      </w:pPr>
    </w:p>
    <w:p>
      <w:pPr>
        <w:ind w:left="1880" w:hanging="497"/>
        <w:spacing w:after="0" w:line="368" w:lineRule="auto"/>
        <w:tabs>
          <w:tab w:leader="none" w:pos="188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Q4 revenue increased 37% year-over-year to $91.5 million, driven by higher volumes and stro realized prices.</w:t>
      </w:r>
    </w:p>
    <w:p>
      <w:pPr>
        <w:spacing w:after="0" w:line="14" w:lineRule="exact"/>
        <w:rPr>
          <w:rFonts w:ascii="Arial" w:cs="Arial" w:eastAsia="Arial" w:hAnsi="Arial"/>
          <w:sz w:val="20"/>
          <w:szCs w:val="20"/>
          <w:color w:val="auto"/>
        </w:rPr>
      </w:pPr>
    </w:p>
    <w:p>
      <w:pPr>
        <w:ind w:left="1880" w:right="20" w:hanging="497"/>
        <w:spacing w:after="0" w:line="368" w:lineRule="auto"/>
        <w:tabs>
          <w:tab w:leader="none" w:pos="188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C1 cash costs decreased to $5,618 per tonne in Q4 2025 (15% lower year-over-year) and $6,10 tonne for FY 2025 (14% lower year-over-year).</w:t>
      </w:r>
    </w:p>
    <w:p>
      <w:pPr>
        <w:spacing w:after="0" w:line="7" w:lineRule="exact"/>
        <w:rPr>
          <w:rFonts w:ascii="Arial" w:cs="Arial" w:eastAsia="Arial" w:hAnsi="Arial"/>
          <w:sz w:val="20"/>
          <w:szCs w:val="20"/>
          <w:color w:val="auto"/>
        </w:rPr>
      </w:pPr>
    </w:p>
    <w:p>
      <w:pPr>
        <w:ind w:left="1880" w:hanging="497"/>
        <w:spacing w:after="0"/>
        <w:tabs>
          <w:tab w:leader="none" w:pos="188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Q4 operating costs decreased 20% year-over-year to $48.7 million, despite higher production lev</w:t>
      </w:r>
    </w:p>
    <w:p>
      <w:pPr>
        <w:spacing w:after="0" w:line="38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Exar Shareholder Loans Restructuring</w:t>
      </w:r>
    </w:p>
    <w:p>
      <w:pPr>
        <w:spacing w:after="0" w:line="381"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During the year ended December 31, 2025, as part of a restructuring of loans (the “</w:t>
      </w:r>
      <w:r>
        <w:rPr>
          <w:rFonts w:ascii="Arial" w:cs="Arial" w:eastAsia="Arial" w:hAnsi="Arial"/>
          <w:sz w:val="20"/>
          <w:szCs w:val="20"/>
          <w:b w:val="1"/>
          <w:bCs w:val="1"/>
          <w:color w:val="auto"/>
        </w:rPr>
        <w:t>Restructuring</w:t>
      </w:r>
      <w:r>
        <w:rPr>
          <w:rFonts w:ascii="Arial" w:cs="Arial" w:eastAsia="Arial" w:hAnsi="Arial"/>
          <w:sz w:val="20"/>
          <w:szCs w:val="20"/>
          <w:color w:val="auto"/>
        </w:rPr>
        <w:t>”), Company and Ganfeng amended and restated loan agreements relating to loans advanced to Exar Ca Concurrently, Exar Capital amended and restated agreements relating to the loans advanced to Exar (collec the “</w:t>
      </w:r>
      <w:r>
        <w:rPr>
          <w:rFonts w:ascii="Arial" w:cs="Arial" w:eastAsia="Arial" w:hAnsi="Arial"/>
          <w:sz w:val="20"/>
          <w:szCs w:val="20"/>
          <w:b w:val="1"/>
          <w:bCs w:val="1"/>
          <w:color w:val="auto"/>
        </w:rPr>
        <w:t>Amendments</w:t>
      </w:r>
      <w:r>
        <w:rPr>
          <w:rFonts w:ascii="Arial" w:cs="Arial" w:eastAsia="Arial" w:hAnsi="Arial"/>
          <w:sz w:val="20"/>
          <w:szCs w:val="20"/>
          <w:color w:val="auto"/>
        </w:rPr>
        <w:t>”), revising interest rates to market levels effective for fiscal year 2025 and subsequent pe and extending the maturity dates, with revised maturity dates ranging from 2028 to 2035. These modifica were treated as an extinguishment of the existing loans and the recognition of new loans at market rat interest.</w:t>
      </w:r>
    </w:p>
    <w:p>
      <w:pPr>
        <w:spacing w:after="0" w:line="3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As part of the Restructuring, on August 27, 2025, Exar Capital assigned certain loan receivables from Exar t Company and Ganfeng in exchange for the cancellation of a portion of the loans outstanding from Exar Capi the Company and Ganfeng. The total carrying value of the loans assigned was $208.1 million, of which Company’s portion was $101.9 million. In exchange, the Company cancelled loans owed by Exar Capital w carrying value of $99.4 million. The assigned loans receivable from Exar were subsequently settled throu capital contribution by the Company and Ganfeng to Exar. As such, during the year ended December 31, 2 loans from Exar Capital decreased due to the capitalization of certain loans into Exar’s equity by the Com and Ganfeng, partially offset by accrued interest.</w:t>
      </w:r>
    </w:p>
    <w:p>
      <w:pPr>
        <w:spacing w:after="0" w:line="310"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Exar’s Third Party Debt</w:t>
      </w:r>
    </w:p>
    <w:p>
      <w:pPr>
        <w:spacing w:after="0" w:line="381"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As of December 31, 2025, Exar’s outstanding third-party debt, including accrued interest, amounted to $2 million at the official foreign exchange rate (2024 – $210.4 million), while its cash balance and short-investments were $86.7 million (2024 – $11.2 million), resulting in third-party net debt of $206.0 million (20 $199.2 million). The Company’s proportionate share of this net debt was $100.9 million.</w:t>
      </w:r>
    </w:p>
    <w:p>
      <w:pPr>
        <w:spacing w:after="0" w:line="313"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Exar’s debt includes $50 million of bonds issued in Argentina in November 2024, bearing interest at 8% per annum, payable semi-annually. The bonds mature in two tranches in May and November 2027, and the proc were used to repay Exar’s short-term debt.</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14 / 30</w:t>
      </w:r>
    </w:p>
    <w:p>
      <w:pPr>
        <w:sectPr>
          <w:pgSz w:w="11900" w:h="16838" w:orient="portrait"/>
          <w:cols w:equalWidth="0" w:num="1">
            <w:col w:w="10460"/>
          </w:cols>
          <w:pgMar w:left="1440" w:top="1440" w:right="6" w:bottom="0" w:gutter="0" w:footer="0" w:header="0"/>
          <w:type w:val="continuous"/>
        </w:sectPr>
      </w:pPr>
    </w:p>
    <w:bookmarkStart w:id="511" w:name="page512"/>
    <w:bookmarkEnd w:id="5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1482090</wp:posOffset>
            </wp:positionH>
            <wp:positionV relativeFrom="page">
              <wp:posOffset>1870075</wp:posOffset>
            </wp:positionV>
            <wp:extent cx="6078220" cy="952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9">
                      <a:extLst>
                        <a:ext uri="{28A0092B-C50C-407E-A947-70E740481C1C}"/>
                      </a:extLst>
                    </a:blip>
                    <a:srcRect/>
                    <a:stretch>
                      <a:fillRect/>
                    </a:stretch>
                  </pic:blipFill>
                  <pic:spPr bwMode="auto">
                    <a:xfrm>
                      <a:off x="0" y="0"/>
                      <a:ext cx="607822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80" w:hanging="186"/>
        <w:spacing w:after="0"/>
        <w:tabs>
          <w:tab w:leader="none" w:pos="1080" w:val="left"/>
        </w:tabs>
        <w:numPr>
          <w:ilvl w:val="0"/>
          <w:numId w:val="252"/>
        </w:numPr>
        <w:rPr>
          <w:rFonts w:ascii="Arial" w:cs="Arial" w:eastAsia="Arial" w:hAnsi="Arial"/>
          <w:sz w:val="25"/>
          <w:szCs w:val="25"/>
          <w:color w:val="auto"/>
          <w:vertAlign w:val="superscript"/>
        </w:rPr>
      </w:pPr>
      <w:r>
        <w:rPr>
          <w:rFonts w:ascii="Arial" w:cs="Arial" w:eastAsia="Arial" w:hAnsi="Arial"/>
          <w:sz w:val="15"/>
          <w:szCs w:val="15"/>
          <w:color w:val="auto"/>
        </w:rPr>
        <w:t>Refer to section titled “Non-IFRS and Other Financial Measures” below.</w:t>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7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15 / 30</w:t>
      </w:r>
    </w:p>
    <w:p>
      <w:pPr>
        <w:sectPr>
          <w:pgSz w:w="11900" w:h="16838" w:orient="portrait"/>
          <w:cols w:equalWidth="0" w:num="1">
            <w:col w:w="9026"/>
          </w:cols>
          <w:pgMar w:left="1440" w:top="1440" w:right="1440" w:bottom="0" w:gutter="0" w:footer="0" w:header="0"/>
          <w:type w:val="continuous"/>
        </w:sectPr>
      </w:pPr>
    </w:p>
    <w:bookmarkStart w:id="512" w:name="page513"/>
    <w:bookmarkEnd w:id="5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71">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As of December 31, 2025, the remaining $242.7 million of debt was scheduled to mature within the ne months. In 2025 the Company and Ganfeng have negotiated an extension for $100 million of this amount t end of 2027, which has been approved by the regulatory authority. The loan is secured by a standby lett credit provided by Ganfeng. As the standby letter of credit was issued for a standard one-year term, the loan structured with a one-year maturity to align with the term of the standby letter. Upon extension of the re standby letter of credit, the loan is automatically rolled over for another year of the remainder of the three term.</w:t>
      </w:r>
    </w:p>
    <w:p>
      <w:pPr>
        <w:spacing w:after="0" w:line="315"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Accordingly, together with the bonds, approximately $150.0 million of third-party debt was refinanced into lon term debt, with the remaining $142.7 million due within the next 12 months. The remaining $142.7 million inc the $120 million in bank debt facilities closed in Q2 2025 and fully drawn in Q3 2025 to refinance maturing sh term loans and for other purposes. These facilities were competitively priced at an approximate rate of SOFR 2.5%, including fees, reflecting Exar’s ability to access credit on favorable terms. The Company continues to with Ganfeng to pursue additional long-term financing options as lending conditions in Argentina improve, supporting Exar’s longer-term growth plans.</w:t>
      </w:r>
    </w:p>
    <w:p>
      <w:pPr>
        <w:spacing w:after="0" w:line="307"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SELECTED FINANCIAL INFORMATION OF THE COMPANY</w:t>
      </w:r>
    </w:p>
    <w:p>
      <w:pPr>
        <w:spacing w:after="0" w:line="312"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Liquidity and Going Concern</w:t>
      </w:r>
    </w:p>
    <w:p>
      <w:pPr>
        <w:spacing w:after="0" w:line="3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 xml:space="preserve">As at December 31, 2025, the Company had cash and cash equivalents of $61.1 million (2024 – $85.5 mi and equity-settleable convertible notes with a face value of $259 million due on January 15, 2027. Subseque December 31, 2025, the Company’s 44.8% owned operating project, Cauchari-Olaroz held through its e stake in Exar, distributed $41.8 million to Lithium Argentina. In addition, subsequent to year-end, the Com entered into a six-year $130,000 debt facility with Ganfeng bearing interest at SOFR plus 2.5% (the “ </w:t>
      </w:r>
      <w:r>
        <w:rPr>
          <w:rFonts w:ascii="Arial" w:cs="Arial" w:eastAsia="Arial" w:hAnsi="Arial"/>
          <w:sz w:val="20"/>
          <w:szCs w:val="20"/>
          <w:b w:val="1"/>
          <w:bCs w:val="1"/>
          <w:color w:val="auto"/>
        </w:rPr>
        <w:t>Facility</w:t>
      </w:r>
      <w:r>
        <w:rPr>
          <w:rFonts w:ascii="Arial" w:cs="Arial" w:eastAsia="Arial" w:hAnsi="Arial"/>
          <w:sz w:val="20"/>
          <w:szCs w:val="20"/>
          <w:color w:val="auto"/>
        </w:rPr>
        <w:t>”).</w:t>
      </w:r>
    </w:p>
    <w:p>
      <w:pPr>
        <w:spacing w:after="0" w:line="313"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Subsequent to year-end, realized lithium carbonate prices increased to an average of approximately $17,00 tonne in January and February 2026. For year 2026, Cauchari-Olaroz is expected to produce between 35 and 40,000 tonnes of lithium carbonate on a 100% basis and generate significant operational cash flow accordance with shareholder agreement that regulates governance of Cauchari-Olaroz, any excess cash flo defined in the shareholder agreement), from Cauchari-Olaroz is distributed among the Company and Gan until a joint decision on any expansion plan is finalized.</w:t>
      </w:r>
    </w:p>
    <w:p>
      <w:pPr>
        <w:spacing w:after="0" w:line="313"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Company expects distributions from Cauchari-Olaroz to be sufficient to service the current portion of its term debt. However, its ability to maintain normal operations and meet these obligations ultimately depend generating and repatriating sufficient cash flows from lithium carbonate production at Cauchari-Olaroz alternatively, securing additional financing.</w:t>
      </w:r>
    </w:p>
    <w:p>
      <w:pPr>
        <w:spacing w:after="0" w:line="313"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significance of the assumptions underlying the forecast cash flows from Cauchari-Olaroz, the amount timing of distribution of the cash flow to the Company and the requirement to satisfy the current portion of term debt, gives rise to material uncertainty which may cast significant doubt (or substantial doub</w:t>
      </w:r>
    </w:p>
    <w:p>
      <w:pPr>
        <w:spacing w:after="0" w:line="5" w:lineRule="exact"/>
        <w:rPr>
          <w:sz w:val="20"/>
          <w:szCs w:val="20"/>
          <w:color w:val="auto"/>
        </w:rPr>
      </w:pPr>
    </w:p>
    <w:p>
      <w:pPr>
        <w:ind w:left="900"/>
        <w:spacing w:after="0"/>
        <w:tabs>
          <w:tab w:leader="none" w:pos="2780" w:val="left"/>
          <w:tab w:leader="none" w:pos="3680" w:val="left"/>
          <w:tab w:leader="none" w:pos="4920" w:val="left"/>
          <w:tab w:leader="none" w:pos="6480" w:val="left"/>
          <w:tab w:leader="none" w:pos="8160" w:val="left"/>
          <w:tab w:leader="none" w:pos="9720" w:val="left"/>
        </w:tabs>
        <w:rPr>
          <w:sz w:val="20"/>
          <w:szCs w:val="20"/>
          <w:color w:val="auto"/>
        </w:rPr>
      </w:pPr>
      <w:r>
        <w:rPr>
          <w:rFonts w:ascii="Arial" w:cs="Arial" w:eastAsia="Arial" w:hAnsi="Arial"/>
          <w:sz w:val="20"/>
          <w:szCs w:val="20"/>
          <w:color w:val="auto"/>
        </w:rPr>
        <w:t>contemplated</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Public</w:t>
      </w:r>
      <w:r>
        <w:rPr>
          <w:sz w:val="20"/>
          <w:szCs w:val="20"/>
          <w:color w:val="auto"/>
        </w:rPr>
        <w:tab/>
      </w:r>
      <w:r>
        <w:rPr>
          <w:rFonts w:ascii="Arial" w:cs="Arial" w:eastAsia="Arial" w:hAnsi="Arial"/>
          <w:sz w:val="20"/>
          <w:szCs w:val="20"/>
          <w:color w:val="auto"/>
        </w:rPr>
        <w:t>Company</w:t>
      </w:r>
      <w:r>
        <w:rPr>
          <w:sz w:val="20"/>
          <w:szCs w:val="20"/>
          <w:color w:val="auto"/>
        </w:rPr>
        <w:tab/>
      </w:r>
      <w:r>
        <w:rPr>
          <w:rFonts w:ascii="Arial" w:cs="Arial" w:eastAsia="Arial" w:hAnsi="Arial"/>
          <w:sz w:val="20"/>
          <w:szCs w:val="20"/>
          <w:color w:val="auto"/>
        </w:rPr>
        <w:t>Accounting</w:t>
      </w:r>
      <w:r>
        <w:rPr>
          <w:sz w:val="20"/>
          <w:szCs w:val="20"/>
          <w:color w:val="auto"/>
        </w:rPr>
        <w:tab/>
      </w:r>
      <w:r>
        <w:rPr>
          <w:rFonts w:ascii="Arial" w:cs="Arial" w:eastAsia="Arial" w:hAnsi="Arial"/>
          <w:sz w:val="20"/>
          <w:szCs w:val="20"/>
          <w:color w:val="auto"/>
        </w:rPr>
        <w:t>Oversight</w:t>
      </w:r>
      <w:r>
        <w:rPr>
          <w:sz w:val="20"/>
          <w:szCs w:val="20"/>
          <w:color w:val="auto"/>
        </w:rPr>
        <w:tab/>
      </w:r>
      <w:r>
        <w:rPr>
          <w:rFonts w:ascii="Arial" w:cs="Arial" w:eastAsia="Arial" w:hAnsi="Arial"/>
          <w:sz w:val="20"/>
          <w:szCs w:val="20"/>
          <w:color w:val="auto"/>
        </w:rPr>
        <w:t>Board</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16 / 30</w:t>
      </w:r>
    </w:p>
    <w:p>
      <w:pPr>
        <w:sectPr>
          <w:pgSz w:w="11900" w:h="16838" w:orient="portrait"/>
          <w:cols w:equalWidth="0" w:num="1">
            <w:col w:w="10460"/>
          </w:cols>
          <w:pgMar w:left="1440" w:top="1440" w:right="6" w:bottom="0" w:gutter="0" w:footer="0" w:header="0"/>
          <w:type w:val="continuous"/>
        </w:sectPr>
      </w:pPr>
    </w:p>
    <w:bookmarkStart w:id="513" w:name="page514"/>
    <w:bookmarkEnd w:id="513"/>
    <w:p>
      <w:pPr>
        <w:jc w:val="both"/>
        <w:ind w:left="900" w:right="20"/>
        <w:spacing w:after="0" w:line="31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PCAOB</w:t>
      </w:r>
      <w:r>
        <w:rPr>
          <w:rFonts w:ascii="Arial" w:cs="Arial" w:eastAsia="Arial" w:hAnsi="Arial"/>
          <w:sz w:val="20"/>
          <w:szCs w:val="20"/>
          <w:color w:val="auto"/>
        </w:rPr>
        <w:t>”) standards) on the Company’s ability to continue as a going concern. Although the Company has successful in obtaining distribution of cash flow from Cauchari-Olaroz and obtaining financing in the past, can be no assurance that it will be able to distribute sufficient additional cash flow and obtain adequate fina in the future or that such financing will be available on terms acceptable to the Company.</w:t>
      </w:r>
    </w:p>
    <w:p>
      <w:pPr>
        <w:spacing w:after="0" w:line="313"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If the Company is unable to continue as a going concern, material adjustments to the recoverability and amo of assets and liabilities, the reported expenses, and the balance sheet classifications of assets and liabilities be required. The Company's consolidated financial statements do not include any adjustments that may resu from the outcome of this uncertainty.</w:t>
      </w:r>
    </w:p>
    <w:p>
      <w:pPr>
        <w:spacing w:after="0" w:line="171"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7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17 / 30</w:t>
      </w:r>
    </w:p>
    <w:p>
      <w:pPr>
        <w:sectPr>
          <w:pgSz w:w="11900" w:h="16838" w:orient="portrait"/>
          <w:cols w:equalWidth="0" w:num="1">
            <w:col w:w="10460"/>
          </w:cols>
          <w:pgMar w:left="1440" w:top="1172" w:right="6" w:bottom="0" w:gutter="0" w:footer="0" w:header="0"/>
          <w:type w:val="continuous"/>
        </w:sectPr>
      </w:pPr>
    </w:p>
    <w:bookmarkStart w:id="514" w:name="page515"/>
    <w:bookmarkEnd w:id="5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73">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u w:val="single" w:color="auto"/>
          <w:color w:val="auto"/>
        </w:rPr>
        <w:t>Quarterly Information</w:t>
      </w:r>
    </w:p>
    <w:p>
      <w:pPr>
        <w:spacing w:after="0" w:line="3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Selected consolidated financial information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236220</wp:posOffset>
            </wp:positionV>
            <wp:extent cx="6078220" cy="2857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74">
                      <a:extLst>
                        <a:ext uri="{28A0092B-C50C-407E-A947-70E740481C1C}"/>
                      </a:extLst>
                    </a:blip>
                    <a:srcRect/>
                    <a:stretch>
                      <a:fillRect/>
                    </a:stretch>
                  </pic:blipFill>
                  <pic:spPr bwMode="auto">
                    <a:xfrm>
                      <a:off x="0" y="0"/>
                      <a:ext cx="6078220" cy="2857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6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2025</w:t>
            </w: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17"/>
                <w:szCs w:val="17"/>
                <w:color w:val="auto"/>
              </w:rPr>
            </w:pPr>
          </w:p>
        </w:tc>
      </w:tr>
      <w:tr>
        <w:trPr>
          <w:trHeight w:val="296"/>
        </w:trPr>
        <w:tc>
          <w:tcPr>
            <w:tcW w:w="3540" w:type="dxa"/>
            <w:vAlign w:val="bottom"/>
          </w:tcPr>
          <w:p>
            <w:pPr>
              <w:spacing w:after="0"/>
              <w:rPr>
                <w:sz w:val="20"/>
                <w:szCs w:val="20"/>
                <w:color w:val="auto"/>
              </w:rPr>
            </w:pPr>
            <w:r>
              <w:rPr>
                <w:rFonts w:ascii="Arial" w:cs="Arial" w:eastAsia="Arial" w:hAnsi="Arial"/>
                <w:sz w:val="18"/>
                <w:szCs w:val="18"/>
                <w:b w:val="1"/>
                <w:bCs w:val="1"/>
                <w:color w:val="auto"/>
              </w:rPr>
              <w:t>(in US$ millions)</w:t>
            </w:r>
          </w:p>
        </w:tc>
        <w:tc>
          <w:tcPr>
            <w:tcW w:w="10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Q4</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Q3</w:t>
            </w: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Q2</w:t>
            </w: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Q1</w:t>
            </w: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Q4</w:t>
            </w: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Q3</w:t>
            </w: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Q2</w:t>
            </w:r>
          </w:p>
        </w:tc>
        <w:tc>
          <w:tcPr>
            <w:tcW w:w="280" w:type="dxa"/>
            <w:vAlign w:val="bottom"/>
          </w:tcPr>
          <w:p>
            <w:pPr>
              <w:spacing w:after="0"/>
              <w:rPr>
                <w:sz w:val="24"/>
                <w:szCs w:val="24"/>
                <w:color w:val="auto"/>
              </w:rPr>
            </w:pPr>
          </w:p>
        </w:tc>
      </w:tr>
      <w:tr>
        <w:trPr>
          <w:trHeight w:val="286"/>
        </w:trPr>
        <w:tc>
          <w:tcPr>
            <w:tcW w:w="3540" w:type="dxa"/>
            <w:vAlign w:val="bottom"/>
          </w:tcPr>
          <w:p>
            <w:pPr>
              <w:spacing w:after="0"/>
              <w:rPr>
                <w:sz w:val="24"/>
                <w:szCs w:val="24"/>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4"/>
                <w:szCs w:val="24"/>
                <w:color w:val="auto"/>
              </w:rPr>
            </w:pPr>
          </w:p>
        </w:tc>
      </w:tr>
      <w:tr>
        <w:trPr>
          <w:trHeight w:val="46"/>
        </w:trPr>
        <w:tc>
          <w:tcPr>
            <w:tcW w:w="3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D9D9D9"/>
          </w:tcPr>
          <w:p>
            <w:pPr>
              <w:spacing w:after="0"/>
              <w:rPr>
                <w:sz w:val="21"/>
                <w:szCs w:val="21"/>
                <w:color w:val="auto"/>
              </w:rPr>
            </w:pPr>
          </w:p>
        </w:tc>
        <w:tc>
          <w:tcPr>
            <w:tcW w:w="72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w w:val="96"/>
              </w:rPr>
              <w:t>1,099.8</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1,078.7</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1,141.1</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1,130.8</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1,131.2</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1,121.8</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1,046.1</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2"/>
        </w:trPr>
        <w:tc>
          <w:tcPr>
            <w:tcW w:w="35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tcBorders>
              <w:bottom w:val="single" w:sz="8" w:color="D9D9D9"/>
            </w:tcBorders>
            <w:shd w:val="clear" w:color="auto" w:fill="D9D9D9"/>
          </w:tcPr>
          <w:p>
            <w:pPr>
              <w:spacing w:after="0"/>
              <w:rPr>
                <w:sz w:val="24"/>
                <w:szCs w:val="24"/>
                <w:color w:val="auto"/>
              </w:rPr>
            </w:pPr>
          </w:p>
        </w:tc>
        <w:tc>
          <w:tcPr>
            <w:tcW w:w="720" w:type="dxa"/>
            <w:vAlign w:val="bottom"/>
            <w:tcBorders>
              <w:bottom w:val="single" w:sz="8" w:color="D9D9D9"/>
            </w:tcBorders>
            <w:shd w:val="clear" w:color="auto" w:fill="D9D9D9"/>
          </w:tcPr>
          <w:p>
            <w:pPr>
              <w:jc w:val="right"/>
              <w:ind w:right="30"/>
              <w:spacing w:after="0"/>
              <w:rPr>
                <w:sz w:val="20"/>
                <w:szCs w:val="20"/>
                <w:color w:val="auto"/>
              </w:rPr>
            </w:pPr>
            <w:r>
              <w:rPr>
                <w:rFonts w:ascii="Arial" w:cs="Arial" w:eastAsia="Arial" w:hAnsi="Arial"/>
                <w:sz w:val="18"/>
                <w:szCs w:val="18"/>
                <w:color w:val="auto"/>
              </w:rPr>
              <w:t>9.4</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8.9</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9.0</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8.8</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9.0</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9.1</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24"/>
                <w:szCs w:val="24"/>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D9D9D9"/>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84.7</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84.6</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132.1</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133.1</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117.4</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111.8</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112.3</w:t>
            </w:r>
          </w:p>
        </w:tc>
        <w:tc>
          <w:tcPr>
            <w:tcW w:w="280" w:type="dxa"/>
            <w:vAlign w:val="bottom"/>
          </w:tcPr>
          <w:p>
            <w:pPr>
              <w:spacing w:after="0"/>
              <w:rPr>
                <w:sz w:val="21"/>
                <w:szCs w:val="21"/>
                <w:color w:val="auto"/>
              </w:rPr>
            </w:pPr>
          </w:p>
        </w:tc>
      </w:tr>
      <w:tr>
        <w:trPr>
          <w:trHeight w:val="286"/>
        </w:trPr>
        <w:tc>
          <w:tcPr>
            <w:tcW w:w="354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D9D9D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(282.8)</w:t>
            </w:r>
          </w:p>
        </w:tc>
        <w:tc>
          <w:tcPr>
            <w:tcW w:w="840" w:type="dxa"/>
            <w:vAlign w:val="bottom"/>
          </w:tcPr>
          <w:p>
            <w:pPr>
              <w:jc w:val="right"/>
              <w:spacing w:after="0"/>
              <w:rPr>
                <w:sz w:val="20"/>
                <w:szCs w:val="20"/>
                <w:color w:val="auto"/>
              </w:rPr>
            </w:pPr>
            <w:r>
              <w:rPr>
                <w:rFonts w:ascii="Arial" w:cs="Arial" w:eastAsia="Arial" w:hAnsi="Arial"/>
                <w:sz w:val="18"/>
                <w:szCs w:val="18"/>
                <w:color w:val="auto"/>
              </w:rPr>
              <w:t>(251.7)</w:t>
            </w:r>
          </w:p>
        </w:tc>
        <w:tc>
          <w:tcPr>
            <w:tcW w:w="820" w:type="dxa"/>
            <w:vAlign w:val="bottom"/>
          </w:tcPr>
          <w:p>
            <w:pPr>
              <w:jc w:val="right"/>
              <w:spacing w:after="0"/>
              <w:rPr>
                <w:sz w:val="20"/>
                <w:szCs w:val="20"/>
                <w:color w:val="auto"/>
              </w:rPr>
            </w:pPr>
            <w:r>
              <w:rPr>
                <w:rFonts w:ascii="Arial" w:cs="Arial" w:eastAsia="Arial" w:hAnsi="Arial"/>
                <w:sz w:val="18"/>
                <w:szCs w:val="18"/>
                <w:color w:val="auto"/>
              </w:rPr>
              <w:t>(252.8)</w:t>
            </w:r>
          </w:p>
        </w:tc>
        <w:tc>
          <w:tcPr>
            <w:tcW w:w="800" w:type="dxa"/>
            <w:vAlign w:val="bottom"/>
          </w:tcPr>
          <w:p>
            <w:pPr>
              <w:jc w:val="right"/>
              <w:spacing w:after="0"/>
              <w:rPr>
                <w:sz w:val="20"/>
                <w:szCs w:val="20"/>
                <w:color w:val="auto"/>
              </w:rPr>
            </w:pPr>
            <w:r>
              <w:rPr>
                <w:rFonts w:ascii="Arial" w:cs="Arial" w:eastAsia="Arial" w:hAnsi="Arial"/>
                <w:sz w:val="18"/>
                <w:szCs w:val="18"/>
                <w:color w:val="auto"/>
              </w:rPr>
              <w:t>(242.5)</w:t>
            </w:r>
          </w:p>
        </w:tc>
        <w:tc>
          <w:tcPr>
            <w:tcW w:w="820" w:type="dxa"/>
            <w:vAlign w:val="bottom"/>
          </w:tcPr>
          <w:p>
            <w:pPr>
              <w:jc w:val="right"/>
              <w:spacing w:after="0"/>
              <w:rPr>
                <w:sz w:val="20"/>
                <w:szCs w:val="20"/>
                <w:color w:val="auto"/>
              </w:rPr>
            </w:pPr>
            <w:r>
              <w:rPr>
                <w:rFonts w:ascii="Arial" w:cs="Arial" w:eastAsia="Arial" w:hAnsi="Arial"/>
                <w:sz w:val="18"/>
                <w:szCs w:val="18"/>
                <w:color w:val="auto"/>
              </w:rPr>
              <w:t>(240.3)</w:t>
            </w:r>
          </w:p>
        </w:tc>
        <w:tc>
          <w:tcPr>
            <w:tcW w:w="820" w:type="dxa"/>
            <w:vAlign w:val="bottom"/>
          </w:tcPr>
          <w:p>
            <w:pPr>
              <w:jc w:val="right"/>
              <w:spacing w:after="0"/>
              <w:rPr>
                <w:sz w:val="20"/>
                <w:szCs w:val="20"/>
                <w:color w:val="auto"/>
              </w:rPr>
            </w:pPr>
            <w:r>
              <w:rPr>
                <w:rFonts w:ascii="Arial" w:cs="Arial" w:eastAsia="Arial" w:hAnsi="Arial"/>
                <w:sz w:val="18"/>
                <w:szCs w:val="18"/>
                <w:color w:val="auto"/>
              </w:rPr>
              <w:t>(228.1)</w:t>
            </w:r>
          </w:p>
        </w:tc>
        <w:tc>
          <w:tcPr>
            <w:tcW w:w="820" w:type="dxa"/>
            <w:vAlign w:val="bottom"/>
          </w:tcPr>
          <w:p>
            <w:pPr>
              <w:jc w:val="right"/>
              <w:spacing w:after="0"/>
              <w:rPr>
                <w:sz w:val="20"/>
                <w:szCs w:val="20"/>
                <w:color w:val="auto"/>
              </w:rPr>
            </w:pPr>
            <w:r>
              <w:rPr>
                <w:rFonts w:ascii="Arial" w:cs="Arial" w:eastAsia="Arial" w:hAnsi="Arial"/>
                <w:sz w:val="18"/>
                <w:szCs w:val="18"/>
                <w:color w:val="auto"/>
              </w:rPr>
              <w:t>(222.1)</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6"/>
        </w:trPr>
        <w:tc>
          <w:tcPr>
            <w:tcW w:w="3540" w:type="dxa"/>
            <w:vAlign w:val="bottom"/>
          </w:tcPr>
          <w:p>
            <w:pPr>
              <w:spacing w:after="0"/>
              <w:rPr>
                <w:sz w:val="20"/>
                <w:szCs w:val="20"/>
                <w:color w:val="auto"/>
              </w:rPr>
            </w:pPr>
            <w:r>
              <w:rPr>
                <w:rFonts w:ascii="Arial" w:cs="Arial" w:eastAsia="Arial" w:hAnsi="Arial"/>
                <w:sz w:val="18"/>
                <w:szCs w:val="18"/>
                <w:color w:val="auto"/>
              </w:rPr>
              <w:t>Income/(expenses)</w:t>
            </w:r>
          </w:p>
        </w:tc>
        <w:tc>
          <w:tcPr>
            <w:tcW w:w="100" w:type="dxa"/>
            <w:vAlign w:val="bottom"/>
            <w:shd w:val="clear" w:color="auto" w:fill="D9D9D9"/>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840" w:type="dxa"/>
            <w:vAlign w:val="bottom"/>
          </w:tcPr>
          <w:p>
            <w:pPr>
              <w:jc w:val="right"/>
              <w:spacing w:after="0"/>
              <w:rPr>
                <w:sz w:val="20"/>
                <w:szCs w:val="20"/>
                <w:color w:val="auto"/>
              </w:rPr>
            </w:pPr>
            <w:r>
              <w:rPr>
                <w:rFonts w:ascii="Arial" w:cs="Arial" w:eastAsia="Arial" w:hAnsi="Arial"/>
                <w:sz w:val="18"/>
                <w:szCs w:val="18"/>
                <w:color w:val="auto"/>
              </w:rPr>
              <w:t>(60.4)</w:t>
            </w:r>
          </w:p>
        </w:tc>
        <w:tc>
          <w:tcPr>
            <w:tcW w:w="820" w:type="dxa"/>
            <w:vAlign w:val="bottom"/>
          </w:tcPr>
          <w:p>
            <w:pPr>
              <w:jc w:val="right"/>
              <w:spacing w:after="0"/>
              <w:rPr>
                <w:sz w:val="20"/>
                <w:szCs w:val="20"/>
                <w:color w:val="auto"/>
              </w:rPr>
            </w:pPr>
            <w:r>
              <w:rPr>
                <w:rFonts w:ascii="Arial" w:cs="Arial" w:eastAsia="Arial" w:hAnsi="Arial"/>
                <w:sz w:val="18"/>
                <w:szCs w:val="18"/>
                <w:color w:val="auto"/>
              </w:rPr>
              <w:t>(11.0)</w:t>
            </w:r>
          </w:p>
        </w:tc>
        <w:tc>
          <w:tcPr>
            <w:tcW w:w="800" w:type="dxa"/>
            <w:vAlign w:val="bottom"/>
          </w:tcPr>
          <w:p>
            <w:pPr>
              <w:jc w:val="right"/>
              <w:spacing w:after="0"/>
              <w:rPr>
                <w:sz w:val="20"/>
                <w:szCs w:val="20"/>
                <w:color w:val="auto"/>
              </w:rPr>
            </w:pPr>
            <w:r>
              <w:rPr>
                <w:rFonts w:ascii="Arial" w:cs="Arial" w:eastAsia="Arial" w:hAnsi="Arial"/>
                <w:sz w:val="18"/>
                <w:szCs w:val="18"/>
                <w:color w:val="auto"/>
              </w:rPr>
              <w:t>(10.7)</w:t>
            </w:r>
          </w:p>
        </w:tc>
        <w:tc>
          <w:tcPr>
            <w:tcW w:w="820" w:type="dxa"/>
            <w:vAlign w:val="bottom"/>
          </w:tcPr>
          <w:p>
            <w:pPr>
              <w:jc w:val="right"/>
              <w:spacing w:after="0"/>
              <w:rPr>
                <w:sz w:val="20"/>
                <w:szCs w:val="20"/>
                <w:color w:val="auto"/>
              </w:rPr>
            </w:pPr>
            <w:r>
              <w:rPr>
                <w:rFonts w:ascii="Arial" w:cs="Arial" w:eastAsia="Arial" w:hAnsi="Arial"/>
                <w:sz w:val="18"/>
                <w:szCs w:val="18"/>
                <w:color w:val="auto"/>
              </w:rPr>
              <w:t>(9.2)</w:t>
            </w:r>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c>
          <w:tcPr>
            <w:tcW w:w="820" w:type="dxa"/>
            <w:vAlign w:val="bottom"/>
          </w:tcPr>
          <w:p>
            <w:pPr>
              <w:jc w:val="right"/>
              <w:spacing w:after="0"/>
              <w:rPr>
                <w:sz w:val="20"/>
                <w:szCs w:val="20"/>
                <w:color w:val="auto"/>
              </w:rPr>
            </w:pPr>
            <w:r>
              <w:rPr>
                <w:rFonts w:ascii="Arial" w:cs="Arial" w:eastAsia="Arial" w:hAnsi="Arial"/>
                <w:sz w:val="18"/>
                <w:szCs w:val="18"/>
                <w:color w:val="auto"/>
              </w:rPr>
              <w:t>(21.5)</w:t>
            </w:r>
          </w:p>
        </w:tc>
        <w:tc>
          <w:tcPr>
            <w:tcW w:w="280" w:type="dxa"/>
            <w:vAlign w:val="bottom"/>
          </w:tcPr>
          <w:p>
            <w:pPr>
              <w:spacing w:after="0"/>
              <w:rPr>
                <w:sz w:val="24"/>
                <w:szCs w:val="24"/>
                <w:color w:val="auto"/>
              </w:rPr>
            </w:pPr>
          </w:p>
        </w:tc>
      </w:tr>
      <w:tr>
        <w:trPr>
          <w:trHeight w:val="286"/>
        </w:trPr>
        <w:tc>
          <w:tcPr>
            <w:tcW w:w="3540" w:type="dxa"/>
            <w:vAlign w:val="bottom"/>
          </w:tcPr>
          <w:p>
            <w:pPr>
              <w:spacing w:after="0"/>
              <w:rPr>
                <w:sz w:val="20"/>
                <w:szCs w:val="20"/>
                <w:color w:val="auto"/>
              </w:rPr>
            </w:pPr>
            <w:r>
              <w:rPr>
                <w:rFonts w:ascii="Arial" w:cs="Arial" w:eastAsia="Arial" w:hAnsi="Arial"/>
                <w:sz w:val="18"/>
                <w:szCs w:val="18"/>
                <w:color w:val="auto"/>
              </w:rPr>
              <w:t>Net (loss)/income</w:t>
            </w:r>
          </w:p>
        </w:tc>
        <w:tc>
          <w:tcPr>
            <w:tcW w:w="100" w:type="dxa"/>
            <w:vAlign w:val="bottom"/>
            <w:shd w:val="clear" w:color="auto" w:fill="D9D9D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840" w:type="dxa"/>
            <w:vAlign w:val="bottom"/>
          </w:tcPr>
          <w:p>
            <w:pPr>
              <w:jc w:val="right"/>
              <w:spacing w:after="0"/>
              <w:rPr>
                <w:sz w:val="20"/>
                <w:szCs w:val="20"/>
                <w:color w:val="auto"/>
              </w:rPr>
            </w:pPr>
            <w:r>
              <w:rPr>
                <w:rFonts w:ascii="Arial" w:cs="Arial" w:eastAsia="Arial" w:hAnsi="Arial"/>
                <w:sz w:val="18"/>
                <w:szCs w:val="18"/>
                <w:color w:val="auto"/>
              </w:rPr>
              <w:t>(64.5)</w:t>
            </w: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4"/>
                <w:szCs w:val="24"/>
                <w:color w:val="auto"/>
              </w:rPr>
            </w:pPr>
          </w:p>
        </w:tc>
      </w:tr>
      <w:tr>
        <w:trPr>
          <w:trHeight w:val="36"/>
        </w:trPr>
        <w:tc>
          <w:tcPr>
            <w:tcW w:w="3540" w:type="dxa"/>
            <w:vAlign w:val="bottom"/>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2881630</wp:posOffset>
            </wp:positionH>
            <wp:positionV relativeFrom="paragraph">
              <wp:posOffset>-180975</wp:posOffset>
            </wp:positionV>
            <wp:extent cx="454025" cy="18161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75">
                      <a:extLst>
                        <a:ext uri="{28A0092B-C50C-407E-A947-70E740481C1C}"/>
                      </a:extLst>
                    </a:blip>
                    <a:srcRect/>
                    <a:stretch>
                      <a:fillRect/>
                    </a:stretch>
                  </pic:blipFill>
                  <pic:spPr bwMode="auto">
                    <a:xfrm>
                      <a:off x="0" y="0"/>
                      <a:ext cx="454025" cy="18161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-1465580</wp:posOffset>
            </wp:positionV>
            <wp:extent cx="6078220" cy="635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76">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-1095375</wp:posOffset>
            </wp:positionV>
            <wp:extent cx="6078220" cy="635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77">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9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Notes: Quarterly amounts added together may not equal to the total reported for the period due to rounding.</w:t>
      </w:r>
    </w:p>
    <w:p>
      <w:pPr>
        <w:spacing w:after="0" w:line="296"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Discussion of Quarterly Trends</w:t>
      </w:r>
    </w:p>
    <w:p>
      <w:pPr>
        <w:spacing w:after="0" w:line="323" w:lineRule="exact"/>
        <w:rPr>
          <w:sz w:val="20"/>
          <w:szCs w:val="20"/>
          <w:color w:val="auto"/>
        </w:rPr>
      </w:pPr>
    </w:p>
    <w:p>
      <w:pPr>
        <w:jc w:val="both"/>
        <w:ind w:left="1620" w:hanging="366"/>
        <w:spacing w:after="0" w:line="374" w:lineRule="auto"/>
        <w:tabs>
          <w:tab w:leader="none" w:pos="1620" w:val="left"/>
        </w:tabs>
        <w:numPr>
          <w:ilvl w:val="0"/>
          <w:numId w:val="253"/>
        </w:numPr>
        <w:rPr>
          <w:rFonts w:ascii="Arial" w:cs="Arial" w:eastAsia="Arial" w:hAnsi="Arial"/>
          <w:sz w:val="20"/>
          <w:szCs w:val="20"/>
          <w:color w:val="auto"/>
        </w:rPr>
      </w:pPr>
      <w:r>
        <w:rPr>
          <w:rFonts w:ascii="Arial" w:cs="Arial" w:eastAsia="Arial" w:hAnsi="Arial"/>
          <w:sz w:val="20"/>
          <w:szCs w:val="20"/>
          <w:b w:val="1"/>
          <w:bCs w:val="1"/>
          <w:color w:val="auto"/>
        </w:rPr>
        <w:t xml:space="preserve">Q4 2025: </w:t>
      </w:r>
      <w:r>
        <w:rPr>
          <w:rFonts w:ascii="Arial" w:cs="Arial" w:eastAsia="Arial" w:hAnsi="Arial"/>
          <w:sz w:val="20"/>
          <w:szCs w:val="20"/>
          <w:color w:val="auto"/>
        </w:rPr>
        <w:t>Total assets increased due to accrued interest on loans to Exar and Exar Capital, hi</w:t>
      </w:r>
      <w:r>
        <w:rPr>
          <w:rFonts w:ascii="Arial" w:cs="Arial" w:eastAsia="Arial" w:hAnsi="Arial"/>
          <w:sz w:val="20"/>
          <w:szCs w:val="20"/>
          <w:b w:val="1"/>
          <w:bCs w:val="1"/>
          <w:color w:val="auto"/>
        </w:rPr>
        <w:t xml:space="preserve"> </w:t>
      </w:r>
      <w:r>
        <w:rPr>
          <w:rFonts w:ascii="Arial" w:cs="Arial" w:eastAsia="Arial" w:hAnsi="Arial"/>
          <w:sz w:val="20"/>
          <w:szCs w:val="20"/>
          <w:color w:val="auto"/>
        </w:rPr>
        <w:t>receivables from lithium carbonate sales, and the Company’s share of gain from the Cauchari-O project of $13.7 million, which increased the carrying amount of investment in Cauchari. Total liab increased primarily due to a higher payable balance for lithium carbonate purchases, PGCo’s shareh liability to Ganfeng of $12.9 million resulting from the PGCo share premium reduction transaction, accrued interest on the Convertible Notes.</w:t>
      </w:r>
    </w:p>
    <w:p>
      <w:pPr>
        <w:spacing w:after="0" w:line="209" w:lineRule="exact"/>
        <w:rPr>
          <w:rFonts w:ascii="Arial" w:cs="Arial" w:eastAsia="Arial" w:hAnsi="Arial"/>
          <w:sz w:val="20"/>
          <w:szCs w:val="20"/>
          <w:color w:val="auto"/>
        </w:rPr>
      </w:pPr>
    </w:p>
    <w:p>
      <w:pPr>
        <w:jc w:val="both"/>
        <w:ind w:left="1620" w:hanging="366"/>
        <w:spacing w:after="0" w:line="374" w:lineRule="auto"/>
        <w:tabs>
          <w:tab w:leader="none" w:pos="1620" w:val="left"/>
        </w:tabs>
        <w:numPr>
          <w:ilvl w:val="0"/>
          <w:numId w:val="253"/>
        </w:numPr>
        <w:rPr>
          <w:rFonts w:ascii="Arial" w:cs="Arial" w:eastAsia="Arial" w:hAnsi="Arial"/>
          <w:sz w:val="20"/>
          <w:szCs w:val="20"/>
          <w:color w:val="auto"/>
        </w:rPr>
      </w:pPr>
      <w:r>
        <w:rPr>
          <w:rFonts w:ascii="Arial" w:cs="Arial" w:eastAsia="Arial" w:hAnsi="Arial"/>
          <w:sz w:val="20"/>
          <w:szCs w:val="20"/>
          <w:b w:val="1"/>
          <w:bCs w:val="1"/>
          <w:color w:val="auto"/>
        </w:rPr>
        <w:t xml:space="preserve">Q3 2025: </w:t>
      </w:r>
      <w:r>
        <w:rPr>
          <w:rFonts w:ascii="Arial" w:cs="Arial" w:eastAsia="Arial" w:hAnsi="Arial"/>
          <w:sz w:val="20"/>
          <w:szCs w:val="20"/>
          <w:color w:val="auto"/>
        </w:rPr>
        <w:t>Total assets decreased primarily due to the Company’s share of loss from the Cauchari-O</w:t>
      </w:r>
      <w:r>
        <w:rPr>
          <w:rFonts w:ascii="Arial" w:cs="Arial" w:eastAsia="Arial" w:hAnsi="Arial"/>
          <w:sz w:val="20"/>
          <w:szCs w:val="20"/>
          <w:b w:val="1"/>
          <w:bCs w:val="1"/>
          <w:color w:val="auto"/>
        </w:rPr>
        <w:t xml:space="preserve"> </w:t>
      </w:r>
      <w:r>
        <w:rPr>
          <w:rFonts w:ascii="Arial" w:cs="Arial" w:eastAsia="Arial" w:hAnsi="Arial"/>
          <w:sz w:val="20"/>
          <w:szCs w:val="20"/>
          <w:color w:val="auto"/>
        </w:rPr>
        <w:t>project of $52.5 million, which reduced the carrying amount of the investment in Exar. During the qu as part of the Restructuring, certain loans from Exar Capital were assigned and subsequently capita into Exar’s equity by the Company and Ganfeng. The capitalization increased the investment balanc also resulted in the recognition of previously unrecognized losses from 2024, leading to a net reducti total assets. Lower cash balances and reduced receivables from lithium carbonate sales fu contributed to the decrease, partially offset by accrued interest on loans to Exar and Exar Capital.</w:t>
      </w:r>
    </w:p>
    <w:p>
      <w:pPr>
        <w:spacing w:after="0" w:line="167" w:lineRule="exact"/>
        <w:rPr>
          <w:rFonts w:ascii="Arial" w:cs="Arial" w:eastAsia="Arial" w:hAnsi="Arial"/>
          <w:sz w:val="20"/>
          <w:szCs w:val="20"/>
          <w:color w:val="auto"/>
        </w:rPr>
      </w:pPr>
    </w:p>
    <w:p>
      <w:pPr>
        <w:ind w:left="1620" w:right="40"/>
        <w:spacing w:after="0" w:line="307" w:lineRule="auto"/>
        <w:rPr>
          <w:rFonts w:ascii="Arial" w:cs="Arial" w:eastAsia="Arial" w:hAnsi="Arial"/>
          <w:sz w:val="20"/>
          <w:szCs w:val="20"/>
          <w:color w:val="auto"/>
        </w:rPr>
      </w:pPr>
      <w:r>
        <w:rPr>
          <w:rFonts w:ascii="Arial" w:cs="Arial" w:eastAsia="Arial" w:hAnsi="Arial"/>
          <w:sz w:val="20"/>
          <w:szCs w:val="20"/>
          <w:color w:val="auto"/>
        </w:rPr>
        <w:t>Total liabilities decreased mainly due to the derecognition of the deferred tax liability and lower pay to Exar, partially offset by accrued interest on the Convertible Notes.</w:t>
      </w:r>
    </w:p>
    <w:p>
      <w:pPr>
        <w:spacing w:after="0" w:line="259"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0"/>
          <w:numId w:val="253"/>
        </w:numPr>
        <w:rPr>
          <w:rFonts w:ascii="Arial" w:cs="Arial" w:eastAsia="Arial" w:hAnsi="Arial"/>
          <w:sz w:val="20"/>
          <w:szCs w:val="20"/>
          <w:color w:val="auto"/>
        </w:rPr>
      </w:pPr>
      <w:r>
        <w:rPr>
          <w:rFonts w:ascii="Arial" w:cs="Arial" w:eastAsia="Arial" w:hAnsi="Arial"/>
          <w:sz w:val="20"/>
          <w:szCs w:val="20"/>
          <w:b w:val="1"/>
          <w:bCs w:val="1"/>
          <w:color w:val="auto"/>
        </w:rPr>
        <w:t>Q2 2025</w:t>
      </w:r>
      <w:r>
        <w:rPr>
          <w:rFonts w:ascii="Arial" w:cs="Arial" w:eastAsia="Arial" w:hAnsi="Arial"/>
          <w:sz w:val="20"/>
          <w:szCs w:val="20"/>
          <w:color w:val="auto"/>
        </w:rPr>
        <w:t>: Total assets increased due to accrued interest on loans to Exar and Exar Capital and h</w:t>
      </w:r>
      <w:r>
        <w:rPr>
          <w:rFonts w:ascii="Arial" w:cs="Arial" w:eastAsia="Arial" w:hAnsi="Arial"/>
          <w:sz w:val="20"/>
          <w:szCs w:val="20"/>
          <w:b w:val="1"/>
          <w:bCs w:val="1"/>
          <w:color w:val="auto"/>
        </w:rPr>
        <w:t xml:space="preserve"> </w:t>
      </w:r>
      <w:r>
        <w:rPr>
          <w:rFonts w:ascii="Arial" w:cs="Arial" w:eastAsia="Arial" w:hAnsi="Arial"/>
          <w:sz w:val="20"/>
          <w:szCs w:val="20"/>
          <w:color w:val="auto"/>
        </w:rPr>
        <w:t>receivables from lithium carbonate sales, offset by lower cash. Liabilities rose from interest accrua Convertible Notes and increased payables to Exar.</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18 / 30</w:t>
      </w:r>
    </w:p>
    <w:p>
      <w:pPr>
        <w:sectPr>
          <w:pgSz w:w="11900" w:h="16838" w:orient="portrait"/>
          <w:cols w:equalWidth="0" w:num="1">
            <w:col w:w="10460"/>
          </w:cols>
          <w:pgMar w:left="1440" w:top="1440" w:right="6" w:bottom="0" w:gutter="0" w:footer="0" w:header="0"/>
          <w:type w:val="continuous"/>
        </w:sectPr>
      </w:pPr>
    </w:p>
    <w:bookmarkStart w:id="515" w:name="page516"/>
    <w:bookmarkEnd w:id="515"/>
    <w:p>
      <w:pPr>
        <w:jc w:val="both"/>
        <w:ind w:left="1620" w:right="40" w:hanging="366"/>
        <w:spacing w:after="0" w:line="372" w:lineRule="auto"/>
        <w:tabs>
          <w:tab w:leader="none" w:pos="1620" w:val="left"/>
        </w:tabs>
        <w:numPr>
          <w:ilvl w:val="0"/>
          <w:numId w:val="254"/>
        </w:numPr>
        <w:rPr>
          <w:rFonts w:ascii="Arial" w:cs="Arial" w:eastAsia="Arial" w:hAnsi="Arial"/>
          <w:sz w:val="20"/>
          <w:szCs w:val="20"/>
          <w:color w:val="auto"/>
        </w:rPr>
      </w:pPr>
      <w:r>
        <w:rPr>
          <w:rFonts w:ascii="Arial" w:cs="Arial" w:eastAsia="Arial" w:hAnsi="Arial"/>
          <w:sz w:val="20"/>
          <w:szCs w:val="20"/>
          <w:b w:val="1"/>
          <w:bCs w:val="1"/>
          <w:color w:val="auto"/>
        </w:rPr>
        <w:t>Q1 2025</w:t>
      </w:r>
      <w:r>
        <w:rPr>
          <w:rFonts w:ascii="Arial" w:cs="Arial" w:eastAsia="Arial" w:hAnsi="Arial"/>
          <w:sz w:val="20"/>
          <w:szCs w:val="20"/>
          <w:color w:val="auto"/>
        </w:rPr>
        <w:t>: Total assets declined mainly due to operating cash outflows, partially offset by int</w:t>
      </w:r>
      <w:r>
        <w:rPr>
          <w:rFonts w:ascii="Arial" w:cs="Arial" w:eastAsia="Arial" w:hAnsi="Arial"/>
          <w:sz w:val="20"/>
          <w:szCs w:val="20"/>
          <w:b w:val="1"/>
          <w:bCs w:val="1"/>
          <w:color w:val="auto"/>
        </w:rPr>
        <w:t xml:space="preserve"> </w:t>
      </w:r>
      <w:r>
        <w:rPr>
          <w:rFonts w:ascii="Arial" w:cs="Arial" w:eastAsia="Arial" w:hAnsi="Arial"/>
          <w:sz w:val="20"/>
          <w:szCs w:val="20"/>
          <w:color w:val="auto"/>
        </w:rPr>
        <w:t>receivables and increased trade receivables. Liabilities rose from Convertible Notes interest, partly by lower payables.</w:t>
      </w:r>
    </w:p>
    <w:p>
      <w:pPr>
        <w:spacing w:after="0" w:line="210" w:lineRule="exact"/>
        <w:rPr>
          <w:rFonts w:ascii="Arial" w:cs="Arial" w:eastAsia="Arial" w:hAnsi="Arial"/>
          <w:sz w:val="20"/>
          <w:szCs w:val="20"/>
          <w:color w:val="auto"/>
        </w:rPr>
      </w:pPr>
    </w:p>
    <w:p>
      <w:pPr>
        <w:ind w:left="1620" w:hanging="366"/>
        <w:spacing w:after="0" w:line="372" w:lineRule="auto"/>
        <w:tabs>
          <w:tab w:leader="none" w:pos="1620" w:val="left"/>
        </w:tabs>
        <w:numPr>
          <w:ilvl w:val="0"/>
          <w:numId w:val="254"/>
        </w:numPr>
        <w:rPr>
          <w:rFonts w:ascii="Arial" w:cs="Arial" w:eastAsia="Arial" w:hAnsi="Arial"/>
          <w:sz w:val="20"/>
          <w:szCs w:val="20"/>
          <w:color w:val="auto"/>
        </w:rPr>
      </w:pPr>
      <w:r>
        <w:rPr>
          <w:rFonts w:ascii="Arial" w:cs="Arial" w:eastAsia="Arial" w:hAnsi="Arial"/>
          <w:sz w:val="20"/>
          <w:szCs w:val="20"/>
          <w:b w:val="1"/>
          <w:bCs w:val="1"/>
          <w:color w:val="auto"/>
        </w:rPr>
        <w:t>Q4 2024</w:t>
      </w:r>
      <w:r>
        <w:rPr>
          <w:rFonts w:ascii="Arial" w:cs="Arial" w:eastAsia="Arial" w:hAnsi="Arial"/>
          <w:sz w:val="20"/>
          <w:szCs w:val="20"/>
          <w:color w:val="auto"/>
        </w:rPr>
        <w:t>: Growth in total assets was driven by accrued interest on loans to Exar Capital and hi</w:t>
      </w:r>
      <w:r>
        <w:rPr>
          <w:rFonts w:ascii="Arial" w:cs="Arial" w:eastAsia="Arial" w:hAnsi="Arial"/>
          <w:sz w:val="20"/>
          <w:szCs w:val="20"/>
          <w:b w:val="1"/>
          <w:bCs w:val="1"/>
          <w:color w:val="auto"/>
        </w:rPr>
        <w:t xml:space="preserve"> </w:t>
      </w:r>
      <w:r>
        <w:rPr>
          <w:rFonts w:ascii="Arial" w:cs="Arial" w:eastAsia="Arial" w:hAnsi="Arial"/>
          <w:sz w:val="20"/>
          <w:szCs w:val="20"/>
          <w:color w:val="auto"/>
        </w:rPr>
        <w:t>lithium receivables, offset by reduced cash balances. Liabilities increased due to higher Convertible interest and Exar payables.</w:t>
      </w:r>
    </w:p>
    <w:p>
      <w:pPr>
        <w:spacing w:after="0" w:line="210"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0"/>
          <w:numId w:val="254"/>
        </w:numPr>
        <w:rPr>
          <w:rFonts w:ascii="Arial" w:cs="Arial" w:eastAsia="Arial" w:hAnsi="Arial"/>
          <w:sz w:val="20"/>
          <w:szCs w:val="20"/>
          <w:color w:val="auto"/>
        </w:rPr>
      </w:pPr>
      <w:r>
        <w:rPr>
          <w:rFonts w:ascii="Arial" w:cs="Arial" w:eastAsia="Arial" w:hAnsi="Arial"/>
          <w:sz w:val="20"/>
          <w:szCs w:val="20"/>
          <w:b w:val="1"/>
          <w:bCs w:val="1"/>
          <w:color w:val="auto"/>
        </w:rPr>
        <w:t>Q3 2024</w:t>
      </w:r>
      <w:r>
        <w:rPr>
          <w:rFonts w:ascii="Arial" w:cs="Arial" w:eastAsia="Arial" w:hAnsi="Arial"/>
          <w:sz w:val="20"/>
          <w:szCs w:val="20"/>
          <w:color w:val="auto"/>
        </w:rPr>
        <w:t>: PGCo, previously wholly owned, issued 14.9% of its shares to Ganfeng for $70.0 million. P</w:t>
      </w:r>
      <w:r>
        <w:rPr>
          <w:rFonts w:ascii="Arial" w:cs="Arial" w:eastAsia="Arial" w:hAnsi="Arial"/>
          <w:sz w:val="20"/>
          <w:szCs w:val="20"/>
          <w:b w:val="1"/>
          <w:bCs w:val="1"/>
          <w:color w:val="auto"/>
        </w:rPr>
        <w:t xml:space="preserve"> </w:t>
      </w:r>
      <w:r>
        <w:rPr>
          <w:rFonts w:ascii="Arial" w:cs="Arial" w:eastAsia="Arial" w:hAnsi="Arial"/>
          <w:sz w:val="20"/>
          <w:szCs w:val="20"/>
          <w:color w:val="auto"/>
        </w:rPr>
        <w:t>loaned $65.0 million to Exar, funded from this transaction. Liabilities increased primarily du Convertible Notes interest and Exar payables.</w:t>
      </w:r>
    </w:p>
    <w:p>
      <w:pPr>
        <w:spacing w:after="0" w:line="210"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0"/>
          <w:numId w:val="254"/>
        </w:numPr>
        <w:rPr>
          <w:rFonts w:ascii="Arial" w:cs="Arial" w:eastAsia="Arial" w:hAnsi="Arial"/>
          <w:sz w:val="20"/>
          <w:szCs w:val="20"/>
          <w:color w:val="auto"/>
        </w:rPr>
      </w:pPr>
      <w:r>
        <w:rPr>
          <w:rFonts w:ascii="Arial" w:cs="Arial" w:eastAsia="Arial" w:hAnsi="Arial"/>
          <w:sz w:val="20"/>
          <w:szCs w:val="20"/>
          <w:b w:val="1"/>
          <w:bCs w:val="1"/>
          <w:color w:val="auto"/>
        </w:rPr>
        <w:t>Q2 2024</w:t>
      </w:r>
      <w:r>
        <w:rPr>
          <w:rFonts w:ascii="Arial" w:cs="Arial" w:eastAsia="Arial" w:hAnsi="Arial"/>
          <w:sz w:val="20"/>
          <w:szCs w:val="20"/>
          <w:color w:val="auto"/>
        </w:rPr>
        <w:t>: Total assets were flat. Liabilities decreased by $3.9 million, driven by a $10.7 million redu</w:t>
      </w:r>
      <w:r>
        <w:rPr>
          <w:rFonts w:ascii="Arial" w:cs="Arial" w:eastAsia="Arial" w:hAnsi="Arial"/>
          <w:sz w:val="20"/>
          <w:szCs w:val="20"/>
          <w:b w:val="1"/>
          <w:bCs w:val="1"/>
          <w:color w:val="auto"/>
        </w:rPr>
        <w:t xml:space="preserve"> </w:t>
      </w:r>
      <w:r>
        <w:rPr>
          <w:rFonts w:ascii="Arial" w:cs="Arial" w:eastAsia="Arial" w:hAnsi="Arial"/>
          <w:sz w:val="20"/>
          <w:szCs w:val="20"/>
          <w:color w:val="auto"/>
        </w:rPr>
        <w:t>in deferred tax liabilities due to inflation adjustments on the Pastos Grandes tax base, partially offs higher payables to Exar.</w:t>
      </w:r>
    </w:p>
    <w:p>
      <w:pPr>
        <w:spacing w:after="0" w:line="126"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7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1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19 / 30</w:t>
      </w:r>
    </w:p>
    <w:p>
      <w:pPr>
        <w:sectPr>
          <w:pgSz w:w="11900" w:h="16838" w:orient="portrait"/>
          <w:cols w:equalWidth="0" w:num="1">
            <w:col w:w="10460"/>
          </w:cols>
          <w:pgMar w:left="1440" w:top="1415" w:right="6" w:bottom="0" w:gutter="0" w:footer="0" w:header="0"/>
          <w:type w:val="continuous"/>
        </w:sectPr>
      </w:pPr>
    </w:p>
    <w:bookmarkStart w:id="516" w:name="page517"/>
    <w:bookmarkEnd w:id="5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9">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620" w:hanging="366"/>
        <w:spacing w:after="0" w:line="372" w:lineRule="auto"/>
        <w:tabs>
          <w:tab w:leader="none" w:pos="1620" w:val="left"/>
        </w:tabs>
        <w:numPr>
          <w:ilvl w:val="0"/>
          <w:numId w:val="255"/>
        </w:numPr>
        <w:rPr>
          <w:rFonts w:ascii="Arial" w:cs="Arial" w:eastAsia="Arial" w:hAnsi="Arial"/>
          <w:sz w:val="20"/>
          <w:szCs w:val="20"/>
          <w:color w:val="auto"/>
        </w:rPr>
      </w:pPr>
      <w:r>
        <w:rPr>
          <w:rFonts w:ascii="Arial" w:cs="Arial" w:eastAsia="Arial" w:hAnsi="Arial"/>
          <w:sz w:val="20"/>
          <w:szCs w:val="20"/>
          <w:b w:val="1"/>
          <w:bCs w:val="1"/>
          <w:color w:val="auto"/>
        </w:rPr>
        <w:t>Q1 2024</w:t>
      </w:r>
      <w:r>
        <w:rPr>
          <w:rFonts w:ascii="Arial" w:cs="Arial" w:eastAsia="Arial" w:hAnsi="Arial"/>
          <w:sz w:val="20"/>
          <w:szCs w:val="20"/>
          <w:color w:val="auto"/>
        </w:rPr>
        <w:t>: Decrease in assets was driven by cash used in operations and a reduction in investme</w:t>
      </w:r>
      <w:r>
        <w:rPr>
          <w:rFonts w:ascii="Arial" w:cs="Arial" w:eastAsia="Arial" w:hAnsi="Arial"/>
          <w:sz w:val="20"/>
          <w:szCs w:val="20"/>
          <w:b w:val="1"/>
          <w:bCs w:val="1"/>
          <w:color w:val="auto"/>
        </w:rPr>
        <w:t xml:space="preserve"> </w:t>
      </w:r>
      <w:r>
        <w:rPr>
          <w:rFonts w:ascii="Arial" w:cs="Arial" w:eastAsia="Arial" w:hAnsi="Arial"/>
          <w:sz w:val="20"/>
          <w:szCs w:val="20"/>
          <w:color w:val="auto"/>
        </w:rPr>
        <w:t>Cauchari-Olaroz based on the Company’s share of results. This was offset by increased loans to Capital. Liabilities were generally stable.</w:t>
      </w:r>
    </w:p>
    <w:p>
      <w:pPr>
        <w:spacing w:after="0" w:line="200" w:lineRule="exact"/>
        <w:rPr>
          <w:sz w:val="20"/>
          <w:szCs w:val="20"/>
          <w:color w:val="auto"/>
        </w:rPr>
      </w:pPr>
    </w:p>
    <w:p>
      <w:pPr>
        <w:spacing w:after="0" w:line="26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Total assets include the Company’s equity interest in the Cauchari-Olaroz project of $93.4 million and loa $379.8 million as of December 31, 2025, comprising $308.3 million through Exar Capital and $71.5 million to through PGCo (including accrued interest). Exar Capital, in turn, had an outstanding balance of $911.3 m owed by Exar.</w:t>
      </w:r>
    </w:p>
    <w:p>
      <w:pPr>
        <w:spacing w:after="0" w:line="313"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Subsequent to year-end, in February 2026, Exar fully repaid the loan outstanding to PGCo, including acc interest, in the amount of $72.1 million.</w:t>
      </w:r>
    </w:p>
    <w:p>
      <w:pPr>
        <w:spacing w:after="0" w:line="200" w:lineRule="exact"/>
        <w:rPr>
          <w:sz w:val="20"/>
          <w:szCs w:val="20"/>
          <w:color w:val="auto"/>
        </w:rPr>
      </w:pPr>
    </w:p>
    <w:p>
      <w:pPr>
        <w:spacing w:after="0" w:line="348" w:lineRule="exact"/>
        <w:rPr>
          <w:sz w:val="20"/>
          <w:szCs w:val="20"/>
          <w:color w:val="auto"/>
        </w:rPr>
      </w:pPr>
    </w:p>
    <w:p>
      <w:pPr>
        <w:ind w:left="900"/>
        <w:spacing w:after="0"/>
        <w:rPr>
          <w:sz w:val="20"/>
          <w:szCs w:val="20"/>
          <w:color w:val="auto"/>
        </w:rPr>
      </w:pPr>
      <w:r>
        <w:rPr>
          <w:rFonts w:ascii="Arial" w:cs="Arial" w:eastAsia="Arial" w:hAnsi="Arial"/>
          <w:sz w:val="20"/>
          <w:szCs w:val="20"/>
          <w:b w:val="1"/>
          <w:bCs w:val="1"/>
          <w:u w:val="single" w:color="auto"/>
          <w:color w:val="auto"/>
        </w:rPr>
        <w:t>Results of Operations</w:t>
      </w:r>
    </w:p>
    <w:p>
      <w:pPr>
        <w:spacing w:after="0" w:line="312"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u w:val="single" w:color="auto"/>
          <w:color w:val="auto"/>
        </w:rPr>
        <w:t>Year Ended December 31, 2025 ("YE 2025"), versus Year Ended December 31, 2024 ("YE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235585</wp:posOffset>
            </wp:positionV>
            <wp:extent cx="6078220" cy="2857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80">
                      <a:extLst>
                        <a:ext uri="{28A0092B-C50C-407E-A947-70E740481C1C}"/>
                      </a:extLst>
                    </a:blip>
                    <a:srcRect/>
                    <a:stretch>
                      <a:fillRect/>
                    </a:stretch>
                  </pic:blipFill>
                  <pic:spPr bwMode="auto">
                    <a:xfrm>
                      <a:off x="0" y="0"/>
                      <a:ext cx="6078220" cy="2857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900" w:type="dxa"/>
        <w:tblCellMar>
          <w:top w:w="0" w:type="dxa"/>
          <w:left w:w="0" w:type="dxa"/>
          <w:bottom w:w="0" w:type="dxa"/>
          <w:right w:w="0" w:type="dxa"/>
        </w:tblCellMar>
      </w:tblPr>
      <w:tr>
        <w:trPr>
          <w:trHeight w:val="217"/>
        </w:trPr>
        <w:tc>
          <w:tcPr>
            <w:tcW w:w="5400" w:type="dxa"/>
            <w:vAlign w:val="bottom"/>
          </w:tcPr>
          <w:p>
            <w:pPr>
              <w:spacing w:after="0"/>
              <w:rPr>
                <w:sz w:val="20"/>
                <w:szCs w:val="20"/>
                <w:color w:val="auto"/>
              </w:rPr>
            </w:pPr>
            <w:r>
              <w:rPr>
                <w:rFonts w:ascii="Arial" w:cs="Arial" w:eastAsia="Arial" w:hAnsi="Arial"/>
                <w:sz w:val="18"/>
                <w:szCs w:val="18"/>
                <w:b w:val="1"/>
                <w:bCs w:val="1"/>
                <w:color w:val="auto"/>
              </w:rPr>
              <w:t>Financial results</w:t>
            </w:r>
          </w:p>
        </w:tc>
        <w:tc>
          <w:tcPr>
            <w:tcW w:w="100" w:type="dxa"/>
            <w:vAlign w:val="bottom"/>
          </w:tcPr>
          <w:p>
            <w:pPr>
              <w:spacing w:after="0"/>
              <w:rPr>
                <w:sz w:val="18"/>
                <w:szCs w:val="18"/>
                <w:color w:val="auto"/>
              </w:rPr>
            </w:pPr>
          </w:p>
        </w:tc>
        <w:tc>
          <w:tcPr>
            <w:tcW w:w="2680" w:type="dxa"/>
            <w:vAlign w:val="bottom"/>
            <w:gridSpan w:val="3"/>
          </w:tcPr>
          <w:p>
            <w:pPr>
              <w:ind w:left="340"/>
              <w:spacing w:after="0"/>
              <w:rPr>
                <w:sz w:val="20"/>
                <w:szCs w:val="20"/>
                <w:color w:val="auto"/>
              </w:rPr>
            </w:pPr>
            <w:r>
              <w:rPr>
                <w:rFonts w:ascii="Arial" w:cs="Arial" w:eastAsia="Arial" w:hAnsi="Arial"/>
                <w:sz w:val="18"/>
                <w:szCs w:val="18"/>
                <w:b w:val="1"/>
                <w:bCs w:val="1"/>
                <w:color w:val="auto"/>
              </w:rPr>
              <w:t>Years Ended December 31,</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Chang</w:t>
            </w:r>
          </w:p>
        </w:tc>
        <w:tc>
          <w:tcPr>
            <w:tcW w:w="0" w:type="dxa"/>
            <w:vAlign w:val="bottom"/>
          </w:tcPr>
          <w:p>
            <w:pPr>
              <w:spacing w:after="0"/>
              <w:rPr>
                <w:sz w:val="1"/>
                <w:szCs w:val="1"/>
                <w:color w:val="auto"/>
              </w:rPr>
            </w:pPr>
          </w:p>
        </w:tc>
      </w:tr>
      <w:tr>
        <w:trPr>
          <w:trHeight w:val="36"/>
        </w:trPr>
        <w:tc>
          <w:tcPr>
            <w:tcW w:w="5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Pr>
          <w:p>
            <w:pPr>
              <w:spacing w:after="0"/>
              <w:rPr>
                <w:sz w:val="20"/>
                <w:szCs w:val="20"/>
                <w:color w:val="auto"/>
              </w:rPr>
            </w:pPr>
            <w:r>
              <w:rPr>
                <w:rFonts w:ascii="Arial" w:cs="Arial" w:eastAsia="Arial" w:hAnsi="Arial"/>
                <w:sz w:val="18"/>
                <w:szCs w:val="18"/>
                <w:b w:val="1"/>
                <w:bCs w:val="1"/>
                <w:color w:val="auto"/>
              </w:rPr>
              <w:t>(in US$ million)</w:t>
            </w:r>
          </w:p>
        </w:tc>
        <w:tc>
          <w:tcPr>
            <w:tcW w:w="1640" w:type="dxa"/>
            <w:vAlign w:val="bottom"/>
            <w:gridSpan w:val="2"/>
            <w:shd w:val="clear" w:color="auto" w:fill="D9D9D9"/>
          </w:tcPr>
          <w:p>
            <w:pPr>
              <w:jc w:val="right"/>
              <w:spacing w:after="0"/>
              <w:rPr>
                <w:sz w:val="20"/>
                <w:szCs w:val="20"/>
                <w:color w:val="auto"/>
              </w:rPr>
            </w:pPr>
            <w:r>
              <w:rPr>
                <w:rFonts w:ascii="Arial" w:cs="Arial" w:eastAsia="Arial" w:hAnsi="Arial"/>
                <w:sz w:val="18"/>
                <w:szCs w:val="18"/>
                <w:b w:val="1"/>
                <w:bCs w:val="1"/>
                <w:color w:val="auto"/>
              </w:rPr>
              <w:t>2025</w:t>
            </w:r>
          </w:p>
        </w:tc>
        <w:tc>
          <w:tcPr>
            <w:tcW w:w="100" w:type="dxa"/>
            <w:vAlign w:val="bottom"/>
            <w:shd w:val="clear" w:color="auto" w:fill="D9D9D9"/>
          </w:tcPr>
          <w:p>
            <w:pPr>
              <w:spacing w:after="0"/>
              <w:rPr>
                <w:sz w:val="21"/>
                <w:szCs w:val="21"/>
                <w:color w:val="auto"/>
              </w:rPr>
            </w:pPr>
          </w:p>
        </w:tc>
        <w:tc>
          <w:tcPr>
            <w:tcW w:w="1040" w:type="dxa"/>
            <w:vAlign w:val="bottom"/>
          </w:tcPr>
          <w:p>
            <w:pPr>
              <w:spacing w:after="0"/>
              <w:rPr>
                <w:sz w:val="21"/>
                <w:szCs w:val="21"/>
                <w:color w:val="auto"/>
              </w:rPr>
            </w:pPr>
          </w:p>
        </w:tc>
        <w:tc>
          <w:tcPr>
            <w:tcW w:w="1380" w:type="dxa"/>
            <w:vAlign w:val="bottom"/>
          </w:tcPr>
          <w:p>
            <w:pPr>
              <w:jc w:val="right"/>
              <w:ind w:right="8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6"/>
        </w:trPr>
        <w:tc>
          <w:tcPr>
            <w:tcW w:w="5400" w:type="dxa"/>
            <w:vAlign w:val="bottom"/>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540" w:type="dxa"/>
            <w:vAlign w:val="bottom"/>
            <w:shd w:val="clear" w:color="auto" w:fill="D9D9D9"/>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Pr>
          <w:p>
            <w:pPr>
              <w:spacing w:after="0"/>
              <w:rPr>
                <w:sz w:val="21"/>
                <w:szCs w:val="21"/>
                <w:color w:val="auto"/>
              </w:rPr>
            </w:pPr>
          </w:p>
        </w:tc>
        <w:tc>
          <w:tcPr>
            <w:tcW w:w="1640" w:type="dxa"/>
            <w:vAlign w:val="bottom"/>
            <w:gridSpan w:val="2"/>
            <w:shd w:val="clear" w:color="auto" w:fill="D9D9D9"/>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9D9D9"/>
          </w:tcPr>
          <w:p>
            <w:pPr>
              <w:spacing w:after="0"/>
              <w:rPr>
                <w:sz w:val="21"/>
                <w:szCs w:val="21"/>
                <w:color w:val="auto"/>
              </w:rPr>
            </w:pPr>
          </w:p>
        </w:tc>
        <w:tc>
          <w:tcPr>
            <w:tcW w:w="1040" w:type="dxa"/>
            <w:vAlign w:val="bottom"/>
          </w:tcPr>
          <w:p>
            <w:pPr>
              <w:spacing w:after="0"/>
              <w:rPr>
                <w:sz w:val="21"/>
                <w:szCs w:val="21"/>
                <w:color w:val="auto"/>
              </w:rPr>
            </w:pPr>
          </w:p>
        </w:tc>
        <w:tc>
          <w:tcPr>
            <w:tcW w:w="1380" w:type="dxa"/>
            <w:vAlign w:val="bottom"/>
          </w:tcPr>
          <w:p>
            <w:pPr>
              <w:jc w:val="right"/>
              <w:ind w:right="8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6"/>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shd w:val="clear" w:color="auto" w:fill="D9D9D9"/>
          </w:tcPr>
          <w:p>
            <w:pPr>
              <w:spacing w:after="0"/>
              <w:rPr>
                <w:sz w:val="4"/>
                <w:szCs w:val="4"/>
                <w:color w:val="auto"/>
              </w:rPr>
            </w:pPr>
          </w:p>
        </w:tc>
        <w:tc>
          <w:tcPr>
            <w:tcW w:w="154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10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0" w:type="dxa"/>
            <w:vAlign w:val="bottom"/>
            <w:vMerge w:val="continue"/>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540" w:type="dxa"/>
            <w:vAlign w:val="bottom"/>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0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5400" w:type="dxa"/>
            <w:vAlign w:val="bottom"/>
          </w:tcPr>
          <w:p>
            <w:pPr>
              <w:spacing w:after="0"/>
              <w:rPr>
                <w:sz w:val="20"/>
                <w:szCs w:val="20"/>
                <w:color w:val="auto"/>
              </w:rPr>
            </w:pPr>
            <w:r>
              <w:rPr>
                <w:rFonts w:ascii="Arial" w:cs="Arial" w:eastAsia="Arial" w:hAnsi="Arial"/>
                <w:sz w:val="18"/>
                <w:szCs w:val="18"/>
                <w:color w:val="auto"/>
              </w:rPr>
              <w:t>Exploration and evaluation expenditures</w:t>
            </w:r>
          </w:p>
        </w:tc>
        <w:tc>
          <w:tcPr>
            <w:tcW w:w="1740" w:type="dxa"/>
            <w:vAlign w:val="bottom"/>
            <w:gridSpan w:val="3"/>
            <w:shd w:val="clear" w:color="auto" w:fill="D9D9D9"/>
          </w:tcPr>
          <w:p>
            <w:pPr>
              <w:jc w:val="right"/>
              <w:spacing w:after="0"/>
              <w:rPr>
                <w:sz w:val="20"/>
                <w:szCs w:val="20"/>
                <w:color w:val="auto"/>
              </w:rPr>
            </w:pPr>
            <w:r>
              <w:rPr>
                <w:rFonts w:ascii="Arial" w:cs="Arial" w:eastAsia="Arial" w:hAnsi="Arial"/>
                <w:sz w:val="18"/>
                <w:szCs w:val="18"/>
                <w:color w:val="auto"/>
              </w:rPr>
              <w:t>(6.7)</w:t>
            </w:r>
          </w:p>
        </w:tc>
        <w:tc>
          <w:tcPr>
            <w:tcW w:w="1040" w:type="dxa"/>
            <w:vAlign w:val="bottom"/>
          </w:tcPr>
          <w:p>
            <w:pPr>
              <w:spacing w:after="0"/>
              <w:rPr>
                <w:sz w:val="24"/>
                <w:szCs w:val="24"/>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36"/>
        </w:trPr>
        <w:tc>
          <w:tcPr>
            <w:tcW w:w="5400" w:type="dxa"/>
            <w:vAlign w:val="bottom"/>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540" w:type="dxa"/>
            <w:vAlign w:val="bottom"/>
            <w:shd w:val="clear" w:color="auto" w:fill="D9D9D9"/>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D9D9D9"/>
          </w:tcPr>
          <w:p>
            <w:pPr>
              <w:spacing w:after="0"/>
              <w:rPr>
                <w:sz w:val="21"/>
                <w:szCs w:val="21"/>
                <w:color w:val="auto"/>
              </w:rPr>
            </w:pPr>
          </w:p>
        </w:tc>
        <w:tc>
          <w:tcPr>
            <w:tcW w:w="164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(15.7)</w:t>
            </w:r>
          </w:p>
        </w:tc>
        <w:tc>
          <w:tcPr>
            <w:tcW w:w="1040" w:type="dxa"/>
            <w:vAlign w:val="bottom"/>
          </w:tcPr>
          <w:p>
            <w:pPr>
              <w:spacing w:after="0"/>
              <w:rPr>
                <w:sz w:val="21"/>
                <w:szCs w:val="21"/>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302"/>
        </w:trPr>
        <w:tc>
          <w:tcPr>
            <w:tcW w:w="540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100" w:type="dxa"/>
            <w:vAlign w:val="bottom"/>
            <w:tcBorders>
              <w:bottom w:val="single" w:sz="8" w:color="D9D9D9"/>
            </w:tcBorders>
            <w:shd w:val="clear" w:color="auto" w:fill="D9D9D9"/>
          </w:tcPr>
          <w:p>
            <w:pPr>
              <w:spacing w:after="0"/>
              <w:rPr>
                <w:sz w:val="24"/>
                <w:szCs w:val="24"/>
                <w:color w:val="auto"/>
              </w:rPr>
            </w:pPr>
          </w:p>
        </w:tc>
        <w:tc>
          <w:tcPr>
            <w:tcW w:w="1640" w:type="dxa"/>
            <w:vAlign w:val="bottom"/>
            <w:tcBorders>
              <w:bottom w:val="single" w:sz="8" w:color="D9D9D9"/>
            </w:tcBorders>
            <w:gridSpan w:val="2"/>
            <w:shd w:val="clear" w:color="auto" w:fill="D9D9D9"/>
          </w:tcPr>
          <w:p>
            <w:pPr>
              <w:jc w:val="right"/>
              <w:spacing w:after="0"/>
              <w:rPr>
                <w:sz w:val="20"/>
                <w:szCs w:val="20"/>
                <w:color w:val="auto"/>
              </w:rPr>
            </w:pPr>
            <w:r>
              <w:rPr>
                <w:rFonts w:ascii="Arial" w:cs="Arial" w:eastAsia="Arial" w:hAnsi="Arial"/>
                <w:sz w:val="18"/>
                <w:szCs w:val="18"/>
                <w:color w:val="auto"/>
              </w:rPr>
              <w:t>(15.0)</w:t>
            </w:r>
          </w:p>
        </w:tc>
        <w:tc>
          <w:tcPr>
            <w:tcW w:w="1040" w:type="dxa"/>
            <w:vAlign w:val="bottom"/>
          </w:tcPr>
          <w:p>
            <w:pPr>
              <w:spacing w:after="0"/>
              <w:rPr>
                <w:sz w:val="24"/>
                <w:szCs w:val="24"/>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50"/>
        </w:trPr>
        <w:tc>
          <w:tcPr>
            <w:tcW w:w="5400" w:type="dxa"/>
            <w:vAlign w:val="bottom"/>
          </w:tcPr>
          <w:p>
            <w:pPr>
              <w:spacing w:after="0"/>
              <w:rPr>
                <w:sz w:val="20"/>
                <w:szCs w:val="20"/>
                <w:color w:val="auto"/>
              </w:rPr>
            </w:pPr>
            <w:r>
              <w:rPr>
                <w:rFonts w:ascii="Arial" w:cs="Arial" w:eastAsia="Arial" w:hAnsi="Arial"/>
                <w:sz w:val="18"/>
                <w:szCs w:val="18"/>
                <w:color w:val="auto"/>
              </w:rPr>
              <w:t>Share of loss of Cauchari-Olaroz Project</w:t>
            </w:r>
          </w:p>
        </w:tc>
        <w:tc>
          <w:tcPr>
            <w:tcW w:w="100" w:type="dxa"/>
            <w:vAlign w:val="bottom"/>
            <w:shd w:val="clear" w:color="auto" w:fill="D9D9D9"/>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D9D9D9"/>
          </w:tcPr>
          <w:p>
            <w:pPr>
              <w:jc w:val="right"/>
              <w:spacing w:after="0"/>
              <w:rPr>
                <w:sz w:val="20"/>
                <w:szCs w:val="20"/>
                <w:color w:val="auto"/>
              </w:rPr>
            </w:pPr>
            <w:r>
              <w:rPr>
                <w:rFonts w:ascii="Arial" w:cs="Arial" w:eastAsia="Arial" w:hAnsi="Arial"/>
                <w:sz w:val="16"/>
                <w:szCs w:val="16"/>
                <w:color w:val="auto"/>
                <w:highlight w:val="lightGray"/>
                <w:w w:val="74"/>
              </w:rPr>
              <w:t>)</w:t>
            </w:r>
          </w:p>
        </w:tc>
        <w:tc>
          <w:tcPr>
            <w:tcW w:w="1040" w:type="dxa"/>
            <w:vAlign w:val="bottom"/>
          </w:tcPr>
          <w:p>
            <w:pPr>
              <w:spacing w:after="0"/>
              <w:rPr>
                <w:sz w:val="21"/>
                <w:szCs w:val="21"/>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36"/>
        </w:trPr>
        <w:tc>
          <w:tcPr>
            <w:tcW w:w="5400" w:type="dxa"/>
            <w:vAlign w:val="bottom"/>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0"/>
        </w:trPr>
        <w:tc>
          <w:tcPr>
            <w:tcW w:w="5400" w:type="dxa"/>
            <w:vAlign w:val="bottom"/>
          </w:tcPr>
          <w:p>
            <w:pPr>
              <w:spacing w:after="0"/>
              <w:rPr>
                <w:sz w:val="20"/>
                <w:szCs w:val="20"/>
                <w:color w:val="auto"/>
              </w:rPr>
            </w:pPr>
            <w:r>
              <w:rPr>
                <w:rFonts w:ascii="Arial" w:cs="Arial" w:eastAsia="Arial" w:hAnsi="Arial"/>
                <w:sz w:val="18"/>
                <w:szCs w:val="18"/>
                <w:color w:val="auto"/>
              </w:rPr>
              <w:t>Share of loss of Sal de la Puna Project</w:t>
            </w:r>
          </w:p>
        </w:tc>
        <w:tc>
          <w:tcPr>
            <w:tcW w:w="100" w:type="dxa"/>
            <w:vAlign w:val="bottom"/>
            <w:shd w:val="clear" w:color="auto" w:fill="D9D9D9"/>
          </w:tcPr>
          <w:p>
            <w:pPr>
              <w:spacing w:after="0"/>
              <w:rPr>
                <w:sz w:val="22"/>
                <w:szCs w:val="22"/>
                <w:color w:val="auto"/>
              </w:rPr>
            </w:pPr>
          </w:p>
        </w:tc>
        <w:tc>
          <w:tcPr>
            <w:tcW w:w="164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(0.3)</w:t>
            </w:r>
          </w:p>
        </w:tc>
        <w:tc>
          <w:tcPr>
            <w:tcW w:w="1040" w:type="dxa"/>
            <w:vAlign w:val="bottom"/>
          </w:tcPr>
          <w:p>
            <w:pPr>
              <w:spacing w:after="0"/>
              <w:rPr>
                <w:sz w:val="22"/>
                <w:szCs w:val="22"/>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6"/>
        </w:trPr>
        <w:tc>
          <w:tcPr>
            <w:tcW w:w="5400" w:type="dxa"/>
            <w:vAlign w:val="bottom"/>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64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(77.5)</w:t>
            </w:r>
          </w:p>
        </w:tc>
        <w:tc>
          <w:tcPr>
            <w:tcW w:w="1040" w:type="dxa"/>
            <w:vAlign w:val="bottom"/>
          </w:tcPr>
          <w:p>
            <w:pPr>
              <w:spacing w:after="0"/>
              <w:rPr>
                <w:sz w:val="24"/>
                <w:szCs w:val="24"/>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582"/>
        </w:trPr>
        <w:tc>
          <w:tcPr>
            <w:tcW w:w="5400" w:type="dxa"/>
            <w:vAlign w:val="bottom"/>
          </w:tcPr>
          <w:p>
            <w:pPr>
              <w:spacing w:after="0"/>
              <w:rPr>
                <w:sz w:val="20"/>
                <w:szCs w:val="20"/>
                <w:color w:val="auto"/>
              </w:rPr>
            </w:pPr>
            <w:r>
              <w:rPr>
                <w:rFonts w:ascii="Arial" w:cs="Arial" w:eastAsia="Arial" w:hAnsi="Arial"/>
                <w:sz w:val="18"/>
                <w:szCs w:val="18"/>
                <w:color w:val="auto"/>
              </w:rPr>
              <w:t>Transaction costs</w:t>
            </w:r>
          </w:p>
        </w:tc>
        <w:tc>
          <w:tcPr>
            <w:tcW w:w="1740" w:type="dxa"/>
            <w:vAlign w:val="bottom"/>
            <w:gridSpan w:val="3"/>
            <w:shd w:val="clear" w:color="auto" w:fill="D9D9D9"/>
          </w:tcPr>
          <w:p>
            <w:pPr>
              <w:jc w:val="right"/>
              <w:spacing w:after="0"/>
              <w:rPr>
                <w:sz w:val="20"/>
                <w:szCs w:val="20"/>
                <w:color w:val="auto"/>
              </w:rPr>
            </w:pPr>
            <w:r>
              <w:rPr>
                <w:rFonts w:ascii="Arial" w:cs="Arial" w:eastAsia="Arial" w:hAnsi="Arial"/>
                <w:sz w:val="18"/>
                <w:szCs w:val="18"/>
                <w:color w:val="auto"/>
              </w:rPr>
              <w:t>(4.0)</w:t>
            </w:r>
          </w:p>
        </w:tc>
        <w:tc>
          <w:tcPr>
            <w:tcW w:w="1040" w:type="dxa"/>
            <w:vAlign w:val="bottom"/>
          </w:tcPr>
          <w:p>
            <w:pPr>
              <w:spacing w:after="0"/>
              <w:rPr>
                <w:sz w:val="24"/>
                <w:szCs w:val="24"/>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6"/>
        </w:trPr>
        <w:tc>
          <w:tcPr>
            <w:tcW w:w="5400" w:type="dxa"/>
            <w:vAlign w:val="bottom"/>
          </w:tcPr>
          <w:p>
            <w:pPr>
              <w:spacing w:after="0"/>
              <w:rPr>
                <w:sz w:val="3"/>
                <w:szCs w:val="3"/>
                <w:color w:val="auto"/>
              </w:rPr>
            </w:pPr>
          </w:p>
        </w:tc>
        <w:tc>
          <w:tcPr>
            <w:tcW w:w="1740" w:type="dxa"/>
            <w:vAlign w:val="bottom"/>
            <w:gridSpan w:val="3"/>
            <w:shd w:val="clear" w:color="auto" w:fill="D9D9D9"/>
          </w:tcPr>
          <w:p>
            <w:pPr>
              <w:spacing w:after="0"/>
              <w:rPr>
                <w:sz w:val="3"/>
                <w:szCs w:val="3"/>
                <w:color w:val="auto"/>
              </w:rPr>
            </w:pP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Pr>
          <w:p>
            <w:pPr>
              <w:spacing w:after="0"/>
              <w:rPr>
                <w:sz w:val="20"/>
                <w:szCs w:val="20"/>
                <w:color w:val="auto"/>
              </w:rPr>
            </w:pPr>
            <w:r>
              <w:rPr>
                <w:rFonts w:ascii="Arial" w:cs="Arial" w:eastAsia="Arial" w:hAnsi="Arial"/>
                <w:sz w:val="18"/>
                <w:szCs w:val="18"/>
                <w:color w:val="auto"/>
              </w:rPr>
              <w:t>(Loss)/gain on financial instruments measured at fair value</w:t>
            </w:r>
          </w:p>
        </w:tc>
        <w:tc>
          <w:tcPr>
            <w:tcW w:w="1740" w:type="dxa"/>
            <w:vAlign w:val="bottom"/>
            <w:gridSpan w:val="3"/>
            <w:shd w:val="clear" w:color="auto" w:fill="D9D9D9"/>
          </w:tcPr>
          <w:p>
            <w:pPr>
              <w:jc w:val="right"/>
              <w:spacing w:after="0"/>
              <w:rPr>
                <w:sz w:val="20"/>
                <w:szCs w:val="20"/>
                <w:color w:val="auto"/>
              </w:rPr>
            </w:pPr>
            <w:r>
              <w:rPr>
                <w:rFonts w:ascii="Arial" w:cs="Arial" w:eastAsia="Arial" w:hAnsi="Arial"/>
                <w:sz w:val="18"/>
                <w:szCs w:val="18"/>
                <w:color w:val="auto"/>
              </w:rPr>
              <w:t>(2.4)</w:t>
            </w:r>
          </w:p>
        </w:tc>
        <w:tc>
          <w:tcPr>
            <w:tcW w:w="1040" w:type="dxa"/>
            <w:vAlign w:val="bottom"/>
          </w:tcPr>
          <w:p>
            <w:pPr>
              <w:spacing w:after="0"/>
              <w:rPr>
                <w:sz w:val="21"/>
                <w:szCs w:val="21"/>
                <w:color w:val="auto"/>
              </w:rPr>
            </w:pPr>
          </w:p>
        </w:tc>
        <w:tc>
          <w:tcPr>
            <w:tcW w:w="1380" w:type="dxa"/>
            <w:vAlign w:val="bottom"/>
          </w:tcPr>
          <w:p>
            <w:pPr>
              <w:jc w:val="right"/>
              <w:ind w:right="85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36"/>
        </w:trPr>
        <w:tc>
          <w:tcPr>
            <w:tcW w:w="5400" w:type="dxa"/>
            <w:vAlign w:val="bottom"/>
          </w:tcPr>
          <w:p>
            <w:pPr>
              <w:spacing w:after="0"/>
              <w:rPr>
                <w:sz w:val="3"/>
                <w:szCs w:val="3"/>
                <w:color w:val="auto"/>
              </w:rPr>
            </w:pPr>
          </w:p>
        </w:tc>
        <w:tc>
          <w:tcPr>
            <w:tcW w:w="1740" w:type="dxa"/>
            <w:vAlign w:val="bottom"/>
            <w:gridSpan w:val="3"/>
            <w:shd w:val="clear" w:color="auto" w:fill="D9D9D9"/>
          </w:tcPr>
          <w:p>
            <w:pPr>
              <w:spacing w:after="0"/>
              <w:rPr>
                <w:sz w:val="3"/>
                <w:szCs w:val="3"/>
                <w:color w:val="auto"/>
              </w:rPr>
            </w:pP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Pr>
          <w:p>
            <w:pPr>
              <w:spacing w:after="0"/>
              <w:rPr>
                <w:sz w:val="20"/>
                <w:szCs w:val="20"/>
                <w:color w:val="auto"/>
              </w:rPr>
            </w:pPr>
            <w:r>
              <w:rPr>
                <w:rFonts w:ascii="Arial" w:cs="Arial" w:eastAsia="Arial" w:hAnsi="Arial"/>
                <w:sz w:val="18"/>
                <w:szCs w:val="18"/>
                <w:color w:val="auto"/>
              </w:rPr>
              <w:t>Finance and other costs</w:t>
            </w:r>
          </w:p>
        </w:tc>
        <w:tc>
          <w:tcPr>
            <w:tcW w:w="100" w:type="dxa"/>
            <w:vAlign w:val="bottom"/>
            <w:shd w:val="clear" w:color="auto" w:fill="D9D9D9"/>
          </w:tcPr>
          <w:p>
            <w:pPr>
              <w:spacing w:after="0"/>
              <w:rPr>
                <w:sz w:val="21"/>
                <w:szCs w:val="21"/>
                <w:color w:val="auto"/>
              </w:rPr>
            </w:pPr>
          </w:p>
        </w:tc>
        <w:tc>
          <w:tcPr>
            <w:tcW w:w="164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(31.9)</w:t>
            </w:r>
          </w:p>
        </w:tc>
        <w:tc>
          <w:tcPr>
            <w:tcW w:w="1040" w:type="dxa"/>
            <w:vAlign w:val="bottom"/>
          </w:tcPr>
          <w:p>
            <w:pPr>
              <w:spacing w:after="0"/>
              <w:rPr>
                <w:sz w:val="21"/>
                <w:szCs w:val="21"/>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86"/>
        </w:trPr>
        <w:tc>
          <w:tcPr>
            <w:tcW w:w="5400" w:type="dxa"/>
            <w:vAlign w:val="bottom"/>
          </w:tcPr>
          <w:p>
            <w:pPr>
              <w:spacing w:after="0"/>
              <w:rPr>
                <w:sz w:val="20"/>
                <w:szCs w:val="20"/>
                <w:color w:val="auto"/>
              </w:rPr>
            </w:pPr>
            <w:r>
              <w:rPr>
                <w:rFonts w:ascii="Arial" w:cs="Arial" w:eastAsia="Arial" w:hAnsi="Arial"/>
                <w:sz w:val="18"/>
                <w:szCs w:val="18"/>
                <w:color w:val="auto"/>
              </w:rPr>
              <w:t>Foreign exchange (loss)/gain</w:t>
            </w:r>
          </w:p>
        </w:tc>
        <w:tc>
          <w:tcPr>
            <w:tcW w:w="100" w:type="dxa"/>
            <w:vAlign w:val="bottom"/>
            <w:shd w:val="clear" w:color="auto" w:fill="D9D9D9"/>
          </w:tcPr>
          <w:p>
            <w:pPr>
              <w:spacing w:after="0"/>
              <w:rPr>
                <w:sz w:val="24"/>
                <w:szCs w:val="24"/>
                <w:color w:val="auto"/>
              </w:rPr>
            </w:pPr>
          </w:p>
        </w:tc>
        <w:tc>
          <w:tcPr>
            <w:tcW w:w="164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(0.7)</w:t>
            </w:r>
          </w:p>
        </w:tc>
        <w:tc>
          <w:tcPr>
            <w:tcW w:w="1040" w:type="dxa"/>
            <w:vAlign w:val="bottom"/>
          </w:tcPr>
          <w:p>
            <w:pPr>
              <w:spacing w:after="0"/>
              <w:rPr>
                <w:sz w:val="24"/>
                <w:szCs w:val="24"/>
                <w:color w:val="auto"/>
              </w:rPr>
            </w:pPr>
          </w:p>
        </w:tc>
        <w:tc>
          <w:tcPr>
            <w:tcW w:w="1380" w:type="dxa"/>
            <w:vAlign w:val="bottom"/>
          </w:tcPr>
          <w:p>
            <w:pPr>
              <w:jc w:val="right"/>
              <w:ind w:right="85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6"/>
        </w:trPr>
        <w:tc>
          <w:tcPr>
            <w:tcW w:w="5400" w:type="dxa"/>
            <w:vAlign w:val="bottom"/>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640" w:type="dxa"/>
            <w:vAlign w:val="bottom"/>
            <w:gridSpan w:val="2"/>
            <w:shd w:val="clear" w:color="auto" w:fill="D9D9D9"/>
          </w:tcPr>
          <w:p>
            <w:pPr>
              <w:spacing w:after="0"/>
              <w:rPr>
                <w:sz w:val="3"/>
                <w:szCs w:val="3"/>
                <w:color w:val="auto"/>
              </w:rPr>
            </w:pP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Pr>
          <w:p>
            <w:pPr>
              <w:spacing w:after="0"/>
              <w:rPr>
                <w:sz w:val="20"/>
                <w:szCs w:val="20"/>
                <w:color w:val="auto"/>
              </w:rPr>
            </w:pPr>
            <w:r>
              <w:rPr>
                <w:rFonts w:ascii="Arial" w:cs="Arial" w:eastAsia="Arial" w:hAnsi="Arial"/>
                <w:sz w:val="18"/>
                <w:szCs w:val="18"/>
                <w:color w:val="auto"/>
              </w:rPr>
              <w:t>Loss from JEMSE receivable</w:t>
            </w:r>
          </w:p>
        </w:tc>
        <w:tc>
          <w:tcPr>
            <w:tcW w:w="1740" w:type="dxa"/>
            <w:vAlign w:val="bottom"/>
            <w:gridSpan w:val="3"/>
            <w:shd w:val="clear" w:color="auto" w:fill="D9D9D9"/>
          </w:tcPr>
          <w:p>
            <w:pPr>
              <w:jc w:val="right"/>
              <w:spacing w:after="0"/>
              <w:rPr>
                <w:sz w:val="20"/>
                <w:szCs w:val="20"/>
                <w:color w:val="auto"/>
              </w:rPr>
            </w:pPr>
            <w:r>
              <w:rPr>
                <w:rFonts w:ascii="Arial" w:cs="Arial" w:eastAsia="Arial" w:hAnsi="Arial"/>
                <w:sz w:val="18"/>
                <w:szCs w:val="18"/>
                <w:color w:val="auto"/>
              </w:rPr>
              <w:t>(9.3)</w:t>
            </w:r>
          </w:p>
        </w:tc>
        <w:tc>
          <w:tcPr>
            <w:tcW w:w="1040" w:type="dxa"/>
            <w:vAlign w:val="bottom"/>
          </w:tcPr>
          <w:p>
            <w:pPr>
              <w:spacing w:after="0"/>
              <w:rPr>
                <w:sz w:val="21"/>
                <w:szCs w:val="21"/>
                <w:color w:val="auto"/>
              </w:rPr>
            </w:pPr>
          </w:p>
        </w:tc>
        <w:tc>
          <w:tcPr>
            <w:tcW w:w="138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
        </w:trPr>
        <w:tc>
          <w:tcPr>
            <w:tcW w:w="5400" w:type="dxa"/>
            <w:vAlign w:val="bottom"/>
          </w:tcPr>
          <w:p>
            <w:pPr>
              <w:spacing w:after="0"/>
              <w:rPr>
                <w:sz w:val="3"/>
                <w:szCs w:val="3"/>
                <w:color w:val="auto"/>
              </w:rPr>
            </w:pPr>
          </w:p>
        </w:tc>
        <w:tc>
          <w:tcPr>
            <w:tcW w:w="1640" w:type="dxa"/>
            <w:vAlign w:val="bottom"/>
            <w:gridSpan w:val="2"/>
            <w:shd w:val="clear" w:color="auto" w:fill="D9D9D9"/>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0"/>
        </w:trPr>
        <w:tc>
          <w:tcPr>
            <w:tcW w:w="5400" w:type="dxa"/>
            <w:vAlign w:val="bottom"/>
          </w:tcPr>
          <w:p>
            <w:pPr>
              <w:spacing w:after="0"/>
              <w:rPr>
                <w:sz w:val="20"/>
                <w:szCs w:val="20"/>
                <w:color w:val="auto"/>
              </w:rPr>
            </w:pPr>
            <w:r>
              <w:rPr>
                <w:rFonts w:ascii="Arial" w:cs="Arial" w:eastAsia="Arial" w:hAnsi="Arial"/>
                <w:sz w:val="18"/>
                <w:szCs w:val="18"/>
                <w:color w:val="auto"/>
              </w:rPr>
              <w:t>Finance and other income</w:t>
            </w:r>
          </w:p>
        </w:tc>
        <w:tc>
          <w:tcPr>
            <w:tcW w:w="164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D9D9D9"/>
          </w:tcPr>
          <w:p>
            <w:pPr>
              <w:spacing w:after="0"/>
              <w:rPr>
                <w:sz w:val="22"/>
                <w:szCs w:val="22"/>
                <w:color w:val="auto"/>
              </w:rPr>
            </w:pPr>
          </w:p>
        </w:tc>
        <w:tc>
          <w:tcPr>
            <w:tcW w:w="1040" w:type="dxa"/>
            <w:vAlign w:val="bottom"/>
          </w:tcPr>
          <w:p>
            <w:pPr>
              <w:spacing w:after="0"/>
              <w:rPr>
                <w:sz w:val="22"/>
                <w:szCs w:val="22"/>
                <w:color w:val="auto"/>
              </w:rPr>
            </w:pPr>
          </w:p>
        </w:tc>
        <w:tc>
          <w:tcPr>
            <w:tcW w:w="1380" w:type="dxa"/>
            <w:vAlign w:val="bottom"/>
          </w:tcPr>
          <w:p>
            <w:pPr>
              <w:jc w:val="right"/>
              <w:ind w:right="85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36"/>
        </w:trPr>
        <w:tc>
          <w:tcPr>
            <w:tcW w:w="5400" w:type="dxa"/>
            <w:vAlign w:val="bottom"/>
          </w:tcPr>
          <w:p>
            <w:pPr>
              <w:spacing w:after="0"/>
              <w:rPr>
                <w:sz w:val="3"/>
                <w:szCs w:val="3"/>
                <w:color w:val="auto"/>
              </w:rPr>
            </w:pPr>
          </w:p>
        </w:tc>
        <w:tc>
          <w:tcPr>
            <w:tcW w:w="1640" w:type="dxa"/>
            <w:vAlign w:val="bottom"/>
            <w:gridSpan w:val="2"/>
            <w:shd w:val="clear" w:color="auto" w:fill="D9D9D9"/>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Pr>
          <w:p>
            <w:pPr>
              <w:spacing w:after="0"/>
              <w:rPr>
                <w:sz w:val="21"/>
                <w:szCs w:val="21"/>
                <w:color w:val="auto"/>
              </w:rPr>
            </w:pPr>
          </w:p>
        </w:tc>
        <w:tc>
          <w:tcPr>
            <w:tcW w:w="164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9D9D9"/>
          </w:tcPr>
          <w:p>
            <w:pPr>
              <w:spacing w:after="0"/>
              <w:rPr>
                <w:sz w:val="21"/>
                <w:szCs w:val="21"/>
                <w:color w:val="auto"/>
              </w:rPr>
            </w:pPr>
          </w:p>
        </w:tc>
        <w:tc>
          <w:tcPr>
            <w:tcW w:w="1040" w:type="dxa"/>
            <w:vAlign w:val="bottom"/>
          </w:tcPr>
          <w:p>
            <w:pPr>
              <w:spacing w:after="0"/>
              <w:rPr>
                <w:sz w:val="21"/>
                <w:szCs w:val="21"/>
                <w:color w:val="auto"/>
              </w:rPr>
            </w:pPr>
          </w:p>
        </w:tc>
        <w:tc>
          <w:tcPr>
            <w:tcW w:w="1380" w:type="dxa"/>
            <w:vAlign w:val="bottom"/>
          </w:tcPr>
          <w:p>
            <w:pPr>
              <w:jc w:val="right"/>
              <w:ind w:right="85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342"/>
        </w:trPr>
        <w:tc>
          <w:tcPr>
            <w:tcW w:w="5400" w:type="dxa"/>
            <w:vAlign w:val="bottom"/>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54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-2211070</wp:posOffset>
            </wp:positionV>
            <wp:extent cx="974090" cy="18161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81">
                      <a:extLst>
                        <a:ext uri="{28A0092B-C50C-407E-A947-70E740481C1C}"/>
                      </a:extLst>
                    </a:blip>
                    <a:srcRect/>
                    <a:stretch>
                      <a:fillRect/>
                    </a:stretch>
                  </pic:blipFill>
                  <pic:spPr bwMode="auto">
                    <a:xfrm>
                      <a:off x="0" y="0"/>
                      <a:ext cx="974090" cy="18161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-3313430</wp:posOffset>
            </wp:positionV>
            <wp:extent cx="2647315" cy="635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82">
                      <a:extLst>
                        <a:ext uri="{28A0092B-C50C-407E-A947-70E740481C1C}"/>
                      </a:extLst>
                    </a:blip>
                    <a:srcRect/>
                    <a:stretch>
                      <a:fillRect/>
                    </a:stretch>
                  </pic:blipFill>
                  <pic:spPr bwMode="auto">
                    <a:xfrm>
                      <a:off x="0" y="0"/>
                      <a:ext cx="2647315"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-2943860</wp:posOffset>
            </wp:positionV>
            <wp:extent cx="6078220" cy="635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83">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-1847850</wp:posOffset>
            </wp:positionV>
            <wp:extent cx="2647315" cy="635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84">
                      <a:extLst>
                        <a:ext uri="{28A0092B-C50C-407E-A947-70E740481C1C}"/>
                      </a:extLst>
                    </a:blip>
                    <a:srcRect/>
                    <a:stretch>
                      <a:fillRect/>
                    </a:stretch>
                  </pic:blipFill>
                  <pic:spPr bwMode="auto">
                    <a:xfrm>
                      <a:off x="0" y="0"/>
                      <a:ext cx="2647315" cy="635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-1659890</wp:posOffset>
            </wp:positionV>
            <wp:extent cx="2647315" cy="635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85">
                      <a:extLst>
                        <a:ext uri="{28A0092B-C50C-407E-A947-70E740481C1C}"/>
                      </a:extLst>
                    </a:blip>
                    <a:srcRect/>
                    <a:stretch>
                      <a:fillRect/>
                    </a:stretch>
                  </pic:blipFill>
                  <pic:spPr bwMode="auto">
                    <a:xfrm>
                      <a:off x="0" y="0"/>
                      <a:ext cx="2647315" cy="635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-381635</wp:posOffset>
            </wp:positionV>
            <wp:extent cx="2647315" cy="635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86">
                      <a:extLst>
                        <a:ext uri="{28A0092B-C50C-407E-A947-70E740481C1C}"/>
                      </a:extLst>
                    </a:blip>
                    <a:srcRect/>
                    <a:stretch>
                      <a:fillRect/>
                    </a:stretch>
                  </pic:blipFill>
                  <pic:spPr bwMode="auto">
                    <a:xfrm>
                      <a:off x="0" y="0"/>
                      <a:ext cx="2647315" cy="635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-193675</wp:posOffset>
            </wp:positionV>
            <wp:extent cx="2647315" cy="635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87">
                      <a:extLst>
                        <a:ext uri="{28A0092B-C50C-407E-A947-70E740481C1C}"/>
                      </a:extLst>
                    </a:blip>
                    <a:srcRect/>
                    <a:stretch>
                      <a:fillRect/>
                    </a:stretch>
                  </pic:blipFill>
                  <pic:spPr bwMode="auto">
                    <a:xfrm>
                      <a:off x="0" y="0"/>
                      <a:ext cx="2647315" cy="635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-5715</wp:posOffset>
            </wp:positionV>
            <wp:extent cx="2647315" cy="635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88">
                      <a:extLst>
                        <a:ext uri="{28A0092B-C50C-407E-A947-70E740481C1C}"/>
                      </a:extLst>
                    </a:blip>
                    <a:srcRect/>
                    <a:stretch>
                      <a:fillRect/>
                    </a:stretch>
                  </pic:blipFill>
                  <pic:spPr bwMode="auto">
                    <a:xfrm>
                      <a:off x="0" y="0"/>
                      <a:ext cx="2647315" cy="6350"/>
                    </a:xfrm>
                    <a:prstGeom prst="rect">
                      <a:avLst/>
                    </a:prstGeom>
                    <a:noFill/>
                  </pic:spPr>
                </pic:pic>
              </a:graphicData>
            </a:graphic>
          </wp:anchor>
        </w:drawing>
      </w:r>
    </w:p>
    <w:tbl>
      <w:tblPr>
        <w:tblLayout w:type="fixed"/>
        <w:tblInd w:w="900" w:type="dxa"/>
        <w:tblCellMar>
          <w:top w:w="0" w:type="dxa"/>
          <w:left w:w="0" w:type="dxa"/>
          <w:bottom w:w="0" w:type="dxa"/>
          <w:right w:w="0" w:type="dxa"/>
        </w:tblCellMar>
      </w:tblPr>
      <w:tr>
        <w:trPr>
          <w:trHeight w:val="240"/>
        </w:trPr>
        <w:tc>
          <w:tcPr>
            <w:tcW w:w="5400" w:type="dxa"/>
            <w:vAlign w:val="bottom"/>
          </w:tcPr>
          <w:p>
            <w:pPr>
              <w:spacing w:after="0"/>
              <w:rPr>
                <w:sz w:val="20"/>
                <w:szCs w:val="20"/>
                <w:color w:val="auto"/>
              </w:rPr>
            </w:pPr>
            <w:r>
              <w:rPr>
                <w:rFonts w:ascii="Arial" w:cs="Arial" w:eastAsia="Arial" w:hAnsi="Arial"/>
                <w:sz w:val="18"/>
                <w:szCs w:val="18"/>
                <w:b w:val="1"/>
                <w:bCs w:val="1"/>
                <w:color w:val="auto"/>
              </w:rPr>
              <w:t>LOSS FROM CONTINUING OPERATIONS BEFORE TAXES</w:t>
            </w:r>
          </w:p>
        </w:tc>
        <w:tc>
          <w:tcPr>
            <w:tcW w:w="1740" w:type="dxa"/>
            <w:vAlign w:val="bottom"/>
            <w:shd w:val="clear" w:color="auto" w:fill="D9D9D9"/>
          </w:tcPr>
          <w:p>
            <w:pPr>
              <w:jc w:val="right"/>
              <w:spacing w:after="0"/>
              <w:rPr>
                <w:sz w:val="20"/>
                <w:szCs w:val="20"/>
                <w:color w:val="auto"/>
              </w:rPr>
            </w:pPr>
            <w:r>
              <w:rPr>
                <w:rFonts w:ascii="Arial" w:cs="Arial" w:eastAsia="Arial" w:hAnsi="Arial"/>
                <w:sz w:val="18"/>
                <w:szCs w:val="18"/>
                <w:b w:val="1"/>
                <w:bCs w:val="1"/>
                <w:color w:val="auto"/>
              </w:rPr>
              <w:t>(76.4)</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(25.9)</w:t>
            </w:r>
          </w:p>
        </w:tc>
      </w:tr>
      <w:tr>
        <w:trPr>
          <w:trHeight w:val="36"/>
        </w:trPr>
        <w:tc>
          <w:tcPr>
            <w:tcW w:w="5400" w:type="dxa"/>
            <w:vAlign w:val="bottom"/>
          </w:tcPr>
          <w:p>
            <w:pPr>
              <w:spacing w:after="0"/>
              <w:rPr>
                <w:sz w:val="3"/>
                <w:szCs w:val="3"/>
                <w:color w:val="auto"/>
              </w:rPr>
            </w:pPr>
          </w:p>
        </w:tc>
        <w:tc>
          <w:tcPr>
            <w:tcW w:w="1740" w:type="dxa"/>
            <w:vAlign w:val="bottom"/>
            <w:shd w:val="clear" w:color="auto" w:fill="D9D9D9"/>
          </w:tcPr>
          <w:p>
            <w:pPr>
              <w:spacing w:after="0"/>
              <w:rPr>
                <w:sz w:val="3"/>
                <w:szCs w:val="3"/>
                <w:color w:val="auto"/>
              </w:rPr>
            </w:pPr>
          </w:p>
        </w:tc>
        <w:tc>
          <w:tcPr>
            <w:tcW w:w="1540" w:type="dxa"/>
            <w:vAlign w:val="bottom"/>
          </w:tcPr>
          <w:p>
            <w:pPr>
              <w:spacing w:after="0"/>
              <w:rPr>
                <w:sz w:val="3"/>
                <w:szCs w:val="3"/>
                <w:color w:val="auto"/>
              </w:rPr>
            </w:pPr>
          </w:p>
        </w:tc>
      </w:tr>
      <w:tr>
        <w:trPr>
          <w:trHeight w:val="536"/>
        </w:trPr>
        <w:tc>
          <w:tcPr>
            <w:tcW w:w="5400" w:type="dxa"/>
            <w:vAlign w:val="bottom"/>
          </w:tcPr>
          <w:p>
            <w:pPr>
              <w:spacing w:after="0"/>
              <w:rPr>
                <w:sz w:val="20"/>
                <w:szCs w:val="20"/>
                <w:color w:val="auto"/>
              </w:rPr>
            </w:pPr>
            <w:r>
              <w:rPr>
                <w:rFonts w:ascii="Arial" w:cs="Arial" w:eastAsia="Arial" w:hAnsi="Arial"/>
                <w:sz w:val="18"/>
                <w:szCs w:val="18"/>
                <w:color w:val="auto"/>
              </w:rPr>
              <w:t>Current tax expense</w:t>
            </w:r>
          </w:p>
        </w:tc>
        <w:tc>
          <w:tcPr>
            <w:tcW w:w="17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(0.0)</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
        </w:trPr>
        <w:tc>
          <w:tcPr>
            <w:tcW w:w="5400" w:type="dxa"/>
            <w:vAlign w:val="bottom"/>
          </w:tcPr>
          <w:p>
            <w:pPr>
              <w:spacing w:after="0"/>
              <w:rPr>
                <w:sz w:val="3"/>
                <w:szCs w:val="3"/>
                <w:color w:val="auto"/>
              </w:rPr>
            </w:pPr>
          </w:p>
        </w:tc>
        <w:tc>
          <w:tcPr>
            <w:tcW w:w="1740" w:type="dxa"/>
            <w:vAlign w:val="bottom"/>
            <w:shd w:val="clear" w:color="auto" w:fill="D9D9D9"/>
          </w:tcPr>
          <w:p>
            <w:pPr>
              <w:spacing w:after="0"/>
              <w:rPr>
                <w:sz w:val="3"/>
                <w:szCs w:val="3"/>
                <w:color w:val="auto"/>
              </w:rPr>
            </w:pPr>
          </w:p>
        </w:tc>
        <w:tc>
          <w:tcPr>
            <w:tcW w:w="1540" w:type="dxa"/>
            <w:vAlign w:val="bottom"/>
          </w:tcPr>
          <w:p>
            <w:pPr>
              <w:spacing w:after="0"/>
              <w:rPr>
                <w:sz w:val="3"/>
                <w:szCs w:val="3"/>
                <w:color w:val="auto"/>
              </w:rPr>
            </w:pPr>
          </w:p>
        </w:tc>
      </w:tr>
      <w:tr>
        <w:trPr>
          <w:trHeight w:val="250"/>
        </w:trPr>
        <w:tc>
          <w:tcPr>
            <w:tcW w:w="5400" w:type="dxa"/>
            <w:vAlign w:val="bottom"/>
          </w:tcPr>
          <w:p>
            <w:pPr>
              <w:spacing w:after="0"/>
              <w:rPr>
                <w:sz w:val="20"/>
                <w:szCs w:val="20"/>
                <w:color w:val="auto"/>
              </w:rPr>
            </w:pPr>
            <w:r>
              <w:rPr>
                <w:rFonts w:ascii="Arial" w:cs="Arial" w:eastAsia="Arial" w:hAnsi="Arial"/>
                <w:sz w:val="18"/>
                <w:szCs w:val="18"/>
                <w:color w:val="auto"/>
              </w:rPr>
              <w:t>Deferred tax (expense)/recovery</w:t>
            </w:r>
          </w:p>
        </w:tc>
        <w:tc>
          <w:tcPr>
            <w:tcW w:w="17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(0.4)</w:t>
            </w:r>
          </w:p>
        </w:tc>
        <w:tc>
          <w:tcPr>
            <w:tcW w:w="15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6"/>
        </w:trPr>
        <w:tc>
          <w:tcPr>
            <w:tcW w:w="5400" w:type="dxa"/>
            <w:vAlign w:val="bottom"/>
          </w:tcPr>
          <w:p>
            <w:pPr>
              <w:spacing w:after="0"/>
              <w:rPr>
                <w:sz w:val="3"/>
                <w:szCs w:val="3"/>
                <w:color w:val="auto"/>
              </w:rPr>
            </w:pPr>
          </w:p>
        </w:tc>
        <w:tc>
          <w:tcPr>
            <w:tcW w:w="1740" w:type="dxa"/>
            <w:vAlign w:val="bottom"/>
            <w:shd w:val="clear" w:color="auto" w:fill="D9D9D9"/>
          </w:tcPr>
          <w:p>
            <w:pPr>
              <w:spacing w:after="0"/>
              <w:rPr>
                <w:sz w:val="3"/>
                <w:szCs w:val="3"/>
                <w:color w:val="auto"/>
              </w:rPr>
            </w:pPr>
          </w:p>
        </w:tc>
        <w:tc>
          <w:tcPr>
            <w:tcW w:w="1540" w:type="dxa"/>
            <w:vAlign w:val="bottom"/>
          </w:tcPr>
          <w:p>
            <w:pPr>
              <w:spacing w:after="0"/>
              <w:rPr>
                <w:sz w:val="3"/>
                <w:szCs w:val="3"/>
                <w:color w:val="auto"/>
              </w:rPr>
            </w:pPr>
          </w:p>
        </w:tc>
      </w:tr>
      <w:tr>
        <w:trPr>
          <w:trHeight w:val="296"/>
        </w:trPr>
        <w:tc>
          <w:tcPr>
            <w:tcW w:w="5400" w:type="dxa"/>
            <w:vAlign w:val="bottom"/>
          </w:tcPr>
          <w:p>
            <w:pPr>
              <w:spacing w:after="0"/>
              <w:rPr>
                <w:sz w:val="24"/>
                <w:szCs w:val="24"/>
                <w:color w:val="auto"/>
              </w:rPr>
            </w:pPr>
          </w:p>
        </w:tc>
        <w:tc>
          <w:tcPr>
            <w:tcW w:w="1740" w:type="dxa"/>
            <w:vAlign w:val="bottom"/>
            <w:shd w:val="clear" w:color="auto" w:fill="D9D9D9"/>
          </w:tcPr>
          <w:p>
            <w:pPr>
              <w:spacing w:after="0"/>
              <w:rPr>
                <w:sz w:val="24"/>
                <w:szCs w:val="24"/>
                <w:color w:val="auto"/>
              </w:rPr>
            </w:pPr>
          </w:p>
        </w:tc>
        <w:tc>
          <w:tcPr>
            <w:tcW w:w="1540" w:type="dxa"/>
            <w:vAlign w:val="bottom"/>
          </w:tcPr>
          <w:p>
            <w:pPr>
              <w:spacing w:after="0"/>
              <w:rPr>
                <w:sz w:val="24"/>
                <w:szCs w:val="24"/>
                <w:color w:val="auto"/>
              </w:rPr>
            </w:pPr>
          </w:p>
        </w:tc>
      </w:tr>
      <w:tr>
        <w:trPr>
          <w:trHeight w:val="250"/>
        </w:trPr>
        <w:tc>
          <w:tcPr>
            <w:tcW w:w="54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740" w:type="dxa"/>
            <w:vAlign w:val="bottom"/>
            <w:shd w:val="clear" w:color="auto" w:fill="D9D9D9"/>
          </w:tcPr>
          <w:p>
            <w:pPr>
              <w:jc w:val="right"/>
              <w:spacing w:after="0"/>
              <w:rPr>
                <w:sz w:val="20"/>
                <w:szCs w:val="20"/>
                <w:color w:val="auto"/>
              </w:rPr>
            </w:pPr>
            <w:r>
              <w:rPr>
                <w:rFonts w:ascii="Arial" w:cs="Arial" w:eastAsia="Arial" w:hAnsi="Arial"/>
                <w:sz w:val="18"/>
                <w:szCs w:val="18"/>
                <w:b w:val="1"/>
                <w:bCs w:val="1"/>
                <w:color w:val="auto"/>
              </w:rPr>
              <w:t>(76.8)</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(15.2)</w:t>
            </w:r>
          </w:p>
        </w:tc>
      </w:tr>
      <w:tr>
        <w:trPr>
          <w:trHeight w:val="46"/>
        </w:trPr>
        <w:tc>
          <w:tcPr>
            <w:tcW w:w="5400" w:type="dxa"/>
            <w:vAlign w:val="bottom"/>
          </w:tcPr>
          <w:p>
            <w:pPr>
              <w:spacing w:after="0"/>
              <w:rPr>
                <w:sz w:val="4"/>
                <w:szCs w:val="4"/>
                <w:color w:val="auto"/>
              </w:rPr>
            </w:pPr>
          </w:p>
        </w:tc>
        <w:tc>
          <w:tcPr>
            <w:tcW w:w="1740" w:type="dxa"/>
            <w:vAlign w:val="bottom"/>
            <w:shd w:val="clear" w:color="auto" w:fill="D9D9D9"/>
          </w:tcPr>
          <w:p>
            <w:pPr>
              <w:spacing w:after="0"/>
              <w:rPr>
                <w:sz w:val="4"/>
                <w:szCs w:val="4"/>
                <w:color w:val="auto"/>
              </w:rPr>
            </w:pPr>
          </w:p>
        </w:tc>
        <w:tc>
          <w:tcPr>
            <w:tcW w:w="154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3998595</wp:posOffset>
            </wp:positionH>
            <wp:positionV relativeFrom="paragraph">
              <wp:posOffset>-926465</wp:posOffset>
            </wp:positionV>
            <wp:extent cx="2647315" cy="635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9">
                      <a:extLst>
                        <a:ext uri="{28A0092B-C50C-407E-A947-70E740481C1C}"/>
                      </a:extLst>
                    </a:blip>
                    <a:srcRect/>
                    <a:stretch>
                      <a:fillRect/>
                    </a:stretch>
                  </pic:blipFill>
                  <pic:spPr bwMode="auto">
                    <a:xfrm>
                      <a:off x="0" y="0"/>
                      <a:ext cx="2647315"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-193675</wp:posOffset>
            </wp:positionV>
            <wp:extent cx="6078220" cy="635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90">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-5715</wp:posOffset>
            </wp:positionV>
            <wp:extent cx="6078220" cy="635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91">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20 / 30</w:t>
      </w:r>
    </w:p>
    <w:p>
      <w:pPr>
        <w:sectPr>
          <w:pgSz w:w="11900" w:h="16838" w:orient="portrait"/>
          <w:cols w:equalWidth="0" w:num="1">
            <w:col w:w="10460"/>
          </w:cols>
          <w:pgMar w:left="1440" w:top="1440" w:right="6" w:bottom="0" w:gutter="0" w:footer="0" w:header="0"/>
          <w:type w:val="continuous"/>
        </w:sectPr>
      </w:pPr>
    </w:p>
    <w:bookmarkStart w:id="517" w:name="page518"/>
    <w:bookmarkEnd w:id="517"/>
    <w:p>
      <w:pPr>
        <w:ind w:left="900" w:right="20"/>
        <w:spacing w:after="0" w:line="307" w:lineRule="auto"/>
        <w:rPr>
          <w:sz w:val="20"/>
          <w:szCs w:val="20"/>
          <w:color w:val="auto"/>
        </w:rPr>
      </w:pPr>
      <w:r>
        <w:rPr>
          <w:rFonts w:ascii="Arial" w:cs="Arial" w:eastAsia="Arial" w:hAnsi="Arial"/>
          <w:sz w:val="20"/>
          <w:szCs w:val="20"/>
          <w:color w:val="auto"/>
        </w:rPr>
        <w:t>The Company reported a net loss of $76.8 million for the year ended December 31, 2025, compared to a ne of $15.2 million for the year ended December 31, 2024. The higher loss was primarily driven by:</w:t>
      </w:r>
    </w:p>
    <w:p>
      <w:pPr>
        <w:spacing w:after="0" w:line="179" w:lineRule="exact"/>
        <w:rPr>
          <w:sz w:val="20"/>
          <w:szCs w:val="20"/>
          <w:color w:val="auto"/>
        </w:rPr>
      </w:pPr>
    </w:p>
    <w:p>
      <w:pPr>
        <w:jc w:val="both"/>
        <w:ind w:left="1880" w:hanging="497"/>
        <w:spacing w:after="0" w:line="373" w:lineRule="auto"/>
        <w:tabs>
          <w:tab w:leader="none" w:pos="188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a higher share of loss from Cauchari-Olaroz of $39.8 million in 2025 (2024 – $28.2 million). current period share of loss comprises $13.7 million of current year losses and $26.1 millio previously unrecognized losses from 2024, which were recognized following the capitalization of l as part of the investment in Exar;</w:t>
      </w:r>
    </w:p>
    <w:p>
      <w:pPr>
        <w:spacing w:after="0" w:line="130" w:lineRule="exact"/>
        <w:rPr>
          <w:rFonts w:ascii="Arial" w:cs="Arial" w:eastAsia="Arial" w:hAnsi="Arial"/>
          <w:sz w:val="20"/>
          <w:szCs w:val="20"/>
          <w:color w:val="auto"/>
        </w:rPr>
      </w:pPr>
    </w:p>
    <w:p>
      <w:pPr>
        <w:jc w:val="both"/>
        <w:ind w:left="1880" w:hanging="497"/>
        <w:spacing w:after="0" w:line="372" w:lineRule="auto"/>
        <w:tabs>
          <w:tab w:leader="none" w:pos="188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a loss on financial instruments of $2.4 million in 2025, compared to a gain of $12.5 million in 2 represents the loss arising from the change in fair value of the derivative liability related to Convertible Notes, primarily due to the increase in the Company’s share price;</w:t>
      </w:r>
    </w:p>
    <w:p>
      <w:pPr>
        <w:spacing w:after="0" w:line="130" w:lineRule="exact"/>
        <w:rPr>
          <w:rFonts w:ascii="Arial" w:cs="Arial" w:eastAsia="Arial" w:hAnsi="Arial"/>
          <w:sz w:val="20"/>
          <w:szCs w:val="20"/>
          <w:color w:val="auto"/>
        </w:rPr>
      </w:pPr>
    </w:p>
    <w:p>
      <w:pPr>
        <w:ind w:left="1880" w:hanging="497"/>
        <w:spacing w:after="0" w:line="368" w:lineRule="auto"/>
        <w:tabs>
          <w:tab w:leader="none" w:pos="188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a deferred tax expense of $0.4 million in 2025 compared to a deferred tax recovery of $10.7 milli 2024;</w:t>
      </w:r>
    </w:p>
    <w:p>
      <w:pPr>
        <w:spacing w:after="0" w:line="130"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9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21 / 30</w:t>
      </w:r>
    </w:p>
    <w:p>
      <w:pPr>
        <w:sectPr>
          <w:pgSz w:w="11900" w:h="16838" w:orient="portrait"/>
          <w:cols w:equalWidth="0" w:num="1">
            <w:col w:w="10460"/>
          </w:cols>
          <w:pgMar w:left="1440" w:top="1172" w:right="6" w:bottom="0" w:gutter="0" w:footer="0" w:header="0"/>
          <w:type w:val="continuous"/>
        </w:sectPr>
      </w:pPr>
    </w:p>
    <w:bookmarkStart w:id="518" w:name="page519"/>
    <w:bookmarkEnd w:id="5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93">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80" w:hanging="497"/>
        <w:spacing w:after="0" w:line="368" w:lineRule="auto"/>
        <w:tabs>
          <w:tab w:leader="none" w:pos="188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higher non-cash share based compensation expense of $15.0 million (2024 – $7.2 million), refle the timing and fair value of equity awards granted;</w:t>
      </w:r>
    </w:p>
    <w:p>
      <w:pPr>
        <w:spacing w:after="0" w:line="214" w:lineRule="exact"/>
        <w:rPr>
          <w:rFonts w:ascii="Arial" w:cs="Arial" w:eastAsia="Arial" w:hAnsi="Arial"/>
          <w:sz w:val="20"/>
          <w:szCs w:val="20"/>
          <w:color w:val="auto"/>
        </w:rPr>
      </w:pPr>
    </w:p>
    <w:p>
      <w:pPr>
        <w:jc w:val="both"/>
        <w:ind w:left="1880" w:hanging="497"/>
        <w:spacing w:after="0" w:line="374" w:lineRule="auto"/>
        <w:tabs>
          <w:tab w:leader="none" w:pos="188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a loss from the JEMSE receivable of $9.3 million (2024 - $nil). This comprised $3.4 million relat the previous JEMSE receivable, reflecting an adjustment to its carrying value based on revised flow estimates prior to the 2025 debt restructuring, and $5.9 million related to an additional JE receivable recognized as part of the 2025 debt restructuring. The additional receivable was record a fair value of $2.8 million, and the Company reduced its investment by $8.7 million, resulting i $5.9 million loss; and</w:t>
      </w:r>
    </w:p>
    <w:p>
      <w:pPr>
        <w:spacing w:after="0" w:line="122" w:lineRule="exact"/>
        <w:rPr>
          <w:rFonts w:ascii="Arial" w:cs="Arial" w:eastAsia="Arial" w:hAnsi="Arial"/>
          <w:sz w:val="20"/>
          <w:szCs w:val="20"/>
          <w:color w:val="auto"/>
        </w:rPr>
      </w:pPr>
    </w:p>
    <w:p>
      <w:pPr>
        <w:ind w:left="1880" w:hanging="497"/>
        <w:spacing w:after="0"/>
        <w:tabs>
          <w:tab w:leader="none" w:pos="188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a foreign exchange loss of $0.7 million (2024 – gain of $2.2 million).</w:t>
      </w:r>
    </w:p>
    <w:p>
      <w:pPr>
        <w:spacing w:after="0" w:line="388"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These were partially offset by:</w:t>
      </w:r>
    </w:p>
    <w:p>
      <w:pPr>
        <w:spacing w:after="0" w:line="243" w:lineRule="exact"/>
        <w:rPr>
          <w:sz w:val="20"/>
          <w:szCs w:val="20"/>
          <w:color w:val="auto"/>
        </w:rPr>
      </w:pPr>
    </w:p>
    <w:p>
      <w:pPr>
        <w:ind w:left="1880" w:hanging="497"/>
        <w:spacing w:after="0" w:line="368" w:lineRule="auto"/>
        <w:tabs>
          <w:tab w:leader="none" w:pos="188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lower transaction costs of $4.0 million in 2025, representing expenditures related to the Continu and New JV transactions (2024 - $6.8 million); and</w:t>
      </w:r>
    </w:p>
    <w:p>
      <w:pPr>
        <w:spacing w:after="0" w:line="134" w:lineRule="exact"/>
        <w:rPr>
          <w:rFonts w:ascii="Arial" w:cs="Arial" w:eastAsia="Arial" w:hAnsi="Arial"/>
          <w:sz w:val="20"/>
          <w:szCs w:val="20"/>
          <w:color w:val="auto"/>
        </w:rPr>
      </w:pPr>
    </w:p>
    <w:p>
      <w:pPr>
        <w:ind w:left="1880" w:hanging="497"/>
        <w:spacing w:after="0" w:line="368" w:lineRule="auto"/>
        <w:tabs>
          <w:tab w:leader="none" w:pos="188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reduced exploration and evaluation expenditures of $6.7 million (2024 – $10.1 million), refle reduced project activity and Company-wide cost control initiatives.</w:t>
      </w:r>
    </w:p>
    <w:p>
      <w:pPr>
        <w:spacing w:after="0" w:line="266"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Purchases and sales of lithium carbonate</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During the year ended December 31, 2025, the Company was entitled to purchase its 49% share of Exar’s li carbonate production shipped during the period and, pursuant to its offtake agreements, sell that volum Ganfeng and BCP Innovation PTE. LTD (“</w:t>
      </w:r>
      <w:r>
        <w:rPr>
          <w:rFonts w:ascii="Arial" w:cs="Arial" w:eastAsia="Arial" w:hAnsi="Arial"/>
          <w:sz w:val="20"/>
          <w:szCs w:val="20"/>
          <w:b w:val="1"/>
          <w:bCs w:val="1"/>
          <w:color w:val="auto"/>
        </w:rPr>
        <w:t>Bangchak</w:t>
      </w:r>
      <w:r>
        <w:rPr>
          <w:rFonts w:ascii="Arial" w:cs="Arial" w:eastAsia="Arial" w:hAnsi="Arial"/>
          <w:sz w:val="20"/>
          <w:szCs w:val="20"/>
          <w:color w:val="auto"/>
        </w:rPr>
        <w:t>”), a wholly-owned subsidiary of Bangchak Corpor Public Company Ltd.</w:t>
      </w:r>
    </w:p>
    <w:p>
      <w:pPr>
        <w:spacing w:after="0" w:line="2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Based on its principal versus agent assessment, the Company concluded that it acted as an agent in t transactions, as control of the lithium carbonate did not transfer to the Company prior to transfer to the customers and the Company was not exposed to inventory or price risk. Accordingly, the Company did recognize revenue or cost of sales in respect of these transactions.</w:t>
      </w:r>
    </w:p>
    <w:p>
      <w:pPr>
        <w:spacing w:after="0" w:line="2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As at December 31, 2025, the Company had a payable of $25.5 million to Exar for lithium carbonate purch and receivables totaling $23.2 million from Ganfeng for lithium carbonate sales, as disclosed on the stateme financial position. The net payable balance reflects timing differences in payments at year end.</w:t>
      </w:r>
    </w:p>
    <w:p>
      <w:pPr>
        <w:spacing w:after="0" w:line="306"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Expenses</w:t>
      </w:r>
    </w:p>
    <w:p>
      <w:pPr>
        <w:spacing w:after="0" w:line="243" w:lineRule="exact"/>
        <w:rPr>
          <w:sz w:val="20"/>
          <w:szCs w:val="20"/>
          <w:color w:val="auto"/>
        </w:rPr>
      </w:pPr>
    </w:p>
    <w:p>
      <w:pPr>
        <w:ind w:left="1880" w:hanging="497"/>
        <w:spacing w:after="0" w:line="368" w:lineRule="auto"/>
        <w:tabs>
          <w:tab w:leader="none" w:pos="188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Exploration and evaluation expenditures: $6.7 million (2024 – $10.1 million), primarily related to P Grandes, reflecting lower activity and cost reduction efforts.</w:t>
      </w:r>
    </w:p>
    <w:p>
      <w:pPr>
        <w:spacing w:after="0" w:line="134" w:lineRule="exact"/>
        <w:rPr>
          <w:rFonts w:ascii="Arial" w:cs="Arial" w:eastAsia="Arial" w:hAnsi="Arial"/>
          <w:sz w:val="20"/>
          <w:szCs w:val="20"/>
          <w:color w:val="auto"/>
        </w:rPr>
      </w:pPr>
    </w:p>
    <w:p>
      <w:pPr>
        <w:jc w:val="both"/>
        <w:ind w:left="1880" w:hanging="497"/>
        <w:spacing w:after="0" w:line="372" w:lineRule="auto"/>
        <w:tabs>
          <w:tab w:leader="none" w:pos="188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Share based compensation: $15.0 million (2024 – $7.2 million), a non-cash expense relate restricted share units (“</w:t>
      </w:r>
      <w:r>
        <w:rPr>
          <w:rFonts w:ascii="Arial" w:cs="Arial" w:eastAsia="Arial" w:hAnsi="Arial"/>
          <w:sz w:val="20"/>
          <w:szCs w:val="20"/>
          <w:b w:val="1"/>
          <w:bCs w:val="1"/>
          <w:color w:val="auto"/>
        </w:rPr>
        <w:t>RSUs</w:t>
      </w:r>
      <w:r>
        <w:rPr>
          <w:rFonts w:ascii="Arial" w:cs="Arial" w:eastAsia="Arial" w:hAnsi="Arial"/>
          <w:sz w:val="20"/>
          <w:szCs w:val="20"/>
          <w:color w:val="auto"/>
        </w:rPr>
        <w:t>”), performance share units (“</w:t>
      </w:r>
      <w:r>
        <w:rPr>
          <w:rFonts w:ascii="Arial" w:cs="Arial" w:eastAsia="Arial" w:hAnsi="Arial"/>
          <w:sz w:val="20"/>
          <w:szCs w:val="20"/>
          <w:b w:val="1"/>
          <w:bCs w:val="1"/>
          <w:color w:val="auto"/>
        </w:rPr>
        <w:t>PSUs</w:t>
      </w:r>
      <w:r>
        <w:rPr>
          <w:rFonts w:ascii="Arial" w:cs="Arial" w:eastAsia="Arial" w:hAnsi="Arial"/>
          <w:sz w:val="20"/>
          <w:szCs w:val="20"/>
          <w:color w:val="auto"/>
        </w:rPr>
        <w:t>”), and stock options. The incr reflects the higher number and fair value of awards granted during the year.</w:t>
      </w:r>
    </w:p>
    <w:p>
      <w:pPr>
        <w:sectPr>
          <w:pgSz w:w="11900" w:h="16838" w:orient="portrait"/>
          <w:cols w:equalWidth="0" w:num="1">
            <w:col w:w="10460"/>
          </w:cols>
          <w:pgMar w:left="1440" w:top="1440" w:right="6" w:bottom="0" w:gutter="0" w:footer="0" w:header="0"/>
        </w:sectPr>
      </w:pPr>
    </w:p>
    <w:p>
      <w:pPr>
        <w:spacing w:after="0" w:line="38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22 / 30</w:t>
      </w:r>
    </w:p>
    <w:p>
      <w:pPr>
        <w:sectPr>
          <w:pgSz w:w="11900" w:h="16838" w:orient="portrait"/>
          <w:cols w:equalWidth="0" w:num="1">
            <w:col w:w="10460"/>
          </w:cols>
          <w:pgMar w:left="1440" w:top="1440" w:right="6" w:bottom="0" w:gutter="0" w:footer="0" w:header="0"/>
          <w:type w:val="continuous"/>
        </w:sectPr>
      </w:pPr>
    </w:p>
    <w:bookmarkStart w:id="519" w:name="page520"/>
    <w:bookmarkEnd w:id="519"/>
    <w:p>
      <w:pPr>
        <w:ind w:left="2360" w:hanging="487"/>
        <w:spacing w:after="0"/>
        <w:tabs>
          <w:tab w:leader="none" w:pos="236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General and administrative expenses: $15.7 million (2024 – $14.7 million), including:</w:t>
      </w:r>
    </w:p>
    <w:p>
      <w:pPr>
        <w:spacing w:after="0" w:line="250" w:lineRule="exact"/>
        <w:rPr>
          <w:rFonts w:ascii="Arial" w:cs="Arial" w:eastAsia="Arial" w:hAnsi="Arial"/>
          <w:sz w:val="20"/>
          <w:szCs w:val="20"/>
          <w:color w:val="auto"/>
        </w:rPr>
      </w:pPr>
    </w:p>
    <w:p>
      <w:pPr>
        <w:ind w:left="2360" w:hanging="487"/>
        <w:spacing w:after="0"/>
        <w:tabs>
          <w:tab w:leader="none" w:pos="236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Salaries and benefits: $8.5 million (2024 – $6.0 million).</w:t>
      </w:r>
    </w:p>
    <w:p>
      <w:pPr>
        <w:spacing w:after="0" w:line="250" w:lineRule="exact"/>
        <w:rPr>
          <w:rFonts w:ascii="Arial" w:cs="Arial" w:eastAsia="Arial" w:hAnsi="Arial"/>
          <w:sz w:val="20"/>
          <w:szCs w:val="20"/>
          <w:color w:val="auto"/>
        </w:rPr>
      </w:pPr>
    </w:p>
    <w:p>
      <w:pPr>
        <w:ind w:left="2360" w:hanging="487"/>
        <w:spacing w:after="0"/>
        <w:tabs>
          <w:tab w:leader="none" w:pos="236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Professional fees: $3.3 million (2024 – $3.6 million).</w:t>
      </w:r>
    </w:p>
    <w:p>
      <w:pPr>
        <w:spacing w:after="0" w:line="250" w:lineRule="exact"/>
        <w:rPr>
          <w:rFonts w:ascii="Arial" w:cs="Arial" w:eastAsia="Arial" w:hAnsi="Arial"/>
          <w:sz w:val="20"/>
          <w:szCs w:val="20"/>
          <w:color w:val="auto"/>
        </w:rPr>
      </w:pPr>
    </w:p>
    <w:p>
      <w:pPr>
        <w:ind w:left="2360" w:hanging="487"/>
        <w:spacing w:after="0"/>
        <w:tabs>
          <w:tab w:leader="none" w:pos="236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Office and administrative expenses: $2.3 million (2024 – $2.8 million).</w:t>
      </w:r>
    </w:p>
    <w:p>
      <w:pPr>
        <w:spacing w:after="0" w:line="200" w:lineRule="exact"/>
        <w:rPr>
          <w:sz w:val="20"/>
          <w:szCs w:val="20"/>
          <w:color w:val="auto"/>
        </w:rPr>
      </w:pPr>
    </w:p>
    <w:p>
      <w:pPr>
        <w:spacing w:after="0" w:line="35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9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840"/>
          </w:cols>
          <w:pgMar w:left="1440" w:top="1328" w:right="6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23 / 30</w:t>
      </w:r>
    </w:p>
    <w:p>
      <w:pPr>
        <w:sectPr>
          <w:pgSz w:w="11900" w:h="16838" w:orient="portrait"/>
          <w:cols w:equalWidth="0" w:num="1">
            <w:col w:w="9840"/>
          </w:cols>
          <w:pgMar w:left="1440" w:top="1328" w:right="626" w:bottom="0" w:gutter="0" w:footer="0" w:header="0"/>
          <w:type w:val="continuous"/>
        </w:sectPr>
      </w:pPr>
    </w:p>
    <w:bookmarkStart w:id="520" w:name="page521"/>
    <w:bookmarkEnd w:id="5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95">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Other Items</w:t>
      </w:r>
    </w:p>
    <w:p>
      <w:pPr>
        <w:spacing w:after="0" w:line="243" w:lineRule="exact"/>
        <w:rPr>
          <w:sz w:val="20"/>
          <w:szCs w:val="20"/>
          <w:color w:val="auto"/>
        </w:rPr>
      </w:pPr>
    </w:p>
    <w:p>
      <w:pPr>
        <w:jc w:val="both"/>
        <w:ind w:left="1260" w:hanging="366"/>
        <w:spacing w:after="0" w:line="374" w:lineRule="auto"/>
        <w:tabs>
          <w:tab w:leader="none" w:pos="126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Loss on financial instruments: $2.4 million (2024 – gain of $12.5 million), arising from the fair v remeasurement of the Convertible Notes derivative liability. The fair value of the derivative as at Dece 31, 2025, was estimated using a partial differential equation method with Monte Carlo simulation, wit following inputs: volatility of 75.0%, share price of $5.58, a risk-free rate of 3.48%, an expected divide 0%, and a credit spread of 7.25%. The loss primarily reflects an increase in the Company’s share price $2.62 as at December 31, 2024, to $5.58 as at December 31, 2025 and an increase in the volatility 61.15% as at December 31, 2024 to 75.0% as at December 31, 2025.</w:t>
      </w:r>
    </w:p>
    <w:p>
      <w:pPr>
        <w:spacing w:after="0" w:line="124" w:lineRule="exact"/>
        <w:rPr>
          <w:rFonts w:ascii="Arial" w:cs="Arial" w:eastAsia="Arial" w:hAnsi="Arial"/>
          <w:sz w:val="20"/>
          <w:szCs w:val="20"/>
          <w:color w:val="auto"/>
        </w:rPr>
      </w:pPr>
    </w:p>
    <w:p>
      <w:pPr>
        <w:ind w:left="1260" w:hanging="366"/>
        <w:spacing w:after="0"/>
        <w:tabs>
          <w:tab w:leader="none" w:pos="126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Finance and other income: $49.4 million (2024 – $51.8 million), including:</w:t>
      </w:r>
    </w:p>
    <w:p>
      <w:pPr>
        <w:spacing w:after="0" w:line="250" w:lineRule="exact"/>
        <w:rPr>
          <w:sz w:val="20"/>
          <w:szCs w:val="20"/>
          <w:color w:val="auto"/>
        </w:rPr>
      </w:pPr>
    </w:p>
    <w:p>
      <w:pPr>
        <w:ind w:left="2360" w:hanging="487"/>
        <w:spacing w:after="0"/>
        <w:tabs>
          <w:tab w:leader="none" w:pos="2360" w:val="left"/>
        </w:tabs>
        <w:numPr>
          <w:ilvl w:val="1"/>
          <w:numId w:val="262"/>
        </w:numPr>
        <w:rPr>
          <w:rFonts w:ascii="Arial" w:cs="Arial" w:eastAsia="Arial" w:hAnsi="Arial"/>
          <w:sz w:val="20"/>
          <w:szCs w:val="20"/>
          <w:color w:val="auto"/>
        </w:rPr>
      </w:pPr>
      <w:r>
        <w:rPr>
          <w:rFonts w:ascii="Arial" w:cs="Arial" w:eastAsia="Arial" w:hAnsi="Arial"/>
          <w:sz w:val="20"/>
          <w:szCs w:val="20"/>
          <w:color w:val="auto"/>
        </w:rPr>
        <w:t>Interest from Exar Capital: $39.9 million.</w:t>
      </w:r>
    </w:p>
    <w:p>
      <w:pPr>
        <w:spacing w:after="0" w:line="250" w:lineRule="exact"/>
        <w:rPr>
          <w:rFonts w:ascii="Arial" w:cs="Arial" w:eastAsia="Arial" w:hAnsi="Arial"/>
          <w:sz w:val="20"/>
          <w:szCs w:val="20"/>
          <w:color w:val="auto"/>
        </w:rPr>
      </w:pPr>
    </w:p>
    <w:p>
      <w:pPr>
        <w:ind w:left="2360" w:hanging="487"/>
        <w:spacing w:after="0"/>
        <w:tabs>
          <w:tab w:leader="none" w:pos="2360" w:val="left"/>
        </w:tabs>
        <w:numPr>
          <w:ilvl w:val="1"/>
          <w:numId w:val="262"/>
        </w:numPr>
        <w:rPr>
          <w:rFonts w:ascii="Arial" w:cs="Arial" w:eastAsia="Arial" w:hAnsi="Arial"/>
          <w:sz w:val="20"/>
          <w:szCs w:val="20"/>
          <w:color w:val="auto"/>
        </w:rPr>
      </w:pPr>
      <w:r>
        <w:rPr>
          <w:rFonts w:ascii="Arial" w:cs="Arial" w:eastAsia="Arial" w:hAnsi="Arial"/>
          <w:sz w:val="20"/>
          <w:szCs w:val="20"/>
          <w:color w:val="auto"/>
        </w:rPr>
        <w:t>Interest from PGCo loans to Exar: $5.9 million.</w:t>
      </w:r>
    </w:p>
    <w:p>
      <w:pPr>
        <w:spacing w:after="0" w:line="257" w:lineRule="exact"/>
        <w:rPr>
          <w:rFonts w:ascii="Arial" w:cs="Arial" w:eastAsia="Arial" w:hAnsi="Arial"/>
          <w:sz w:val="20"/>
          <w:szCs w:val="20"/>
          <w:color w:val="auto"/>
        </w:rPr>
      </w:pPr>
    </w:p>
    <w:p>
      <w:pPr>
        <w:ind w:left="2360" w:right="40" w:hanging="487"/>
        <w:spacing w:after="0" w:line="368" w:lineRule="auto"/>
        <w:tabs>
          <w:tab w:leader="none" w:pos="2360" w:val="left"/>
        </w:tabs>
        <w:numPr>
          <w:ilvl w:val="1"/>
          <w:numId w:val="262"/>
        </w:numPr>
        <w:rPr>
          <w:rFonts w:ascii="Arial" w:cs="Arial" w:eastAsia="Arial" w:hAnsi="Arial"/>
          <w:sz w:val="20"/>
          <w:szCs w:val="20"/>
          <w:color w:val="auto"/>
        </w:rPr>
      </w:pPr>
      <w:r>
        <w:rPr>
          <w:rFonts w:ascii="Arial" w:cs="Arial" w:eastAsia="Arial" w:hAnsi="Arial"/>
          <w:sz w:val="20"/>
          <w:szCs w:val="20"/>
          <w:color w:val="auto"/>
        </w:rPr>
        <w:t>Interest on cash and deposits: $2.8 million (2024 – $4.2 million), with the decrease primaril to lower cash balances and interest rates during the period.</w:t>
      </w:r>
    </w:p>
    <w:p>
      <w:pPr>
        <w:spacing w:after="0" w:line="134" w:lineRule="exact"/>
        <w:rPr>
          <w:rFonts w:ascii="Arial" w:cs="Arial" w:eastAsia="Arial" w:hAnsi="Arial"/>
          <w:sz w:val="20"/>
          <w:szCs w:val="20"/>
          <w:color w:val="auto"/>
        </w:rPr>
      </w:pPr>
    </w:p>
    <w:p>
      <w:pPr>
        <w:ind w:left="1260" w:hanging="366"/>
        <w:spacing w:after="0" w:line="368" w:lineRule="auto"/>
        <w:tabs>
          <w:tab w:leader="none" w:pos="1260" w:val="left"/>
        </w:tabs>
        <w:numPr>
          <w:ilvl w:val="0"/>
          <w:numId w:val="262"/>
        </w:numPr>
        <w:rPr>
          <w:rFonts w:ascii="Arial" w:cs="Arial" w:eastAsia="Arial" w:hAnsi="Arial"/>
          <w:sz w:val="20"/>
          <w:szCs w:val="20"/>
          <w:color w:val="auto"/>
        </w:rPr>
      </w:pPr>
      <w:r>
        <w:rPr>
          <w:rFonts w:ascii="Arial" w:cs="Arial" w:eastAsia="Arial" w:hAnsi="Arial"/>
          <w:sz w:val="20"/>
          <w:szCs w:val="20"/>
          <w:color w:val="auto"/>
        </w:rPr>
        <w:t>Finance and other costs: $31.9 million (2024 – $25.2 million), primarily representing interest on Conve Notes.</w:t>
      </w:r>
    </w:p>
    <w:p>
      <w:pPr>
        <w:spacing w:after="0" w:line="134" w:lineRule="exact"/>
        <w:rPr>
          <w:rFonts w:ascii="Arial" w:cs="Arial" w:eastAsia="Arial" w:hAnsi="Arial"/>
          <w:sz w:val="20"/>
          <w:szCs w:val="20"/>
          <w:color w:val="auto"/>
        </w:rPr>
      </w:pPr>
    </w:p>
    <w:p>
      <w:pPr>
        <w:ind w:left="1260" w:hanging="366"/>
        <w:spacing w:after="0" w:line="368" w:lineRule="auto"/>
        <w:tabs>
          <w:tab w:leader="none" w:pos="1260" w:val="left"/>
        </w:tabs>
        <w:numPr>
          <w:ilvl w:val="0"/>
          <w:numId w:val="262"/>
        </w:numPr>
        <w:rPr>
          <w:rFonts w:ascii="Arial" w:cs="Arial" w:eastAsia="Arial" w:hAnsi="Arial"/>
          <w:sz w:val="20"/>
          <w:szCs w:val="20"/>
          <w:color w:val="auto"/>
        </w:rPr>
      </w:pPr>
      <w:r>
        <w:rPr>
          <w:rFonts w:ascii="Arial" w:cs="Arial" w:eastAsia="Arial" w:hAnsi="Arial"/>
          <w:sz w:val="20"/>
          <w:szCs w:val="20"/>
          <w:color w:val="auto"/>
        </w:rPr>
        <w:t>Transaction costs: $4.0 million (2024 – $6.8 million), mainly related to the Continuation, and New transactions.</w:t>
      </w:r>
    </w:p>
    <w:p>
      <w:pPr>
        <w:spacing w:after="0" w:line="200" w:lineRule="exact"/>
        <w:rPr>
          <w:sz w:val="20"/>
          <w:szCs w:val="20"/>
          <w:color w:val="auto"/>
        </w:rPr>
      </w:pPr>
    </w:p>
    <w:p>
      <w:pPr>
        <w:spacing w:after="0" w:line="264"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u w:val="single" w:color="auto"/>
          <w:color w:val="auto"/>
        </w:rPr>
        <w:t>Year Ended December 31, 2024 ("YE 2024"), versus Year Ended December 31, 2023 ("YE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236220</wp:posOffset>
            </wp:positionV>
            <wp:extent cx="6078220" cy="2857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96">
                      <a:extLst>
                        <a:ext uri="{28A0092B-C50C-407E-A947-70E740481C1C}"/>
                      </a:extLst>
                    </a:blip>
                    <a:srcRect/>
                    <a:stretch>
                      <a:fillRect/>
                    </a:stretch>
                  </pic:blipFill>
                  <pic:spPr bwMode="auto">
                    <a:xfrm>
                      <a:off x="0" y="0"/>
                      <a:ext cx="6078220" cy="2857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900" w:type="dxa"/>
        <w:tblCellMar>
          <w:top w:w="0" w:type="dxa"/>
          <w:left w:w="0" w:type="dxa"/>
          <w:bottom w:w="0" w:type="dxa"/>
          <w:right w:w="0" w:type="dxa"/>
        </w:tblCellMar>
      </w:tblPr>
      <w:tr>
        <w:trPr>
          <w:trHeight w:val="217"/>
        </w:trPr>
        <w:tc>
          <w:tcPr>
            <w:tcW w:w="5400" w:type="dxa"/>
            <w:vAlign w:val="bottom"/>
          </w:tcPr>
          <w:p>
            <w:pPr>
              <w:spacing w:after="0"/>
              <w:rPr>
                <w:sz w:val="20"/>
                <w:szCs w:val="20"/>
                <w:color w:val="auto"/>
              </w:rPr>
            </w:pPr>
            <w:r>
              <w:rPr>
                <w:rFonts w:ascii="Arial" w:cs="Arial" w:eastAsia="Arial" w:hAnsi="Arial"/>
                <w:sz w:val="18"/>
                <w:szCs w:val="18"/>
                <w:b w:val="1"/>
                <w:bCs w:val="1"/>
                <w:color w:val="auto"/>
              </w:rPr>
              <w:t>Financial results</w:t>
            </w:r>
          </w:p>
        </w:tc>
        <w:tc>
          <w:tcPr>
            <w:tcW w:w="2780" w:type="dxa"/>
            <w:vAlign w:val="bottom"/>
            <w:gridSpan w:val="2"/>
          </w:tcPr>
          <w:p>
            <w:pPr>
              <w:ind w:left="440"/>
              <w:spacing w:after="0"/>
              <w:rPr>
                <w:sz w:val="20"/>
                <w:szCs w:val="20"/>
                <w:color w:val="auto"/>
              </w:rPr>
            </w:pPr>
            <w:r>
              <w:rPr>
                <w:rFonts w:ascii="Arial" w:cs="Arial" w:eastAsia="Arial" w:hAnsi="Arial"/>
                <w:sz w:val="18"/>
                <w:szCs w:val="18"/>
                <w:b w:val="1"/>
                <w:bCs w:val="1"/>
                <w:color w:val="auto"/>
              </w:rPr>
              <w:t>Years Ended December 31,</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Chang</w:t>
            </w:r>
          </w:p>
        </w:tc>
        <w:tc>
          <w:tcPr>
            <w:tcW w:w="0" w:type="dxa"/>
            <w:vAlign w:val="bottom"/>
          </w:tcPr>
          <w:p>
            <w:pPr>
              <w:spacing w:after="0"/>
              <w:rPr>
                <w:sz w:val="1"/>
                <w:szCs w:val="1"/>
                <w:color w:val="auto"/>
              </w:rPr>
            </w:pPr>
          </w:p>
        </w:tc>
      </w:tr>
      <w:tr>
        <w:trPr>
          <w:trHeight w:val="36"/>
        </w:trPr>
        <w:tc>
          <w:tcPr>
            <w:tcW w:w="5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Pr>
          <w:p>
            <w:pPr>
              <w:spacing w:after="0"/>
              <w:rPr>
                <w:sz w:val="20"/>
                <w:szCs w:val="20"/>
                <w:color w:val="auto"/>
              </w:rPr>
            </w:pPr>
            <w:r>
              <w:rPr>
                <w:rFonts w:ascii="Arial" w:cs="Arial" w:eastAsia="Arial" w:hAnsi="Arial"/>
                <w:sz w:val="18"/>
                <w:szCs w:val="18"/>
                <w:b w:val="1"/>
                <w:bCs w:val="1"/>
                <w:color w:val="auto"/>
              </w:rPr>
              <w:t>(in US$ million)</w:t>
            </w:r>
          </w:p>
        </w:tc>
        <w:tc>
          <w:tcPr>
            <w:tcW w:w="1740" w:type="dxa"/>
            <w:vAlign w:val="bottom"/>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1040" w:type="dxa"/>
            <w:vAlign w:val="bottom"/>
          </w:tcPr>
          <w:p>
            <w:pPr>
              <w:spacing w:after="0"/>
              <w:rPr>
                <w:sz w:val="21"/>
                <w:szCs w:val="21"/>
                <w:color w:val="auto"/>
              </w:rPr>
            </w:pPr>
          </w:p>
        </w:tc>
        <w:tc>
          <w:tcPr>
            <w:tcW w:w="1380" w:type="dxa"/>
            <w:vAlign w:val="bottom"/>
          </w:tcPr>
          <w:p>
            <w:pPr>
              <w:jc w:val="right"/>
              <w:ind w:right="8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86"/>
        </w:trPr>
        <w:tc>
          <w:tcPr>
            <w:tcW w:w="5400" w:type="dxa"/>
            <w:vAlign w:val="bottom"/>
          </w:tcPr>
          <w:p>
            <w:pPr>
              <w:spacing w:after="0"/>
              <w:rPr>
                <w:sz w:val="24"/>
                <w:szCs w:val="24"/>
                <w:color w:val="auto"/>
              </w:rPr>
            </w:pPr>
          </w:p>
        </w:tc>
        <w:tc>
          <w:tcPr>
            <w:tcW w:w="1740" w:type="dxa"/>
            <w:vAlign w:val="bottom"/>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4"/>
                <w:szCs w:val="24"/>
                <w:color w:val="auto"/>
              </w:rPr>
            </w:pPr>
          </w:p>
        </w:tc>
        <w:tc>
          <w:tcPr>
            <w:tcW w:w="1380" w:type="dxa"/>
            <w:vAlign w:val="bottom"/>
          </w:tcPr>
          <w:p>
            <w:pPr>
              <w:jc w:val="right"/>
              <w:ind w:right="8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6"/>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EXPENSES</w:t>
            </w:r>
          </w:p>
        </w:tc>
        <w:tc>
          <w:tcPr>
            <w:tcW w:w="1740" w:type="dxa"/>
            <w:vAlign w:val="bottom"/>
            <w:shd w:val="clear" w:color="auto" w:fill="D9D9D9"/>
          </w:tcPr>
          <w:p>
            <w:pPr>
              <w:spacing w:after="0"/>
              <w:rPr>
                <w:sz w:val="4"/>
                <w:szCs w:val="4"/>
                <w:color w:val="auto"/>
              </w:rPr>
            </w:pPr>
          </w:p>
        </w:tc>
        <w:tc>
          <w:tcPr>
            <w:tcW w:w="10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0" w:type="dxa"/>
            <w:vAlign w:val="bottom"/>
            <w:vMerge w:val="continue"/>
          </w:tcPr>
          <w:p>
            <w:pPr>
              <w:spacing w:after="0"/>
              <w:rPr>
                <w:sz w:val="21"/>
                <w:szCs w:val="21"/>
                <w:color w:val="auto"/>
              </w:rPr>
            </w:pPr>
          </w:p>
        </w:tc>
        <w:tc>
          <w:tcPr>
            <w:tcW w:w="1740" w:type="dxa"/>
            <w:vAlign w:val="bottom"/>
            <w:shd w:val="clear" w:color="auto" w:fill="D9D9D9"/>
          </w:tcPr>
          <w:p>
            <w:pPr>
              <w:spacing w:after="0"/>
              <w:rPr>
                <w:sz w:val="21"/>
                <w:szCs w:val="21"/>
                <w:color w:val="auto"/>
              </w:rPr>
            </w:pPr>
          </w:p>
        </w:tc>
        <w:tc>
          <w:tcPr>
            <w:tcW w:w="10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5400" w:type="dxa"/>
            <w:vAlign w:val="bottom"/>
          </w:tcPr>
          <w:p>
            <w:pPr>
              <w:spacing w:after="0"/>
              <w:rPr>
                <w:sz w:val="20"/>
                <w:szCs w:val="20"/>
                <w:color w:val="auto"/>
              </w:rPr>
            </w:pPr>
            <w:r>
              <w:rPr>
                <w:rFonts w:ascii="Arial" w:cs="Arial" w:eastAsia="Arial" w:hAnsi="Arial"/>
                <w:sz w:val="18"/>
                <w:szCs w:val="18"/>
                <w:color w:val="auto"/>
              </w:rPr>
              <w:t>Exploration and evaluation expenditures</w:t>
            </w:r>
          </w:p>
        </w:tc>
        <w:tc>
          <w:tcPr>
            <w:tcW w:w="17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(10.1)</w:t>
            </w:r>
          </w:p>
        </w:tc>
        <w:tc>
          <w:tcPr>
            <w:tcW w:w="1040" w:type="dxa"/>
            <w:vAlign w:val="bottom"/>
          </w:tcPr>
          <w:p>
            <w:pPr>
              <w:spacing w:after="0"/>
              <w:rPr>
                <w:sz w:val="24"/>
                <w:szCs w:val="24"/>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36"/>
        </w:trPr>
        <w:tc>
          <w:tcPr>
            <w:tcW w:w="5400" w:type="dxa"/>
            <w:vAlign w:val="bottom"/>
          </w:tcPr>
          <w:p>
            <w:pPr>
              <w:spacing w:after="0"/>
              <w:rPr>
                <w:sz w:val="3"/>
                <w:szCs w:val="3"/>
                <w:color w:val="auto"/>
              </w:rPr>
            </w:pPr>
          </w:p>
        </w:tc>
        <w:tc>
          <w:tcPr>
            <w:tcW w:w="1740" w:type="dxa"/>
            <w:vAlign w:val="bottom"/>
            <w:shd w:val="clear" w:color="auto" w:fill="D9D9D9"/>
          </w:tcPr>
          <w:p>
            <w:pPr>
              <w:spacing w:after="0"/>
              <w:rPr>
                <w:sz w:val="3"/>
                <w:szCs w:val="3"/>
                <w:color w:val="auto"/>
              </w:rPr>
            </w:pP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(14.7)</w:t>
            </w:r>
          </w:p>
        </w:tc>
        <w:tc>
          <w:tcPr>
            <w:tcW w:w="1040" w:type="dxa"/>
            <w:vAlign w:val="bottom"/>
          </w:tcPr>
          <w:p>
            <w:pPr>
              <w:spacing w:after="0"/>
              <w:rPr>
                <w:sz w:val="21"/>
                <w:szCs w:val="21"/>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36"/>
        </w:trPr>
        <w:tc>
          <w:tcPr>
            <w:tcW w:w="5400" w:type="dxa"/>
            <w:vAlign w:val="bottom"/>
          </w:tcPr>
          <w:p>
            <w:pPr>
              <w:spacing w:after="0"/>
              <w:rPr>
                <w:sz w:val="3"/>
                <w:szCs w:val="3"/>
                <w:color w:val="auto"/>
              </w:rPr>
            </w:pPr>
          </w:p>
        </w:tc>
        <w:tc>
          <w:tcPr>
            <w:tcW w:w="1740" w:type="dxa"/>
            <w:vAlign w:val="bottom"/>
            <w:shd w:val="clear" w:color="auto" w:fill="D9D9D9"/>
          </w:tcPr>
          <w:p>
            <w:pPr>
              <w:spacing w:after="0"/>
              <w:rPr>
                <w:sz w:val="3"/>
                <w:szCs w:val="3"/>
                <w:color w:val="auto"/>
              </w:rPr>
            </w:pP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17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(7.2)</w:t>
            </w:r>
          </w:p>
        </w:tc>
        <w:tc>
          <w:tcPr>
            <w:tcW w:w="1040" w:type="dxa"/>
            <w:vAlign w:val="bottom"/>
          </w:tcPr>
          <w:p>
            <w:pPr>
              <w:spacing w:after="0"/>
              <w:rPr>
                <w:sz w:val="21"/>
                <w:szCs w:val="21"/>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86"/>
        </w:trPr>
        <w:tc>
          <w:tcPr>
            <w:tcW w:w="5400" w:type="dxa"/>
            <w:vAlign w:val="bottom"/>
          </w:tcPr>
          <w:p>
            <w:pPr>
              <w:spacing w:after="0"/>
              <w:rPr>
                <w:sz w:val="20"/>
                <w:szCs w:val="20"/>
                <w:color w:val="auto"/>
              </w:rPr>
            </w:pPr>
            <w:r>
              <w:rPr>
                <w:rFonts w:ascii="Arial" w:cs="Arial" w:eastAsia="Arial" w:hAnsi="Arial"/>
                <w:sz w:val="18"/>
                <w:szCs w:val="18"/>
                <w:color w:val="auto"/>
              </w:rPr>
              <w:t>Share of (loss)/income of Cauchari-Olaroz Project</w:t>
            </w:r>
          </w:p>
        </w:tc>
        <w:tc>
          <w:tcPr>
            <w:tcW w:w="17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(28.2)</w:t>
            </w:r>
          </w:p>
        </w:tc>
        <w:tc>
          <w:tcPr>
            <w:tcW w:w="1040" w:type="dxa"/>
            <w:vAlign w:val="bottom"/>
          </w:tcPr>
          <w:p>
            <w:pPr>
              <w:spacing w:after="0"/>
              <w:rPr>
                <w:sz w:val="24"/>
                <w:szCs w:val="24"/>
                <w:color w:val="auto"/>
              </w:rPr>
            </w:pPr>
          </w:p>
        </w:tc>
        <w:tc>
          <w:tcPr>
            <w:tcW w:w="1380" w:type="dxa"/>
            <w:vAlign w:val="bottom"/>
          </w:tcPr>
          <w:p>
            <w:pPr>
              <w:jc w:val="right"/>
              <w:ind w:right="85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36"/>
        </w:trPr>
        <w:tc>
          <w:tcPr>
            <w:tcW w:w="5400" w:type="dxa"/>
            <w:vAlign w:val="bottom"/>
          </w:tcPr>
          <w:p>
            <w:pPr>
              <w:spacing w:after="0"/>
              <w:rPr>
                <w:sz w:val="3"/>
                <w:szCs w:val="3"/>
                <w:color w:val="auto"/>
              </w:rPr>
            </w:pPr>
          </w:p>
        </w:tc>
        <w:tc>
          <w:tcPr>
            <w:tcW w:w="1740" w:type="dxa"/>
            <w:vAlign w:val="bottom"/>
            <w:shd w:val="clear" w:color="auto" w:fill="D9D9D9"/>
          </w:tcPr>
          <w:p>
            <w:pPr>
              <w:spacing w:after="0"/>
              <w:rPr>
                <w:sz w:val="3"/>
                <w:szCs w:val="3"/>
                <w:color w:val="auto"/>
              </w:rPr>
            </w:pP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Pr>
          <w:p>
            <w:pPr>
              <w:spacing w:after="0"/>
              <w:rPr>
                <w:sz w:val="20"/>
                <w:szCs w:val="20"/>
                <w:color w:val="auto"/>
              </w:rPr>
            </w:pPr>
            <w:r>
              <w:rPr>
                <w:rFonts w:ascii="Arial" w:cs="Arial" w:eastAsia="Arial" w:hAnsi="Arial"/>
                <w:sz w:val="18"/>
                <w:szCs w:val="18"/>
                <w:color w:val="auto"/>
              </w:rPr>
              <w:t>Share of loss of Arena Minerals</w:t>
            </w:r>
          </w:p>
        </w:tc>
        <w:tc>
          <w:tcPr>
            <w:tcW w:w="174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96"/>
        </w:trPr>
        <w:tc>
          <w:tcPr>
            <w:tcW w:w="5400" w:type="dxa"/>
            <w:vAlign w:val="bottom"/>
          </w:tcPr>
          <w:p>
            <w:pPr>
              <w:spacing w:after="0"/>
              <w:rPr>
                <w:sz w:val="20"/>
                <w:szCs w:val="20"/>
                <w:color w:val="auto"/>
              </w:rPr>
            </w:pPr>
            <w:r>
              <w:rPr>
                <w:rFonts w:ascii="Arial" w:cs="Arial" w:eastAsia="Arial" w:hAnsi="Arial"/>
                <w:sz w:val="18"/>
                <w:szCs w:val="18"/>
                <w:color w:val="auto"/>
              </w:rPr>
              <w:t>Share of loss of Sal de la Puna Project</w:t>
            </w:r>
          </w:p>
        </w:tc>
        <w:tc>
          <w:tcPr>
            <w:tcW w:w="17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(0.2)</w:t>
            </w:r>
          </w:p>
        </w:tc>
        <w:tc>
          <w:tcPr>
            <w:tcW w:w="1040" w:type="dxa"/>
            <w:vAlign w:val="bottom"/>
          </w:tcPr>
          <w:p>
            <w:pPr>
              <w:spacing w:after="0"/>
              <w:rPr>
                <w:sz w:val="24"/>
                <w:szCs w:val="24"/>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36"/>
        </w:trPr>
        <w:tc>
          <w:tcPr>
            <w:tcW w:w="5400" w:type="dxa"/>
            <w:vAlign w:val="bottom"/>
          </w:tcPr>
          <w:p>
            <w:pPr>
              <w:spacing w:after="0"/>
              <w:rPr>
                <w:sz w:val="3"/>
                <w:szCs w:val="3"/>
                <w:color w:val="auto"/>
              </w:rPr>
            </w:pPr>
          </w:p>
        </w:tc>
        <w:tc>
          <w:tcPr>
            <w:tcW w:w="1740" w:type="dxa"/>
            <w:vAlign w:val="bottom"/>
            <w:shd w:val="clear" w:color="auto" w:fill="D9D9D9"/>
          </w:tcPr>
          <w:p>
            <w:pPr>
              <w:spacing w:after="0"/>
              <w:rPr>
                <w:sz w:val="3"/>
                <w:szCs w:val="3"/>
                <w:color w:val="auto"/>
              </w:rPr>
            </w:pP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Pr>
          <w:p>
            <w:pPr>
              <w:spacing w:after="0"/>
              <w:rPr>
                <w:sz w:val="21"/>
                <w:szCs w:val="21"/>
                <w:color w:val="auto"/>
              </w:rPr>
            </w:pPr>
          </w:p>
        </w:tc>
        <w:tc>
          <w:tcPr>
            <w:tcW w:w="17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(60.4)</w:t>
            </w:r>
          </w:p>
        </w:tc>
        <w:tc>
          <w:tcPr>
            <w:tcW w:w="1040" w:type="dxa"/>
            <w:vAlign w:val="bottom"/>
          </w:tcPr>
          <w:p>
            <w:pPr>
              <w:spacing w:after="0"/>
              <w:rPr>
                <w:sz w:val="21"/>
                <w:szCs w:val="21"/>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46"/>
        </w:trPr>
        <w:tc>
          <w:tcPr>
            <w:tcW w:w="5400" w:type="dxa"/>
            <w:vAlign w:val="bottom"/>
          </w:tcPr>
          <w:p>
            <w:pPr>
              <w:spacing w:after="0"/>
              <w:rPr>
                <w:sz w:val="4"/>
                <w:szCs w:val="4"/>
                <w:color w:val="auto"/>
              </w:rPr>
            </w:pPr>
          </w:p>
        </w:tc>
        <w:tc>
          <w:tcPr>
            <w:tcW w:w="1740" w:type="dxa"/>
            <w:vAlign w:val="bottom"/>
            <w:shd w:val="clear" w:color="auto" w:fill="D9D9D9"/>
          </w:tcPr>
          <w:p>
            <w:pPr>
              <w:spacing w:after="0"/>
              <w:rPr>
                <w:sz w:val="4"/>
                <w:szCs w:val="4"/>
                <w:color w:val="auto"/>
              </w:rPr>
            </w:pPr>
          </w:p>
        </w:tc>
        <w:tc>
          <w:tcPr>
            <w:tcW w:w="10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5400" w:type="dxa"/>
            <w:vAlign w:val="bottom"/>
          </w:tcPr>
          <w:p>
            <w:pPr>
              <w:spacing w:after="0"/>
              <w:rPr>
                <w:sz w:val="24"/>
                <w:szCs w:val="24"/>
                <w:color w:val="auto"/>
              </w:rPr>
            </w:pPr>
          </w:p>
        </w:tc>
        <w:tc>
          <w:tcPr>
            <w:tcW w:w="1740" w:type="dxa"/>
            <w:vAlign w:val="bottom"/>
            <w:shd w:val="clear" w:color="auto" w:fill="D9D9D9"/>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0" w:type="dxa"/>
            <w:vAlign w:val="bottom"/>
          </w:tcPr>
          <w:p>
            <w:pPr>
              <w:spacing w:after="0"/>
              <w:rPr>
                <w:sz w:val="20"/>
                <w:szCs w:val="20"/>
                <w:color w:val="auto"/>
              </w:rPr>
            </w:pPr>
            <w:r>
              <w:rPr>
                <w:rFonts w:ascii="Arial" w:cs="Arial" w:eastAsia="Arial" w:hAnsi="Arial"/>
                <w:sz w:val="18"/>
                <w:szCs w:val="18"/>
                <w:color w:val="auto"/>
              </w:rPr>
              <w:t>Transaction costs</w:t>
            </w:r>
          </w:p>
        </w:tc>
        <w:tc>
          <w:tcPr>
            <w:tcW w:w="17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(6.8)</w:t>
            </w:r>
          </w:p>
        </w:tc>
        <w:tc>
          <w:tcPr>
            <w:tcW w:w="1040" w:type="dxa"/>
            <w:vAlign w:val="bottom"/>
          </w:tcPr>
          <w:p>
            <w:pPr>
              <w:spacing w:after="0"/>
              <w:rPr>
                <w:sz w:val="21"/>
                <w:szCs w:val="21"/>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6"/>
        </w:trPr>
        <w:tc>
          <w:tcPr>
            <w:tcW w:w="5400" w:type="dxa"/>
            <w:vAlign w:val="bottom"/>
          </w:tcPr>
          <w:p>
            <w:pPr>
              <w:spacing w:after="0"/>
              <w:rPr>
                <w:sz w:val="3"/>
                <w:szCs w:val="3"/>
                <w:color w:val="auto"/>
              </w:rPr>
            </w:pPr>
          </w:p>
        </w:tc>
        <w:tc>
          <w:tcPr>
            <w:tcW w:w="1740" w:type="dxa"/>
            <w:vAlign w:val="bottom"/>
            <w:shd w:val="clear" w:color="auto" w:fill="D9D9D9"/>
          </w:tcPr>
          <w:p>
            <w:pPr>
              <w:spacing w:after="0"/>
              <w:rPr>
                <w:sz w:val="3"/>
                <w:szCs w:val="3"/>
                <w:color w:val="auto"/>
              </w:rPr>
            </w:pP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Pr>
          <w:p>
            <w:pPr>
              <w:spacing w:after="0"/>
              <w:rPr>
                <w:sz w:val="20"/>
                <w:szCs w:val="20"/>
                <w:color w:val="auto"/>
              </w:rPr>
            </w:pPr>
            <w:r>
              <w:rPr>
                <w:rFonts w:ascii="Arial" w:cs="Arial" w:eastAsia="Arial" w:hAnsi="Arial"/>
                <w:sz w:val="18"/>
                <w:szCs w:val="18"/>
                <w:color w:val="auto"/>
              </w:rPr>
              <w:t>Gain on financial instruments measured at fair value</w:t>
            </w:r>
          </w:p>
        </w:tc>
        <w:tc>
          <w:tcPr>
            <w:tcW w:w="174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12.5</w:t>
            </w:r>
          </w:p>
        </w:tc>
        <w:tc>
          <w:tcPr>
            <w:tcW w:w="1040" w:type="dxa"/>
            <w:vAlign w:val="bottom"/>
          </w:tcPr>
          <w:p>
            <w:pPr>
              <w:spacing w:after="0"/>
              <w:rPr>
                <w:sz w:val="21"/>
                <w:szCs w:val="21"/>
                <w:color w:val="auto"/>
              </w:rPr>
            </w:pPr>
          </w:p>
        </w:tc>
        <w:tc>
          <w:tcPr>
            <w:tcW w:w="1380" w:type="dxa"/>
            <w:vAlign w:val="bottom"/>
          </w:tcPr>
          <w:p>
            <w:pPr>
              <w:jc w:val="right"/>
              <w:ind w:right="85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36"/>
        </w:trPr>
        <w:tc>
          <w:tcPr>
            <w:tcW w:w="5400" w:type="dxa"/>
            <w:vAlign w:val="bottom"/>
          </w:tcPr>
          <w:p>
            <w:pPr>
              <w:spacing w:after="0"/>
              <w:rPr>
                <w:sz w:val="3"/>
                <w:szCs w:val="3"/>
                <w:color w:val="auto"/>
              </w:rPr>
            </w:pPr>
          </w:p>
        </w:tc>
        <w:tc>
          <w:tcPr>
            <w:tcW w:w="1740" w:type="dxa"/>
            <w:vAlign w:val="bottom"/>
            <w:shd w:val="clear" w:color="auto" w:fill="D9D9D9"/>
          </w:tcPr>
          <w:p>
            <w:pPr>
              <w:spacing w:after="0"/>
              <w:rPr>
                <w:sz w:val="3"/>
                <w:szCs w:val="3"/>
                <w:color w:val="auto"/>
              </w:rPr>
            </w:pP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Pr>
          <w:p>
            <w:pPr>
              <w:spacing w:after="0"/>
              <w:rPr>
                <w:sz w:val="20"/>
                <w:szCs w:val="20"/>
                <w:color w:val="auto"/>
              </w:rPr>
            </w:pPr>
            <w:r>
              <w:rPr>
                <w:rFonts w:ascii="Arial" w:cs="Arial" w:eastAsia="Arial" w:hAnsi="Arial"/>
                <w:sz w:val="18"/>
                <w:szCs w:val="18"/>
                <w:color w:val="auto"/>
              </w:rPr>
              <w:t>Finance costs</w:t>
            </w:r>
          </w:p>
        </w:tc>
        <w:tc>
          <w:tcPr>
            <w:tcW w:w="17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(25.2)</w:t>
            </w:r>
          </w:p>
        </w:tc>
        <w:tc>
          <w:tcPr>
            <w:tcW w:w="1040" w:type="dxa"/>
            <w:vAlign w:val="bottom"/>
          </w:tcPr>
          <w:p>
            <w:pPr>
              <w:spacing w:after="0"/>
              <w:rPr>
                <w:sz w:val="21"/>
                <w:szCs w:val="21"/>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36"/>
        </w:trPr>
        <w:tc>
          <w:tcPr>
            <w:tcW w:w="5400" w:type="dxa"/>
            <w:vAlign w:val="bottom"/>
          </w:tcPr>
          <w:p>
            <w:pPr>
              <w:spacing w:after="0"/>
              <w:rPr>
                <w:sz w:val="3"/>
                <w:szCs w:val="3"/>
                <w:color w:val="auto"/>
              </w:rPr>
            </w:pPr>
          </w:p>
        </w:tc>
        <w:tc>
          <w:tcPr>
            <w:tcW w:w="1740" w:type="dxa"/>
            <w:vAlign w:val="bottom"/>
            <w:shd w:val="clear" w:color="auto" w:fill="D9D9D9"/>
          </w:tcPr>
          <w:p>
            <w:pPr>
              <w:spacing w:after="0"/>
              <w:rPr>
                <w:sz w:val="3"/>
                <w:szCs w:val="3"/>
                <w:color w:val="auto"/>
              </w:rPr>
            </w:pP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Pr>
          <w:p>
            <w:pPr>
              <w:spacing w:after="0"/>
              <w:rPr>
                <w:sz w:val="20"/>
                <w:szCs w:val="20"/>
                <w:color w:val="auto"/>
              </w:rPr>
            </w:pPr>
            <w:r>
              <w:rPr>
                <w:rFonts w:ascii="Arial" w:cs="Arial" w:eastAsia="Arial" w:hAnsi="Arial"/>
                <w:sz w:val="18"/>
                <w:szCs w:val="18"/>
                <w:color w:val="auto"/>
              </w:rPr>
              <w:t>Foreign exchange gain</w:t>
            </w:r>
          </w:p>
        </w:tc>
        <w:tc>
          <w:tcPr>
            <w:tcW w:w="174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2.2</w:t>
            </w:r>
          </w:p>
        </w:tc>
        <w:tc>
          <w:tcPr>
            <w:tcW w:w="1040" w:type="dxa"/>
            <w:vAlign w:val="bottom"/>
          </w:tcPr>
          <w:p>
            <w:pPr>
              <w:spacing w:after="0"/>
              <w:rPr>
                <w:sz w:val="21"/>
                <w:szCs w:val="21"/>
                <w:color w:val="auto"/>
              </w:rPr>
            </w:pPr>
          </w:p>
        </w:tc>
        <w:tc>
          <w:tcPr>
            <w:tcW w:w="1380" w:type="dxa"/>
            <w:vAlign w:val="bottom"/>
          </w:tcPr>
          <w:p>
            <w:pPr>
              <w:jc w:val="right"/>
              <w:ind w:right="85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36"/>
        </w:trPr>
        <w:tc>
          <w:tcPr>
            <w:tcW w:w="5400" w:type="dxa"/>
            <w:vAlign w:val="bottom"/>
          </w:tcPr>
          <w:p>
            <w:pPr>
              <w:spacing w:after="0"/>
              <w:rPr>
                <w:sz w:val="3"/>
                <w:szCs w:val="3"/>
                <w:color w:val="auto"/>
              </w:rPr>
            </w:pPr>
          </w:p>
        </w:tc>
        <w:tc>
          <w:tcPr>
            <w:tcW w:w="1740" w:type="dxa"/>
            <w:vAlign w:val="bottom"/>
            <w:shd w:val="clear" w:color="auto" w:fill="D9D9D9"/>
          </w:tcPr>
          <w:p>
            <w:pPr>
              <w:spacing w:after="0"/>
              <w:rPr>
                <w:sz w:val="3"/>
                <w:szCs w:val="3"/>
                <w:color w:val="auto"/>
              </w:rPr>
            </w:pPr>
          </w:p>
        </w:tc>
        <w:tc>
          <w:tcPr>
            <w:tcW w:w="1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3998595</wp:posOffset>
            </wp:positionH>
            <wp:positionV relativeFrom="paragraph">
              <wp:posOffset>-2749550</wp:posOffset>
            </wp:positionV>
            <wp:extent cx="2647315" cy="635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97">
                      <a:extLst>
                        <a:ext uri="{28A0092B-C50C-407E-A947-70E740481C1C}"/>
                      </a:extLst>
                    </a:blip>
                    <a:srcRect/>
                    <a:stretch>
                      <a:fillRect/>
                    </a:stretch>
                  </pic:blipFill>
                  <pic:spPr bwMode="auto">
                    <a:xfrm>
                      <a:off x="0" y="0"/>
                      <a:ext cx="2647315"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-2379980</wp:posOffset>
            </wp:positionV>
            <wp:extent cx="6078220" cy="635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98">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-1101725</wp:posOffset>
            </wp:positionV>
            <wp:extent cx="2647315" cy="635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9">
                      <a:extLst>
                        <a:ext uri="{28A0092B-C50C-407E-A947-70E740481C1C}"/>
                      </a:extLst>
                    </a:blip>
                    <a:srcRect/>
                    <a:stretch>
                      <a:fillRect/>
                    </a:stretch>
                  </pic:blipFill>
                  <pic:spPr bwMode="auto">
                    <a:xfrm>
                      <a:off x="0" y="0"/>
                      <a:ext cx="2647315" cy="635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-913765</wp:posOffset>
            </wp:positionV>
            <wp:extent cx="2647315" cy="635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100">
                      <a:extLst>
                        <a:ext uri="{28A0092B-C50C-407E-A947-70E740481C1C}"/>
                      </a:extLst>
                    </a:blip>
                    <a:srcRect/>
                    <a:stretch>
                      <a:fillRect/>
                    </a:stretch>
                  </pic:blipFill>
                  <pic:spPr bwMode="auto">
                    <a:xfrm>
                      <a:off x="0" y="0"/>
                      <a:ext cx="2647315" cy="63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9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24 / 30</w:t>
      </w:r>
    </w:p>
    <w:p>
      <w:pPr>
        <w:sectPr>
          <w:pgSz w:w="11900" w:h="16838" w:orient="portrait"/>
          <w:cols w:equalWidth="0" w:num="1">
            <w:col w:w="10460"/>
          </w:cols>
          <w:pgMar w:left="1440" w:top="1440" w:right="6" w:bottom="0" w:gutter="0" w:footer="0" w:header="0"/>
          <w:type w:val="continuous"/>
        </w:sectPr>
      </w:pPr>
    </w:p>
    <w:bookmarkStart w:id="521" w:name="page522"/>
    <w:bookmarkEnd w:id="521"/>
    <w:p>
      <w:pPr>
        <w:spacing w:after="0" w:line="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Finance and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16510</wp:posOffset>
            </wp:positionV>
            <wp:extent cx="64135" cy="19431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101">
                      <a:extLst>
                        <a:ext uri="{28A0092B-C50C-407E-A947-70E740481C1C}"/>
                      </a:extLst>
                    </a:blip>
                    <a:srcRect/>
                    <a:stretch>
                      <a:fillRect/>
                    </a:stretch>
                  </pic:blipFill>
                  <pic:spPr bwMode="auto">
                    <a:xfrm>
                      <a:off x="0" y="0"/>
                      <a:ext cx="64135" cy="19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80" w:right="700"/>
        <w:spacing w:after="0" w:line="295" w:lineRule="auto"/>
        <w:rPr>
          <w:sz w:val="20"/>
          <w:szCs w:val="20"/>
          <w:color w:val="auto"/>
        </w:rPr>
      </w:pPr>
      <w:r>
        <w:rPr>
          <w:rFonts w:ascii="Arial" w:cs="Arial" w:eastAsia="Arial" w:hAnsi="Arial"/>
          <w:sz w:val="18"/>
          <w:szCs w:val="18"/>
          <w:b w:val="1"/>
          <w:bCs w:val="1"/>
          <w:color w:val="auto"/>
        </w:rPr>
        <w:t>(LOSS)/INCOME FROM CONTINUING OPERATIONS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-5715</wp:posOffset>
            </wp:positionV>
            <wp:extent cx="64135" cy="635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102">
                      <a:extLst>
                        <a:ext uri="{28A0092B-C50C-407E-A947-70E740481C1C}"/>
                      </a:extLst>
                    </a:blip>
                    <a:srcRect/>
                    <a:stretch>
                      <a:fillRect/>
                    </a:stretch>
                  </pic:blipFill>
                  <pic:spPr bwMode="auto">
                    <a:xfrm>
                      <a:off x="0" y="0"/>
                      <a:ext cx="6413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
        <w:spacing w:after="0"/>
        <w:tabs>
          <w:tab w:leader="none" w:pos="1640" w:val="left"/>
        </w:tabs>
        <w:rPr>
          <w:sz w:val="20"/>
          <w:szCs w:val="20"/>
          <w:color w:val="auto"/>
        </w:rPr>
      </w:pPr>
      <w:r>
        <w:rPr>
          <w:rFonts w:ascii="Arial" w:cs="Arial" w:eastAsia="Arial" w:hAnsi="Arial"/>
          <w:sz w:val="18"/>
          <w:szCs w:val="18"/>
          <w:color w:val="auto"/>
        </w:rPr>
        <w:t>51.8</w:t>
      </w:r>
      <w:r>
        <w:rPr>
          <w:sz w:val="20"/>
          <w:szCs w:val="20"/>
          <w:color w:val="auto"/>
        </w:rPr>
        <w:tab/>
      </w:r>
      <w:r>
        <w:rPr>
          <w:rFonts w:ascii="Arial" w:cs="Arial" w:eastAsia="Arial" w:hAnsi="Arial"/>
          <w:sz w:val="18"/>
          <w:szCs w:val="18"/>
          <w:color w:val="auto"/>
        </w:rPr>
        <w:t>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-158115</wp:posOffset>
            </wp:positionV>
            <wp:extent cx="2583180" cy="37592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103">
                      <a:extLst>
                        <a:ext uri="{28A0092B-C50C-407E-A947-70E740481C1C}"/>
                      </a:extLst>
                    </a:blip>
                    <a:srcRect/>
                    <a:stretch>
                      <a:fillRect/>
                    </a:stretch>
                  </pic:blipFill>
                  <pic:spPr bwMode="auto">
                    <a:xfrm>
                      <a:off x="0" y="0"/>
                      <a:ext cx="2583180" cy="375920"/>
                    </a:xfrm>
                    <a:prstGeom prst="rect">
                      <a:avLst/>
                    </a:prstGeom>
                    <a:noFill/>
                  </pic:spPr>
                </pic:pic>
              </a:graphicData>
            </a:graphic>
          </wp:anchor>
        </w:drawing>
      </w:r>
    </w:p>
    <w:p>
      <w:pPr>
        <w:spacing w:after="0" w:line="69" w:lineRule="exact"/>
        <w:rPr>
          <w:sz w:val="20"/>
          <w:szCs w:val="20"/>
          <w:color w:val="auto"/>
        </w:rPr>
      </w:pPr>
    </w:p>
    <w:p>
      <w:pPr>
        <w:ind w:left="60"/>
        <w:spacing w:after="0"/>
        <w:tabs>
          <w:tab w:leader="none" w:pos="1640" w:val="left"/>
        </w:tabs>
        <w:rPr>
          <w:sz w:val="20"/>
          <w:szCs w:val="20"/>
          <w:color w:val="auto"/>
        </w:rPr>
      </w:pPr>
      <w:r>
        <w:rPr>
          <w:rFonts w:ascii="Arial" w:cs="Arial" w:eastAsia="Arial" w:hAnsi="Arial"/>
          <w:sz w:val="18"/>
          <w:szCs w:val="18"/>
          <w:color w:val="auto"/>
        </w:rPr>
        <w:t>34.5</w:t>
      </w:r>
      <w:r>
        <w:rPr>
          <w:sz w:val="20"/>
          <w:szCs w:val="20"/>
          <w:color w:val="auto"/>
        </w:rPr>
        <w:tab/>
      </w:r>
      <w:r>
        <w:rPr>
          <w:rFonts w:ascii="Arial" w:cs="Arial" w:eastAsia="Arial" w:hAnsi="Arial"/>
          <w:sz w:val="18"/>
          <w:szCs w:val="18"/>
          <w:color w:val="auto"/>
        </w:rPr>
        <w:t>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22860</wp:posOffset>
            </wp:positionV>
            <wp:extent cx="2583180" cy="635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104">
                      <a:extLst>
                        <a:ext uri="{28A0092B-C50C-407E-A947-70E740481C1C}"/>
                      </a:extLst>
                    </a:blip>
                    <a:srcRect/>
                    <a:stretch>
                      <a:fillRect/>
                    </a:stretch>
                  </pic:blipFill>
                  <pic:spPr bwMode="auto">
                    <a:xfrm>
                      <a:off x="0" y="0"/>
                      <a:ext cx="2583180" cy="635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22860</wp:posOffset>
            </wp:positionV>
            <wp:extent cx="2583180" cy="635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105">
                      <a:extLst>
                        <a:ext uri="{28A0092B-C50C-407E-A947-70E740481C1C}"/>
                      </a:extLst>
                    </a:blip>
                    <a:srcRect/>
                    <a:stretch>
                      <a:fillRect/>
                    </a:stretch>
                  </pic:blipFill>
                  <pic:spPr bwMode="auto">
                    <a:xfrm>
                      <a:off x="0" y="0"/>
                      <a:ext cx="2583180" cy="635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210820</wp:posOffset>
            </wp:positionV>
            <wp:extent cx="2647315" cy="36068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06">
                      <a:extLst>
                        <a:ext uri="{28A0092B-C50C-407E-A947-70E740481C1C}"/>
                      </a:extLst>
                    </a:blip>
                    <a:srcRect/>
                    <a:stretch>
                      <a:fillRect/>
                    </a:stretch>
                  </pic:blipFill>
                  <pic:spPr bwMode="auto">
                    <a:xfrm>
                      <a:off x="0" y="0"/>
                      <a:ext cx="2647315" cy="36068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210820</wp:posOffset>
            </wp:positionV>
            <wp:extent cx="2647315" cy="36068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07">
                      <a:extLst>
                        <a:ext uri="{28A0092B-C50C-407E-A947-70E740481C1C}"/>
                      </a:extLst>
                    </a:blip>
                    <a:srcRect/>
                    <a:stretch>
                      <a:fillRect/>
                    </a:stretch>
                  </pic:blipFill>
                  <pic:spPr bwMode="auto">
                    <a:xfrm>
                      <a:off x="0" y="0"/>
                      <a:ext cx="2647315" cy="36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(25.9)</w:t>
      </w:r>
      <w:r>
        <w:rPr>
          <w:sz w:val="20"/>
          <w:szCs w:val="20"/>
          <w:color w:val="auto"/>
        </w:rPr>
        <w:tab/>
      </w:r>
      <w:r>
        <w:rPr>
          <w:rFonts w:ascii="Arial" w:cs="Arial" w:eastAsia="Arial" w:hAnsi="Arial"/>
          <w:sz w:val="18"/>
          <w:szCs w:val="18"/>
          <w:b w:val="1"/>
          <w:bCs w:val="1"/>
          <w:color w:val="auto"/>
        </w:rPr>
        <w:t>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22860</wp:posOffset>
            </wp:positionV>
            <wp:extent cx="2583180" cy="635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08">
                      <a:extLst>
                        <a:ext uri="{28A0092B-C50C-407E-A947-70E740481C1C}"/>
                      </a:extLst>
                    </a:blip>
                    <a:srcRect/>
                    <a:stretch>
                      <a:fillRect/>
                    </a:stretch>
                  </pic:blipFill>
                  <pic:spPr bwMode="auto">
                    <a:xfrm>
                      <a:off x="0" y="0"/>
                      <a:ext cx="2583180" cy="635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22860</wp:posOffset>
            </wp:positionV>
            <wp:extent cx="2583180" cy="635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9">
                      <a:extLst>
                        <a:ext uri="{28A0092B-C50C-407E-A947-70E740481C1C}"/>
                      </a:extLst>
                    </a:blip>
                    <a:srcRect/>
                    <a:stretch>
                      <a:fillRect/>
                    </a:stretch>
                  </pic:blipFill>
                  <pic:spPr bwMode="auto">
                    <a:xfrm>
                      <a:off x="0" y="0"/>
                      <a:ext cx="2583180" cy="635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6960" w:space="720"/>
            <w:col w:w="2960"/>
          </w:cols>
          <w:pgMar w:left="1260" w:top="1176" w:right="6" w:bottom="0" w:gutter="0" w:footer="0" w:header="0"/>
        </w:sectPr>
      </w:pPr>
    </w:p>
    <w:tbl>
      <w:tblPr>
        <w:tblLayout w:type="fixed"/>
        <w:tblInd w:w="0" w:type="dxa"/>
        <w:tblCellMar>
          <w:top w:w="0" w:type="dxa"/>
          <w:left w:w="0" w:type="dxa"/>
          <w:bottom w:w="0" w:type="dxa"/>
          <w:right w:w="0" w:type="dxa"/>
        </w:tblCellMar>
      </w:tblPr>
      <w:tr>
        <w:trPr>
          <w:trHeight w:val="536"/>
        </w:trPr>
        <w:tc>
          <w:tcPr>
            <w:tcW w:w="5740" w:type="dxa"/>
            <w:vAlign w:val="bottom"/>
          </w:tcPr>
          <w:p>
            <w:pPr>
              <w:ind w:left="1080"/>
              <w:spacing w:after="0"/>
              <w:rPr>
                <w:sz w:val="20"/>
                <w:szCs w:val="20"/>
                <w:color w:val="auto"/>
              </w:rPr>
            </w:pPr>
            <w:r>
              <w:rPr>
                <w:rFonts w:ascii="Arial" w:cs="Arial" w:eastAsia="Arial" w:hAnsi="Arial"/>
                <w:sz w:val="18"/>
                <w:szCs w:val="18"/>
                <w:color w:val="auto"/>
              </w:rPr>
              <w:t>Tax recovery/(expense)</w:t>
            </w:r>
          </w:p>
        </w:tc>
        <w:tc>
          <w:tcPr>
            <w:tcW w:w="248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1860" w:type="dxa"/>
            <w:vAlign w:val="bottom"/>
          </w:tcPr>
          <w:p>
            <w:pPr>
              <w:jc w:val="right"/>
              <w:ind w:right="230"/>
              <w:spacing w:after="0"/>
              <w:rPr>
                <w:sz w:val="20"/>
                <w:szCs w:val="20"/>
                <w:color w:val="auto"/>
              </w:rPr>
            </w:pPr>
            <w:r>
              <w:rPr>
                <w:rFonts w:ascii="Arial" w:cs="Arial" w:eastAsia="Arial" w:hAnsi="Arial"/>
                <w:sz w:val="18"/>
                <w:szCs w:val="18"/>
                <w:color w:val="auto"/>
              </w:rPr>
              <w:t>(10.7)</w:t>
            </w:r>
          </w:p>
        </w:tc>
        <w:tc>
          <w:tcPr>
            <w:tcW w:w="560" w:type="dxa"/>
            <w:vAlign w:val="bottom"/>
          </w:tcPr>
          <w:p>
            <w:pPr>
              <w:spacing w:after="0"/>
              <w:rPr>
                <w:sz w:val="24"/>
                <w:szCs w:val="24"/>
                <w:color w:val="auto"/>
              </w:rPr>
            </w:pPr>
          </w:p>
        </w:tc>
      </w:tr>
      <w:tr>
        <w:trPr>
          <w:trHeight w:val="592"/>
        </w:trPr>
        <w:tc>
          <w:tcPr>
            <w:tcW w:w="5740" w:type="dxa"/>
            <w:vAlign w:val="bottom"/>
          </w:tcPr>
          <w:p>
            <w:pPr>
              <w:ind w:left="1080"/>
              <w:spacing w:after="0"/>
              <w:rPr>
                <w:sz w:val="20"/>
                <w:szCs w:val="20"/>
                <w:color w:val="auto"/>
              </w:rPr>
            </w:pPr>
            <w:r>
              <w:rPr>
                <w:rFonts w:ascii="Arial" w:cs="Arial" w:eastAsia="Arial" w:hAnsi="Arial"/>
                <w:sz w:val="18"/>
                <w:szCs w:val="18"/>
                <w:b w:val="1"/>
                <w:bCs w:val="1"/>
                <w:color w:val="auto"/>
              </w:rPr>
              <w:t>(LOSS)/INCOME FROM CONTINUING OPERATIONS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1860" w:type="dxa"/>
            <w:vAlign w:val="bottom"/>
          </w:tcPr>
          <w:p>
            <w:pPr>
              <w:jc w:val="right"/>
              <w:ind w:right="290"/>
              <w:spacing w:after="0"/>
              <w:rPr>
                <w:sz w:val="20"/>
                <w:szCs w:val="20"/>
                <w:color w:val="auto"/>
              </w:rPr>
            </w:pPr>
            <w:r>
              <w:rPr>
                <w:rFonts w:ascii="Arial" w:cs="Arial" w:eastAsia="Arial" w:hAnsi="Arial"/>
                <w:sz w:val="18"/>
                <w:szCs w:val="18"/>
                <w:b w:val="1"/>
                <w:bCs w:val="1"/>
                <w:color w:val="auto"/>
              </w:rPr>
              <w:t>17.5</w:t>
            </w:r>
          </w:p>
        </w:tc>
        <w:tc>
          <w:tcPr>
            <w:tcW w:w="560" w:type="dxa"/>
            <w:vAlign w:val="bottom"/>
          </w:tcPr>
          <w:p>
            <w:pPr>
              <w:spacing w:after="0"/>
              <w:rPr>
                <w:sz w:val="24"/>
                <w:szCs w:val="24"/>
                <w:color w:val="auto"/>
              </w:rPr>
            </w:pPr>
          </w:p>
        </w:tc>
      </w:tr>
      <w:tr>
        <w:trPr>
          <w:trHeight w:val="572"/>
        </w:trPr>
        <w:tc>
          <w:tcPr>
            <w:tcW w:w="5740" w:type="dxa"/>
            <w:vAlign w:val="bottom"/>
          </w:tcPr>
          <w:p>
            <w:pPr>
              <w:ind w:left="1080"/>
              <w:spacing w:after="0"/>
              <w:rPr>
                <w:sz w:val="20"/>
                <w:szCs w:val="20"/>
                <w:color w:val="auto"/>
              </w:rPr>
            </w:pPr>
            <w:r>
              <w:rPr>
                <w:rFonts w:ascii="Arial" w:cs="Arial" w:eastAsia="Arial" w:hAnsi="Arial"/>
                <w:sz w:val="18"/>
                <w:szCs w:val="18"/>
                <w:b w:val="1"/>
                <w:bCs w:val="1"/>
                <w:color w:val="auto"/>
              </w:rPr>
              <w:t>INCOME FROM DISCONTINUED OPERATIONS</w:t>
            </w:r>
          </w:p>
        </w:tc>
        <w:tc>
          <w:tcPr>
            <w:tcW w:w="24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860" w:type="dxa"/>
            <w:vAlign w:val="bottom"/>
          </w:tcPr>
          <w:p>
            <w:pPr>
              <w:jc w:val="right"/>
              <w:ind w:right="290"/>
              <w:spacing w:after="0"/>
              <w:rPr>
                <w:sz w:val="20"/>
                <w:szCs w:val="20"/>
                <w:color w:val="auto"/>
              </w:rPr>
            </w:pPr>
            <w:r>
              <w:rPr>
                <w:rFonts w:ascii="Arial" w:cs="Arial" w:eastAsia="Arial" w:hAnsi="Arial"/>
                <w:sz w:val="18"/>
                <w:szCs w:val="18"/>
                <w:b w:val="1"/>
                <w:bCs w:val="1"/>
                <w:color w:val="auto"/>
              </w:rPr>
              <w:t>1,270.8</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582"/>
        </w:trPr>
        <w:tc>
          <w:tcPr>
            <w:tcW w:w="5740" w:type="dxa"/>
            <w:vAlign w:val="bottom"/>
          </w:tcPr>
          <w:p>
            <w:pPr>
              <w:ind w:left="1080"/>
              <w:spacing w:after="0"/>
              <w:rPr>
                <w:sz w:val="20"/>
                <w:szCs w:val="20"/>
                <w:color w:val="auto"/>
              </w:rPr>
            </w:pPr>
            <w:r>
              <w:rPr>
                <w:rFonts w:ascii="Arial" w:cs="Arial" w:eastAsia="Arial" w:hAnsi="Arial"/>
                <w:sz w:val="18"/>
                <w:szCs w:val="18"/>
                <w:b w:val="1"/>
                <w:bCs w:val="1"/>
                <w:color w:val="auto"/>
              </w:rPr>
              <w:t>NET (LOSS)/INCOME</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1860" w:type="dxa"/>
            <w:vAlign w:val="bottom"/>
          </w:tcPr>
          <w:p>
            <w:pPr>
              <w:jc w:val="right"/>
              <w:ind w:right="290"/>
              <w:spacing w:after="0"/>
              <w:rPr>
                <w:sz w:val="20"/>
                <w:szCs w:val="20"/>
                <w:color w:val="auto"/>
              </w:rPr>
            </w:pPr>
            <w:r>
              <w:rPr>
                <w:rFonts w:ascii="Arial" w:cs="Arial" w:eastAsia="Arial" w:hAnsi="Arial"/>
                <w:sz w:val="18"/>
                <w:szCs w:val="18"/>
                <w:b w:val="1"/>
                <w:bCs w:val="1"/>
                <w:color w:val="auto"/>
              </w:rPr>
              <w:t>1,288.3</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728"/>
        </w:trPr>
        <w:tc>
          <w:tcPr>
            <w:tcW w:w="5740" w:type="dxa"/>
            <w:vAlign w:val="bottom"/>
          </w:tcPr>
          <w:p>
            <w:pPr>
              <w:spacing w:after="0"/>
              <w:rPr>
                <w:sz w:val="24"/>
                <w:szCs w:val="24"/>
                <w:color w:val="auto"/>
              </w:rPr>
            </w:pPr>
          </w:p>
        </w:tc>
        <w:tc>
          <w:tcPr>
            <w:tcW w:w="2480" w:type="dxa"/>
            <w:vAlign w:val="bottom"/>
          </w:tcPr>
          <w:p>
            <w:pPr>
              <w:jc w:val="right"/>
              <w:ind w:right="1932"/>
              <w:spacing w:after="0"/>
              <w:rPr>
                <w:sz w:val="20"/>
                <w:szCs w:val="20"/>
                <w:color w:val="auto"/>
              </w:rPr>
            </w:pPr>
            <w:r>
              <w:rPr>
                <w:rFonts w:ascii="Arial" w:cs="Arial" w:eastAsia="Arial" w:hAnsi="Arial"/>
                <w:sz w:val="16"/>
                <w:szCs w:val="16"/>
                <w:color w:val="auto"/>
              </w:rPr>
              <w:t>13</w:t>
            </w:r>
          </w:p>
        </w:tc>
        <w:tc>
          <w:tcPr>
            <w:tcW w:w="18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901"/>
        </w:trPr>
        <w:tc>
          <w:tcPr>
            <w:tcW w:w="5740" w:type="dxa"/>
            <w:vAlign w:val="bottom"/>
            <w:tcBorders>
              <w:bottom w:val="single" w:sz="8" w:color="010101"/>
            </w:tcBorders>
          </w:tcPr>
          <w:p>
            <w:pPr>
              <w:spacing w:after="0"/>
              <w:rPr>
                <w:sz w:val="24"/>
                <w:szCs w:val="24"/>
                <w:color w:val="auto"/>
              </w:rPr>
            </w:pPr>
          </w:p>
        </w:tc>
        <w:tc>
          <w:tcPr>
            <w:tcW w:w="2480" w:type="dxa"/>
            <w:vAlign w:val="bottom"/>
            <w:tcBorders>
              <w:bottom w:val="single" w:sz="8" w:color="010101"/>
            </w:tcBorders>
          </w:tcPr>
          <w:p>
            <w:pPr>
              <w:spacing w:after="0"/>
              <w:rPr>
                <w:sz w:val="24"/>
                <w:szCs w:val="24"/>
                <w:color w:val="auto"/>
              </w:rPr>
            </w:pPr>
          </w:p>
        </w:tc>
        <w:tc>
          <w:tcPr>
            <w:tcW w:w="186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10">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-1950085</wp:posOffset>
            </wp:positionV>
            <wp:extent cx="2647315" cy="635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11">
                      <a:extLst>
                        <a:ext uri="{28A0092B-C50C-407E-A947-70E740481C1C}"/>
                      </a:extLst>
                    </a:blip>
                    <a:srcRect/>
                    <a:stretch>
                      <a:fillRect/>
                    </a:stretch>
                  </pic:blipFill>
                  <pic:spPr bwMode="auto">
                    <a:xfrm>
                      <a:off x="0" y="0"/>
                      <a:ext cx="2647315" cy="635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-1762125</wp:posOffset>
            </wp:positionV>
            <wp:extent cx="2647315" cy="635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12">
                      <a:extLst>
                        <a:ext uri="{28A0092B-C50C-407E-A947-70E740481C1C}"/>
                      </a:extLst>
                    </a:blip>
                    <a:srcRect/>
                    <a:stretch>
                      <a:fillRect/>
                    </a:stretch>
                  </pic:blipFill>
                  <pic:spPr bwMode="auto">
                    <a:xfrm>
                      <a:off x="0" y="0"/>
                      <a:ext cx="2647315" cy="635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-1210945</wp:posOffset>
            </wp:positionV>
            <wp:extent cx="6078220" cy="19431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13">
                      <a:extLst>
                        <a:ext uri="{28A0092B-C50C-407E-A947-70E740481C1C}"/>
                      </a:extLst>
                    </a:blip>
                    <a:srcRect/>
                    <a:stretch>
                      <a:fillRect/>
                    </a:stretch>
                  </pic:blipFill>
                  <pic:spPr bwMode="auto">
                    <a:xfrm>
                      <a:off x="0" y="0"/>
                      <a:ext cx="6078220" cy="194310"/>
                    </a:xfrm>
                    <a:prstGeom prst="rect">
                      <a:avLst/>
                    </a:prstGeom>
                    <a:noFill/>
                  </pic:spPr>
                </pic:pic>
              </a:graphicData>
            </a:graphic>
          </wp:anchor>
        </w:drawing>
      </w:r>
    </w:p>
    <w:p>
      <w:pPr>
        <w:sectPr>
          <w:pgSz w:w="11900" w:h="16838" w:orient="portrait"/>
          <w:cols w:equalWidth="0" w:num="1">
            <w:col w:w="10640"/>
          </w:cols>
          <w:pgMar w:left="1260" w:top="1176"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25 / 30</w:t>
      </w:r>
    </w:p>
    <w:p>
      <w:pPr>
        <w:sectPr>
          <w:pgSz w:w="11900" w:h="16838" w:orient="portrait"/>
          <w:cols w:equalWidth="0" w:num="1">
            <w:col w:w="10640"/>
          </w:cols>
          <w:pgMar w:left="1260" w:top="1176" w:right="6" w:bottom="0" w:gutter="0" w:footer="0" w:header="0"/>
          <w:type w:val="continuous"/>
        </w:sectPr>
      </w:pPr>
    </w:p>
    <w:bookmarkStart w:id="522" w:name="page523"/>
    <w:bookmarkEnd w:id="5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14">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The net loss for the year ended December 31, 2024 of $15.2 million, compared to net income of $1,288.3 m in 2023, was primarily attributable to:</w:t>
      </w:r>
    </w:p>
    <w:p>
      <w:pPr>
        <w:spacing w:after="0" w:line="179" w:lineRule="exact"/>
        <w:rPr>
          <w:sz w:val="20"/>
          <w:szCs w:val="20"/>
          <w:color w:val="auto"/>
        </w:rPr>
      </w:pPr>
    </w:p>
    <w:p>
      <w:pPr>
        <w:jc w:val="both"/>
        <w:ind w:left="1620" w:hanging="366"/>
        <w:spacing w:after="0" w:line="374" w:lineRule="auto"/>
        <w:tabs>
          <w:tab w:leader="none" w:pos="162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recognition of a $28.2 million share of the loss from Cauchari-Olaroz during the year ended Decemb 2024, versus a $16.2 million income in 2023. The Company’s share of the loss from the Cauchari-O Operation in 2024 was primarily due to a derivative loss caused by the foreign exchange revaluati intercompany loans and deferred tax expense. Since the Company’s share of Exar’s loss for the 2024 exceeded the carrying value of its investment in Exar, the Company recognized its share of the up to the point at which the carrying value of the investment in Exar was reduced to $nil. unrecognized share of Exar’s losses as of December 31, 2024, was $26.1 million;</w:t>
      </w:r>
    </w:p>
    <w:p>
      <w:pPr>
        <w:spacing w:after="0" w:line="131" w:lineRule="exact"/>
        <w:rPr>
          <w:rFonts w:ascii="Arial" w:cs="Arial" w:eastAsia="Arial" w:hAnsi="Arial"/>
          <w:sz w:val="20"/>
          <w:szCs w:val="20"/>
          <w:color w:val="auto"/>
        </w:rPr>
      </w:pPr>
    </w:p>
    <w:p>
      <w:pPr>
        <w:jc w:val="both"/>
        <w:ind w:left="1620" w:hanging="366"/>
        <w:spacing w:after="0" w:line="372" w:lineRule="auto"/>
        <w:tabs>
          <w:tab w:leader="none" w:pos="162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lower gain on the change in fair value of financial instruments, with a gain of $12.5 million in 2 compared to a gain of $22.4 million in 2023, primarily due to a smaller reduction in the Company’s s price in 2024;</w:t>
      </w:r>
    </w:p>
    <w:p>
      <w:pPr>
        <w:spacing w:after="0" w:line="130" w:lineRule="exact"/>
        <w:rPr>
          <w:rFonts w:ascii="Arial" w:cs="Arial" w:eastAsia="Arial" w:hAnsi="Arial"/>
          <w:sz w:val="20"/>
          <w:szCs w:val="20"/>
          <w:color w:val="auto"/>
        </w:rPr>
      </w:pPr>
    </w:p>
    <w:p>
      <w:pPr>
        <w:ind w:left="1620" w:hanging="366"/>
        <w:spacing w:after="0" w:line="368" w:lineRule="auto"/>
        <w:tabs>
          <w:tab w:leader="none" w:pos="162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lower FX gain of $2.2 million in 2024, versus a gain of $19.6 million in 2023, primarily due to fewer chip swap transactions and lower margin on funds transferred to Argentina;</w:t>
      </w:r>
    </w:p>
    <w:p>
      <w:pPr>
        <w:spacing w:after="0" w:line="127" w:lineRule="exact"/>
        <w:rPr>
          <w:rFonts w:ascii="Arial" w:cs="Arial" w:eastAsia="Arial" w:hAnsi="Arial"/>
          <w:sz w:val="20"/>
          <w:szCs w:val="20"/>
          <w:color w:val="auto"/>
        </w:rPr>
      </w:pPr>
    </w:p>
    <w:p>
      <w:pPr>
        <w:ind w:left="1620" w:hanging="366"/>
        <w:spacing w:after="0"/>
        <w:tabs>
          <w:tab w:leader="none" w:pos="162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lower finance income from interest earned on cash investments with financial institutions; and</w:t>
      </w:r>
    </w:p>
    <w:p>
      <w:pPr>
        <w:spacing w:after="0" w:line="257" w:lineRule="exact"/>
        <w:rPr>
          <w:rFonts w:ascii="Arial" w:cs="Arial" w:eastAsia="Arial" w:hAnsi="Arial"/>
          <w:sz w:val="20"/>
          <w:szCs w:val="20"/>
          <w:color w:val="auto"/>
        </w:rPr>
      </w:pPr>
    </w:p>
    <w:p>
      <w:pPr>
        <w:ind w:left="1620" w:hanging="366"/>
        <w:spacing w:after="0" w:line="374" w:lineRule="auto"/>
        <w:tabs>
          <w:tab w:leader="none" w:pos="162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income from discontinued operations of $1,270.8 million in 2023, versus no income/loss in 2024. In from discontinued operations in 2023 was primarily attributable to the recognition of a $1,267.5 m gain on the distribution of the Company’s North American business to shareholders pursuant statutory plan of arrangement (the “</w:t>
      </w:r>
      <w:r>
        <w:rPr>
          <w:rFonts w:ascii="Arial" w:cs="Arial" w:eastAsia="Arial" w:hAnsi="Arial"/>
          <w:sz w:val="20"/>
          <w:szCs w:val="20"/>
          <w:b w:val="1"/>
          <w:bCs w:val="1"/>
          <w:color w:val="auto"/>
        </w:rPr>
        <w:t>Separation</w:t>
      </w:r>
      <w:r>
        <w:rPr>
          <w:rFonts w:ascii="Arial" w:cs="Arial" w:eastAsia="Arial" w:hAnsi="Arial"/>
          <w:sz w:val="20"/>
          <w:szCs w:val="20"/>
          <w:color w:val="auto"/>
        </w:rPr>
        <w:t>”), partially offset by Thacker Pass explora expenditures, general and administrative expenses, Share based compensation expense, and trans costs.</w:t>
      </w:r>
    </w:p>
    <w:p>
      <w:pPr>
        <w:spacing w:after="0" w:line="85" w:lineRule="exact"/>
        <w:rPr>
          <w:rFonts w:ascii="Arial" w:cs="Arial" w:eastAsia="Arial" w:hAnsi="Arial"/>
          <w:sz w:val="20"/>
          <w:szCs w:val="20"/>
          <w:color w:val="auto"/>
        </w:rPr>
      </w:pPr>
    </w:p>
    <w:p>
      <w:pPr>
        <w:jc w:val="both"/>
        <w:ind w:left="1620"/>
        <w:spacing w:after="0" w:line="313" w:lineRule="auto"/>
        <w:rPr>
          <w:rFonts w:ascii="Arial" w:cs="Arial" w:eastAsia="Arial" w:hAnsi="Arial"/>
          <w:sz w:val="20"/>
          <w:szCs w:val="20"/>
          <w:color w:val="auto"/>
        </w:rPr>
      </w:pPr>
      <w:r>
        <w:rPr>
          <w:rFonts w:ascii="Arial" w:cs="Arial" w:eastAsia="Arial" w:hAnsi="Arial"/>
          <w:sz w:val="20"/>
          <w:szCs w:val="20"/>
          <w:color w:val="auto"/>
        </w:rPr>
        <w:t>On October 3, 2023, the Company completed the Separation, pursuant to which the former Lit Americas Corp. was divided into two independent publicly traded companies: Lithium Argentina Lithium Americas Corp. (“Lithium Americas (NewCo)”). Under the arrangement, the Company transf its North American business, including the Thacker Pass Project and $275.5 million of cash, to Lit Americas (NewCo).</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These were partially offset by:</w:t>
      </w:r>
    </w:p>
    <w:p>
      <w:pPr>
        <w:spacing w:after="0" w:line="243" w:lineRule="exact"/>
        <w:rPr>
          <w:sz w:val="20"/>
          <w:szCs w:val="20"/>
          <w:color w:val="auto"/>
        </w:rPr>
      </w:pPr>
    </w:p>
    <w:p>
      <w:pPr>
        <w:jc w:val="both"/>
        <w:ind w:left="1620" w:right="20" w:hanging="366"/>
        <w:spacing w:after="0" w:line="372" w:lineRule="auto"/>
        <w:tabs>
          <w:tab w:leader="none" w:pos="1620" w:val="left"/>
        </w:tabs>
        <w:numPr>
          <w:ilvl w:val="0"/>
          <w:numId w:val="264"/>
        </w:numPr>
        <w:rPr>
          <w:rFonts w:ascii="Arial" w:cs="Arial" w:eastAsia="Arial" w:hAnsi="Arial"/>
          <w:sz w:val="20"/>
          <w:szCs w:val="20"/>
          <w:color w:val="auto"/>
        </w:rPr>
      </w:pPr>
      <w:r>
        <w:rPr>
          <w:rFonts w:ascii="Arial" w:cs="Arial" w:eastAsia="Arial" w:hAnsi="Arial"/>
          <w:sz w:val="20"/>
          <w:szCs w:val="20"/>
          <w:color w:val="auto"/>
        </w:rPr>
        <w:t>recognition of a deferred tax recovery of $10.7 million in 2024, due to inflation adjustments on th basis of the Pastos Grandes assets in Argentina, partially offset by the weakening of the Argentine against the US dollar on the tax basis of the Pastos Grandes assets;</w:t>
      </w:r>
    </w:p>
    <w:p>
      <w:pPr>
        <w:spacing w:after="0" w:line="130" w:lineRule="exact"/>
        <w:rPr>
          <w:rFonts w:ascii="Arial" w:cs="Arial" w:eastAsia="Arial" w:hAnsi="Arial"/>
          <w:sz w:val="20"/>
          <w:szCs w:val="20"/>
          <w:color w:val="auto"/>
        </w:rPr>
      </w:pPr>
    </w:p>
    <w:p>
      <w:pPr>
        <w:jc w:val="both"/>
        <w:ind w:left="1620" w:hanging="366"/>
        <w:spacing w:after="0" w:line="368" w:lineRule="auto"/>
        <w:tabs>
          <w:tab w:leader="none" w:pos="1620" w:val="left"/>
        </w:tabs>
        <w:numPr>
          <w:ilvl w:val="0"/>
          <w:numId w:val="264"/>
        </w:numPr>
        <w:rPr>
          <w:rFonts w:ascii="Arial" w:cs="Arial" w:eastAsia="Arial" w:hAnsi="Arial"/>
          <w:sz w:val="20"/>
          <w:szCs w:val="20"/>
          <w:color w:val="auto"/>
        </w:rPr>
      </w:pPr>
      <w:r>
        <w:rPr>
          <w:rFonts w:ascii="Arial" w:cs="Arial" w:eastAsia="Arial" w:hAnsi="Arial"/>
          <w:sz w:val="20"/>
          <w:szCs w:val="20"/>
          <w:color w:val="auto"/>
        </w:rPr>
        <w:t>lower exploration and evaluation expenditures, as well as general and administrative expenses, in compared to 2023, reflecting decreased activity levels and the impact of a cost reduction program; a</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26 / 30</w:t>
      </w:r>
    </w:p>
    <w:p>
      <w:pPr>
        <w:sectPr>
          <w:pgSz w:w="11900" w:h="16838" w:orient="portrait"/>
          <w:cols w:equalWidth="0" w:num="1">
            <w:col w:w="10460"/>
          </w:cols>
          <w:pgMar w:left="1440" w:top="1440" w:right="6" w:bottom="0" w:gutter="0" w:footer="0" w:header="0"/>
          <w:type w:val="continuous"/>
        </w:sectPr>
      </w:pPr>
    </w:p>
    <w:bookmarkStart w:id="523" w:name="page524"/>
    <w:bookmarkEnd w:id="523"/>
    <w:p>
      <w:pPr>
        <w:jc w:val="both"/>
        <w:ind w:left="1620" w:hanging="366"/>
        <w:spacing w:after="0" w:line="372" w:lineRule="auto"/>
        <w:tabs>
          <w:tab w:leader="none" w:pos="162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lower transaction costs during the year ended December 31, 2024, totaling $6.8 million, prim attributable to the Continuation, with a smaller portion attributable to the Separation, compared to million in the comparative period, which were related to the Separation.</w:t>
      </w:r>
    </w:p>
    <w:p>
      <w:pPr>
        <w:spacing w:after="0" w:line="200" w:lineRule="exact"/>
        <w:rPr>
          <w:sz w:val="20"/>
          <w:szCs w:val="20"/>
          <w:color w:val="auto"/>
        </w:rPr>
      </w:pPr>
    </w:p>
    <w:p>
      <w:pPr>
        <w:spacing w:after="0" w:line="226"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1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33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27 / 30</w:t>
      </w:r>
    </w:p>
    <w:p>
      <w:pPr>
        <w:sectPr>
          <w:pgSz w:w="11900" w:h="16838" w:orient="portrait"/>
          <w:cols w:equalWidth="0" w:num="1">
            <w:col w:w="10460"/>
          </w:cols>
          <w:pgMar w:left="1440" w:top="1335" w:right="6" w:bottom="0" w:gutter="0" w:footer="0" w:header="0"/>
          <w:type w:val="continuous"/>
        </w:sectPr>
      </w:pPr>
    </w:p>
    <w:bookmarkStart w:id="524" w:name="page525"/>
    <w:bookmarkEnd w:id="5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16">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right="100"/>
        <w:spacing w:after="0" w:line="307" w:lineRule="auto"/>
        <w:rPr>
          <w:sz w:val="20"/>
          <w:szCs w:val="20"/>
          <w:color w:val="auto"/>
        </w:rPr>
      </w:pPr>
      <w:r>
        <w:rPr>
          <w:rFonts w:ascii="Arial" w:cs="Arial" w:eastAsia="Arial" w:hAnsi="Arial"/>
          <w:sz w:val="20"/>
          <w:szCs w:val="20"/>
          <w:b w:val="1"/>
          <w:bCs w:val="1"/>
          <w:i w:val="1"/>
          <w:iCs w:val="1"/>
          <w:color w:val="auto"/>
        </w:rPr>
        <w:t xml:space="preserve">Three months ended December 31, 2025 (“Q4 2025”), versus Three months ended December 31, </w:t>
      </w:r>
      <w:r>
        <w:rPr>
          <w:rFonts w:ascii="Arial" w:cs="Arial" w:eastAsia="Arial" w:hAnsi="Arial"/>
          <w:sz w:val="20"/>
          <w:szCs w:val="20"/>
          <w:b w:val="1"/>
          <w:bCs w:val="1"/>
          <w:i w:val="1"/>
          <w:iCs w:val="1"/>
          <w:u w:val="single" w:color="auto"/>
          <w:color w:val="auto"/>
        </w:rPr>
        <w:t>(“Q4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194945</wp:posOffset>
            </wp:positionV>
            <wp:extent cx="6078220" cy="2857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17">
                      <a:extLst>
                        <a:ext uri="{28A0092B-C50C-407E-A947-70E740481C1C}"/>
                      </a:extLst>
                    </a:blip>
                    <a:srcRect/>
                    <a:stretch>
                      <a:fillRect/>
                    </a:stretch>
                  </pic:blipFill>
                  <pic:spPr bwMode="auto">
                    <a:xfrm>
                      <a:off x="0" y="0"/>
                      <a:ext cx="6078220" cy="285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567055</wp:posOffset>
                </wp:positionH>
                <wp:positionV relativeFrom="paragraph">
                  <wp:posOffset>-238125</wp:posOffset>
                </wp:positionV>
                <wp:extent cx="6078220" cy="0"/>
                <wp:wrapNone/>
                <wp:docPr id="1102" name="Shape 1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78220" cy="4763"/>
                        </a:xfrm>
                        <a:prstGeom prst="line">
                          <a:avLst/>
                        </a:prstGeom>
                        <a:solidFill>
                          <a:srgbClr val="FFFFFF"/>
                        </a:solidFill>
                        <a:ln w="13329">
                          <a:solidFill>
                            <a:srgbClr val="000000"/>
                          </a:solidFill>
                          <a:miter lim="800000"/>
                          <a:headEnd/>
                          <a:tailEnd/>
                        </a:ln>
                      </wps:spPr>
                      <wps:bodyPr/>
                    </wps:wsp>
                  </a:graphicData>
                </a:graphic>
              </wp:anchor>
            </w:drawing>
          </mc:Choice>
          <mc:Fallback>
            <w:pict>
              <v:line id="Shape 1102" o:spid="_x0000_s2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5pt,-18.7499pt" to="523.25pt,-18.7499pt" o:allowincell="f" strokecolor="#000000" strokeweight="1.0495pt"/>
            </w:pict>
          </mc:Fallback>
        </mc:AlternateContent>
      </w:r>
    </w:p>
    <w:p>
      <w:pPr>
        <w:spacing w:after="0" w:line="375"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4980" w:type="dxa"/>
            <w:vAlign w:val="bottom"/>
          </w:tcPr>
          <w:p>
            <w:pPr>
              <w:spacing w:after="0"/>
              <w:rPr>
                <w:sz w:val="20"/>
                <w:szCs w:val="20"/>
                <w:color w:val="auto"/>
              </w:rPr>
            </w:pPr>
            <w:r>
              <w:rPr>
                <w:rFonts w:ascii="Arial" w:cs="Arial" w:eastAsia="Arial" w:hAnsi="Arial"/>
                <w:sz w:val="18"/>
                <w:szCs w:val="18"/>
                <w:b w:val="1"/>
                <w:bCs w:val="1"/>
                <w:color w:val="auto"/>
              </w:rPr>
              <w:t>Financial results</w:t>
            </w:r>
          </w:p>
        </w:tc>
        <w:tc>
          <w:tcPr>
            <w:tcW w:w="100" w:type="dxa"/>
            <w:vAlign w:val="bottom"/>
          </w:tcPr>
          <w:p>
            <w:pPr>
              <w:spacing w:after="0"/>
              <w:rPr>
                <w:sz w:val="17"/>
                <w:szCs w:val="17"/>
                <w:color w:val="auto"/>
              </w:rPr>
            </w:pPr>
          </w:p>
        </w:tc>
        <w:tc>
          <w:tcPr>
            <w:tcW w:w="382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Three Months Ended December 31,</w:t>
            </w:r>
          </w:p>
        </w:tc>
        <w:tc>
          <w:tcPr>
            <w:tcW w:w="660" w:type="dxa"/>
            <w:vAlign w:val="bottom"/>
          </w:tcPr>
          <w:p>
            <w:pPr>
              <w:ind w:left="140"/>
              <w:spacing w:after="0"/>
              <w:rPr>
                <w:sz w:val="20"/>
                <w:szCs w:val="20"/>
                <w:color w:val="auto"/>
              </w:rPr>
            </w:pPr>
            <w:r>
              <w:rPr>
                <w:rFonts w:ascii="Arial" w:cs="Arial" w:eastAsia="Arial" w:hAnsi="Arial"/>
                <w:sz w:val="18"/>
                <w:szCs w:val="18"/>
                <w:b w:val="1"/>
                <w:bCs w:val="1"/>
                <w:color w:val="auto"/>
                <w:w w:val="89"/>
              </w:rPr>
              <w:t>Chang</w:t>
            </w:r>
          </w:p>
        </w:tc>
        <w:tc>
          <w:tcPr>
            <w:tcW w:w="0" w:type="dxa"/>
            <w:vAlign w:val="bottom"/>
          </w:tcPr>
          <w:p>
            <w:pPr>
              <w:spacing w:after="0"/>
              <w:rPr>
                <w:sz w:val="1"/>
                <w:szCs w:val="1"/>
                <w:color w:val="auto"/>
              </w:rPr>
            </w:pPr>
          </w:p>
        </w:tc>
      </w:tr>
      <w:tr>
        <w:trPr>
          <w:trHeight w:val="46"/>
        </w:trPr>
        <w:tc>
          <w:tcPr>
            <w:tcW w:w="4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4980" w:type="dxa"/>
            <w:vAlign w:val="bottom"/>
          </w:tcPr>
          <w:p>
            <w:pPr>
              <w:spacing w:after="0"/>
              <w:rPr>
                <w:sz w:val="20"/>
                <w:szCs w:val="20"/>
                <w:color w:val="auto"/>
              </w:rPr>
            </w:pPr>
            <w:r>
              <w:rPr>
                <w:rFonts w:ascii="Arial" w:cs="Arial" w:eastAsia="Arial" w:hAnsi="Arial"/>
                <w:sz w:val="18"/>
                <w:szCs w:val="18"/>
                <w:b w:val="1"/>
                <w:bCs w:val="1"/>
                <w:color w:val="auto"/>
              </w:rPr>
              <w:t>(in US$ million)</w:t>
            </w:r>
          </w:p>
        </w:tc>
        <w:tc>
          <w:tcPr>
            <w:tcW w:w="2320" w:type="dxa"/>
            <w:vAlign w:val="bottom"/>
            <w:tcBorders>
              <w:bottom w:val="single" w:sz="8" w:color="D9D9D9"/>
            </w:tcBorders>
            <w:gridSpan w:val="2"/>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2024</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80" w:type="dxa"/>
            <w:vAlign w:val="bottom"/>
          </w:tcPr>
          <w:p>
            <w:pPr>
              <w:spacing w:after="0"/>
              <w:rPr>
                <w:sz w:val="21"/>
                <w:szCs w:val="21"/>
                <w:color w:val="auto"/>
              </w:rPr>
            </w:pPr>
          </w:p>
        </w:tc>
        <w:tc>
          <w:tcPr>
            <w:tcW w:w="23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49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4980" w:type="dxa"/>
            <w:vAlign w:val="bottom"/>
            <w:vMerge w:val="restart"/>
          </w:tcPr>
          <w:p>
            <w:pPr>
              <w:spacing w:after="0"/>
              <w:rPr>
                <w:sz w:val="20"/>
                <w:szCs w:val="20"/>
                <w:color w:val="auto"/>
              </w:rPr>
            </w:pPr>
            <w:r>
              <w:rPr>
                <w:rFonts w:ascii="Arial" w:cs="Arial" w:eastAsia="Arial" w:hAnsi="Arial"/>
                <w:sz w:val="18"/>
                <w:szCs w:val="18"/>
                <w:color w:val="auto"/>
              </w:rPr>
              <w:t>Exploration and evaluation expenditures</w:t>
            </w:r>
          </w:p>
        </w:tc>
        <w:tc>
          <w:tcPr>
            <w:tcW w:w="2320" w:type="dxa"/>
            <w:vAlign w:val="bottom"/>
            <w:gridSpan w:val="2"/>
          </w:tcPr>
          <w:p>
            <w:pPr>
              <w:spacing w:after="0"/>
              <w:rPr>
                <w:sz w:val="3"/>
                <w:szCs w:val="3"/>
                <w:color w:val="auto"/>
              </w:rPr>
            </w:pPr>
          </w:p>
        </w:tc>
        <w:tc>
          <w:tcPr>
            <w:tcW w:w="1600" w:type="dxa"/>
            <w:vAlign w:val="bottom"/>
            <w:vMerge w:val="restart"/>
          </w:tcPr>
          <w:p>
            <w:pPr>
              <w:jc w:val="right"/>
              <w:ind w:right="50"/>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vMerge w:val="continue"/>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(1.4)</w:t>
            </w:r>
          </w:p>
        </w:tc>
        <w:tc>
          <w:tcPr>
            <w:tcW w:w="1600" w:type="dxa"/>
            <w:vAlign w:val="bottom"/>
            <w:vMerge w:val="continue"/>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4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D9D9D9"/>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(4.3)</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98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100" w:type="dxa"/>
            <w:vAlign w:val="bottom"/>
            <w:shd w:val="clear" w:color="auto" w:fill="D9D9D9"/>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(3.3)</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980" w:type="dxa"/>
            <w:vAlign w:val="bottom"/>
          </w:tcPr>
          <w:p>
            <w:pPr>
              <w:spacing w:after="0"/>
              <w:rPr>
                <w:sz w:val="20"/>
                <w:szCs w:val="20"/>
                <w:color w:val="auto"/>
              </w:rPr>
            </w:pPr>
            <w:r>
              <w:rPr>
                <w:rFonts w:ascii="Arial" w:cs="Arial" w:eastAsia="Arial" w:hAnsi="Arial"/>
                <w:sz w:val="18"/>
                <w:szCs w:val="18"/>
                <w:color w:val="auto"/>
              </w:rPr>
              <w:t>Share of gain/(loss) of Cauchari-Olaroz Project</w:t>
            </w:r>
          </w:p>
        </w:tc>
        <w:tc>
          <w:tcPr>
            <w:tcW w:w="100" w:type="dxa"/>
            <w:vAlign w:val="bottom"/>
            <w:shd w:val="clear" w:color="auto" w:fill="D9D9D9"/>
          </w:tcPr>
          <w:p>
            <w:pPr>
              <w:spacing w:after="0"/>
              <w:rPr>
                <w:sz w:val="24"/>
                <w:szCs w:val="24"/>
                <w:color w:val="auto"/>
              </w:rPr>
            </w:pP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(0.4)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980" w:type="dxa"/>
            <w:vAlign w:val="bottom"/>
          </w:tcPr>
          <w:p>
            <w:pPr>
              <w:spacing w:after="0"/>
              <w:rPr>
                <w:sz w:val="20"/>
                <w:szCs w:val="20"/>
                <w:color w:val="auto"/>
              </w:rPr>
            </w:pPr>
            <w:r>
              <w:rPr>
                <w:rFonts w:ascii="Arial" w:cs="Arial" w:eastAsia="Arial" w:hAnsi="Arial"/>
                <w:sz w:val="18"/>
                <w:szCs w:val="18"/>
                <w:color w:val="auto"/>
              </w:rPr>
              <w:t>Share of loss of Sal de la Puna Project</w:t>
            </w:r>
          </w:p>
        </w:tc>
        <w:tc>
          <w:tcPr>
            <w:tcW w:w="100" w:type="dxa"/>
            <w:vAlign w:val="bottom"/>
            <w:shd w:val="clear" w:color="auto" w:fill="D9D9D9"/>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(0.1)</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980" w:type="dxa"/>
            <w:vAlign w:val="bottom"/>
          </w:tcPr>
          <w:p>
            <w:pPr>
              <w:spacing w:after="0"/>
              <w:rPr>
                <w:sz w:val="24"/>
                <w:szCs w:val="24"/>
                <w:color w:val="auto"/>
              </w:rPr>
            </w:pPr>
          </w:p>
        </w:tc>
        <w:tc>
          <w:tcPr>
            <w:tcW w:w="100" w:type="dxa"/>
            <w:vAlign w:val="bottom"/>
            <w:tcBorders>
              <w:bottom w:val="single" w:sz="8" w:color="D9D9D9"/>
            </w:tcBorders>
            <w:shd w:val="clear" w:color="auto" w:fill="D9D9D9"/>
          </w:tcPr>
          <w:p>
            <w:pPr>
              <w:spacing w:after="0"/>
              <w:rPr>
                <w:sz w:val="24"/>
                <w:szCs w:val="24"/>
                <w:color w:val="auto"/>
              </w:rPr>
            </w:pP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b w:val="1"/>
                <w:bCs w:val="1"/>
                <w:color w:val="auto"/>
              </w:rPr>
              <w:t>OTHER ITEMS</w:t>
            </w:r>
          </w:p>
        </w:tc>
        <w:tc>
          <w:tcPr>
            <w:tcW w:w="1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4980" w:type="dxa"/>
            <w:vAlign w:val="bottom"/>
            <w:vMerge w:val="restart"/>
          </w:tcPr>
          <w:p>
            <w:pPr>
              <w:spacing w:after="0"/>
              <w:rPr>
                <w:sz w:val="20"/>
                <w:szCs w:val="20"/>
                <w:color w:val="auto"/>
              </w:rPr>
            </w:pPr>
            <w:r>
              <w:rPr>
                <w:rFonts w:ascii="Arial" w:cs="Arial" w:eastAsia="Arial" w:hAnsi="Arial"/>
                <w:sz w:val="18"/>
                <w:szCs w:val="18"/>
                <w:color w:val="auto"/>
              </w:rPr>
              <w:t>Transaction costs</w:t>
            </w:r>
          </w:p>
        </w:tc>
        <w:tc>
          <w:tcPr>
            <w:tcW w:w="2320" w:type="dxa"/>
            <w:vAlign w:val="bottom"/>
            <w:gridSpan w:val="2"/>
          </w:tcPr>
          <w:p>
            <w:pPr>
              <w:spacing w:after="0"/>
              <w:rPr>
                <w:sz w:val="3"/>
                <w:szCs w:val="3"/>
                <w:color w:val="auto"/>
              </w:rPr>
            </w:pPr>
          </w:p>
        </w:tc>
        <w:tc>
          <w:tcPr>
            <w:tcW w:w="1600" w:type="dxa"/>
            <w:vAlign w:val="bottom"/>
            <w:vMerge w:val="restart"/>
          </w:tcPr>
          <w:p>
            <w:pPr>
              <w:jc w:val="right"/>
              <w:ind w:right="50"/>
              <w:spacing w:after="0"/>
              <w:rPr>
                <w:sz w:val="20"/>
                <w:szCs w:val="20"/>
                <w:color w:val="auto"/>
              </w:rPr>
            </w:pPr>
            <w:r>
              <w:rPr>
                <w:rFonts w:ascii="Arial" w:cs="Arial" w:eastAsia="Arial" w:hAnsi="Arial"/>
                <w:sz w:val="18"/>
                <w:szCs w:val="18"/>
                <w:color w:val="auto"/>
              </w:rPr>
              <w:t>(4.8)</w:t>
            </w: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vMerge w:val="continue"/>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(0.9)</w:t>
            </w:r>
          </w:p>
        </w:tc>
        <w:tc>
          <w:tcPr>
            <w:tcW w:w="1600" w:type="dxa"/>
            <w:vAlign w:val="bottom"/>
            <w:vMerge w:val="continue"/>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4980" w:type="dxa"/>
            <w:vAlign w:val="bottom"/>
          </w:tcPr>
          <w:p>
            <w:pPr>
              <w:spacing w:after="0"/>
              <w:rPr>
                <w:sz w:val="20"/>
                <w:szCs w:val="20"/>
                <w:color w:val="auto"/>
              </w:rPr>
            </w:pPr>
            <w:r>
              <w:rPr>
                <w:rFonts w:ascii="Arial" w:cs="Arial" w:eastAsia="Arial" w:hAnsi="Arial"/>
                <w:sz w:val="18"/>
                <w:szCs w:val="18"/>
                <w:color w:val="auto"/>
              </w:rPr>
              <w:t>(Loss)/gain on financial instruments measured at fair value</w:t>
            </w:r>
          </w:p>
        </w:tc>
        <w:tc>
          <w:tcPr>
            <w:tcW w:w="100" w:type="dxa"/>
            <w:vAlign w:val="bottom"/>
            <w:shd w:val="clear" w:color="auto" w:fill="D9D9D9"/>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(2.5)</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980" w:type="dxa"/>
            <w:vAlign w:val="bottom"/>
          </w:tcPr>
          <w:p>
            <w:pPr>
              <w:spacing w:after="0"/>
              <w:rPr>
                <w:sz w:val="20"/>
                <w:szCs w:val="20"/>
                <w:color w:val="auto"/>
              </w:rPr>
            </w:pPr>
            <w:r>
              <w:rPr>
                <w:rFonts w:ascii="Arial" w:cs="Arial" w:eastAsia="Arial" w:hAnsi="Arial"/>
                <w:sz w:val="18"/>
                <w:szCs w:val="18"/>
                <w:color w:val="auto"/>
              </w:rPr>
              <w:t>Finance and other costs</w:t>
            </w:r>
          </w:p>
        </w:tc>
        <w:tc>
          <w:tcPr>
            <w:tcW w:w="100" w:type="dxa"/>
            <w:vAlign w:val="bottom"/>
            <w:shd w:val="clear" w:color="auto" w:fill="D9D9D9"/>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(9.8)</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(6.6)</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980" w:type="dxa"/>
            <w:vAlign w:val="bottom"/>
          </w:tcPr>
          <w:p>
            <w:pPr>
              <w:spacing w:after="0"/>
              <w:rPr>
                <w:sz w:val="20"/>
                <w:szCs w:val="20"/>
                <w:color w:val="auto"/>
              </w:rPr>
            </w:pPr>
            <w:r>
              <w:rPr>
                <w:rFonts w:ascii="Arial" w:cs="Arial" w:eastAsia="Arial" w:hAnsi="Arial"/>
                <w:sz w:val="18"/>
                <w:szCs w:val="18"/>
                <w:color w:val="auto"/>
              </w:rPr>
              <w:t>Foreign exchange (loss)/gain</w:t>
            </w:r>
          </w:p>
        </w:tc>
        <w:tc>
          <w:tcPr>
            <w:tcW w:w="100" w:type="dxa"/>
            <w:vAlign w:val="bottom"/>
            <w:shd w:val="clear" w:color="auto" w:fill="D9D9D9"/>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(0.4)</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980" w:type="dxa"/>
            <w:vAlign w:val="bottom"/>
          </w:tcPr>
          <w:p>
            <w:pPr>
              <w:spacing w:after="0"/>
              <w:rPr>
                <w:sz w:val="20"/>
                <w:szCs w:val="20"/>
                <w:color w:val="auto"/>
              </w:rPr>
            </w:pPr>
            <w:r>
              <w:rPr>
                <w:rFonts w:ascii="Arial" w:cs="Arial" w:eastAsia="Arial" w:hAnsi="Arial"/>
                <w:sz w:val="18"/>
                <w:szCs w:val="18"/>
                <w:color w:val="auto"/>
              </w:rPr>
              <w:t>Finance and other income</w:t>
            </w:r>
          </w:p>
        </w:tc>
        <w:tc>
          <w:tcPr>
            <w:tcW w:w="100" w:type="dxa"/>
            <w:vAlign w:val="bottom"/>
            <w:shd w:val="clear" w:color="auto" w:fill="D9D9D9"/>
          </w:tcPr>
          <w:p>
            <w:pPr>
              <w:spacing w:after="0"/>
              <w:rPr>
                <w:sz w:val="24"/>
                <w:szCs w:val="24"/>
                <w:color w:val="auto"/>
              </w:rPr>
            </w:pP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14.0</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980" w:type="dxa"/>
            <w:vAlign w:val="bottom"/>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(5.4)</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980" w:type="dxa"/>
            <w:vAlign w:val="bottom"/>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2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-2386330</wp:posOffset>
            </wp:positionV>
            <wp:extent cx="1351915" cy="18161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8">
                      <a:extLst>
                        <a:ext uri="{28A0092B-C50C-407E-A947-70E740481C1C}"/>
                      </a:extLst>
                    </a:blip>
                    <a:srcRect/>
                    <a:stretch>
                      <a:fillRect/>
                    </a:stretch>
                  </pic:blipFill>
                  <pic:spPr bwMode="auto">
                    <a:xfrm>
                      <a:off x="0" y="0"/>
                      <a:ext cx="1351915" cy="18161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-1101725</wp:posOffset>
            </wp:positionV>
            <wp:extent cx="1351915" cy="18161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9">
                      <a:extLst>
                        <a:ext uri="{28A0092B-C50C-407E-A947-70E740481C1C}"/>
                      </a:extLst>
                    </a:blip>
                    <a:srcRect/>
                    <a:stretch>
                      <a:fillRect/>
                    </a:stretch>
                  </pic:blipFill>
                  <pic:spPr bwMode="auto">
                    <a:xfrm>
                      <a:off x="0" y="0"/>
                      <a:ext cx="1351915" cy="181610"/>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-2943860</wp:posOffset>
            </wp:positionV>
            <wp:extent cx="2915920" cy="635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20">
                      <a:extLst>
                        <a:ext uri="{28A0092B-C50C-407E-A947-70E740481C1C}"/>
                      </a:extLst>
                    </a:blip>
                    <a:srcRect/>
                    <a:stretch>
                      <a:fillRect/>
                    </a:stretch>
                  </pic:blipFill>
                  <pic:spPr bwMode="auto">
                    <a:xfrm>
                      <a:off x="0" y="0"/>
                      <a:ext cx="29159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-2574290</wp:posOffset>
            </wp:positionV>
            <wp:extent cx="6078220" cy="635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21">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-1478280</wp:posOffset>
            </wp:positionV>
            <wp:extent cx="2915920" cy="19431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22">
                      <a:extLst>
                        <a:ext uri="{28A0092B-C50C-407E-A947-70E740481C1C}"/>
                      </a:extLst>
                    </a:blip>
                    <a:srcRect/>
                    <a:stretch>
                      <a:fillRect/>
                    </a:stretch>
                  </pic:blipFill>
                  <pic:spPr bwMode="auto">
                    <a:xfrm>
                      <a:off x="0" y="0"/>
                      <a:ext cx="2915920" cy="194310"/>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-193675</wp:posOffset>
            </wp:positionV>
            <wp:extent cx="2915920" cy="19431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23">
                      <a:extLst>
                        <a:ext uri="{28A0092B-C50C-407E-A947-70E740481C1C}"/>
                      </a:extLst>
                    </a:blip>
                    <a:srcRect/>
                    <a:stretch>
                      <a:fillRect/>
                    </a:stretch>
                  </pic:blipFill>
                  <pic:spPr bwMode="auto">
                    <a:xfrm>
                      <a:off x="0" y="0"/>
                      <a:ext cx="2915920" cy="194310"/>
                    </a:xfrm>
                    <a:prstGeom prst="rect">
                      <a:avLst/>
                    </a:prstGeom>
                    <a:noFill/>
                  </pic:spPr>
                </pic:pic>
              </a:graphicData>
            </a:graphic>
          </wp:anchor>
        </w:drawing>
      </w:r>
    </w:p>
    <w:tbl>
      <w:tblPr>
        <w:tblLayout w:type="fixed"/>
        <w:tblInd w:w="900" w:type="dxa"/>
        <w:tblCellMar>
          <w:top w:w="0" w:type="dxa"/>
          <w:left w:w="0" w:type="dxa"/>
          <w:bottom w:w="0" w:type="dxa"/>
          <w:right w:w="0" w:type="dxa"/>
        </w:tblCellMar>
      </w:tblPr>
      <w:tr>
        <w:trPr>
          <w:trHeight w:val="552"/>
        </w:trPr>
        <w:tc>
          <w:tcPr>
            <w:tcW w:w="4980" w:type="dxa"/>
            <w:vAlign w:val="bottom"/>
          </w:tcPr>
          <w:p>
            <w:pPr>
              <w:spacing w:after="0"/>
              <w:rPr>
                <w:sz w:val="20"/>
                <w:szCs w:val="20"/>
                <w:color w:val="auto"/>
              </w:rPr>
            </w:pPr>
            <w:r>
              <w:rPr>
                <w:rFonts w:ascii="Arial" w:cs="Arial" w:eastAsia="Arial" w:hAnsi="Arial"/>
                <w:sz w:val="18"/>
                <w:szCs w:val="18"/>
                <w:b w:val="1"/>
                <w:bCs w:val="1"/>
                <w:color w:val="auto"/>
              </w:rPr>
              <w:t>INCOME/(LOSS) BEFORE TAXES</w:t>
            </w:r>
          </w:p>
        </w:tc>
        <w:tc>
          <w:tcPr>
            <w:tcW w:w="2320" w:type="dxa"/>
            <w:vAlign w:val="bottom"/>
            <w:tcBorders>
              <w:bottom w:val="single" w:sz="8" w:color="D9D9D9"/>
            </w:tcBorders>
            <w:gridSpan w:val="2"/>
            <w:shd w:val="clear" w:color="auto" w:fill="D9D9D9"/>
          </w:tcPr>
          <w:p>
            <w:pPr>
              <w:jc w:val="right"/>
              <w:ind w:right="40"/>
              <w:spacing w:after="0"/>
              <w:rPr>
                <w:sz w:val="20"/>
                <w:szCs w:val="20"/>
                <w:color w:val="auto"/>
              </w:rPr>
            </w:pPr>
            <w:r>
              <w:rPr>
                <w:rFonts w:ascii="Arial" w:cs="Arial" w:eastAsia="Arial" w:hAnsi="Arial"/>
                <w:sz w:val="18"/>
                <w:szCs w:val="18"/>
                <w:b w:val="1"/>
                <w:bCs w:val="1"/>
                <w:color w:val="auto"/>
              </w:rPr>
              <w:t>(0.8)</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536"/>
        </w:trPr>
        <w:tc>
          <w:tcPr>
            <w:tcW w:w="4980" w:type="dxa"/>
            <w:vAlign w:val="bottom"/>
          </w:tcPr>
          <w:p>
            <w:pPr>
              <w:spacing w:after="0"/>
              <w:rPr>
                <w:sz w:val="20"/>
                <w:szCs w:val="20"/>
                <w:color w:val="auto"/>
              </w:rPr>
            </w:pPr>
            <w:r>
              <w:rPr>
                <w:rFonts w:ascii="Arial" w:cs="Arial" w:eastAsia="Arial" w:hAnsi="Arial"/>
                <w:sz w:val="18"/>
                <w:szCs w:val="18"/>
                <w:color w:val="auto"/>
              </w:rPr>
              <w:t>Current tax expense</w:t>
            </w:r>
          </w:p>
        </w:tc>
        <w:tc>
          <w:tcPr>
            <w:tcW w:w="23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
        </w:trPr>
        <w:tc>
          <w:tcPr>
            <w:tcW w:w="4980" w:type="dxa"/>
            <w:vAlign w:val="bottom"/>
          </w:tcPr>
          <w:p>
            <w:pPr>
              <w:spacing w:after="0"/>
              <w:rPr>
                <w:sz w:val="3"/>
                <w:szCs w:val="3"/>
                <w:color w:val="auto"/>
              </w:rPr>
            </w:pPr>
          </w:p>
        </w:tc>
        <w:tc>
          <w:tcPr>
            <w:tcW w:w="2320" w:type="dxa"/>
            <w:vAlign w:val="bottom"/>
            <w:gridSpan w:val="2"/>
          </w:tcPr>
          <w:p>
            <w:pPr>
              <w:spacing w:after="0"/>
              <w:rPr>
                <w:sz w:val="3"/>
                <w:szCs w:val="3"/>
                <w:color w:val="auto"/>
              </w:rPr>
            </w:pPr>
          </w:p>
        </w:tc>
        <w:tc>
          <w:tcPr>
            <w:tcW w:w="1460" w:type="dxa"/>
            <w:vAlign w:val="bottom"/>
          </w:tcPr>
          <w:p>
            <w:pPr>
              <w:spacing w:after="0"/>
              <w:rPr>
                <w:sz w:val="3"/>
                <w:szCs w:val="3"/>
                <w:color w:val="auto"/>
              </w:rPr>
            </w:pPr>
          </w:p>
        </w:tc>
      </w:tr>
      <w:tr>
        <w:trPr>
          <w:trHeight w:val="266"/>
        </w:trPr>
        <w:tc>
          <w:tcPr>
            <w:tcW w:w="4980" w:type="dxa"/>
            <w:vAlign w:val="bottom"/>
          </w:tcPr>
          <w:p>
            <w:pPr>
              <w:spacing w:after="0"/>
              <w:rPr>
                <w:sz w:val="20"/>
                <w:szCs w:val="20"/>
                <w:color w:val="auto"/>
              </w:rPr>
            </w:pPr>
            <w:r>
              <w:rPr>
                <w:rFonts w:ascii="Arial" w:cs="Arial" w:eastAsia="Arial" w:hAnsi="Arial"/>
                <w:sz w:val="18"/>
                <w:szCs w:val="18"/>
                <w:color w:val="auto"/>
              </w:rPr>
              <w:t>Deferred tax expense</w:t>
            </w:r>
          </w:p>
        </w:tc>
        <w:tc>
          <w:tcPr>
            <w:tcW w:w="2320" w:type="dxa"/>
            <w:vAlign w:val="bottom"/>
            <w:tcBorders>
              <w:bottom w:val="single" w:sz="8" w:color="D9D9D9"/>
            </w:tcBorders>
            <w:gridSpan w:val="2"/>
            <w:shd w:val="clear" w:color="auto" w:fill="D9D9D9"/>
          </w:tcPr>
          <w:p>
            <w:pPr>
              <w:jc w:val="right"/>
              <w:ind w:right="40"/>
              <w:spacing w:after="0"/>
              <w:rPr>
                <w:sz w:val="20"/>
                <w:szCs w:val="20"/>
                <w:color w:val="auto"/>
              </w:rPr>
            </w:pPr>
            <w:r>
              <w:rPr>
                <w:rFonts w:ascii="Arial" w:cs="Arial" w:eastAsia="Arial" w:hAnsi="Arial"/>
                <w:sz w:val="18"/>
                <w:szCs w:val="18"/>
                <w:color w:val="auto"/>
              </w:rPr>
              <w:t>(0.4)</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6"/>
        </w:trPr>
        <w:tc>
          <w:tcPr>
            <w:tcW w:w="4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320" w:type="dxa"/>
            <w:vAlign w:val="bottom"/>
            <w:gridSpan w:val="2"/>
            <w:shd w:val="clear" w:color="auto" w:fill="D9D9D9"/>
          </w:tcPr>
          <w:p>
            <w:pPr>
              <w:jc w:val="right"/>
              <w:ind w:right="40"/>
              <w:spacing w:after="0"/>
              <w:rPr>
                <w:sz w:val="20"/>
                <w:szCs w:val="20"/>
                <w:color w:val="auto"/>
              </w:rPr>
            </w:pPr>
            <w:r>
              <w:rPr>
                <w:rFonts w:ascii="Arial" w:cs="Arial" w:eastAsia="Arial" w:hAnsi="Arial"/>
                <w:sz w:val="18"/>
                <w:szCs w:val="18"/>
                <w:b w:val="1"/>
                <w:bCs w:val="1"/>
                <w:color w:val="auto"/>
              </w:rPr>
              <w:t>(1.2)</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46"/>
        </w:trPr>
        <w:tc>
          <w:tcPr>
            <w:tcW w:w="4980" w:type="dxa"/>
            <w:vAlign w:val="bottom"/>
          </w:tcPr>
          <w:p>
            <w:pPr>
              <w:spacing w:after="0"/>
              <w:rPr>
                <w:sz w:val="4"/>
                <w:szCs w:val="4"/>
                <w:color w:val="auto"/>
              </w:rPr>
            </w:pPr>
          </w:p>
        </w:tc>
        <w:tc>
          <w:tcPr>
            <w:tcW w:w="222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146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-738505</wp:posOffset>
            </wp:positionV>
            <wp:extent cx="1416050" cy="18161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24">
                      <a:extLst>
                        <a:ext uri="{28A0092B-C50C-407E-A947-70E740481C1C}"/>
                      </a:extLst>
                    </a:blip>
                    <a:srcRect/>
                    <a:stretch>
                      <a:fillRect/>
                    </a:stretch>
                  </pic:blipFill>
                  <pic:spPr bwMode="auto">
                    <a:xfrm>
                      <a:off x="0" y="0"/>
                      <a:ext cx="1416050" cy="181610"/>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-1114425</wp:posOffset>
            </wp:positionV>
            <wp:extent cx="2915920" cy="635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25">
                      <a:extLst>
                        <a:ext uri="{28A0092B-C50C-407E-A947-70E740481C1C}"/>
                      </a:extLst>
                    </a:blip>
                    <a:srcRect/>
                    <a:stretch>
                      <a:fillRect/>
                    </a:stretch>
                  </pic:blipFill>
                  <pic:spPr bwMode="auto">
                    <a:xfrm>
                      <a:off x="0" y="0"/>
                      <a:ext cx="2915920" cy="6350"/>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-926465</wp:posOffset>
            </wp:positionV>
            <wp:extent cx="2915920" cy="635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26">
                      <a:extLst>
                        <a:ext uri="{28A0092B-C50C-407E-A947-70E740481C1C}"/>
                      </a:extLst>
                    </a:blip>
                    <a:srcRect/>
                    <a:stretch>
                      <a:fillRect/>
                    </a:stretch>
                  </pic:blipFill>
                  <pic:spPr bwMode="auto">
                    <a:xfrm>
                      <a:off x="0" y="0"/>
                      <a:ext cx="29159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-375285</wp:posOffset>
            </wp:positionV>
            <wp:extent cx="6078220" cy="18796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27">
                      <a:extLst>
                        <a:ext uri="{28A0092B-C50C-407E-A947-70E740481C1C}"/>
                      </a:extLst>
                    </a:blip>
                    <a:srcRect/>
                    <a:stretch>
                      <a:fillRect/>
                    </a:stretch>
                  </pic:blipFill>
                  <pic:spPr bwMode="auto">
                    <a:xfrm>
                      <a:off x="0" y="0"/>
                      <a:ext cx="6078220" cy="18796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-5715</wp:posOffset>
            </wp:positionV>
            <wp:extent cx="6078220" cy="635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8">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320" w:lineRule="exact"/>
        <w:rPr>
          <w:sz w:val="20"/>
          <w:szCs w:val="20"/>
          <w:color w:val="auto"/>
        </w:rPr>
      </w:pPr>
    </w:p>
    <w:p>
      <w:pPr>
        <w:ind w:left="900" w:right="100"/>
        <w:spacing w:after="0" w:line="307" w:lineRule="auto"/>
        <w:rPr>
          <w:sz w:val="20"/>
          <w:szCs w:val="20"/>
          <w:color w:val="auto"/>
        </w:rPr>
      </w:pPr>
      <w:r>
        <w:rPr>
          <w:rFonts w:ascii="Arial" w:cs="Arial" w:eastAsia="Arial" w:hAnsi="Arial"/>
          <w:sz w:val="20"/>
          <w:szCs w:val="20"/>
          <w:color w:val="auto"/>
        </w:rPr>
        <w:t>The Company reported a net loss of $1.2 million for Q4 2025, compared to a net loss of $4.8 million for Q4 The lower loss in Q4 2025 was primarily attributable to:</w:t>
      </w:r>
    </w:p>
    <w:p>
      <w:pPr>
        <w:spacing w:after="0" w:line="179" w:lineRule="exact"/>
        <w:rPr>
          <w:sz w:val="20"/>
          <w:szCs w:val="20"/>
          <w:color w:val="auto"/>
        </w:rPr>
      </w:pPr>
    </w:p>
    <w:p>
      <w:pPr>
        <w:jc w:val="both"/>
        <w:ind w:left="1880" w:hanging="497"/>
        <w:spacing w:after="0" w:line="372" w:lineRule="auto"/>
        <w:tabs>
          <w:tab w:leader="none" w:pos="188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a significantly higher share of gain from Cauchari-Olaroz of $13.7 million in Q4 2025 primarily due non-cash gain on change in fair value of the embedded derivative on loans from Exar Capital PGCo, compared to a share of loss of $0.4 million in Q4 2024; and</w:t>
      </w:r>
    </w:p>
    <w:p>
      <w:pPr>
        <w:spacing w:after="0" w:line="130" w:lineRule="exact"/>
        <w:rPr>
          <w:rFonts w:ascii="Arial" w:cs="Arial" w:eastAsia="Arial" w:hAnsi="Arial"/>
          <w:sz w:val="20"/>
          <w:szCs w:val="20"/>
          <w:color w:val="auto"/>
        </w:rPr>
      </w:pPr>
    </w:p>
    <w:p>
      <w:pPr>
        <w:ind w:left="1880" w:right="20" w:hanging="497"/>
        <w:spacing w:after="0" w:line="368" w:lineRule="auto"/>
        <w:tabs>
          <w:tab w:leader="none" w:pos="188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lower transaction costs of $0.9 million in Q4 2025 (Q4 2024 – $4.8 million), primarily refle transaction activity related to the Continuation in Q4 2024.</w:t>
      </w:r>
    </w:p>
    <w:p>
      <w:pPr>
        <w:spacing w:after="0" w:line="266"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These impacts were partially offset by:</w:t>
      </w:r>
    </w:p>
    <w:p>
      <w:pPr>
        <w:spacing w:after="0" w:line="243" w:lineRule="exact"/>
        <w:rPr>
          <w:sz w:val="20"/>
          <w:szCs w:val="20"/>
          <w:color w:val="auto"/>
        </w:rPr>
      </w:pPr>
    </w:p>
    <w:p>
      <w:pPr>
        <w:jc w:val="both"/>
        <w:ind w:left="1880" w:hanging="497"/>
        <w:spacing w:after="0" w:line="372" w:lineRule="auto"/>
        <w:tabs>
          <w:tab w:leader="none" w:pos="188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lower finance and other income of $8.3 million (Q4 2024 – $14.0 million), primarily reflecting red interest income on loans advanced to Exar Capital due to the capitalization of certain loans into e during the year, as well as lower interest earned on cash balances;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8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28 / 30</w:t>
      </w:r>
    </w:p>
    <w:p>
      <w:pPr>
        <w:sectPr>
          <w:pgSz w:w="11900" w:h="16838" w:orient="portrait"/>
          <w:cols w:equalWidth="0" w:num="1">
            <w:col w:w="10460"/>
          </w:cols>
          <w:pgMar w:left="1440" w:top="1440" w:right="6" w:bottom="0" w:gutter="0" w:footer="0" w:header="0"/>
          <w:type w:val="continuous"/>
        </w:sectPr>
      </w:pPr>
    </w:p>
    <w:bookmarkStart w:id="525" w:name="page526"/>
    <w:bookmarkEnd w:id="525"/>
    <w:p>
      <w:pPr>
        <w:ind w:left="1880" w:hanging="497"/>
        <w:spacing w:after="0" w:line="372" w:lineRule="auto"/>
        <w:tabs>
          <w:tab w:leader="none" w:pos="188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loss on financial instruments of $2.5 million (Q4 2024 – gain of $1.5 million), arising from the fair remeasurement of the Convertible Notes derivative liability, primarily driven by an increase in Company’s share price and higher share price volatility; and</w:t>
      </w:r>
    </w:p>
    <w:p>
      <w:pPr>
        <w:spacing w:after="0" w:line="123" w:lineRule="exact"/>
        <w:rPr>
          <w:rFonts w:ascii="Arial" w:cs="Arial" w:eastAsia="Arial" w:hAnsi="Arial"/>
          <w:sz w:val="20"/>
          <w:szCs w:val="20"/>
          <w:color w:val="auto"/>
        </w:rPr>
      </w:pPr>
    </w:p>
    <w:p>
      <w:pPr>
        <w:ind w:left="1880" w:hanging="497"/>
        <w:spacing w:after="0"/>
        <w:tabs>
          <w:tab w:leader="none" w:pos="188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higher finance and other costs, mainly due to interest accrued on the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33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29 / 30</w:t>
      </w:r>
    </w:p>
    <w:p>
      <w:pPr>
        <w:sectPr>
          <w:pgSz w:w="11900" w:h="16838" w:orient="portrait"/>
          <w:cols w:equalWidth="0" w:num="1">
            <w:col w:w="10460"/>
          </w:cols>
          <w:pgMar w:left="1440" w:top="1335" w:right="6" w:bottom="0" w:gutter="0" w:footer="0" w:header="0"/>
          <w:type w:val="continuous"/>
        </w:sectPr>
      </w:pPr>
    </w:p>
    <w:bookmarkStart w:id="526" w:name="page527"/>
    <w:bookmarkEnd w:id="5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30">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00" w:right="100"/>
        <w:spacing w:after="0" w:line="307" w:lineRule="auto"/>
        <w:rPr>
          <w:sz w:val="20"/>
          <w:szCs w:val="20"/>
          <w:color w:val="auto"/>
        </w:rPr>
      </w:pPr>
      <w:r>
        <w:rPr>
          <w:rFonts w:ascii="Arial" w:cs="Arial" w:eastAsia="Arial" w:hAnsi="Arial"/>
          <w:sz w:val="20"/>
          <w:szCs w:val="20"/>
          <w:b w:val="1"/>
          <w:bCs w:val="1"/>
          <w:i w:val="1"/>
          <w:iCs w:val="1"/>
          <w:color w:val="auto"/>
        </w:rPr>
        <w:t xml:space="preserve">Three Months Ended December 31, 2024 (“Q4 2024”), versus Three Months Ended December 31, </w:t>
      </w:r>
      <w:r>
        <w:rPr>
          <w:rFonts w:ascii="Arial" w:cs="Arial" w:eastAsia="Arial" w:hAnsi="Arial"/>
          <w:sz w:val="20"/>
          <w:szCs w:val="20"/>
          <w:b w:val="1"/>
          <w:bCs w:val="1"/>
          <w:i w:val="1"/>
          <w:iCs w:val="1"/>
          <w:u w:val="single" w:color="auto"/>
          <w:color w:val="auto"/>
        </w:rPr>
        <w:t>(“Q4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196215</wp:posOffset>
            </wp:positionV>
            <wp:extent cx="6078220" cy="2857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31">
                      <a:extLst>
                        <a:ext uri="{28A0092B-C50C-407E-A947-70E740481C1C}"/>
                      </a:extLst>
                    </a:blip>
                    <a:srcRect/>
                    <a:stretch>
                      <a:fillRect/>
                    </a:stretch>
                  </pic:blipFill>
                  <pic:spPr bwMode="auto">
                    <a:xfrm>
                      <a:off x="0" y="0"/>
                      <a:ext cx="6078220" cy="285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567055</wp:posOffset>
                </wp:positionH>
                <wp:positionV relativeFrom="paragraph">
                  <wp:posOffset>-238125</wp:posOffset>
                </wp:positionV>
                <wp:extent cx="6078220" cy="0"/>
                <wp:wrapNone/>
                <wp:docPr id="1117" name="Shape 1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78220" cy="4763"/>
                        </a:xfrm>
                        <a:prstGeom prst="line">
                          <a:avLst/>
                        </a:prstGeom>
                        <a:solidFill>
                          <a:srgbClr val="FFFFFF"/>
                        </a:solidFill>
                        <a:ln w="13329">
                          <a:solidFill>
                            <a:srgbClr val="000000"/>
                          </a:solidFill>
                          <a:miter lim="800000"/>
                          <a:headEnd/>
                          <a:tailEnd/>
                        </a:ln>
                      </wps:spPr>
                      <wps:bodyPr/>
                    </wps:wsp>
                  </a:graphicData>
                </a:graphic>
              </wp:anchor>
            </w:drawing>
          </mc:Choice>
          <mc:Fallback>
            <w:pict>
              <v:line id="Shape 1117" o:spid="_x0000_s2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5pt,-18.7499pt" to="523.25pt,-18.7499pt" o:allowincell="f" strokecolor="#000000" strokeweight="1.0495pt"/>
            </w:pict>
          </mc:Fallback>
        </mc:AlternateContent>
      </w:r>
    </w:p>
    <w:p>
      <w:pPr>
        <w:spacing w:after="0" w:line="377" w:lineRule="exact"/>
        <w:rPr>
          <w:sz w:val="20"/>
          <w:szCs w:val="20"/>
          <w:color w:val="auto"/>
        </w:rPr>
      </w:pPr>
    </w:p>
    <w:tbl>
      <w:tblPr>
        <w:tblLayout w:type="fixed"/>
        <w:tblInd w:w="900" w:type="dxa"/>
        <w:tblCellMar>
          <w:top w:w="0" w:type="dxa"/>
          <w:left w:w="0" w:type="dxa"/>
          <w:bottom w:w="0" w:type="dxa"/>
          <w:right w:w="0" w:type="dxa"/>
        </w:tblCellMar>
      </w:tblPr>
      <w:tr>
        <w:trPr>
          <w:trHeight w:val="217"/>
        </w:trPr>
        <w:tc>
          <w:tcPr>
            <w:tcW w:w="4980" w:type="dxa"/>
            <w:vAlign w:val="bottom"/>
          </w:tcPr>
          <w:p>
            <w:pPr>
              <w:spacing w:after="0"/>
              <w:rPr>
                <w:sz w:val="20"/>
                <w:szCs w:val="20"/>
                <w:color w:val="auto"/>
              </w:rPr>
            </w:pPr>
            <w:r>
              <w:rPr>
                <w:rFonts w:ascii="Arial" w:cs="Arial" w:eastAsia="Arial" w:hAnsi="Arial"/>
                <w:sz w:val="18"/>
                <w:szCs w:val="18"/>
                <w:b w:val="1"/>
                <w:bCs w:val="1"/>
                <w:color w:val="auto"/>
              </w:rPr>
              <w:t>Financial results</w:t>
            </w:r>
          </w:p>
        </w:tc>
        <w:tc>
          <w:tcPr>
            <w:tcW w:w="100" w:type="dxa"/>
            <w:vAlign w:val="bottom"/>
          </w:tcPr>
          <w:p>
            <w:pPr>
              <w:spacing w:after="0"/>
              <w:rPr>
                <w:sz w:val="18"/>
                <w:szCs w:val="18"/>
                <w:color w:val="auto"/>
              </w:rPr>
            </w:pPr>
          </w:p>
        </w:tc>
        <w:tc>
          <w:tcPr>
            <w:tcW w:w="38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Three Months Ended December 31,</w:t>
            </w:r>
          </w:p>
        </w:tc>
        <w:tc>
          <w:tcPr>
            <w:tcW w:w="660" w:type="dxa"/>
            <w:vAlign w:val="bottom"/>
          </w:tcPr>
          <w:p>
            <w:pPr>
              <w:ind w:left="140"/>
              <w:spacing w:after="0"/>
              <w:rPr>
                <w:sz w:val="20"/>
                <w:szCs w:val="20"/>
                <w:color w:val="auto"/>
              </w:rPr>
            </w:pPr>
            <w:r>
              <w:rPr>
                <w:rFonts w:ascii="Arial" w:cs="Arial" w:eastAsia="Arial" w:hAnsi="Arial"/>
                <w:sz w:val="18"/>
                <w:szCs w:val="18"/>
                <w:b w:val="1"/>
                <w:bCs w:val="1"/>
                <w:color w:val="auto"/>
                <w:w w:val="89"/>
              </w:rPr>
              <w:t>Chang</w:t>
            </w:r>
          </w:p>
        </w:tc>
        <w:tc>
          <w:tcPr>
            <w:tcW w:w="0" w:type="dxa"/>
            <w:vAlign w:val="bottom"/>
          </w:tcPr>
          <w:p>
            <w:pPr>
              <w:spacing w:after="0"/>
              <w:rPr>
                <w:sz w:val="1"/>
                <w:szCs w:val="1"/>
                <w:color w:val="auto"/>
              </w:rPr>
            </w:pPr>
          </w:p>
        </w:tc>
      </w:tr>
      <w:tr>
        <w:trPr>
          <w:trHeight w:val="36"/>
        </w:trPr>
        <w:tc>
          <w:tcPr>
            <w:tcW w:w="4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4980" w:type="dxa"/>
            <w:vAlign w:val="bottom"/>
          </w:tcPr>
          <w:p>
            <w:pPr>
              <w:spacing w:after="0"/>
              <w:rPr>
                <w:sz w:val="20"/>
                <w:szCs w:val="20"/>
                <w:color w:val="auto"/>
              </w:rPr>
            </w:pPr>
            <w:r>
              <w:rPr>
                <w:rFonts w:ascii="Arial" w:cs="Arial" w:eastAsia="Arial" w:hAnsi="Arial"/>
                <w:sz w:val="18"/>
                <w:szCs w:val="18"/>
                <w:b w:val="1"/>
                <w:bCs w:val="1"/>
                <w:color w:val="auto"/>
              </w:rPr>
              <w:t>(in US$ million)</w:t>
            </w:r>
          </w:p>
        </w:tc>
        <w:tc>
          <w:tcPr>
            <w:tcW w:w="2220" w:type="dxa"/>
            <w:vAlign w:val="bottom"/>
            <w:tcBorders>
              <w:bottom w:val="single" w:sz="8" w:color="D9D9D9"/>
            </w:tcBorders>
            <w:gridSpan w:val="2"/>
            <w:shd w:val="clear" w:color="auto" w:fill="D9D9D9"/>
          </w:tcPr>
          <w:p>
            <w:pPr>
              <w:jc w:val="right"/>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D9D9D9"/>
            </w:tcBorders>
            <w:shd w:val="clear" w:color="auto" w:fill="D9D9D9"/>
          </w:tcPr>
          <w:p>
            <w:pPr>
              <w:spacing w:after="0"/>
              <w:rPr>
                <w:sz w:val="23"/>
                <w:szCs w:val="23"/>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80" w:type="dxa"/>
            <w:vAlign w:val="bottom"/>
          </w:tcPr>
          <w:p>
            <w:pPr>
              <w:spacing w:after="0"/>
              <w:rPr>
                <w:sz w:val="21"/>
                <w:szCs w:val="21"/>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49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4980" w:type="dxa"/>
            <w:vAlign w:val="bottom"/>
            <w:vMerge w:val="restart"/>
          </w:tcPr>
          <w:p>
            <w:pPr>
              <w:spacing w:after="0"/>
              <w:rPr>
                <w:sz w:val="20"/>
                <w:szCs w:val="20"/>
                <w:color w:val="auto"/>
              </w:rPr>
            </w:pPr>
            <w:r>
              <w:rPr>
                <w:rFonts w:ascii="Arial" w:cs="Arial" w:eastAsia="Arial" w:hAnsi="Arial"/>
                <w:sz w:val="18"/>
                <w:szCs w:val="18"/>
                <w:color w:val="auto"/>
              </w:rPr>
              <w:t>Exploration and evaluation expenditures</w:t>
            </w:r>
          </w:p>
        </w:tc>
        <w:tc>
          <w:tcPr>
            <w:tcW w:w="22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vMerge w:val="restart"/>
          </w:tcPr>
          <w:p>
            <w:pPr>
              <w:jc w:val="right"/>
              <w:ind w:right="50"/>
              <w:spacing w:after="0"/>
              <w:rPr>
                <w:sz w:val="20"/>
                <w:szCs w:val="20"/>
                <w:color w:val="auto"/>
              </w:rPr>
            </w:pPr>
            <w:r>
              <w:rPr>
                <w:rFonts w:ascii="Arial" w:cs="Arial" w:eastAsia="Arial" w:hAnsi="Arial"/>
                <w:sz w:val="18"/>
                <w:szCs w:val="18"/>
                <w:color w:val="auto"/>
              </w:rPr>
              <w:t>(11.2)</w:t>
            </w: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vMerge w:val="continue"/>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1600" w:type="dxa"/>
            <w:vAlign w:val="bottom"/>
            <w:vMerge w:val="continue"/>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4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D9D9D9"/>
          </w:tcPr>
          <w:p>
            <w:pPr>
              <w:spacing w:after="0"/>
              <w:rPr>
                <w:sz w:val="24"/>
                <w:szCs w:val="24"/>
                <w:color w:val="auto"/>
              </w:rPr>
            </w:pP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(9.4)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98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100" w:type="dxa"/>
            <w:vAlign w:val="bottom"/>
            <w:shd w:val="clear" w:color="auto" w:fill="D9D9D9"/>
          </w:tcPr>
          <w:p>
            <w:pPr>
              <w:spacing w:after="0"/>
              <w:rPr>
                <w:sz w:val="24"/>
                <w:szCs w:val="24"/>
                <w:color w:val="auto"/>
              </w:rPr>
            </w:pP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(5.7)</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980" w:type="dxa"/>
            <w:vAlign w:val="bottom"/>
          </w:tcPr>
          <w:p>
            <w:pPr>
              <w:spacing w:after="0"/>
              <w:rPr>
                <w:sz w:val="20"/>
                <w:szCs w:val="20"/>
                <w:color w:val="auto"/>
              </w:rPr>
            </w:pPr>
            <w:r>
              <w:rPr>
                <w:rFonts w:ascii="Arial" w:cs="Arial" w:eastAsia="Arial" w:hAnsi="Arial"/>
                <w:sz w:val="18"/>
                <w:szCs w:val="18"/>
                <w:color w:val="auto"/>
              </w:rPr>
              <w:t>Share of (loss)/income of Cauchari-Olaroz Project</w:t>
            </w:r>
          </w:p>
        </w:tc>
        <w:tc>
          <w:tcPr>
            <w:tcW w:w="100" w:type="dxa"/>
            <w:vAlign w:val="bottom"/>
            <w:shd w:val="clear" w:color="auto" w:fill="D9D9D9"/>
          </w:tcPr>
          <w:p>
            <w:pPr>
              <w:spacing w:after="0"/>
              <w:rPr>
                <w:sz w:val="24"/>
                <w:szCs w:val="24"/>
                <w:color w:val="auto"/>
              </w:rPr>
            </w:pP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21.2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980" w:type="dxa"/>
            <w:vAlign w:val="bottom"/>
          </w:tcPr>
          <w:p>
            <w:pPr>
              <w:spacing w:after="0"/>
              <w:rPr>
                <w:sz w:val="20"/>
                <w:szCs w:val="20"/>
                <w:color w:val="auto"/>
              </w:rPr>
            </w:pPr>
            <w:r>
              <w:rPr>
                <w:rFonts w:ascii="Arial" w:cs="Arial" w:eastAsia="Arial" w:hAnsi="Arial"/>
                <w:sz w:val="18"/>
                <w:szCs w:val="18"/>
                <w:color w:val="auto"/>
              </w:rPr>
              <w:t>Share of loss of Arena Minerals</w:t>
            </w:r>
          </w:p>
        </w:tc>
        <w:tc>
          <w:tcPr>
            <w:tcW w:w="100" w:type="dxa"/>
            <w:vAlign w:val="bottom"/>
            <w:shd w:val="clear" w:color="auto" w:fill="D9D9D9"/>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980" w:type="dxa"/>
            <w:vAlign w:val="bottom"/>
          </w:tcPr>
          <w:p>
            <w:pPr>
              <w:spacing w:after="0"/>
              <w:rPr>
                <w:sz w:val="20"/>
                <w:szCs w:val="20"/>
                <w:color w:val="auto"/>
              </w:rPr>
            </w:pPr>
            <w:r>
              <w:rPr>
                <w:rFonts w:ascii="Arial" w:cs="Arial" w:eastAsia="Arial" w:hAnsi="Arial"/>
                <w:sz w:val="18"/>
                <w:szCs w:val="18"/>
                <w:color w:val="auto"/>
              </w:rPr>
              <w:t>Share of loss of Sal de la Puna Project</w:t>
            </w:r>
          </w:p>
        </w:tc>
        <w:tc>
          <w:tcPr>
            <w:tcW w:w="100" w:type="dxa"/>
            <w:vAlign w:val="bottom"/>
            <w:shd w:val="clear" w:color="auto" w:fill="D9D9D9"/>
          </w:tcPr>
          <w:p>
            <w:pPr>
              <w:spacing w:after="0"/>
              <w:rPr>
                <w:sz w:val="24"/>
                <w:szCs w:val="24"/>
                <w:color w:val="auto"/>
              </w:rPr>
            </w:pP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980" w:type="dxa"/>
            <w:vAlign w:val="bottom"/>
          </w:tcPr>
          <w:p>
            <w:pPr>
              <w:spacing w:after="0"/>
              <w:rPr>
                <w:sz w:val="24"/>
                <w:szCs w:val="24"/>
                <w:color w:val="auto"/>
              </w:rPr>
            </w:pPr>
          </w:p>
        </w:tc>
        <w:tc>
          <w:tcPr>
            <w:tcW w:w="100" w:type="dxa"/>
            <w:vAlign w:val="bottom"/>
            <w:tcBorders>
              <w:bottom w:val="single" w:sz="8" w:color="D9D9D9"/>
            </w:tcBorders>
            <w:shd w:val="clear" w:color="auto" w:fill="D9D9D9"/>
          </w:tcPr>
          <w:p>
            <w:pPr>
              <w:spacing w:after="0"/>
              <w:rPr>
                <w:sz w:val="24"/>
                <w:szCs w:val="24"/>
                <w:color w:val="auto"/>
              </w:rPr>
            </w:pP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(5.6)</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b w:val="1"/>
                <w:bCs w:val="1"/>
                <w:color w:val="auto"/>
              </w:rPr>
              <w:t>OTHER ITEMS</w:t>
            </w:r>
          </w:p>
        </w:tc>
        <w:tc>
          <w:tcPr>
            <w:tcW w:w="1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4980" w:type="dxa"/>
            <w:vAlign w:val="bottom"/>
            <w:vMerge w:val="restart"/>
          </w:tcPr>
          <w:p>
            <w:pPr>
              <w:spacing w:after="0"/>
              <w:rPr>
                <w:sz w:val="20"/>
                <w:szCs w:val="20"/>
                <w:color w:val="auto"/>
              </w:rPr>
            </w:pPr>
            <w:r>
              <w:rPr>
                <w:rFonts w:ascii="Arial" w:cs="Arial" w:eastAsia="Arial" w:hAnsi="Arial"/>
                <w:sz w:val="18"/>
                <w:szCs w:val="18"/>
                <w:color w:val="auto"/>
              </w:rPr>
              <w:t>Transaction costs</w:t>
            </w:r>
          </w:p>
        </w:tc>
        <w:tc>
          <w:tcPr>
            <w:tcW w:w="22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vMerge w:val="restart"/>
          </w:tcPr>
          <w:p>
            <w:pPr>
              <w:jc w:val="right"/>
              <w:ind w:right="50"/>
              <w:spacing w:after="0"/>
              <w:rPr>
                <w:sz w:val="20"/>
                <w:szCs w:val="20"/>
                <w:color w:val="auto"/>
              </w:rPr>
            </w:pPr>
            <w:r>
              <w:rPr>
                <w:rFonts w:ascii="Arial" w:cs="Arial" w:eastAsia="Arial" w:hAnsi="Arial"/>
                <w:sz w:val="18"/>
                <w:szCs w:val="18"/>
                <w:color w:val="auto"/>
              </w:rPr>
              <w:t>(2.7)</w:t>
            </w: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vMerge w:val="continue"/>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1600" w:type="dxa"/>
            <w:vAlign w:val="bottom"/>
            <w:vMerge w:val="continue"/>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4980" w:type="dxa"/>
            <w:vAlign w:val="bottom"/>
          </w:tcPr>
          <w:p>
            <w:pPr>
              <w:spacing w:after="0"/>
              <w:rPr>
                <w:sz w:val="20"/>
                <w:szCs w:val="20"/>
                <w:color w:val="auto"/>
              </w:rPr>
            </w:pPr>
            <w:r>
              <w:rPr>
                <w:rFonts w:ascii="Arial" w:cs="Arial" w:eastAsia="Arial" w:hAnsi="Arial"/>
                <w:sz w:val="18"/>
                <w:szCs w:val="18"/>
                <w:color w:val="auto"/>
              </w:rPr>
              <w:t>Gain/(loss) on financial instruments measured at fair value</w:t>
            </w:r>
          </w:p>
        </w:tc>
        <w:tc>
          <w:tcPr>
            <w:tcW w:w="100" w:type="dxa"/>
            <w:vAlign w:val="bottom"/>
            <w:shd w:val="clear" w:color="auto" w:fill="D9D9D9"/>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980" w:type="dxa"/>
            <w:vAlign w:val="bottom"/>
          </w:tcPr>
          <w:p>
            <w:pPr>
              <w:spacing w:after="0"/>
              <w:rPr>
                <w:sz w:val="20"/>
                <w:szCs w:val="20"/>
                <w:color w:val="auto"/>
              </w:rPr>
            </w:pPr>
            <w:r>
              <w:rPr>
                <w:rFonts w:ascii="Arial" w:cs="Arial" w:eastAsia="Arial" w:hAnsi="Arial"/>
                <w:sz w:val="18"/>
                <w:szCs w:val="18"/>
                <w:color w:val="auto"/>
              </w:rPr>
              <w:t>Finance costs</w:t>
            </w:r>
          </w:p>
        </w:tc>
        <w:tc>
          <w:tcPr>
            <w:tcW w:w="100" w:type="dxa"/>
            <w:vAlign w:val="bottom"/>
            <w:shd w:val="clear" w:color="auto" w:fill="D9D9D9"/>
          </w:tcPr>
          <w:p>
            <w:pPr>
              <w:spacing w:after="0"/>
              <w:rPr>
                <w:sz w:val="24"/>
                <w:szCs w:val="24"/>
                <w:color w:val="auto"/>
              </w:rPr>
            </w:pP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980" w:type="dxa"/>
            <w:vAlign w:val="bottom"/>
          </w:tcPr>
          <w:p>
            <w:pPr>
              <w:spacing w:after="0"/>
              <w:rPr>
                <w:sz w:val="20"/>
                <w:szCs w:val="20"/>
                <w:color w:val="auto"/>
              </w:rPr>
            </w:pPr>
            <w:r>
              <w:rPr>
                <w:rFonts w:ascii="Arial" w:cs="Arial" w:eastAsia="Arial" w:hAnsi="Arial"/>
                <w:sz w:val="18"/>
                <w:szCs w:val="18"/>
                <w:color w:val="auto"/>
              </w:rPr>
              <w:t>Foreign exchange gain</w:t>
            </w:r>
          </w:p>
        </w:tc>
        <w:tc>
          <w:tcPr>
            <w:tcW w:w="100" w:type="dxa"/>
            <w:vAlign w:val="bottom"/>
            <w:shd w:val="clear" w:color="auto" w:fill="D9D9D9"/>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4"/>
                <w:szCs w:val="24"/>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12.6</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4980" w:type="dxa"/>
            <w:vAlign w:val="bottom"/>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2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0"/>
        </w:trPr>
        <w:tc>
          <w:tcPr>
            <w:tcW w:w="4980" w:type="dxa"/>
            <w:vAlign w:val="bottom"/>
          </w:tcPr>
          <w:p>
            <w:pPr>
              <w:spacing w:after="0"/>
              <w:rPr>
                <w:sz w:val="20"/>
                <w:szCs w:val="20"/>
                <w:color w:val="auto"/>
              </w:rPr>
            </w:pPr>
            <w:r>
              <w:rPr>
                <w:rFonts w:ascii="Arial" w:cs="Arial" w:eastAsia="Arial" w:hAnsi="Arial"/>
                <w:sz w:val="18"/>
                <w:szCs w:val="18"/>
                <w:color w:val="auto"/>
              </w:rPr>
              <w:t>Finance and other income</w:t>
            </w:r>
          </w:p>
        </w:tc>
        <w:tc>
          <w:tcPr>
            <w:tcW w:w="100" w:type="dxa"/>
            <w:vAlign w:val="bottom"/>
            <w:shd w:val="clear" w:color="auto" w:fill="D9D9D9"/>
          </w:tcPr>
          <w:p>
            <w:pPr>
              <w:spacing w:after="0"/>
              <w:rPr>
                <w:sz w:val="22"/>
                <w:szCs w:val="22"/>
                <w:color w:val="auto"/>
              </w:rPr>
            </w:pPr>
          </w:p>
        </w:tc>
        <w:tc>
          <w:tcPr>
            <w:tcW w:w="21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D9D9D9"/>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11.4</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980" w:type="dxa"/>
            <w:vAlign w:val="bottom"/>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21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D9D9D9"/>
          </w:tcPr>
          <w:p>
            <w:pPr>
              <w:spacing w:after="0"/>
              <w:rPr>
                <w:sz w:val="24"/>
                <w:szCs w:val="24"/>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15.2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(LOSS)/INCOME FROM CONTINUING OPERATIONS</w:t>
            </w:r>
          </w:p>
        </w:tc>
        <w:tc>
          <w:tcPr>
            <w:tcW w:w="100" w:type="dxa"/>
            <w:vAlign w:val="bottom"/>
            <w:shd w:val="clear" w:color="auto" w:fill="D9D9D9"/>
          </w:tcPr>
          <w:p>
            <w:pPr>
              <w:spacing w:after="0"/>
              <w:rPr>
                <w:sz w:val="24"/>
                <w:szCs w:val="24"/>
                <w:color w:val="auto"/>
              </w:rPr>
            </w:pPr>
          </w:p>
        </w:tc>
        <w:tc>
          <w:tcPr>
            <w:tcW w:w="212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80" w:type="dxa"/>
            <w:vAlign w:val="bottom"/>
            <w:vMerge w:val="continue"/>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2120" w:type="dxa"/>
            <w:vAlign w:val="bottom"/>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4980" w:type="dxa"/>
            <w:vAlign w:val="bottom"/>
          </w:tcPr>
          <w:p>
            <w:pPr>
              <w:spacing w:after="0"/>
              <w:rPr>
                <w:sz w:val="20"/>
                <w:szCs w:val="20"/>
                <w:color w:val="auto"/>
              </w:rPr>
            </w:pPr>
            <w:r>
              <w:rPr>
                <w:rFonts w:ascii="Arial" w:cs="Arial" w:eastAsia="Arial" w:hAnsi="Arial"/>
                <w:sz w:val="18"/>
                <w:szCs w:val="18"/>
                <w:b w:val="1"/>
                <w:bCs w:val="1"/>
                <w:color w:val="auto"/>
              </w:rPr>
              <w:t>BEFORE TAXES</w:t>
            </w:r>
          </w:p>
        </w:tc>
        <w:tc>
          <w:tcPr>
            <w:tcW w:w="2320" w:type="dxa"/>
            <w:vAlign w:val="bottom"/>
            <w:tcBorders>
              <w:bottom w:val="single" w:sz="8" w:color="D9D9D9"/>
            </w:tcBorders>
            <w:gridSpan w:val="3"/>
            <w:shd w:val="clear" w:color="auto" w:fill="D9D9D9"/>
          </w:tcPr>
          <w:p>
            <w:pPr>
              <w:jc w:val="right"/>
              <w:ind w:right="40"/>
              <w:spacing w:after="0"/>
              <w:rPr>
                <w:sz w:val="20"/>
                <w:szCs w:val="20"/>
                <w:color w:val="auto"/>
              </w:rPr>
            </w:pPr>
            <w:r>
              <w:rPr>
                <w:rFonts w:ascii="Arial" w:cs="Arial" w:eastAsia="Arial" w:hAnsi="Arial"/>
                <w:sz w:val="18"/>
                <w:szCs w:val="18"/>
                <w:b w:val="1"/>
                <w:bCs w:val="1"/>
                <w:color w:val="auto"/>
              </w:rPr>
              <w:t>(4.8)</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9.6</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4980" w:type="dxa"/>
            <w:vAlign w:val="bottom"/>
          </w:tcPr>
          <w:p>
            <w:pPr>
              <w:spacing w:after="0"/>
              <w:rPr>
                <w:sz w:val="20"/>
                <w:szCs w:val="20"/>
                <w:color w:val="auto"/>
              </w:rPr>
            </w:pPr>
            <w:r>
              <w:rPr>
                <w:rFonts w:ascii="Arial" w:cs="Arial" w:eastAsia="Arial" w:hAnsi="Arial"/>
                <w:sz w:val="18"/>
                <w:szCs w:val="18"/>
                <w:color w:val="auto"/>
              </w:rPr>
              <w:t>Tax expense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4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-3473450</wp:posOffset>
            </wp:positionV>
            <wp:extent cx="1351915" cy="18161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32">
                      <a:extLst>
                        <a:ext uri="{28A0092B-C50C-407E-A947-70E740481C1C}"/>
                      </a:extLst>
                    </a:blip>
                    <a:srcRect/>
                    <a:stretch>
                      <a:fillRect/>
                    </a:stretch>
                  </pic:blipFill>
                  <pic:spPr bwMode="auto">
                    <a:xfrm>
                      <a:off x="0" y="0"/>
                      <a:ext cx="1351915" cy="18161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-2007235</wp:posOffset>
            </wp:positionV>
            <wp:extent cx="1351915" cy="18161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33">
                      <a:extLst>
                        <a:ext uri="{28A0092B-C50C-407E-A947-70E740481C1C}"/>
                      </a:extLst>
                    </a:blip>
                    <a:srcRect/>
                    <a:stretch>
                      <a:fillRect/>
                    </a:stretch>
                  </pic:blipFill>
                  <pic:spPr bwMode="auto">
                    <a:xfrm>
                      <a:off x="0" y="0"/>
                      <a:ext cx="1351915" cy="18161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-1462405</wp:posOffset>
            </wp:positionV>
            <wp:extent cx="1416050" cy="18161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34">
                      <a:extLst>
                        <a:ext uri="{28A0092B-C50C-407E-A947-70E740481C1C}"/>
                      </a:extLst>
                    </a:blip>
                    <a:srcRect/>
                    <a:stretch>
                      <a:fillRect/>
                    </a:stretch>
                  </pic:blipFill>
                  <pic:spPr bwMode="auto">
                    <a:xfrm>
                      <a:off x="0" y="0"/>
                      <a:ext cx="1416050" cy="18161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-180975</wp:posOffset>
            </wp:positionV>
            <wp:extent cx="1351915" cy="18161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35">
                      <a:extLst>
                        <a:ext uri="{28A0092B-C50C-407E-A947-70E740481C1C}"/>
                      </a:extLst>
                    </a:blip>
                    <a:srcRect/>
                    <a:stretch>
                      <a:fillRect/>
                    </a:stretch>
                  </pic:blipFill>
                  <pic:spPr bwMode="auto">
                    <a:xfrm>
                      <a:off x="0" y="0"/>
                      <a:ext cx="1351915" cy="181610"/>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-4030980</wp:posOffset>
            </wp:positionV>
            <wp:extent cx="2915920" cy="635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36">
                      <a:extLst>
                        <a:ext uri="{28A0092B-C50C-407E-A947-70E740481C1C}"/>
                      </a:extLst>
                    </a:blip>
                    <a:srcRect/>
                    <a:stretch>
                      <a:fillRect/>
                    </a:stretch>
                  </pic:blipFill>
                  <pic:spPr bwMode="auto">
                    <a:xfrm>
                      <a:off x="0" y="0"/>
                      <a:ext cx="29159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-3661410</wp:posOffset>
            </wp:positionV>
            <wp:extent cx="6078220" cy="635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7">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-2383790</wp:posOffset>
            </wp:positionV>
            <wp:extent cx="2915920" cy="19431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8">
                      <a:extLst>
                        <a:ext uri="{28A0092B-C50C-407E-A947-70E740481C1C}"/>
                      </a:extLst>
                    </a:blip>
                    <a:srcRect/>
                    <a:stretch>
                      <a:fillRect/>
                    </a:stretch>
                  </pic:blipFill>
                  <pic:spPr bwMode="auto">
                    <a:xfrm>
                      <a:off x="0" y="0"/>
                      <a:ext cx="2915920" cy="194310"/>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-1099185</wp:posOffset>
            </wp:positionV>
            <wp:extent cx="2915920" cy="635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9">
                      <a:extLst>
                        <a:ext uri="{28A0092B-C50C-407E-A947-70E740481C1C}"/>
                      </a:extLst>
                    </a:blip>
                    <a:srcRect/>
                    <a:stretch>
                      <a:fillRect/>
                    </a:stretch>
                  </pic:blipFill>
                  <pic:spPr bwMode="auto">
                    <a:xfrm>
                      <a:off x="0" y="0"/>
                      <a:ext cx="2915920" cy="6350"/>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-911225</wp:posOffset>
            </wp:positionV>
            <wp:extent cx="2915920" cy="635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40">
                      <a:extLst>
                        <a:ext uri="{28A0092B-C50C-407E-A947-70E740481C1C}"/>
                      </a:extLst>
                    </a:blip>
                    <a:srcRect/>
                    <a:stretch>
                      <a:fillRect/>
                    </a:stretch>
                  </pic:blipFill>
                  <pic:spPr bwMode="auto">
                    <a:xfrm>
                      <a:off x="0" y="0"/>
                      <a:ext cx="2915920" cy="6350"/>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-723265</wp:posOffset>
            </wp:positionV>
            <wp:extent cx="2915920" cy="635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41">
                      <a:extLst>
                        <a:ext uri="{28A0092B-C50C-407E-A947-70E740481C1C}"/>
                      </a:extLst>
                    </a:blip>
                    <a:srcRect/>
                    <a:stretch>
                      <a:fillRect/>
                    </a:stretch>
                  </pic:blipFill>
                  <pic:spPr bwMode="auto">
                    <a:xfrm>
                      <a:off x="0" y="0"/>
                      <a:ext cx="2915920" cy="6350"/>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-368935</wp:posOffset>
            </wp:positionV>
            <wp:extent cx="2915920" cy="635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42">
                      <a:extLst>
                        <a:ext uri="{28A0092B-C50C-407E-A947-70E740481C1C}"/>
                      </a:extLst>
                    </a:blip>
                    <a:srcRect/>
                    <a:stretch>
                      <a:fillRect/>
                    </a:stretch>
                  </pic:blipFill>
                  <pic:spPr bwMode="auto">
                    <a:xfrm>
                      <a:off x="0" y="0"/>
                      <a:ext cx="2915920" cy="63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30 / 30</w:t>
      </w:r>
    </w:p>
    <w:p>
      <w:pPr>
        <w:sectPr>
          <w:pgSz w:w="11900" w:h="16838" w:orient="portrait"/>
          <w:cols w:equalWidth="0" w:num="1">
            <w:col w:w="10460"/>
          </w:cols>
          <w:pgMar w:left="1440" w:top="1440" w:right="6" w:bottom="0" w:gutter="0" w:footer="0" w:header="0"/>
          <w:type w:val="continuous"/>
        </w:sectPr>
      </w:pPr>
    </w:p>
    <w:bookmarkStart w:id="527" w:name="page528"/>
    <w:bookmarkEnd w:id="527"/>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CONTINUING OPERATIONS</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(4.8</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(1.1</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(3.7</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DISCONTINUED OPERATIONS</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1,263.4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(1,263.4</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(LOSS)/INCOME</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(4.8</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1,262.3</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85</w:t>
      </w:r>
    </w:p>
    <w:p>
      <w:pPr>
        <w:sectPr>
          <w:pgSz w:w="11900" w:h="16838" w:orient="portrait"/>
          <w:cols w:equalWidth="0" w:num="1">
            <w:col w:w="9400"/>
          </w:cols>
          <w:pgMar w:left="1260" w:top="1440" w:right="1246" w:bottom="0" w:gutter="0" w:footer="0" w:header="0"/>
          <w:type w:val="continuous"/>
        </w:sectPr>
      </w:pPr>
    </w:p>
    <w:bookmarkStart w:id="528" w:name="page529"/>
    <w:bookmarkEnd w:id="528"/>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(1,267.1</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376" w:lineRule="exact"/>
        <w:rPr>
          <w:sz w:val="20"/>
          <w:szCs w:val="20"/>
          <w:color w:val="auto"/>
        </w:rPr>
      </w:pPr>
    </w:p>
    <w:p>
      <w:pPr>
        <w:ind w:right="80"/>
        <w:spacing w:after="0" w:line="307" w:lineRule="auto"/>
        <w:rPr>
          <w:sz w:val="20"/>
          <w:szCs w:val="20"/>
          <w:color w:val="auto"/>
        </w:rPr>
      </w:pPr>
      <w:r>
        <w:rPr>
          <w:rFonts w:ascii="Arial" w:cs="Arial" w:eastAsia="Arial" w:hAnsi="Arial"/>
          <w:sz w:val="20"/>
          <w:szCs w:val="20"/>
          <w:color w:val="auto"/>
        </w:rPr>
        <w:t>The Company reported a net loss of $4.8 million in Q4 2024, compared to net income of $1,262.3 million in Q4 2023. The change was primarily attributable to:</w:t>
      </w:r>
    </w:p>
    <w:p>
      <w:pPr>
        <w:spacing w:after="0" w:line="179" w:lineRule="exact"/>
        <w:rPr>
          <w:sz w:val="20"/>
          <w:szCs w:val="20"/>
          <w:color w:val="auto"/>
        </w:rPr>
      </w:pPr>
    </w:p>
    <w:p>
      <w:pPr>
        <w:jc w:val="both"/>
        <w:ind w:left="940" w:right="60" w:hanging="457"/>
        <w:spacing w:after="0" w:line="373" w:lineRule="auto"/>
        <w:tabs>
          <w:tab w:leader="none" w:pos="94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recognition of a $0.4 million share of the loss from Cauchari-Olaroz in Q4 2024, versus a $21.2 million income in Q4 2023. As the Company’s share of Exar’s loss for 2024 exceeded the carrying value of its investment in Exar, losses were recognized only to the extent that the carrying value of the investment was reduced to $nil. The unrecognized share of Exar’s losses as of December 31, 2024 was $26.1 million;</w:t>
      </w:r>
    </w:p>
    <w:p>
      <w:pPr>
        <w:spacing w:after="0" w:line="132" w:lineRule="exact"/>
        <w:rPr>
          <w:rFonts w:ascii="Arial" w:cs="Arial" w:eastAsia="Arial" w:hAnsi="Arial"/>
          <w:sz w:val="20"/>
          <w:szCs w:val="20"/>
          <w:color w:val="auto"/>
        </w:rPr>
      </w:pPr>
    </w:p>
    <w:p>
      <w:pPr>
        <w:ind w:left="940" w:right="120" w:hanging="457"/>
        <w:spacing w:after="0" w:line="368" w:lineRule="auto"/>
        <w:tabs>
          <w:tab w:leader="none" w:pos="94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higher transaction costs of $4.8 million in Q4 2024, primarily related to the Continuation, compared to $2.7 million in Q4 2023;</w:t>
      </w:r>
    </w:p>
    <w:p>
      <w:pPr>
        <w:spacing w:after="0" w:line="134" w:lineRule="exact"/>
        <w:rPr>
          <w:rFonts w:ascii="Arial" w:cs="Arial" w:eastAsia="Arial" w:hAnsi="Arial"/>
          <w:sz w:val="20"/>
          <w:szCs w:val="20"/>
          <w:color w:val="auto"/>
        </w:rPr>
      </w:pPr>
    </w:p>
    <w:p>
      <w:pPr>
        <w:jc w:val="both"/>
        <w:ind w:left="940" w:right="80" w:hanging="457"/>
        <w:spacing w:after="0" w:line="372" w:lineRule="auto"/>
        <w:tabs>
          <w:tab w:leader="none" w:pos="94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lower foreign exchange gain of $0.3 million in Q4 2024, compared to $12.6 million in Q4 2023, primarily due to fewer blue-chip swap transactions and lower margins on funds transferred to Argentina; and</w:t>
      </w:r>
    </w:p>
    <w:p>
      <w:pPr>
        <w:spacing w:after="0" w:line="130" w:lineRule="exact"/>
        <w:rPr>
          <w:rFonts w:ascii="Arial" w:cs="Arial" w:eastAsia="Arial" w:hAnsi="Arial"/>
          <w:sz w:val="20"/>
          <w:szCs w:val="20"/>
          <w:color w:val="auto"/>
        </w:rPr>
      </w:pPr>
    </w:p>
    <w:p>
      <w:pPr>
        <w:jc w:val="both"/>
        <w:ind w:left="940" w:right="20" w:hanging="457"/>
        <w:spacing w:after="0" w:line="373" w:lineRule="auto"/>
        <w:tabs>
          <w:tab w:leader="none" w:pos="94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income from discontinued operations of $1,263.4 million in Q4 2023, compared to no income or loss from discontinued operations in Q4 2024. Income from discontinued operations in Q4 2023 was primarily attributable to the gain recognized on the distribution of assets to shareholders pursuant to the Separation.</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These factors were partially offset by:</w:t>
      </w:r>
    </w:p>
    <w:p>
      <w:pPr>
        <w:spacing w:after="0" w:line="243" w:lineRule="exact"/>
        <w:rPr>
          <w:sz w:val="20"/>
          <w:szCs w:val="20"/>
          <w:color w:val="auto"/>
        </w:rPr>
      </w:pPr>
    </w:p>
    <w:p>
      <w:pPr>
        <w:jc w:val="both"/>
        <w:ind w:left="940" w:right="80" w:hanging="457"/>
        <w:spacing w:after="0" w:line="372" w:lineRule="auto"/>
        <w:tabs>
          <w:tab w:leader="none" w:pos="94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lower exploration and evaluation expenditures related to consulting and salaries, drilling, and field supplies, reflecting decreased activity levels and cost reduction initiatives at Pastos Grandes and Antofalla;</w:t>
      </w:r>
    </w:p>
    <w:p>
      <w:pPr>
        <w:spacing w:after="0" w:line="126"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565785</wp:posOffset>
            </wp:positionV>
            <wp:extent cx="6764020" cy="1905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4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85</w:t>
      </w:r>
    </w:p>
    <w:p>
      <w:pPr>
        <w:sectPr>
          <w:pgSz w:w="11900" w:h="16838" w:orient="portrait"/>
          <w:cols w:equalWidth="0" w:num="1">
            <w:col w:w="9400"/>
          </w:cols>
          <w:pgMar w:left="1260" w:top="1440" w:right="1246" w:bottom="0" w:gutter="0" w:footer="0" w:header="0"/>
          <w:type w:val="continuous"/>
        </w:sectPr>
      </w:pPr>
    </w:p>
    <w:bookmarkStart w:id="529" w:name="page530"/>
    <w:bookmarkEnd w:id="5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44">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80" w:hanging="497"/>
        <w:spacing w:after="0" w:line="368" w:lineRule="auto"/>
        <w:tabs>
          <w:tab w:leader="none" w:pos="188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lower general and administrative expenses of $4.1 million in Q4 2024, compared to $9.4 million i 2023, reflecting Company-wide cost reduction measures;</w:t>
      </w:r>
    </w:p>
    <w:p>
      <w:pPr>
        <w:spacing w:after="0" w:line="134" w:lineRule="exact"/>
        <w:rPr>
          <w:rFonts w:ascii="Arial" w:cs="Arial" w:eastAsia="Arial" w:hAnsi="Arial"/>
          <w:sz w:val="20"/>
          <w:szCs w:val="20"/>
          <w:color w:val="auto"/>
        </w:rPr>
      </w:pPr>
    </w:p>
    <w:p>
      <w:pPr>
        <w:ind w:left="1880" w:hanging="497"/>
        <w:spacing w:after="0" w:line="368" w:lineRule="auto"/>
        <w:tabs>
          <w:tab w:leader="none" w:pos="188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lower Share based compensation expense of $2.1 million in Q4 2024, compared to $5.7 million i 2023;</w:t>
      </w:r>
    </w:p>
    <w:p>
      <w:pPr>
        <w:spacing w:after="0" w:line="134" w:lineRule="exact"/>
        <w:rPr>
          <w:rFonts w:ascii="Arial" w:cs="Arial" w:eastAsia="Arial" w:hAnsi="Arial"/>
          <w:sz w:val="20"/>
          <w:szCs w:val="20"/>
          <w:color w:val="auto"/>
        </w:rPr>
      </w:pPr>
    </w:p>
    <w:p>
      <w:pPr>
        <w:ind w:left="1880" w:right="20" w:hanging="497"/>
        <w:spacing w:after="0" w:line="368" w:lineRule="auto"/>
        <w:tabs>
          <w:tab w:leader="none" w:pos="188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higher finance income from interest income earned on the Company’s loans to Exar Capital and in Q4 2024, compared to Q4 2023; and</w:t>
      </w:r>
    </w:p>
    <w:p>
      <w:pPr>
        <w:spacing w:after="0" w:line="134" w:lineRule="exact"/>
        <w:rPr>
          <w:rFonts w:ascii="Arial" w:cs="Arial" w:eastAsia="Arial" w:hAnsi="Arial"/>
          <w:sz w:val="20"/>
          <w:szCs w:val="20"/>
          <w:color w:val="auto"/>
        </w:rPr>
      </w:pPr>
    </w:p>
    <w:p>
      <w:pPr>
        <w:ind w:left="1880" w:right="20" w:hanging="497"/>
        <w:spacing w:after="0" w:line="368" w:lineRule="auto"/>
        <w:tabs>
          <w:tab w:leader="none" w:pos="188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recognition of deferred tax expense of $10.7 million in Q4 2023, primarily due to the signif weakening of the Argentine Peso against the US dollar.</w:t>
      </w:r>
    </w:p>
    <w:p>
      <w:pPr>
        <w:spacing w:after="0" w:line="324"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235585</wp:posOffset>
            </wp:positionV>
            <wp:extent cx="6078220" cy="2857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45">
                      <a:extLst>
                        <a:ext uri="{28A0092B-C50C-407E-A947-70E740481C1C}"/>
                      </a:extLst>
                    </a:blip>
                    <a:srcRect/>
                    <a:stretch>
                      <a:fillRect/>
                    </a:stretch>
                  </pic:blipFill>
                  <pic:spPr bwMode="auto">
                    <a:xfrm>
                      <a:off x="0" y="0"/>
                      <a:ext cx="6078220" cy="2857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900" w:type="dxa"/>
        <w:tblCellMar>
          <w:top w:w="0" w:type="dxa"/>
          <w:left w:w="0" w:type="dxa"/>
          <w:bottom w:w="0" w:type="dxa"/>
          <w:right w:w="0" w:type="dxa"/>
        </w:tblCellMar>
      </w:tblPr>
      <w:tr>
        <w:trPr>
          <w:trHeight w:val="217"/>
        </w:trPr>
        <w:tc>
          <w:tcPr>
            <w:tcW w:w="5160" w:type="dxa"/>
            <w:vAlign w:val="bottom"/>
          </w:tcPr>
          <w:p>
            <w:pPr>
              <w:spacing w:after="0"/>
              <w:rPr>
                <w:sz w:val="20"/>
                <w:szCs w:val="20"/>
                <w:color w:val="auto"/>
              </w:rPr>
            </w:pPr>
            <w:r>
              <w:rPr>
                <w:rFonts w:ascii="Arial" w:cs="Arial" w:eastAsia="Arial" w:hAnsi="Arial"/>
                <w:sz w:val="18"/>
                <w:szCs w:val="18"/>
                <w:b w:val="1"/>
                <w:bCs w:val="1"/>
                <w:color w:val="auto"/>
              </w:rPr>
              <w:t>Cash Flow Highlights</w:t>
            </w:r>
          </w:p>
        </w:tc>
        <w:tc>
          <w:tcPr>
            <w:tcW w:w="100" w:type="dxa"/>
            <w:vAlign w:val="bottom"/>
          </w:tcPr>
          <w:p>
            <w:pPr>
              <w:spacing w:after="0"/>
              <w:rPr>
                <w:sz w:val="18"/>
                <w:szCs w:val="18"/>
                <w:color w:val="auto"/>
              </w:rPr>
            </w:pPr>
          </w:p>
        </w:tc>
        <w:tc>
          <w:tcPr>
            <w:tcW w:w="38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Years Ended December 31,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5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Pr>
          <w:p>
            <w:pPr>
              <w:spacing w:after="0"/>
              <w:rPr>
                <w:sz w:val="20"/>
                <w:szCs w:val="20"/>
                <w:color w:val="auto"/>
              </w:rPr>
            </w:pPr>
            <w:r>
              <w:rPr>
                <w:rFonts w:ascii="Arial" w:cs="Arial" w:eastAsia="Arial" w:hAnsi="Arial"/>
                <w:sz w:val="18"/>
                <w:szCs w:val="18"/>
                <w:b w:val="1"/>
                <w:bCs w:val="1"/>
                <w:color w:val="auto"/>
              </w:rPr>
              <w:t>(in US$ million)</w:t>
            </w:r>
          </w:p>
        </w:tc>
        <w:tc>
          <w:tcPr>
            <w:tcW w:w="1640" w:type="dxa"/>
            <w:vAlign w:val="bottom"/>
            <w:gridSpan w:val="2"/>
            <w:shd w:val="clear" w:color="auto" w:fill="D9D9D9"/>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2320" w:type="dxa"/>
            <w:vAlign w:val="bottom"/>
          </w:tcPr>
          <w:p>
            <w:pPr>
              <w:jc w:val="right"/>
              <w:ind w:right="690"/>
              <w:spacing w:after="0"/>
              <w:rPr>
                <w:sz w:val="20"/>
                <w:szCs w:val="20"/>
                <w:color w:val="auto"/>
              </w:rPr>
            </w:pPr>
            <w:r>
              <w:rPr>
                <w:rFonts w:ascii="Arial" w:cs="Arial" w:eastAsia="Arial" w:hAnsi="Arial"/>
                <w:sz w:val="18"/>
                <w:szCs w:val="18"/>
                <w:b w:val="1"/>
                <w:bCs w:val="1"/>
                <w:color w:val="auto"/>
              </w:rPr>
              <w:t>2024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5160" w:type="dxa"/>
            <w:vAlign w:val="bottom"/>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540" w:type="dxa"/>
            <w:vAlign w:val="bottom"/>
            <w:shd w:val="clear" w:color="auto" w:fill="D9D9D9"/>
          </w:tcPr>
          <w:p>
            <w:pPr>
              <w:spacing w:after="0"/>
              <w:rPr>
                <w:sz w:val="3"/>
                <w:szCs w:val="3"/>
                <w:color w:val="auto"/>
              </w:rPr>
            </w:pPr>
          </w:p>
        </w:tc>
        <w:tc>
          <w:tcPr>
            <w:tcW w:w="2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5160" w:type="dxa"/>
            <w:vAlign w:val="bottom"/>
          </w:tcPr>
          <w:p>
            <w:pPr>
              <w:spacing w:after="0"/>
              <w:rPr>
                <w:sz w:val="24"/>
                <w:szCs w:val="24"/>
                <w:color w:val="auto"/>
              </w:rPr>
            </w:pPr>
          </w:p>
        </w:tc>
        <w:tc>
          <w:tcPr>
            <w:tcW w:w="1640" w:type="dxa"/>
            <w:vAlign w:val="bottom"/>
            <w:tcBorders>
              <w:bottom w:val="single" w:sz="8" w:color="D9D9D9"/>
            </w:tcBorders>
            <w:gridSpan w:val="2"/>
            <w:shd w:val="clear" w:color="auto" w:fill="D9D9D9"/>
          </w:tcPr>
          <w:p>
            <w:pPr>
              <w:jc w:val="right"/>
              <w:ind w:right="10"/>
              <w:spacing w:after="0"/>
              <w:rPr>
                <w:sz w:val="20"/>
                <w:szCs w:val="20"/>
                <w:color w:val="auto"/>
              </w:rPr>
            </w:pPr>
            <w:r>
              <w:rPr>
                <w:rFonts w:ascii="Arial" w:cs="Arial" w:eastAsia="Arial" w:hAnsi="Arial"/>
                <w:sz w:val="18"/>
                <w:szCs w:val="18"/>
                <w:b w:val="1"/>
                <w:bCs w:val="1"/>
                <w:color w:val="auto"/>
              </w:rPr>
              <w:t>$</w:t>
            </w:r>
          </w:p>
        </w:tc>
        <w:tc>
          <w:tcPr>
            <w:tcW w:w="232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D9D9D9"/>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(30.0)</w:t>
            </w:r>
          </w:p>
        </w:tc>
        <w:tc>
          <w:tcPr>
            <w:tcW w:w="2320" w:type="dxa"/>
            <w:vAlign w:val="bottom"/>
          </w:tcPr>
          <w:p>
            <w:pPr>
              <w:jc w:val="right"/>
              <w:ind w:right="610"/>
              <w:spacing w:after="0"/>
              <w:rPr>
                <w:sz w:val="20"/>
                <w:szCs w:val="20"/>
                <w:color w:val="auto"/>
              </w:rPr>
            </w:pPr>
            <w:r>
              <w:rPr>
                <w:rFonts w:ascii="Arial" w:cs="Arial" w:eastAsia="Arial" w:hAnsi="Arial"/>
                <w:sz w:val="18"/>
                <w:szCs w:val="18"/>
                <w:color w:val="auto"/>
              </w:rPr>
              <w:t>(21.8)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5160" w:type="dxa"/>
            <w:vAlign w:val="bottom"/>
          </w:tcPr>
          <w:p>
            <w:pPr>
              <w:spacing w:after="0"/>
              <w:rPr>
                <w:sz w:val="20"/>
                <w:szCs w:val="20"/>
                <w:color w:val="auto"/>
              </w:rPr>
            </w:pPr>
            <w:r>
              <w:rPr>
                <w:rFonts w:ascii="Arial" w:cs="Arial" w:eastAsia="Arial" w:hAnsi="Arial"/>
                <w:sz w:val="18"/>
                <w:szCs w:val="18"/>
                <w:color w:val="auto"/>
              </w:rPr>
              <w:t>Net cash provided/(used) in investing activities</w:t>
            </w:r>
          </w:p>
        </w:tc>
        <w:tc>
          <w:tcPr>
            <w:tcW w:w="100" w:type="dxa"/>
            <w:vAlign w:val="bottom"/>
            <w:shd w:val="clear" w:color="auto" w:fill="D9D9D9"/>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2320" w:type="dxa"/>
            <w:vAlign w:val="bottom"/>
          </w:tcPr>
          <w:p>
            <w:pPr>
              <w:jc w:val="right"/>
              <w:ind w:right="610"/>
              <w:spacing w:after="0"/>
              <w:rPr>
                <w:sz w:val="20"/>
                <w:szCs w:val="20"/>
                <w:color w:val="auto"/>
              </w:rPr>
            </w:pPr>
            <w:r>
              <w:rPr>
                <w:rFonts w:ascii="Arial" w:cs="Arial" w:eastAsia="Arial" w:hAnsi="Arial"/>
                <w:sz w:val="18"/>
                <w:szCs w:val="18"/>
                <w:color w:val="auto"/>
              </w:rPr>
              <w:t>(85.9)</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160" w:type="dxa"/>
            <w:vAlign w:val="bottom"/>
          </w:tcPr>
          <w:p>
            <w:pPr>
              <w:spacing w:after="0"/>
              <w:rPr>
                <w:sz w:val="20"/>
                <w:szCs w:val="20"/>
                <w:color w:val="auto"/>
              </w:rPr>
            </w:pPr>
            <w:r>
              <w:rPr>
                <w:rFonts w:ascii="Arial" w:cs="Arial" w:eastAsia="Arial" w:hAnsi="Arial"/>
                <w:sz w:val="18"/>
                <w:szCs w:val="18"/>
                <w:color w:val="auto"/>
              </w:rPr>
              <w:t>Net cash (used)/provided by financing activities</w:t>
            </w:r>
          </w:p>
        </w:tc>
        <w:tc>
          <w:tcPr>
            <w:tcW w:w="100" w:type="dxa"/>
            <w:vAlign w:val="bottom"/>
            <w:shd w:val="clear" w:color="auto" w:fill="D9D9D9"/>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(0.3)</w:t>
            </w:r>
          </w:p>
        </w:tc>
        <w:tc>
          <w:tcPr>
            <w:tcW w:w="2320" w:type="dxa"/>
            <w:vAlign w:val="bottom"/>
          </w:tcPr>
          <w:p>
            <w:pPr>
              <w:jc w:val="right"/>
              <w:ind w:right="690"/>
              <w:spacing w:after="0"/>
              <w:rPr>
                <w:sz w:val="20"/>
                <w:szCs w:val="20"/>
                <w:color w:val="auto"/>
              </w:rPr>
            </w:pPr>
            <w:r>
              <w:rPr>
                <w:rFonts w:ascii="Arial" w:cs="Arial" w:eastAsia="Arial" w:hAnsi="Arial"/>
                <w:sz w:val="18"/>
                <w:szCs w:val="18"/>
                <w:color w:val="auto"/>
              </w:rPr>
              <w:t>68.8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5160" w:type="dxa"/>
            <w:vAlign w:val="bottom"/>
            <w:vMerge w:val="restart"/>
          </w:tcPr>
          <w:p>
            <w:pPr>
              <w:spacing w:after="0"/>
              <w:rPr>
                <w:sz w:val="20"/>
                <w:szCs w:val="20"/>
                <w:color w:val="auto"/>
              </w:rPr>
            </w:pPr>
            <w:r>
              <w:rPr>
                <w:rFonts w:ascii="Arial" w:cs="Arial" w:eastAsia="Arial" w:hAnsi="Arial"/>
                <w:sz w:val="18"/>
                <w:szCs w:val="18"/>
                <w:color w:val="auto"/>
              </w:rPr>
              <w:t>Effect of foreign exchange on cash</w:t>
            </w:r>
          </w:p>
        </w:tc>
        <w:tc>
          <w:tcPr>
            <w:tcW w:w="100" w:type="dxa"/>
            <w:vAlign w:val="bottom"/>
            <w:shd w:val="clear" w:color="auto" w:fill="D9D9D9"/>
          </w:tcPr>
          <w:p>
            <w:pPr>
              <w:spacing w:after="0"/>
              <w:rPr>
                <w:sz w:val="3"/>
                <w:szCs w:val="3"/>
                <w:color w:val="auto"/>
              </w:rPr>
            </w:pPr>
          </w:p>
        </w:tc>
        <w:tc>
          <w:tcPr>
            <w:tcW w:w="1540" w:type="dxa"/>
            <w:vAlign w:val="bottom"/>
          </w:tcPr>
          <w:p>
            <w:pPr>
              <w:spacing w:after="0"/>
              <w:rPr>
                <w:sz w:val="3"/>
                <w:szCs w:val="3"/>
                <w:color w:val="auto"/>
              </w:rPr>
            </w:pPr>
          </w:p>
        </w:tc>
        <w:tc>
          <w:tcPr>
            <w:tcW w:w="2320" w:type="dxa"/>
            <w:vAlign w:val="bottom"/>
            <w:vMerge w:val="restart"/>
          </w:tcPr>
          <w:p>
            <w:pPr>
              <w:jc w:val="right"/>
              <w:ind w:right="690"/>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vMerge w:val="continue"/>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(0.4)</w:t>
            </w:r>
          </w:p>
        </w:tc>
        <w:tc>
          <w:tcPr>
            <w:tcW w:w="232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5160" w:type="dxa"/>
            <w:vAlign w:val="bottom"/>
          </w:tcPr>
          <w:p>
            <w:pPr>
              <w:spacing w:after="0"/>
              <w:rPr>
                <w:sz w:val="20"/>
                <w:szCs w:val="20"/>
                <w:color w:val="auto"/>
              </w:rPr>
            </w:pPr>
            <w:r>
              <w:rPr>
                <w:rFonts w:ascii="Arial" w:cs="Arial" w:eastAsia="Arial" w:hAnsi="Arial"/>
                <w:sz w:val="18"/>
                <w:szCs w:val="18"/>
                <w:b w:val="1"/>
                <w:bCs w:val="1"/>
                <w:color w:val="auto"/>
              </w:rPr>
              <w:t>Change in cash and cash equivalents</w:t>
            </w:r>
          </w:p>
        </w:tc>
        <w:tc>
          <w:tcPr>
            <w:tcW w:w="100" w:type="dxa"/>
            <w:vAlign w:val="bottom"/>
            <w:shd w:val="clear" w:color="auto" w:fill="D9D9D9"/>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(24.4)</w:t>
            </w:r>
          </w:p>
        </w:tc>
        <w:tc>
          <w:tcPr>
            <w:tcW w:w="2320" w:type="dxa"/>
            <w:vAlign w:val="bottom"/>
          </w:tcPr>
          <w:p>
            <w:pPr>
              <w:jc w:val="right"/>
              <w:ind w:right="610"/>
              <w:spacing w:after="0"/>
              <w:rPr>
                <w:sz w:val="20"/>
                <w:szCs w:val="20"/>
                <w:color w:val="auto"/>
              </w:rPr>
            </w:pPr>
            <w:r>
              <w:rPr>
                <w:rFonts w:ascii="Arial" w:cs="Arial" w:eastAsia="Arial" w:hAnsi="Arial"/>
                <w:sz w:val="18"/>
                <w:szCs w:val="18"/>
                <w:b w:val="1"/>
                <w:bCs w:val="1"/>
                <w:color w:val="auto"/>
              </w:rPr>
              <w:t>(36.8)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5160" w:type="dxa"/>
            <w:vAlign w:val="bottom"/>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15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Pr>
          <w:p>
            <w:pPr>
              <w:spacing w:after="0"/>
              <w:rPr>
                <w:sz w:val="20"/>
                <w:szCs w:val="20"/>
                <w:color w:val="auto"/>
              </w:rPr>
            </w:pPr>
            <w:r>
              <w:rPr>
                <w:rFonts w:ascii="Arial" w:cs="Arial" w:eastAsia="Arial" w:hAnsi="Arial"/>
                <w:sz w:val="18"/>
                <w:szCs w:val="18"/>
                <w:b w:val="1"/>
                <w:bCs w:val="1"/>
                <w:color w:val="auto"/>
              </w:rPr>
              <w:t>Cash and cash equivalents - beginning of the period</w:t>
            </w:r>
          </w:p>
        </w:tc>
        <w:tc>
          <w:tcPr>
            <w:tcW w:w="100" w:type="dxa"/>
            <w:vAlign w:val="bottom"/>
            <w:shd w:val="clear" w:color="auto" w:fill="D9D9D9"/>
          </w:tcPr>
          <w:p>
            <w:pPr>
              <w:spacing w:after="0"/>
              <w:rPr>
                <w:sz w:val="21"/>
                <w:szCs w:val="21"/>
                <w:color w:val="auto"/>
              </w:rPr>
            </w:pPr>
          </w:p>
        </w:tc>
        <w:tc>
          <w:tcPr>
            <w:tcW w:w="1540" w:type="dxa"/>
            <w:vAlign w:val="bottom"/>
            <w:shd w:val="clear" w:color="auto" w:fill="D9D9D9"/>
          </w:tcPr>
          <w:p>
            <w:pPr>
              <w:jc w:val="right"/>
              <w:ind w:right="10"/>
              <w:spacing w:after="0"/>
              <w:rPr>
                <w:sz w:val="20"/>
                <w:szCs w:val="20"/>
                <w:color w:val="auto"/>
              </w:rPr>
            </w:pPr>
            <w:r>
              <w:rPr>
                <w:rFonts w:ascii="Arial" w:cs="Arial" w:eastAsia="Arial" w:hAnsi="Arial"/>
                <w:sz w:val="18"/>
                <w:szCs w:val="18"/>
                <w:b w:val="1"/>
                <w:bCs w:val="1"/>
                <w:color w:val="auto"/>
              </w:rPr>
              <w:t>85.5</w:t>
            </w:r>
          </w:p>
        </w:tc>
        <w:tc>
          <w:tcPr>
            <w:tcW w:w="2320" w:type="dxa"/>
            <w:vAlign w:val="bottom"/>
          </w:tcPr>
          <w:p>
            <w:pPr>
              <w:jc w:val="right"/>
              <w:ind w:right="690"/>
              <w:spacing w:after="0"/>
              <w:rPr>
                <w:sz w:val="20"/>
                <w:szCs w:val="20"/>
                <w:color w:val="auto"/>
              </w:rPr>
            </w:pPr>
            <w:r>
              <w:rPr>
                <w:rFonts w:ascii="Arial" w:cs="Arial" w:eastAsia="Arial" w:hAnsi="Arial"/>
                <w:sz w:val="18"/>
                <w:szCs w:val="18"/>
                <w:b w:val="1"/>
                <w:bCs w:val="1"/>
                <w:color w:val="auto"/>
              </w:rPr>
              <w:t>122.3</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96"/>
        </w:trPr>
        <w:tc>
          <w:tcPr>
            <w:tcW w:w="516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the period</w:t>
            </w:r>
          </w:p>
        </w:tc>
        <w:tc>
          <w:tcPr>
            <w:tcW w:w="100" w:type="dxa"/>
            <w:vAlign w:val="bottom"/>
            <w:shd w:val="clear" w:color="auto" w:fill="D9D9D9"/>
          </w:tcPr>
          <w:p>
            <w:pPr>
              <w:spacing w:after="0"/>
              <w:rPr>
                <w:sz w:val="24"/>
                <w:szCs w:val="24"/>
                <w:color w:val="auto"/>
              </w:rPr>
            </w:pPr>
          </w:p>
        </w:tc>
        <w:tc>
          <w:tcPr>
            <w:tcW w:w="1540" w:type="dxa"/>
            <w:vAlign w:val="bottom"/>
            <w:shd w:val="clear" w:color="auto" w:fill="D9D9D9"/>
          </w:tcPr>
          <w:p>
            <w:pPr>
              <w:jc w:val="right"/>
              <w:ind w:right="10"/>
              <w:spacing w:after="0"/>
              <w:rPr>
                <w:sz w:val="20"/>
                <w:szCs w:val="20"/>
                <w:color w:val="auto"/>
              </w:rPr>
            </w:pPr>
            <w:r>
              <w:rPr>
                <w:rFonts w:ascii="Arial" w:cs="Arial" w:eastAsia="Arial" w:hAnsi="Arial"/>
                <w:sz w:val="18"/>
                <w:szCs w:val="18"/>
                <w:b w:val="1"/>
                <w:bCs w:val="1"/>
                <w:color w:val="auto"/>
              </w:rPr>
              <w:t>61.1</w:t>
            </w:r>
          </w:p>
        </w:tc>
        <w:tc>
          <w:tcPr>
            <w:tcW w:w="2320" w:type="dxa"/>
            <w:vAlign w:val="bottom"/>
          </w:tcPr>
          <w:p>
            <w:pPr>
              <w:jc w:val="right"/>
              <w:ind w:right="690"/>
              <w:spacing w:after="0"/>
              <w:rPr>
                <w:sz w:val="20"/>
                <w:szCs w:val="20"/>
                <w:color w:val="auto"/>
              </w:rPr>
            </w:pPr>
            <w:r>
              <w:rPr>
                <w:rFonts w:ascii="Arial" w:cs="Arial" w:eastAsia="Arial" w:hAnsi="Arial"/>
                <w:sz w:val="18"/>
                <w:szCs w:val="18"/>
                <w:b w:val="1"/>
                <w:bCs w:val="1"/>
                <w:color w:val="auto"/>
              </w:rPr>
              <w:t>85.5</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46"/>
        </w:trPr>
        <w:tc>
          <w:tcPr>
            <w:tcW w:w="5160" w:type="dxa"/>
            <w:vAlign w:val="bottom"/>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1540" w:type="dxa"/>
            <w:vAlign w:val="bottom"/>
            <w:shd w:val="clear" w:color="auto" w:fill="D9D9D9"/>
          </w:tcPr>
          <w:p>
            <w:pPr>
              <w:spacing w:after="0"/>
              <w:rPr>
                <w:sz w:val="4"/>
                <w:szCs w:val="4"/>
                <w:color w:val="auto"/>
              </w:rPr>
            </w:pPr>
          </w:p>
        </w:tc>
        <w:tc>
          <w:tcPr>
            <w:tcW w:w="2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-1666240</wp:posOffset>
            </wp:positionV>
            <wp:extent cx="6078220" cy="129032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46">
                      <a:extLst>
                        <a:ext uri="{28A0092B-C50C-407E-A947-70E740481C1C}"/>
                      </a:extLst>
                    </a:blip>
                    <a:srcRect/>
                    <a:stretch>
                      <a:fillRect/>
                    </a:stretch>
                  </pic:blipFill>
                  <pic:spPr bwMode="auto">
                    <a:xfrm>
                      <a:off x="0" y="0"/>
                      <a:ext cx="6078220" cy="129032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-193675</wp:posOffset>
            </wp:positionV>
            <wp:extent cx="6078220" cy="635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7">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-5715</wp:posOffset>
            </wp:positionV>
            <wp:extent cx="6078220" cy="635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8">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20"/>
          <w:szCs w:val="20"/>
          <w:color w:val="auto"/>
        </w:rPr>
        <w:t>As at December 31, 2025, the Company had cash and cash equivalents of $61.1 million.</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Company expects that its existing cash balance, proceeds from operations, and other sources of fina will provide sufficient resources to fund the planned expenditures at Pastos Grandes, Sal de la Puna, its sha Cauchari-Olaroz planned expenditures, as well as general and administrative costs and other obligations (re section “Liquidity and going concern” above).</w:t>
      </w:r>
    </w:p>
    <w:p>
      <w:pPr>
        <w:spacing w:after="0" w:line="2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timing and amount of expenditures for Pastos Grandes are within the Company’s control due to its contr interests in the project. However, pursuant to the agreements governing Cauchari-Olaroz and Sal de la P decisions regarding capital budgets for these projects require agreement between Lithium Argentina and projects’ co-owner, Ganfeng.</w:t>
      </w:r>
    </w:p>
    <w:p>
      <w:pPr>
        <w:spacing w:after="0" w:line="212" w:lineRule="exact"/>
        <w:rPr>
          <w:sz w:val="20"/>
          <w:szCs w:val="20"/>
          <w:color w:val="auto"/>
        </w:rPr>
      </w:pPr>
    </w:p>
    <w:p>
      <w:pPr>
        <w:ind w:left="900" w:right="40"/>
        <w:spacing w:after="0" w:line="307" w:lineRule="auto"/>
        <w:rPr>
          <w:sz w:val="20"/>
          <w:szCs w:val="20"/>
          <w:color w:val="auto"/>
        </w:rPr>
      </w:pPr>
      <w:r>
        <w:rPr>
          <w:rFonts w:ascii="Arial" w:cs="Arial" w:eastAsia="Arial" w:hAnsi="Arial"/>
          <w:sz w:val="20"/>
          <w:szCs w:val="20"/>
          <w:color w:val="auto"/>
        </w:rPr>
        <w:t>The Company’s capital resources are driven by the status of its assets, the operation at Cauchari-Olaroz, a ability to secure investor support for its initiative.</w:t>
      </w:r>
    </w:p>
    <w:p>
      <w:pPr>
        <w:spacing w:after="0" w:line="215"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In the long-term, the Company expects to meet its obligations and fund the development of its projects thr the financing plans described above. However, given the conditions associated with such financing, there ca no assurance that the Company will successfully complete all of its contemplated financing plans. Exce disclosed, the Company is not aware of any trends, demands, commitments, events, or uncertainties tha</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 / 85</w:t>
      </w:r>
    </w:p>
    <w:p>
      <w:pPr>
        <w:sectPr>
          <w:pgSz w:w="11900" w:h="16838" w:orient="portrait"/>
          <w:cols w:equalWidth="0" w:num="1">
            <w:col w:w="10460"/>
          </w:cols>
          <w:pgMar w:left="1440" w:top="1440" w:right="6" w:bottom="0" w:gutter="0" w:footer="0" w:header="0"/>
          <w:type w:val="continuous"/>
        </w:sectPr>
      </w:pPr>
    </w:p>
    <w:bookmarkStart w:id="530" w:name="page531"/>
    <w:bookmarkEnd w:id="530"/>
    <w:p>
      <w:pPr>
        <w:jc w:val="both"/>
        <w:ind w:left="900"/>
        <w:spacing w:after="0" w:line="311" w:lineRule="auto"/>
        <w:rPr>
          <w:sz w:val="20"/>
          <w:szCs w:val="20"/>
          <w:color w:val="auto"/>
        </w:rPr>
      </w:pPr>
      <w:r>
        <w:rPr>
          <w:rFonts w:ascii="Arial" w:cs="Arial" w:eastAsia="Arial" w:hAnsi="Arial"/>
          <w:sz w:val="20"/>
          <w:szCs w:val="20"/>
          <w:color w:val="auto"/>
        </w:rPr>
        <w:t>likely to materially affect its liquidity and capital resources, either positively or negatively, in the nea foreseeable future. The Company does not engage in currency hedging to mitigate any risks related to curr fluctuations.</w:t>
      </w:r>
    </w:p>
    <w:p>
      <w:pPr>
        <w:spacing w:after="0" w:line="24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279" w:lineRule="exact"/>
        <w:rPr>
          <w:sz w:val="20"/>
          <w:szCs w:val="20"/>
          <w:color w:val="auto"/>
        </w:rPr>
      </w:pPr>
    </w:p>
    <w:p>
      <w:pPr>
        <w:jc w:val="both"/>
        <w:ind w:left="900"/>
        <w:spacing w:after="0" w:line="336" w:lineRule="auto"/>
        <w:rPr>
          <w:sz w:val="20"/>
          <w:szCs w:val="20"/>
          <w:color w:val="auto"/>
        </w:rPr>
      </w:pPr>
      <w:r>
        <w:rPr>
          <w:rFonts w:ascii="Arial" w:cs="Arial" w:eastAsia="Arial" w:hAnsi="Arial"/>
          <w:sz w:val="19"/>
          <w:szCs w:val="19"/>
          <w:color w:val="auto"/>
        </w:rPr>
        <w:t>Cash used in operating activities for the year ended December 31, 2025, was $30.0 million (2024 – $21.8 mi The significant components of operating activities are discussed in the “Results of Operations” section above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 / 85</w:t>
      </w:r>
    </w:p>
    <w:p>
      <w:pPr>
        <w:sectPr>
          <w:pgSz w:w="11900" w:h="16838" w:orient="portrait"/>
          <w:cols w:equalWidth="0" w:num="1">
            <w:col w:w="10460"/>
          </w:cols>
          <w:pgMar w:left="1440" w:top="1172" w:right="6" w:bottom="0" w:gutter="0" w:footer="0" w:header="0"/>
          <w:type w:val="continuous"/>
        </w:sectPr>
      </w:pPr>
    </w:p>
    <w:bookmarkStart w:id="531" w:name="page532"/>
    <w:bookmarkEnd w:id="5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50">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279"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color w:val="auto"/>
        </w:rPr>
        <w:t>Cash provided by investing activities for the year ended December 31, 2025, was $6.3 million (2024 – $ million cash used in investing activities).</w:t>
      </w:r>
    </w:p>
    <w:p>
      <w:pPr>
        <w:spacing w:after="0" w:line="21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During the year ended December 31, 2025, the Company received a partial repayment of its outstanding lo Exar Capital totaling $3.9 million. Additionally, the Company received $3.0 million from the sale of Cauchari mineral rights to the Cauchari-Olaroz project, which was partially offset by a $0.4 million contribution t investment in Sal de la Puna and $0.2 million in capital expenditures, including additions to exploration evaluation assets.</w:t>
      </w:r>
    </w:p>
    <w:p>
      <w:pPr>
        <w:spacing w:after="0" w:line="243"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374"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Equity-settleable Convertible Notes</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On December 6, 2021, the Company closed an offering (the “</w:t>
      </w:r>
      <w:r>
        <w:rPr>
          <w:rFonts w:ascii="Arial" w:cs="Arial" w:eastAsia="Arial" w:hAnsi="Arial"/>
          <w:sz w:val="20"/>
          <w:szCs w:val="20"/>
          <w:b w:val="1"/>
          <w:bCs w:val="1"/>
          <w:color w:val="auto"/>
        </w:rPr>
        <w:t>Offering</w:t>
      </w:r>
      <w:r>
        <w:rPr>
          <w:rFonts w:ascii="Arial" w:cs="Arial" w:eastAsia="Arial" w:hAnsi="Arial"/>
          <w:sz w:val="20"/>
          <w:szCs w:val="20"/>
          <w:color w:val="auto"/>
        </w:rPr>
        <w:t>”) of $225 million aggregate prin amount of 1.75% convertible senior notes due in 2027 (the “</w:t>
      </w:r>
      <w:r>
        <w:rPr>
          <w:rFonts w:ascii="Arial" w:cs="Arial" w:eastAsia="Arial" w:hAnsi="Arial"/>
          <w:sz w:val="20"/>
          <w:szCs w:val="20"/>
          <w:b w:val="1"/>
          <w:bCs w:val="1"/>
          <w:color w:val="auto"/>
        </w:rPr>
        <w:t>Convertible Notes,</w:t>
      </w:r>
      <w:r>
        <w:rPr>
          <w:rFonts w:ascii="Arial" w:cs="Arial" w:eastAsia="Arial" w:hAnsi="Arial"/>
          <w:sz w:val="20"/>
          <w:szCs w:val="20"/>
          <w:color w:val="auto"/>
        </w:rPr>
        <w:t>” “</w:t>
      </w:r>
      <w:r>
        <w:rPr>
          <w:rFonts w:ascii="Arial" w:cs="Arial" w:eastAsia="Arial" w:hAnsi="Arial"/>
          <w:sz w:val="20"/>
          <w:szCs w:val="20"/>
          <w:b w:val="1"/>
          <w:bCs w:val="1"/>
          <w:color w:val="auto"/>
        </w:rPr>
        <w:t>Equity-settleable Conve</w:t>
      </w:r>
      <w:r>
        <w:rPr>
          <w:rFonts w:ascii="Arial" w:cs="Arial" w:eastAsia="Arial" w:hAnsi="Arial"/>
          <w:sz w:val="20"/>
          <w:szCs w:val="20"/>
          <w:color w:val="auto"/>
        </w:rPr>
        <w:t xml:space="preserve"> </w:t>
      </w:r>
      <w:r>
        <w:rPr>
          <w:rFonts w:ascii="Arial" w:cs="Arial" w:eastAsia="Arial" w:hAnsi="Arial"/>
          <w:sz w:val="20"/>
          <w:szCs w:val="20"/>
          <w:b w:val="1"/>
          <w:bCs w:val="1"/>
          <w:color w:val="auto"/>
        </w:rPr>
        <w:t>Notes</w:t>
      </w:r>
      <w:r>
        <w:rPr>
          <w:rFonts w:ascii="Arial" w:cs="Arial" w:eastAsia="Arial" w:hAnsi="Arial"/>
          <w:sz w:val="20"/>
          <w:szCs w:val="20"/>
          <w:color w:val="auto"/>
        </w:rPr>
        <w:t>,” or “</w:t>
      </w:r>
      <w:r>
        <w:rPr>
          <w:rFonts w:ascii="Arial" w:cs="Arial" w:eastAsia="Arial" w:hAnsi="Arial"/>
          <w:sz w:val="20"/>
          <w:szCs w:val="20"/>
          <w:b w:val="1"/>
          <w:bCs w:val="1"/>
          <w:color w:val="auto"/>
        </w:rPr>
        <w:t>Notes</w:t>
      </w:r>
      <w:r>
        <w:rPr>
          <w:rFonts w:ascii="Arial" w:cs="Arial" w:eastAsia="Arial" w:hAnsi="Arial"/>
          <w:sz w:val="20"/>
          <w:szCs w:val="20"/>
          <w:color w:val="auto"/>
        </w:rPr>
        <w:t>”). On December 9, 2021, the initial purchasers under the Offering exercised, in full, their o</w:t>
      </w:r>
      <w:r>
        <w:rPr>
          <w:rFonts w:ascii="Arial" w:cs="Arial" w:eastAsia="Arial" w:hAnsi="Arial"/>
          <w:sz w:val="20"/>
          <w:szCs w:val="20"/>
          <w:b w:val="1"/>
          <w:bCs w:val="1"/>
          <w:color w:val="auto"/>
        </w:rPr>
        <w:t xml:space="preserve"> </w:t>
      </w:r>
      <w:r>
        <w:rPr>
          <w:rFonts w:ascii="Arial" w:cs="Arial" w:eastAsia="Arial" w:hAnsi="Arial"/>
          <w:sz w:val="20"/>
          <w:szCs w:val="20"/>
          <w:color w:val="auto"/>
        </w:rPr>
        <w:t>to purchase up to an additional $33.75 million aggregate principal amount of the Convertible Notes, increasin total Offering size to $258.75 million.</w:t>
      </w:r>
    </w:p>
    <w:p>
      <w:pPr>
        <w:spacing w:after="0" w:line="210"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Pursuant to the indenture governing the terms of the Convertible Notes, as amended by a first supplem indenture to reflect the name change of the Company in connection with the Separation and a se supplemental indenture to reflect the effects of the Continuation (the “</w:t>
      </w:r>
      <w:r>
        <w:rPr>
          <w:rFonts w:ascii="Arial" w:cs="Arial" w:eastAsia="Arial" w:hAnsi="Arial"/>
          <w:sz w:val="20"/>
          <w:szCs w:val="20"/>
          <w:b w:val="1"/>
          <w:bCs w:val="1"/>
          <w:color w:val="auto"/>
        </w:rPr>
        <w:t>Indenture</w:t>
      </w:r>
      <w:r>
        <w:rPr>
          <w:rFonts w:ascii="Arial" w:cs="Arial" w:eastAsia="Arial" w:hAnsi="Arial"/>
          <w:sz w:val="20"/>
          <w:szCs w:val="20"/>
          <w:color w:val="auto"/>
        </w:rPr>
        <w:t>”), the holders of the Conve Notes, at their election, were permitted to surrender the Convertible Notes for conversion (i) into shares o Company during the approximate 30-trading day period prior to the closing of the Continuation and (ii) into s of the Company during the period from and after the closing of the Continuation until approximately the trading day after the closing of the Continuation. The Conversion Rate (as defined in the Indenture) fo Convertible Notes was initially 21.2307 shares per $1,000 principal amount of the Convertible Notes. Pursua the terms and conditions of the Indenture, the Conversion Rate for the Convertible Notes was adjuste October 17, 2023, to 52.6019 shares of the Company per $1,000 principal amount of the Convertible Notes b on the trading prices of the Company’s shares over the preceding 10-trading day period due to the Separ transaction. The Conversion Rate for the Convertible Notes was not adjusted as a result of the Continua None of the Convertible Notes were surrendered for conversion during the permitted conversion perio connection with the Continuation.</w:t>
      </w:r>
    </w:p>
    <w:p>
      <w:pPr>
        <w:spacing w:after="0" w:line="214"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Convertible Notes are convertible at the option of the holders upon satisfaction of certain condition disclosed in Note 13 of YE 2025 financials) that are beyond the control of the Company. If such condition satisfied, the Convertible Notes would be convertible at the option of the holders and upon conversion, the N may be settled, at the Company’s election, in common shares of the Company, cash or a combination thereo a result, the Company does not have the right to defer settlement of the Convertible Notes for more tha months after the end of the reporting periods.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 / 85</w:t>
      </w:r>
    </w:p>
    <w:p>
      <w:pPr>
        <w:sectPr>
          <w:pgSz w:w="11900" w:h="16838" w:orient="portrait"/>
          <w:cols w:equalWidth="0" w:num="1">
            <w:col w:w="10460"/>
          </w:cols>
          <w:pgMar w:left="1440" w:top="1440" w:right="6" w:bottom="0" w:gutter="0" w:footer="0" w:header="0"/>
          <w:type w:val="continuous"/>
        </w:sectPr>
      </w:pPr>
    </w:p>
    <w:bookmarkStart w:id="532" w:name="page533"/>
    <w:bookmarkEnd w:id="532"/>
    <w:p>
      <w:pPr>
        <w:ind w:left="58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5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026"/>
          </w:cols>
          <w:pgMar w:left="1440" w:top="13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 / 85</w:t>
      </w:r>
    </w:p>
    <w:p>
      <w:pPr>
        <w:sectPr>
          <w:pgSz w:w="11900" w:h="16838" w:orient="portrait"/>
          <w:cols w:equalWidth="0" w:num="1">
            <w:col w:w="9026"/>
          </w:cols>
          <w:pgMar w:left="1440" w:top="1331" w:right="1440" w:bottom="0" w:gutter="0" w:footer="0" w:header="0"/>
          <w:type w:val="continuous"/>
        </w:sectPr>
      </w:pPr>
    </w:p>
    <w:bookmarkStart w:id="533" w:name="page534"/>
    <w:bookmarkEnd w:id="5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52">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CURRENT SHARE DATA</w:t>
      </w:r>
    </w:p>
    <w:p>
      <w:pPr>
        <w:spacing w:after="0" w:line="3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Issued and outstanding securities of the Company as at the date of this MD&amp;A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223520</wp:posOffset>
            </wp:positionV>
            <wp:extent cx="6090920" cy="42481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53">
                      <a:extLst>
                        <a:ext uri="{28A0092B-C50C-407E-A947-70E740481C1C}"/>
                      </a:extLst>
                    </a:blip>
                    <a:srcRect/>
                    <a:stretch>
                      <a:fillRect/>
                    </a:stretch>
                  </pic:blipFill>
                  <pic:spPr bwMode="auto">
                    <a:xfrm>
                      <a:off x="0" y="0"/>
                      <a:ext cx="6090920" cy="424815"/>
                    </a:xfrm>
                    <a:prstGeom prst="rect">
                      <a:avLst/>
                    </a:prstGeom>
                    <a:noFill/>
                  </pic:spPr>
                </pic:pic>
              </a:graphicData>
            </a:graphic>
          </wp:anchor>
        </w:drawing>
      </w:r>
    </w:p>
    <w:p>
      <w:pPr>
        <w:spacing w:after="0" w:line="352" w:lineRule="exact"/>
        <w:rPr>
          <w:sz w:val="20"/>
          <w:szCs w:val="20"/>
          <w:color w:val="auto"/>
        </w:rPr>
      </w:pPr>
    </w:p>
    <w:tbl>
      <w:tblPr>
        <w:tblLayout w:type="fixed"/>
        <w:tblInd w:w="900" w:type="dxa"/>
        <w:tblCellMar>
          <w:top w:w="0" w:type="dxa"/>
          <w:left w:w="0" w:type="dxa"/>
          <w:bottom w:w="0" w:type="dxa"/>
          <w:right w:w="0" w:type="dxa"/>
        </w:tblCellMar>
      </w:tblPr>
      <w:tr>
        <w:trPr>
          <w:trHeight w:val="276"/>
        </w:trPr>
        <w:tc>
          <w:tcPr>
            <w:tcW w:w="3840" w:type="dxa"/>
            <w:vAlign w:val="bottom"/>
            <w:shd w:val="clear" w:color="auto" w:fill="153A57"/>
          </w:tcPr>
          <w:p>
            <w:pPr>
              <w:ind w:left="120"/>
              <w:spacing w:after="0"/>
              <w:rPr>
                <w:sz w:val="20"/>
                <w:szCs w:val="20"/>
                <w:color w:val="auto"/>
              </w:rPr>
            </w:pPr>
            <w:r>
              <w:rPr>
                <w:rFonts w:ascii="Arial" w:cs="Arial" w:eastAsia="Arial" w:hAnsi="Arial"/>
                <w:sz w:val="20"/>
                <w:szCs w:val="20"/>
                <w:color w:val="FFFFFF"/>
              </w:rPr>
              <w:t>Shares issued and outstanding</w:t>
            </w:r>
          </w:p>
        </w:tc>
        <w:tc>
          <w:tcPr>
            <w:tcW w:w="3660" w:type="dxa"/>
            <w:vAlign w:val="bottom"/>
          </w:tcPr>
          <w:p>
            <w:pPr>
              <w:jc w:val="right"/>
              <w:spacing w:after="0"/>
              <w:rPr>
                <w:sz w:val="20"/>
                <w:szCs w:val="20"/>
                <w:color w:val="auto"/>
              </w:rPr>
            </w:pPr>
            <w:r>
              <w:rPr>
                <w:rFonts w:ascii="Arial" w:cs="Arial" w:eastAsia="Arial" w:hAnsi="Arial"/>
                <w:sz w:val="20"/>
                <w:szCs w:val="20"/>
                <w:color w:val="auto"/>
              </w:rPr>
              <w:t>163.8 million</w:t>
            </w:r>
          </w:p>
        </w:tc>
      </w:tr>
      <w:tr>
        <w:trPr>
          <w:trHeight w:val="317"/>
        </w:trPr>
        <w:tc>
          <w:tcPr>
            <w:tcW w:w="3840" w:type="dxa"/>
            <w:vAlign w:val="bottom"/>
            <w:shd w:val="clear" w:color="auto" w:fill="153A57"/>
          </w:tcPr>
          <w:p>
            <w:pPr>
              <w:ind w:left="120"/>
              <w:spacing w:after="0"/>
              <w:rPr>
                <w:sz w:val="20"/>
                <w:szCs w:val="20"/>
                <w:color w:val="auto"/>
              </w:rPr>
            </w:pPr>
            <w:r>
              <w:rPr>
                <w:rFonts w:ascii="Arial" w:cs="Arial" w:eastAsia="Arial" w:hAnsi="Arial"/>
                <w:sz w:val="20"/>
                <w:szCs w:val="20"/>
                <w:color w:val="FFFFFF"/>
              </w:rPr>
              <w:t>Restricted Share Units (RSUs)</w:t>
            </w:r>
          </w:p>
        </w:tc>
        <w:tc>
          <w:tcPr>
            <w:tcW w:w="3660" w:type="dxa"/>
            <w:vAlign w:val="bottom"/>
          </w:tcPr>
          <w:p>
            <w:pPr>
              <w:jc w:val="right"/>
              <w:spacing w:after="0"/>
              <w:rPr>
                <w:sz w:val="20"/>
                <w:szCs w:val="20"/>
                <w:color w:val="auto"/>
              </w:rPr>
            </w:pPr>
            <w:r>
              <w:rPr>
                <w:rFonts w:ascii="Arial" w:cs="Arial" w:eastAsia="Arial" w:hAnsi="Arial"/>
                <w:sz w:val="20"/>
                <w:szCs w:val="20"/>
                <w:color w:val="auto"/>
              </w:rPr>
              <w:t>7.8 million</w:t>
            </w:r>
          </w:p>
        </w:tc>
      </w:tr>
      <w:tr>
        <w:trPr>
          <w:trHeight w:val="317"/>
        </w:trPr>
        <w:tc>
          <w:tcPr>
            <w:tcW w:w="3840" w:type="dxa"/>
            <w:vAlign w:val="bottom"/>
            <w:shd w:val="clear" w:color="auto" w:fill="153A57"/>
          </w:tcPr>
          <w:p>
            <w:pPr>
              <w:ind w:left="120"/>
              <w:spacing w:after="0"/>
              <w:rPr>
                <w:sz w:val="20"/>
                <w:szCs w:val="20"/>
                <w:color w:val="auto"/>
              </w:rPr>
            </w:pPr>
            <w:r>
              <w:rPr>
                <w:rFonts w:ascii="Arial" w:cs="Arial" w:eastAsia="Arial" w:hAnsi="Arial"/>
                <w:sz w:val="20"/>
                <w:szCs w:val="20"/>
                <w:color w:val="FFFFFF"/>
              </w:rPr>
              <w:t>Deferred Share Units (DSUs)</w:t>
            </w:r>
          </w:p>
        </w:tc>
        <w:tc>
          <w:tcPr>
            <w:tcW w:w="3660" w:type="dxa"/>
            <w:vAlign w:val="bottom"/>
          </w:tcPr>
          <w:p>
            <w:pPr>
              <w:jc w:val="right"/>
              <w:spacing w:after="0"/>
              <w:rPr>
                <w:sz w:val="20"/>
                <w:szCs w:val="20"/>
                <w:color w:val="auto"/>
              </w:rPr>
            </w:pPr>
            <w:r>
              <w:rPr>
                <w:rFonts w:ascii="Arial" w:cs="Arial" w:eastAsia="Arial" w:hAnsi="Arial"/>
                <w:sz w:val="20"/>
                <w:szCs w:val="20"/>
                <w:color w:val="auto"/>
              </w:rPr>
              <w:t>1.1 million</w:t>
            </w:r>
          </w:p>
        </w:tc>
      </w:tr>
      <w:tr>
        <w:trPr>
          <w:trHeight w:val="317"/>
        </w:trPr>
        <w:tc>
          <w:tcPr>
            <w:tcW w:w="3840" w:type="dxa"/>
            <w:vAlign w:val="bottom"/>
            <w:shd w:val="clear" w:color="auto" w:fill="153A57"/>
          </w:tcPr>
          <w:p>
            <w:pPr>
              <w:ind w:left="120"/>
              <w:spacing w:after="0"/>
              <w:rPr>
                <w:sz w:val="20"/>
                <w:szCs w:val="20"/>
                <w:color w:val="auto"/>
              </w:rPr>
            </w:pPr>
            <w:r>
              <w:rPr>
                <w:rFonts w:ascii="Arial" w:cs="Arial" w:eastAsia="Arial" w:hAnsi="Arial"/>
                <w:sz w:val="20"/>
                <w:szCs w:val="20"/>
                <w:color w:val="FFFFFF"/>
              </w:rPr>
              <w:t>Stock Options</w:t>
            </w:r>
          </w:p>
        </w:tc>
        <w:tc>
          <w:tcPr>
            <w:tcW w:w="3660" w:type="dxa"/>
            <w:vAlign w:val="bottom"/>
          </w:tcPr>
          <w:p>
            <w:pPr>
              <w:jc w:val="right"/>
              <w:spacing w:after="0"/>
              <w:rPr>
                <w:sz w:val="20"/>
                <w:szCs w:val="20"/>
                <w:color w:val="auto"/>
              </w:rPr>
            </w:pPr>
            <w:r>
              <w:rPr>
                <w:rFonts w:ascii="Arial" w:cs="Arial" w:eastAsia="Arial" w:hAnsi="Arial"/>
                <w:sz w:val="20"/>
                <w:szCs w:val="20"/>
                <w:color w:val="auto"/>
              </w:rPr>
              <w:t>2.6 million</w:t>
            </w:r>
          </w:p>
        </w:tc>
      </w:tr>
      <w:tr>
        <w:trPr>
          <w:trHeight w:val="317"/>
        </w:trPr>
        <w:tc>
          <w:tcPr>
            <w:tcW w:w="3840" w:type="dxa"/>
            <w:vAlign w:val="bottom"/>
            <w:shd w:val="clear" w:color="auto" w:fill="153A57"/>
          </w:tcPr>
          <w:p>
            <w:pPr>
              <w:ind w:left="120"/>
              <w:spacing w:after="0"/>
              <w:rPr>
                <w:sz w:val="20"/>
                <w:szCs w:val="20"/>
                <w:color w:val="auto"/>
              </w:rPr>
            </w:pPr>
            <w:r>
              <w:rPr>
                <w:rFonts w:ascii="Arial" w:cs="Arial" w:eastAsia="Arial" w:hAnsi="Arial"/>
                <w:sz w:val="20"/>
                <w:szCs w:val="20"/>
                <w:color w:val="FFFFFF"/>
              </w:rPr>
              <w:t>Performance Share Units (PSUs)</w:t>
            </w:r>
          </w:p>
        </w:tc>
        <w:tc>
          <w:tcPr>
            <w:tcW w:w="3660" w:type="dxa"/>
            <w:vAlign w:val="bottom"/>
          </w:tcPr>
          <w:p>
            <w:pPr>
              <w:jc w:val="right"/>
              <w:spacing w:after="0"/>
              <w:rPr>
                <w:sz w:val="20"/>
                <w:szCs w:val="20"/>
                <w:color w:val="auto"/>
              </w:rPr>
            </w:pPr>
            <w:r>
              <w:rPr>
                <w:rFonts w:ascii="Arial" w:cs="Arial" w:eastAsia="Arial" w:hAnsi="Arial"/>
                <w:sz w:val="20"/>
                <w:szCs w:val="20"/>
                <w:color w:val="auto"/>
              </w:rPr>
              <w:t>0.1 million</w:t>
            </w:r>
          </w:p>
        </w:tc>
      </w:tr>
      <w:tr>
        <w:trPr>
          <w:trHeight w:val="317"/>
        </w:trPr>
        <w:tc>
          <w:tcPr>
            <w:tcW w:w="3840" w:type="dxa"/>
            <w:vAlign w:val="bottom"/>
            <w:shd w:val="clear" w:color="auto" w:fill="153A57"/>
          </w:tcPr>
          <w:p>
            <w:pPr>
              <w:ind w:left="120"/>
              <w:spacing w:after="0"/>
              <w:rPr>
                <w:sz w:val="20"/>
                <w:szCs w:val="20"/>
                <w:color w:val="auto"/>
              </w:rPr>
            </w:pPr>
            <w:r>
              <w:rPr>
                <w:rFonts w:ascii="Arial" w:cs="Arial" w:eastAsia="Arial" w:hAnsi="Arial"/>
                <w:sz w:val="20"/>
                <w:szCs w:val="20"/>
                <w:color w:val="FFFFFF"/>
              </w:rPr>
              <w:t>Shares, fully diluted</w:t>
            </w:r>
          </w:p>
        </w:tc>
        <w:tc>
          <w:tcPr>
            <w:tcW w:w="3660" w:type="dxa"/>
            <w:vAlign w:val="bottom"/>
          </w:tcPr>
          <w:p>
            <w:pPr>
              <w:jc w:val="right"/>
              <w:spacing w:after="0"/>
              <w:rPr>
                <w:sz w:val="20"/>
                <w:szCs w:val="20"/>
                <w:color w:val="auto"/>
              </w:rPr>
            </w:pPr>
            <w:r>
              <w:rPr>
                <w:rFonts w:ascii="Arial" w:cs="Arial" w:eastAsia="Arial" w:hAnsi="Arial"/>
                <w:sz w:val="20"/>
                <w:szCs w:val="20"/>
                <w:color w:val="auto"/>
              </w:rPr>
              <w:t>175.4 million</w:t>
            </w:r>
          </w:p>
        </w:tc>
      </w:tr>
      <w:tr>
        <w:trPr>
          <w:trHeight w:val="56"/>
        </w:trPr>
        <w:tc>
          <w:tcPr>
            <w:tcW w:w="3840" w:type="dxa"/>
            <w:vAlign w:val="bottom"/>
            <w:shd w:val="clear" w:color="auto" w:fill="153A57"/>
          </w:tcPr>
          <w:p>
            <w:pPr>
              <w:spacing w:after="0"/>
              <w:rPr>
                <w:sz w:val="4"/>
                <w:szCs w:val="4"/>
                <w:color w:val="auto"/>
              </w:rPr>
            </w:pPr>
          </w:p>
        </w:tc>
        <w:tc>
          <w:tcPr>
            <w:tcW w:w="366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-803910</wp:posOffset>
            </wp:positionV>
            <wp:extent cx="6078220" cy="80454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54">
                      <a:extLst>
                        <a:ext uri="{28A0092B-C50C-407E-A947-70E740481C1C}"/>
                      </a:extLst>
                    </a:blip>
                    <a:srcRect/>
                    <a:stretch>
                      <a:fillRect/>
                    </a:stretch>
                  </pic:blipFill>
                  <pic:spPr bwMode="auto">
                    <a:xfrm>
                      <a:off x="0" y="0"/>
                      <a:ext cx="6078220" cy="804545"/>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RELATED PARTY TRANSACTIONS</w:t>
      </w:r>
    </w:p>
    <w:p>
      <w:pPr>
        <w:spacing w:after="0" w:line="279" w:lineRule="exact"/>
        <w:rPr>
          <w:sz w:val="20"/>
          <w:szCs w:val="20"/>
          <w:color w:val="auto"/>
        </w:rPr>
      </w:pPr>
    </w:p>
    <w:p>
      <w:pPr>
        <w:ind w:left="900" w:right="60"/>
        <w:spacing w:after="0" w:line="307" w:lineRule="auto"/>
        <w:rPr>
          <w:sz w:val="20"/>
          <w:szCs w:val="20"/>
          <w:color w:val="auto"/>
        </w:rPr>
      </w:pPr>
      <w:r>
        <w:rPr>
          <w:rFonts w:ascii="Arial" w:cs="Arial" w:eastAsia="Arial" w:hAnsi="Arial"/>
          <w:sz w:val="20"/>
          <w:szCs w:val="20"/>
          <w:color w:val="auto"/>
        </w:rPr>
        <w:t>Any transactions between the Company with Exar, Exar Capital, and Sal de la Puna are considered related transactions (refer Note 6, 7, 8 and 9 of the YE 2025 financial statements).</w:t>
      </w:r>
    </w:p>
    <w:p>
      <w:pPr>
        <w:spacing w:after="0" w:line="215"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Exar, the Company’s equity accounted investee, entered into the following transactions with companies cont by the family of its director, who is also a director of Lithium Argentina:</w:t>
      </w:r>
    </w:p>
    <w:p>
      <w:pPr>
        <w:spacing w:after="0" w:line="259" w:lineRule="exact"/>
        <w:rPr>
          <w:sz w:val="20"/>
          <w:szCs w:val="20"/>
          <w:color w:val="auto"/>
        </w:rPr>
      </w:pPr>
    </w:p>
    <w:p>
      <w:pPr>
        <w:ind w:left="1620" w:right="40" w:hanging="366"/>
        <w:spacing w:after="0" w:line="368" w:lineRule="auto"/>
        <w:tabs>
          <w:tab w:leader="none" w:pos="162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Option agreement with Grupo Minero Los Boros S.A. on March 28, 2016, for the transfer of title to c mining properties that form part of Cauchari-Olaroz.</w:t>
      </w:r>
    </w:p>
    <w:p>
      <w:pPr>
        <w:spacing w:after="0" w:line="214" w:lineRule="exact"/>
        <w:rPr>
          <w:rFonts w:ascii="Arial" w:cs="Arial" w:eastAsia="Arial" w:hAnsi="Arial"/>
          <w:sz w:val="20"/>
          <w:szCs w:val="20"/>
          <w:color w:val="auto"/>
        </w:rPr>
      </w:pPr>
    </w:p>
    <w:p>
      <w:pPr>
        <w:ind w:left="1620" w:right="20" w:hanging="366"/>
        <w:spacing w:after="0" w:line="368" w:lineRule="auto"/>
        <w:tabs>
          <w:tab w:leader="none" w:pos="162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Expenditures under a construction services contract for Cauchari-Olaroz with Magna Construcci S.R.L. (“</w:t>
      </w:r>
      <w:r>
        <w:rPr>
          <w:rFonts w:ascii="Arial" w:cs="Arial" w:eastAsia="Arial" w:hAnsi="Arial"/>
          <w:sz w:val="20"/>
          <w:szCs w:val="20"/>
          <w:b w:val="1"/>
          <w:bCs w:val="1"/>
          <w:color w:val="auto"/>
        </w:rPr>
        <w:t>Magna</w:t>
      </w:r>
      <w:r>
        <w:rPr>
          <w:rFonts w:ascii="Arial" w:cs="Arial" w:eastAsia="Arial" w:hAnsi="Arial"/>
          <w:sz w:val="20"/>
          <w:szCs w:val="20"/>
          <w:color w:val="auto"/>
        </w:rPr>
        <w:t>”) were $0.05 million for the year ended December 31, 2025 (on a 100% basis).</w:t>
      </w:r>
    </w:p>
    <w:p>
      <w:pPr>
        <w:spacing w:after="0" w:line="214" w:lineRule="exact"/>
        <w:rPr>
          <w:rFonts w:ascii="Arial" w:cs="Arial" w:eastAsia="Arial" w:hAnsi="Arial"/>
          <w:sz w:val="20"/>
          <w:szCs w:val="20"/>
          <w:color w:val="auto"/>
        </w:rPr>
      </w:pPr>
    </w:p>
    <w:p>
      <w:pPr>
        <w:jc w:val="both"/>
        <w:ind w:left="1620" w:hanging="366"/>
        <w:spacing w:after="0" w:line="373" w:lineRule="auto"/>
        <w:tabs>
          <w:tab w:leader="none" w:pos="162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Service agreement with a consortium 49% owned by Magna, entered into in Q1 2022, for the servici the evaporation ponds at Cauchari-Olaroz over a five-year term, with total consideration of $68 m (excluding VAT). During the year ended December 31, 2025, Exar spent $19.9 million (excluding VA the servicing of the evaporation ponds at Cauchari-Olaroz.</w:t>
      </w:r>
    </w:p>
    <w:p>
      <w:pPr>
        <w:spacing w:after="0" w:line="210" w:lineRule="exact"/>
        <w:rPr>
          <w:rFonts w:ascii="Arial" w:cs="Arial" w:eastAsia="Arial" w:hAnsi="Arial"/>
          <w:sz w:val="20"/>
          <w:szCs w:val="20"/>
          <w:color w:val="auto"/>
        </w:rPr>
      </w:pPr>
    </w:p>
    <w:p>
      <w:pPr>
        <w:jc w:val="both"/>
        <w:ind w:left="1620" w:hanging="366"/>
        <w:spacing w:after="0" w:line="373" w:lineRule="auto"/>
        <w:tabs>
          <w:tab w:leader="none" w:pos="162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As at December 31, 2025, Minera Exar had trade payables to Exar Capital of $28.6 million (2024 – million) representing amounts paid by Exar Capital for the purchase of certain materials and suppli behalf of Minera Exar amounting to $41.5 million (2024 – $33.3 million). These transactions are settl Minera Exar upon delivery of the goods and receipt of supplier documentation.</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 / 85</w:t>
      </w:r>
    </w:p>
    <w:p>
      <w:pPr>
        <w:sectPr>
          <w:pgSz w:w="11900" w:h="16838" w:orient="portrait"/>
          <w:cols w:equalWidth="0" w:num="1">
            <w:col w:w="10460"/>
          </w:cols>
          <w:pgMar w:left="1440" w:top="1440" w:right="6" w:bottom="0" w:gutter="0" w:footer="0" w:header="0"/>
          <w:type w:val="continuous"/>
        </w:sectPr>
      </w:pPr>
    </w:p>
    <w:bookmarkStart w:id="534" w:name="page535"/>
    <w:bookmarkEnd w:id="534"/>
    <w:p>
      <w:pPr>
        <w:ind w:left="1620" w:hanging="366"/>
        <w:spacing w:after="0" w:line="374" w:lineRule="auto"/>
        <w:tabs>
          <w:tab w:leader="none" w:pos="162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As of December 31, 2025, Exar’s outstanding third-party debt, including accrued interest, amount $292.7 million (2024 - $210.4 million), while its cash balance and short-term investments were $ million (2024 - $11.2 million). The total debt includes approximately $220.0 million in loans from international banks, secured by guarantees and standby letters of credit arranged by Ganfeng, whic due within twelve months from December 31, 2025. The Company has provided a guarantee to Gan for its 49% share, amounting to $107.8 million, in respect of these loans. No amount has been recog by the Company in respect of this guarantee as at December 31, 2025.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Compensation of Key Management</w:t>
      </w:r>
    </w:p>
    <w:p>
      <w:pPr>
        <w:spacing w:after="0" w:line="279"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The Company’s key management consists of the executive management team, who supervise day-to operations, and independent directors on the Company’s Board of Directors, who oversee management.</w:t>
      </w:r>
    </w:p>
    <w:p>
      <w:pPr>
        <w:spacing w:after="0" w:line="175"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5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1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 / 85</w:t>
      </w:r>
    </w:p>
    <w:p>
      <w:pPr>
        <w:sectPr>
          <w:pgSz w:w="11900" w:h="16838" w:orient="portrait"/>
          <w:cols w:equalWidth="0" w:num="1">
            <w:col w:w="10460"/>
          </w:cols>
          <w:pgMar w:left="1440" w:top="1415" w:right="6" w:bottom="0" w:gutter="0" w:footer="0" w:header="0"/>
          <w:type w:val="continuous"/>
        </w:sectPr>
      </w:pPr>
    </w:p>
    <w:bookmarkStart w:id="535" w:name="page536"/>
    <w:bookmarkEnd w:id="5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56">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Their compensation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236220</wp:posOffset>
            </wp:positionV>
            <wp:extent cx="6078220" cy="2857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7">
                      <a:extLst>
                        <a:ext uri="{28A0092B-C50C-407E-A947-70E740481C1C}"/>
                      </a:extLst>
                    </a:blip>
                    <a:srcRect/>
                    <a:stretch>
                      <a:fillRect/>
                    </a:stretch>
                  </pic:blipFill>
                  <pic:spPr bwMode="auto">
                    <a:xfrm>
                      <a:off x="0" y="0"/>
                      <a:ext cx="6078220" cy="2857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6880" w:type="dxa"/>
            <w:vAlign w:val="bottom"/>
          </w:tcPr>
          <w:p>
            <w:pPr>
              <w:spacing w:after="0"/>
              <w:rPr>
                <w:sz w:val="17"/>
                <w:szCs w:val="17"/>
                <w:color w:val="auto"/>
              </w:rPr>
            </w:pPr>
          </w:p>
        </w:tc>
        <w:tc>
          <w:tcPr>
            <w:tcW w:w="2680" w:type="dxa"/>
            <w:vAlign w:val="bottom"/>
            <w:gridSpan w:val="2"/>
          </w:tcPr>
          <w:p>
            <w:pPr>
              <w:ind w:left="380"/>
              <w:spacing w:after="0"/>
              <w:rPr>
                <w:sz w:val="20"/>
                <w:szCs w:val="20"/>
                <w:color w:val="auto"/>
              </w:rPr>
            </w:pPr>
            <w:r>
              <w:rPr>
                <w:rFonts w:ascii="Arial" w:cs="Arial" w:eastAsia="Arial" w:hAnsi="Arial"/>
                <w:sz w:val="18"/>
                <w:szCs w:val="18"/>
                <w:b w:val="1"/>
                <w:bCs w:val="1"/>
                <w:color w:val="auto"/>
                <w:w w:val="98"/>
              </w:rPr>
              <w:t>Years Ended December 31,</w:t>
            </w:r>
          </w:p>
        </w:tc>
      </w:tr>
      <w:tr>
        <w:trPr>
          <w:trHeight w:val="46"/>
        </w:trPr>
        <w:tc>
          <w:tcPr>
            <w:tcW w:w="68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880" w:type="dxa"/>
            <w:vAlign w:val="bottom"/>
          </w:tcPr>
          <w:p>
            <w:pPr>
              <w:spacing w:after="0"/>
              <w:rPr>
                <w:sz w:val="21"/>
                <w:szCs w:val="21"/>
                <w:color w:val="auto"/>
              </w:rPr>
            </w:pPr>
          </w:p>
        </w:tc>
        <w:tc>
          <w:tcPr>
            <w:tcW w:w="1580" w:type="dxa"/>
            <w:vAlign w:val="bottom"/>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1100" w:type="dxa"/>
            <w:vAlign w:val="bottom"/>
          </w:tcPr>
          <w:p>
            <w:pPr>
              <w:spacing w:after="0"/>
              <w:rPr>
                <w:sz w:val="21"/>
                <w:szCs w:val="21"/>
                <w:color w:val="auto"/>
              </w:rPr>
            </w:pPr>
          </w:p>
        </w:tc>
      </w:tr>
      <w:tr>
        <w:trPr>
          <w:trHeight w:val="286"/>
        </w:trPr>
        <w:tc>
          <w:tcPr>
            <w:tcW w:w="6880" w:type="dxa"/>
            <w:vAlign w:val="bottom"/>
          </w:tcPr>
          <w:p>
            <w:pPr>
              <w:spacing w:after="0"/>
              <w:rPr>
                <w:sz w:val="24"/>
                <w:szCs w:val="24"/>
                <w:color w:val="auto"/>
              </w:rPr>
            </w:pPr>
          </w:p>
        </w:tc>
        <w:tc>
          <w:tcPr>
            <w:tcW w:w="1580" w:type="dxa"/>
            <w:vAlign w:val="bottom"/>
            <w:shd w:val="clear" w:color="auto" w:fill="D9D9D9"/>
          </w:tcPr>
          <w:p>
            <w:pPr>
              <w:jc w:val="right"/>
              <w:ind w:right="3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spacing w:after="0"/>
              <w:rPr>
                <w:sz w:val="24"/>
                <w:szCs w:val="24"/>
                <w:color w:val="auto"/>
              </w:rPr>
            </w:pPr>
          </w:p>
        </w:tc>
      </w:tr>
      <w:tr>
        <w:trPr>
          <w:trHeight w:val="296"/>
        </w:trPr>
        <w:tc>
          <w:tcPr>
            <w:tcW w:w="688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158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14.2</w:t>
            </w:r>
          </w:p>
        </w:tc>
        <w:tc>
          <w:tcPr>
            <w:tcW w:w="1100" w:type="dxa"/>
            <w:vAlign w:val="bottom"/>
          </w:tcPr>
          <w:p>
            <w:pPr>
              <w:spacing w:after="0"/>
              <w:rPr>
                <w:sz w:val="24"/>
                <w:szCs w:val="24"/>
                <w:color w:val="auto"/>
              </w:rPr>
            </w:pPr>
          </w:p>
        </w:tc>
      </w:tr>
      <w:tr>
        <w:trPr>
          <w:trHeight w:val="286"/>
        </w:trPr>
        <w:tc>
          <w:tcPr>
            <w:tcW w:w="6880" w:type="dxa"/>
            <w:vAlign w:val="bottom"/>
          </w:tcPr>
          <w:p>
            <w:pPr>
              <w:spacing w:after="0"/>
              <w:rPr>
                <w:sz w:val="20"/>
                <w:szCs w:val="20"/>
                <w:color w:val="auto"/>
              </w:rPr>
            </w:pPr>
            <w:r>
              <w:rPr>
                <w:rFonts w:ascii="Arial" w:cs="Arial" w:eastAsia="Arial" w:hAnsi="Arial"/>
                <w:sz w:val="18"/>
                <w:szCs w:val="18"/>
                <w:color w:val="auto"/>
              </w:rPr>
              <w:t>Salaries, bonuses, benefits and directors' fees included in general &amp;</w:t>
            </w:r>
          </w:p>
        </w:tc>
        <w:tc>
          <w:tcPr>
            <w:tcW w:w="1580" w:type="dxa"/>
            <w:vAlign w:val="bottom"/>
            <w:shd w:val="clear" w:color="auto" w:fill="D9D9D9"/>
          </w:tcPr>
          <w:p>
            <w:pPr>
              <w:spacing w:after="0"/>
              <w:rPr>
                <w:sz w:val="24"/>
                <w:szCs w:val="24"/>
                <w:color w:val="auto"/>
              </w:rPr>
            </w:pPr>
          </w:p>
        </w:tc>
        <w:tc>
          <w:tcPr>
            <w:tcW w:w="1100" w:type="dxa"/>
            <w:vAlign w:val="bottom"/>
          </w:tcPr>
          <w:p>
            <w:pPr>
              <w:spacing w:after="0"/>
              <w:rPr>
                <w:sz w:val="24"/>
                <w:szCs w:val="24"/>
                <w:color w:val="auto"/>
              </w:rPr>
            </w:pPr>
          </w:p>
        </w:tc>
      </w:tr>
      <w:tr>
        <w:trPr>
          <w:trHeight w:val="272"/>
        </w:trPr>
        <w:tc>
          <w:tcPr>
            <w:tcW w:w="688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58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3.7</w:t>
            </w:r>
          </w:p>
        </w:tc>
        <w:tc>
          <w:tcPr>
            <w:tcW w:w="1100" w:type="dxa"/>
            <w:vAlign w:val="bottom"/>
          </w:tcPr>
          <w:p>
            <w:pPr>
              <w:spacing w:after="0"/>
              <w:rPr>
                <w:sz w:val="23"/>
                <w:szCs w:val="23"/>
                <w:color w:val="auto"/>
              </w:rPr>
            </w:pPr>
          </w:p>
        </w:tc>
      </w:tr>
      <w:tr>
        <w:trPr>
          <w:trHeight w:val="286"/>
        </w:trPr>
        <w:tc>
          <w:tcPr>
            <w:tcW w:w="6880" w:type="dxa"/>
            <w:vAlign w:val="bottom"/>
          </w:tcPr>
          <w:p>
            <w:pPr>
              <w:spacing w:after="0"/>
              <w:rPr>
                <w:sz w:val="20"/>
                <w:szCs w:val="20"/>
                <w:color w:val="auto"/>
              </w:rPr>
            </w:pPr>
            <w:r>
              <w:rPr>
                <w:rFonts w:ascii="Arial" w:cs="Arial" w:eastAsia="Arial" w:hAnsi="Arial"/>
                <w:sz w:val="18"/>
                <w:szCs w:val="18"/>
                <w:color w:val="auto"/>
              </w:rPr>
              <w:t>Salaries, bonuses and benefits included in exploration expenditures</w:t>
            </w:r>
          </w:p>
        </w:tc>
        <w:tc>
          <w:tcPr>
            <w:tcW w:w="158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0.3</w:t>
            </w:r>
          </w:p>
        </w:tc>
        <w:tc>
          <w:tcPr>
            <w:tcW w:w="1100" w:type="dxa"/>
            <w:vAlign w:val="bottom"/>
          </w:tcPr>
          <w:p>
            <w:pPr>
              <w:spacing w:after="0"/>
              <w:rPr>
                <w:sz w:val="24"/>
                <w:szCs w:val="24"/>
                <w:color w:val="auto"/>
              </w:rPr>
            </w:pPr>
          </w:p>
        </w:tc>
      </w:tr>
      <w:tr>
        <w:trPr>
          <w:trHeight w:val="286"/>
        </w:trPr>
        <w:tc>
          <w:tcPr>
            <w:tcW w:w="6880" w:type="dxa"/>
            <w:vAlign w:val="bottom"/>
          </w:tcPr>
          <w:p>
            <w:pPr>
              <w:spacing w:after="0"/>
              <w:rPr>
                <w:sz w:val="20"/>
                <w:szCs w:val="20"/>
                <w:color w:val="auto"/>
              </w:rPr>
            </w:pPr>
            <w:r>
              <w:rPr>
                <w:rFonts w:ascii="Arial" w:cs="Arial" w:eastAsia="Arial" w:hAnsi="Arial"/>
                <w:sz w:val="18"/>
                <w:szCs w:val="18"/>
                <w:color w:val="auto"/>
              </w:rPr>
              <w:t>Salaries and benefits capitalized to Investment in Cauchari-Olaroz project</w:t>
            </w:r>
          </w:p>
        </w:tc>
        <w:tc>
          <w:tcPr>
            <w:tcW w:w="158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r>
      <w:tr>
        <w:trPr>
          <w:trHeight w:val="296"/>
        </w:trPr>
        <w:tc>
          <w:tcPr>
            <w:tcW w:w="6880" w:type="dxa"/>
            <w:vAlign w:val="bottom"/>
          </w:tcPr>
          <w:p>
            <w:pPr>
              <w:spacing w:after="0"/>
              <w:rPr>
                <w:sz w:val="24"/>
                <w:szCs w:val="24"/>
                <w:color w:val="auto"/>
              </w:rPr>
            </w:pPr>
          </w:p>
        </w:tc>
        <w:tc>
          <w:tcPr>
            <w:tcW w:w="158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18.2</w:t>
            </w:r>
          </w:p>
        </w:tc>
        <w:tc>
          <w:tcPr>
            <w:tcW w:w="1100" w:type="dxa"/>
            <w:vAlign w:val="bottom"/>
          </w:tcPr>
          <w:p>
            <w:pPr>
              <w:spacing w:after="0"/>
              <w:rPr>
                <w:sz w:val="24"/>
                <w:szCs w:val="24"/>
                <w:color w:val="auto"/>
              </w:rPr>
            </w:pPr>
          </w:p>
        </w:tc>
      </w:tr>
      <w:tr>
        <w:trPr>
          <w:trHeight w:val="46"/>
        </w:trPr>
        <w:tc>
          <w:tcPr>
            <w:tcW w:w="6880" w:type="dxa"/>
            <w:vAlign w:val="bottom"/>
          </w:tcPr>
          <w:p>
            <w:pPr>
              <w:spacing w:after="0"/>
              <w:rPr>
                <w:sz w:val="4"/>
                <w:szCs w:val="4"/>
                <w:color w:val="auto"/>
              </w:rPr>
            </w:pPr>
          </w:p>
        </w:tc>
        <w:tc>
          <w:tcPr>
            <w:tcW w:w="1580" w:type="dxa"/>
            <w:vAlign w:val="bottom"/>
            <w:shd w:val="clear" w:color="auto" w:fill="D9D9D9"/>
          </w:tcPr>
          <w:p>
            <w:pPr>
              <w:spacing w:after="0"/>
              <w:rPr>
                <w:sz w:val="4"/>
                <w:szCs w:val="4"/>
                <w:color w:val="auto"/>
              </w:rPr>
            </w:pPr>
          </w:p>
        </w:tc>
        <w:tc>
          <w:tcPr>
            <w:tcW w:w="110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4939665</wp:posOffset>
            </wp:positionH>
            <wp:positionV relativeFrom="paragraph">
              <wp:posOffset>-1468755</wp:posOffset>
            </wp:positionV>
            <wp:extent cx="1705610" cy="635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8">
                      <a:extLst>
                        <a:ext uri="{28A0092B-C50C-407E-A947-70E740481C1C}"/>
                      </a:extLst>
                    </a:blip>
                    <a:srcRect/>
                    <a:stretch>
                      <a:fillRect/>
                    </a:stretch>
                  </pic:blipFill>
                  <pic:spPr bwMode="auto">
                    <a:xfrm>
                      <a:off x="0" y="0"/>
                      <a:ext cx="170561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-1099185</wp:posOffset>
            </wp:positionV>
            <wp:extent cx="6078220" cy="635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9">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-193675</wp:posOffset>
            </wp:positionV>
            <wp:extent cx="6078220" cy="635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60">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-5715</wp:posOffset>
            </wp:positionV>
            <wp:extent cx="6078220" cy="635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61">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210820</wp:posOffset>
            </wp:positionV>
            <wp:extent cx="6078220" cy="2857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62">
                      <a:extLst>
                        <a:ext uri="{28A0092B-C50C-407E-A947-70E740481C1C}"/>
                      </a:extLst>
                    </a:blip>
                    <a:srcRect/>
                    <a:stretch>
                      <a:fillRect/>
                    </a:stretch>
                  </pic:blipFill>
                  <pic:spPr bwMode="auto">
                    <a:xfrm>
                      <a:off x="0" y="0"/>
                      <a:ext cx="6078220" cy="28575"/>
                    </a:xfrm>
                    <a:prstGeom prst="rect">
                      <a:avLst/>
                    </a:prstGeom>
                    <a:noFill/>
                  </pic:spPr>
                </pic:pic>
              </a:graphicData>
            </a:graphic>
          </wp:anchor>
        </w:drawing>
      </w:r>
    </w:p>
    <w:p>
      <w:pPr>
        <w:spacing w:after="0" w:line="312" w:lineRule="exact"/>
        <w:rPr>
          <w:sz w:val="20"/>
          <w:szCs w:val="20"/>
          <w:color w:val="auto"/>
        </w:rPr>
      </w:pPr>
    </w:p>
    <w:tbl>
      <w:tblPr>
        <w:tblLayout w:type="fixed"/>
        <w:tblInd w:w="900" w:type="dxa"/>
        <w:tblCellMar>
          <w:top w:w="0" w:type="dxa"/>
          <w:left w:w="0" w:type="dxa"/>
          <w:bottom w:w="0" w:type="dxa"/>
          <w:right w:w="0" w:type="dxa"/>
        </w:tblCellMar>
      </w:tblPr>
      <w:tr>
        <w:trPr>
          <w:trHeight w:val="295"/>
        </w:trPr>
        <w:tc>
          <w:tcPr>
            <w:tcW w:w="4360" w:type="dxa"/>
            <w:vAlign w:val="bottom"/>
          </w:tcPr>
          <w:p>
            <w:pPr>
              <w:spacing w:after="0"/>
              <w:rPr>
                <w:sz w:val="24"/>
                <w:szCs w:val="24"/>
                <w:color w:val="auto"/>
              </w:rPr>
            </w:pPr>
          </w:p>
        </w:tc>
        <w:tc>
          <w:tcPr>
            <w:tcW w:w="3140" w:type="dxa"/>
            <w:vAlign w:val="bottom"/>
            <w:shd w:val="clear" w:color="auto" w:fill="DDDDDD"/>
          </w:tcPr>
          <w:p>
            <w:pPr>
              <w:jc w:val="right"/>
              <w:ind w:right="30"/>
              <w:spacing w:after="0"/>
              <w:rPr>
                <w:sz w:val="20"/>
                <w:szCs w:val="20"/>
                <w:color w:val="auto"/>
              </w:rPr>
            </w:pPr>
            <w:r>
              <w:rPr>
                <w:rFonts w:ascii="Arial" w:cs="Arial" w:eastAsia="Arial" w:hAnsi="Arial"/>
                <w:sz w:val="18"/>
                <w:szCs w:val="18"/>
                <w:b w:val="1"/>
                <w:bCs w:val="1"/>
                <w:color w:val="auto"/>
              </w:rPr>
              <w:t>December 31, 2025</w:t>
            </w:r>
          </w:p>
        </w:tc>
        <w:tc>
          <w:tcPr>
            <w:tcW w:w="2000" w:type="dxa"/>
            <w:vAlign w:val="bottom"/>
          </w:tcPr>
          <w:p>
            <w:pPr>
              <w:ind w:left="840"/>
              <w:spacing w:after="0"/>
              <w:rPr>
                <w:sz w:val="20"/>
                <w:szCs w:val="20"/>
                <w:color w:val="auto"/>
              </w:rPr>
            </w:pPr>
            <w:r>
              <w:rPr>
                <w:rFonts w:ascii="Arial" w:cs="Arial" w:eastAsia="Arial" w:hAnsi="Arial"/>
                <w:sz w:val="18"/>
                <w:szCs w:val="18"/>
                <w:b w:val="1"/>
                <w:bCs w:val="1"/>
                <w:color w:val="auto"/>
                <w:w w:val="97"/>
              </w:rPr>
              <w:t>December 31,</w:t>
            </w:r>
          </w:p>
        </w:tc>
      </w:tr>
      <w:tr>
        <w:trPr>
          <w:trHeight w:val="312"/>
        </w:trPr>
        <w:tc>
          <w:tcPr>
            <w:tcW w:w="4360" w:type="dxa"/>
            <w:vAlign w:val="bottom"/>
          </w:tcPr>
          <w:p>
            <w:pPr>
              <w:spacing w:after="0"/>
              <w:rPr>
                <w:sz w:val="24"/>
                <w:szCs w:val="24"/>
                <w:color w:val="auto"/>
              </w:rPr>
            </w:pPr>
          </w:p>
        </w:tc>
        <w:tc>
          <w:tcPr>
            <w:tcW w:w="3140" w:type="dxa"/>
            <w:vAlign w:val="bottom"/>
            <w:tcBorders>
              <w:bottom w:val="single" w:sz="8" w:color="DDDDDD"/>
            </w:tcBorders>
            <w:shd w:val="clear" w:color="auto" w:fill="DDDDDD"/>
          </w:tcPr>
          <w:p>
            <w:pPr>
              <w:jc w:val="right"/>
              <w:ind w:right="30"/>
              <w:spacing w:after="0"/>
              <w:rPr>
                <w:sz w:val="20"/>
                <w:szCs w:val="20"/>
                <w:color w:val="auto"/>
              </w:rPr>
            </w:pPr>
            <w:r>
              <w:rPr>
                <w:rFonts w:ascii="Arial" w:cs="Arial" w:eastAsia="Arial" w:hAnsi="Arial"/>
                <w:sz w:val="18"/>
                <w:szCs w:val="18"/>
                <w:b w:val="1"/>
                <w:bCs w:val="1"/>
                <w:color w:val="auto"/>
              </w:rPr>
              <w:t>$</w:t>
            </w:r>
          </w:p>
        </w:tc>
        <w:tc>
          <w:tcPr>
            <w:tcW w:w="2000" w:type="dxa"/>
            <w:vAlign w:val="bottom"/>
          </w:tcPr>
          <w:p>
            <w:pPr>
              <w:spacing w:after="0"/>
              <w:rPr>
                <w:sz w:val="24"/>
                <w:szCs w:val="24"/>
                <w:color w:val="auto"/>
              </w:rPr>
            </w:pPr>
          </w:p>
        </w:tc>
      </w:tr>
      <w:tr>
        <w:trPr>
          <w:trHeight w:val="250"/>
        </w:trPr>
        <w:tc>
          <w:tcPr>
            <w:tcW w:w="4360" w:type="dxa"/>
            <w:vAlign w:val="bottom"/>
          </w:tcPr>
          <w:p>
            <w:pPr>
              <w:spacing w:after="0"/>
              <w:rPr>
                <w:sz w:val="20"/>
                <w:szCs w:val="20"/>
                <w:color w:val="auto"/>
              </w:rPr>
            </w:pPr>
            <w:r>
              <w:rPr>
                <w:rFonts w:ascii="Arial" w:cs="Arial" w:eastAsia="Arial" w:hAnsi="Arial"/>
                <w:sz w:val="18"/>
                <w:szCs w:val="18"/>
                <w:color w:val="auto"/>
              </w:rPr>
              <w:t>Total due to directors</w:t>
            </w:r>
          </w:p>
        </w:tc>
        <w:tc>
          <w:tcPr>
            <w:tcW w:w="314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0.1</w:t>
            </w:r>
          </w:p>
        </w:tc>
        <w:tc>
          <w:tcPr>
            <w:tcW w:w="2000" w:type="dxa"/>
            <w:vAlign w:val="bottom"/>
          </w:tcPr>
          <w:p>
            <w:pPr>
              <w:spacing w:after="0"/>
              <w:rPr>
                <w:sz w:val="21"/>
                <w:szCs w:val="21"/>
                <w:color w:val="auto"/>
              </w:rPr>
            </w:pPr>
          </w:p>
        </w:tc>
      </w:tr>
      <w:tr>
        <w:trPr>
          <w:trHeight w:val="46"/>
        </w:trPr>
        <w:tc>
          <w:tcPr>
            <w:tcW w:w="4360" w:type="dxa"/>
            <w:vAlign w:val="bottom"/>
          </w:tcPr>
          <w:p>
            <w:pPr>
              <w:spacing w:after="0"/>
              <w:rPr>
                <w:sz w:val="4"/>
                <w:szCs w:val="4"/>
                <w:color w:val="auto"/>
              </w:rPr>
            </w:pPr>
          </w:p>
        </w:tc>
        <w:tc>
          <w:tcPr>
            <w:tcW w:w="3140" w:type="dxa"/>
            <w:vAlign w:val="bottom"/>
            <w:shd w:val="clear" w:color="auto" w:fill="D9D9D9"/>
          </w:tcPr>
          <w:p>
            <w:pPr>
              <w:spacing w:after="0"/>
              <w:rPr>
                <w:sz w:val="4"/>
                <w:szCs w:val="4"/>
                <w:color w:val="auto"/>
              </w:rPr>
            </w:pPr>
          </w:p>
        </w:tc>
        <w:tc>
          <w:tcPr>
            <w:tcW w:w="200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-193675</wp:posOffset>
            </wp:positionV>
            <wp:extent cx="6078220" cy="635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63">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-5715</wp:posOffset>
            </wp:positionV>
            <wp:extent cx="6078220" cy="635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64">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320" w:lineRule="exact"/>
        <w:rPr>
          <w:sz w:val="20"/>
          <w:szCs w:val="20"/>
          <w:color w:val="auto"/>
        </w:rPr>
      </w:pPr>
    </w:p>
    <w:p>
      <w:pPr>
        <w:ind w:left="900"/>
        <w:spacing w:after="0" w:line="313" w:lineRule="auto"/>
        <w:rPr>
          <w:sz w:val="20"/>
          <w:szCs w:val="20"/>
          <w:color w:val="auto"/>
        </w:rPr>
      </w:pPr>
      <w:r>
        <w:rPr>
          <w:rFonts w:ascii="Arial" w:cs="Arial" w:eastAsia="Arial" w:hAnsi="Arial"/>
          <w:sz w:val="20"/>
          <w:szCs w:val="20"/>
          <w:color w:val="auto"/>
        </w:rPr>
        <w:t>As of January 23, 2025, the Company entered into new employment contracts with certain members o executive management team. These contracts were implemented to ensure compliance with Swiss law include amendments to provisions related to termination and termination upon a change of contro consideration for entering into these new employment agreements, the affected executive management members were granted RSUs, with a total aggregate grant date fair value of $3.9 million for all impa individuals.</w:t>
      </w:r>
    </w:p>
    <w:p>
      <w:pPr>
        <w:spacing w:after="0" w:line="306"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Offtake Arrangements</w:t>
      </w:r>
    </w:p>
    <w:p>
      <w:pPr>
        <w:spacing w:after="0" w:line="381"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Each of the Company and Ganfeng are entitled to a share of offtake from production at Cauchari-Olaroz. Company will be entitled to 49% of the offtake, which would amount to approximately 19,600 tpa of lit carbonate, assuming full capacity is achieved. The Company has entered into offtake agreements with Ganfeng and Bangchak to sell a fixed amount of offtake production at market-based prices, with Ganfeng en to 80% of the first 12,250 tpa of lithium carbonate (9,800 tpa assuming full production capacity) and Bang entitled to up to 6,000 tpa of lithium carbonate (assuming full production capacity). The balance of the Comp offtake entitlement, amounting to up to approximately 3,800 tpa of lithium carbonate, remains uncomm except for limited residual rights available to Bangchak if production does not meet full capacity.</w:t>
      </w:r>
    </w:p>
    <w:p>
      <w:pPr>
        <w:spacing w:after="0" w:line="36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CONTRACTUAL OBLIGATIONS</w:t>
      </w:r>
    </w:p>
    <w:p>
      <w:pPr>
        <w:spacing w:after="0" w:line="37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As at December 31, 2025, the Company had the following contractual obligations on an undiscounted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235585</wp:posOffset>
            </wp:positionV>
            <wp:extent cx="6078220" cy="2857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65">
                      <a:extLst>
                        <a:ext uri="{28A0092B-C50C-407E-A947-70E740481C1C}"/>
                      </a:extLst>
                    </a:blip>
                    <a:srcRect/>
                    <a:stretch>
                      <a:fillRect/>
                    </a:stretch>
                  </pic:blipFill>
                  <pic:spPr bwMode="auto">
                    <a:xfrm>
                      <a:off x="0" y="0"/>
                      <a:ext cx="6078220" cy="2857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22860</wp:posOffset>
            </wp:positionV>
            <wp:extent cx="6078220" cy="635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66">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69"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2980" w:type="dxa"/>
            <w:vAlign w:val="bottom"/>
          </w:tcPr>
          <w:p>
            <w:pPr>
              <w:jc w:val="right"/>
              <w:ind w:right="70"/>
              <w:spacing w:after="0"/>
              <w:rPr>
                <w:sz w:val="20"/>
                <w:szCs w:val="20"/>
                <w:color w:val="auto"/>
              </w:rPr>
            </w:pPr>
            <w:r>
              <w:rPr>
                <w:rFonts w:ascii="Arial" w:cs="Arial" w:eastAsia="Arial" w:hAnsi="Arial"/>
                <w:sz w:val="18"/>
                <w:szCs w:val="18"/>
                <w:b w:val="1"/>
                <w:bCs w:val="1"/>
                <w:color w:val="auto"/>
              </w:rPr>
              <w:t>2026</w:t>
            </w:r>
          </w:p>
        </w:tc>
        <w:tc>
          <w:tcPr>
            <w:tcW w:w="17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2027 and later</w:t>
            </w:r>
          </w:p>
        </w:tc>
        <w:tc>
          <w:tcPr>
            <w:tcW w:w="460" w:type="dxa"/>
            <w:vAlign w:val="bottom"/>
          </w:tcPr>
          <w:p>
            <w:pPr>
              <w:spacing w:after="0"/>
              <w:rPr>
                <w:sz w:val="17"/>
                <w:szCs w:val="17"/>
                <w:color w:val="auto"/>
              </w:rPr>
            </w:pPr>
          </w:p>
        </w:tc>
      </w:tr>
      <w:tr>
        <w:trPr>
          <w:trHeight w:val="286"/>
        </w:trPr>
        <w:tc>
          <w:tcPr>
            <w:tcW w:w="4340" w:type="dxa"/>
            <w:vAlign w:val="bottom"/>
          </w:tcPr>
          <w:p>
            <w:pPr>
              <w:spacing w:after="0"/>
              <w:rPr>
                <w:sz w:val="24"/>
                <w:szCs w:val="24"/>
                <w:color w:val="auto"/>
              </w:rPr>
            </w:pPr>
          </w:p>
        </w:tc>
        <w:tc>
          <w:tcPr>
            <w:tcW w:w="29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7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4"/>
                <w:szCs w:val="24"/>
                <w:color w:val="auto"/>
              </w:rPr>
            </w:pPr>
          </w:p>
        </w:tc>
      </w:tr>
      <w:tr>
        <w:trPr>
          <w:trHeight w:val="296"/>
        </w:trPr>
        <w:tc>
          <w:tcPr>
            <w:tcW w:w="434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2980" w:type="dxa"/>
            <w:vAlign w:val="bottom"/>
          </w:tcPr>
          <w:p>
            <w:pPr>
              <w:jc w:val="right"/>
              <w:ind w:right="70"/>
              <w:spacing w:after="0"/>
              <w:rPr>
                <w:sz w:val="20"/>
                <w:szCs w:val="20"/>
                <w:color w:val="auto"/>
              </w:rPr>
            </w:pPr>
            <w:r>
              <w:rPr>
                <w:rFonts w:ascii="Arial" w:cs="Arial" w:eastAsia="Arial" w:hAnsi="Arial"/>
                <w:sz w:val="18"/>
                <w:szCs w:val="18"/>
                <w:color w:val="auto"/>
              </w:rPr>
              <w:t>4.5</w:t>
            </w:r>
          </w:p>
        </w:tc>
        <w:tc>
          <w:tcPr>
            <w:tcW w:w="1780" w:type="dxa"/>
            <w:vAlign w:val="bottom"/>
          </w:tcPr>
          <w:p>
            <w:pPr>
              <w:jc w:val="right"/>
              <w:ind w:right="330"/>
              <w:spacing w:after="0"/>
              <w:rPr>
                <w:sz w:val="20"/>
                <w:szCs w:val="20"/>
                <w:color w:val="auto"/>
              </w:rPr>
            </w:pPr>
            <w:r>
              <w:rPr>
                <w:rFonts w:ascii="Arial" w:cs="Arial" w:eastAsia="Arial" w:hAnsi="Arial"/>
                <w:sz w:val="18"/>
                <w:szCs w:val="18"/>
                <w:color w:val="auto"/>
              </w:rPr>
              <w:t>261.0</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-164465</wp:posOffset>
            </wp:positionV>
            <wp:extent cx="6078220" cy="635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7">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9 / 85</w:t>
      </w:r>
    </w:p>
    <w:p>
      <w:pPr>
        <w:sectPr>
          <w:pgSz w:w="11900" w:h="16838" w:orient="portrait"/>
          <w:cols w:equalWidth="0" w:num="1">
            <w:col w:w="10460"/>
          </w:cols>
          <w:pgMar w:left="1440" w:top="1440" w:right="6" w:bottom="0" w:gutter="0" w:footer="0" w:header="0"/>
          <w:type w:val="continuous"/>
        </w:sectPr>
      </w:pPr>
    </w:p>
    <w:bookmarkStart w:id="536" w:name="page537"/>
    <w:bookmarkEnd w:id="536"/>
    <w:tbl>
      <w:tblPr>
        <w:tblLayout w:type="fixed"/>
        <w:tblInd w:w="900" w:type="dxa"/>
        <w:tblCellMar>
          <w:top w:w="0" w:type="dxa"/>
          <w:left w:w="0" w:type="dxa"/>
          <w:bottom w:w="0" w:type="dxa"/>
          <w:right w:w="0" w:type="dxa"/>
        </w:tblCellMar>
      </w:tblPr>
      <w:tr>
        <w:trPr>
          <w:trHeight w:val="207"/>
        </w:trPr>
        <w:tc>
          <w:tcPr>
            <w:tcW w:w="500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700" w:type="dxa"/>
            <w:vAlign w:val="bottom"/>
          </w:tcPr>
          <w:p>
            <w:pPr>
              <w:jc w:val="right"/>
              <w:ind w:right="450"/>
              <w:spacing w:after="0"/>
              <w:rPr>
                <w:sz w:val="20"/>
                <w:szCs w:val="20"/>
                <w:color w:val="auto"/>
              </w:rPr>
            </w:pPr>
            <w:r>
              <w:rPr>
                <w:rFonts w:ascii="Arial" w:cs="Arial" w:eastAsia="Arial" w:hAnsi="Arial"/>
                <w:sz w:val="18"/>
                <w:szCs w:val="18"/>
                <w:color w:val="auto"/>
              </w:rPr>
              <w:t>31.4</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r>
      <w:tr>
        <w:trPr>
          <w:trHeight w:val="286"/>
        </w:trPr>
        <w:tc>
          <w:tcPr>
            <w:tcW w:w="5000" w:type="dxa"/>
            <w:vAlign w:val="bottom"/>
          </w:tcPr>
          <w:p>
            <w:pPr>
              <w:spacing w:after="0"/>
              <w:rPr>
                <w:sz w:val="20"/>
                <w:szCs w:val="20"/>
                <w:color w:val="auto"/>
              </w:rPr>
            </w:pPr>
            <w:r>
              <w:rPr>
                <w:rFonts w:ascii="Arial" w:cs="Arial" w:eastAsia="Arial" w:hAnsi="Arial"/>
                <w:sz w:val="18"/>
                <w:szCs w:val="18"/>
                <w:color w:val="auto"/>
              </w:rPr>
              <w:t>Obligations under office leases¹</w:t>
            </w:r>
          </w:p>
        </w:tc>
        <w:tc>
          <w:tcPr>
            <w:tcW w:w="2700" w:type="dxa"/>
            <w:vAlign w:val="bottom"/>
          </w:tcPr>
          <w:p>
            <w:pPr>
              <w:jc w:val="right"/>
              <w:ind w:right="450"/>
              <w:spacing w:after="0"/>
              <w:rPr>
                <w:sz w:val="20"/>
                <w:szCs w:val="20"/>
                <w:color w:val="auto"/>
              </w:rPr>
            </w:pPr>
            <w:r>
              <w:rPr>
                <w:rFonts w:ascii="Arial" w:cs="Arial" w:eastAsia="Arial" w:hAnsi="Arial"/>
                <w:sz w:val="18"/>
                <w:szCs w:val="18"/>
                <w:color w:val="auto"/>
              </w:rPr>
              <w:t>0.3</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24"/>
                <w:szCs w:val="24"/>
                <w:color w:val="auto"/>
              </w:rPr>
            </w:pPr>
          </w:p>
        </w:tc>
      </w:tr>
      <w:tr>
        <w:trPr>
          <w:trHeight w:val="296"/>
        </w:trPr>
        <w:tc>
          <w:tcPr>
            <w:tcW w:w="5000" w:type="dxa"/>
            <w:vAlign w:val="bottom"/>
          </w:tcPr>
          <w:p>
            <w:pPr>
              <w:spacing w:after="0"/>
              <w:rPr>
                <w:sz w:val="20"/>
                <w:szCs w:val="20"/>
                <w:color w:val="auto"/>
              </w:rPr>
            </w:pPr>
            <w:r>
              <w:rPr>
                <w:rFonts w:ascii="Arial" w:cs="Arial" w:eastAsia="Arial" w:hAnsi="Arial"/>
                <w:sz w:val="18"/>
                <w:szCs w:val="18"/>
                <w:color w:val="auto"/>
              </w:rPr>
              <w:t>Total</w:t>
            </w:r>
          </w:p>
        </w:tc>
        <w:tc>
          <w:tcPr>
            <w:tcW w:w="2700" w:type="dxa"/>
            <w:vAlign w:val="bottom"/>
          </w:tcPr>
          <w:p>
            <w:pPr>
              <w:jc w:val="right"/>
              <w:ind w:right="450"/>
              <w:spacing w:after="0"/>
              <w:rPr>
                <w:sz w:val="20"/>
                <w:szCs w:val="20"/>
                <w:color w:val="auto"/>
              </w:rPr>
            </w:pPr>
            <w:r>
              <w:rPr>
                <w:rFonts w:ascii="Arial" w:cs="Arial" w:eastAsia="Arial" w:hAnsi="Arial"/>
                <w:sz w:val="18"/>
                <w:szCs w:val="18"/>
                <w:color w:val="auto"/>
              </w:rPr>
              <w:t>36.2</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261.5</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-164465</wp:posOffset>
            </wp:positionV>
            <wp:extent cx="6078220" cy="635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8">
                      <a:extLst>
                        <a:ext uri="{28A0092B-C50C-407E-A947-70E740481C1C}"/>
                      </a:extLst>
                    </a:blip>
                    <a:srcRect/>
                    <a:stretch>
                      <a:fillRect/>
                    </a:stretch>
                  </pic:blipFill>
                  <pic:spPr bwMode="auto">
                    <a:xfrm>
                      <a:off x="0" y="0"/>
                      <a:ext cx="6078220" cy="635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22860</wp:posOffset>
            </wp:positionV>
            <wp:extent cx="6078220" cy="635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9">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74" w:lineRule="exact"/>
        <w:rPr>
          <w:sz w:val="20"/>
          <w:szCs w:val="20"/>
          <w:color w:val="auto"/>
        </w:rPr>
      </w:pPr>
    </w:p>
    <w:p>
      <w:pPr>
        <w:ind w:left="900"/>
        <w:spacing w:after="0"/>
        <w:rPr>
          <w:sz w:val="20"/>
          <w:szCs w:val="20"/>
          <w:color w:val="auto"/>
        </w:rPr>
      </w:pPr>
      <w:r>
        <w:rPr>
          <w:rFonts w:ascii="Arial" w:cs="Arial" w:eastAsia="Arial" w:hAnsi="Arial"/>
          <w:sz w:val="24"/>
          <w:szCs w:val="24"/>
          <w:i w:val="1"/>
          <w:iCs w:val="1"/>
          <w:color w:val="auto"/>
          <w:vertAlign w:val="superscript"/>
        </w:rPr>
        <w:t>¹</w:t>
      </w:r>
      <w:r>
        <w:rPr>
          <w:rFonts w:ascii="Arial" w:cs="Arial" w:eastAsia="Arial" w:hAnsi="Arial"/>
          <w:sz w:val="18"/>
          <w:szCs w:val="18"/>
          <w:i w:val="1"/>
          <w:iCs w:val="1"/>
          <w:color w:val="auto"/>
        </w:rPr>
        <w:t>Include principal and interest/finance charges.</w:t>
      </w:r>
    </w:p>
    <w:p>
      <w:pPr>
        <w:spacing w:after="0" w:line="214"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Convertible Notes are classified as current liabilities as at December 31, 2025, since the Notes convertible at the option of the holders upon satisfaction of certain conditions that are beyond the control o Company. If such conditions are satisfied, the Notes would be convertible at the option of the holders and conversion, the Notes may be settled, at the Company’s election, in shares, cash, or a combination thereof table above summarizes the contractual maturities as of December 31, 2025, with respect to the Conve Notes, assuming that such conditions will not be satisfied before the due date.</w:t>
      </w:r>
    </w:p>
    <w:p>
      <w:pPr>
        <w:spacing w:after="0" w:line="2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Company’s commitments related to royalties and other payments are disclosed in Note 12 of the YE financial statements filed on SEDAR+ and EDGAR, most of which will be incurred in the future if the Com continues to hold the subject property, proceeds with construction, or begins production.</w:t>
      </w:r>
    </w:p>
    <w:p>
      <w:pPr>
        <w:spacing w:after="0" w:line="200" w:lineRule="exact"/>
        <w:rPr>
          <w:sz w:val="20"/>
          <w:szCs w:val="20"/>
          <w:color w:val="auto"/>
        </w:rPr>
      </w:pPr>
    </w:p>
    <w:p>
      <w:pPr>
        <w:spacing w:after="0" w:line="27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7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6"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10 / 85</w:t>
      </w:r>
    </w:p>
    <w:p>
      <w:pPr>
        <w:sectPr>
          <w:pgSz w:w="11900" w:h="16838" w:orient="portrait"/>
          <w:cols w:equalWidth="0" w:num="1">
            <w:col w:w="10460"/>
          </w:cols>
          <w:pgMar w:left="1440" w:top="1176" w:right="6" w:bottom="0" w:gutter="0" w:footer="0" w:header="0"/>
          <w:type w:val="continuous"/>
        </w:sectPr>
      </w:pPr>
    </w:p>
    <w:bookmarkStart w:id="537" w:name="page538"/>
    <w:bookmarkEnd w:id="5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71">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NON-IFRS AND OTHER FINANCIAL MEASURES</w:t>
      </w:r>
    </w:p>
    <w:p>
      <w:pPr>
        <w:spacing w:after="0" w:line="3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Exar Cash Operating Costs and Total Cash Costs per Tonne</w:t>
      </w:r>
    </w:p>
    <w:p>
      <w:pPr>
        <w:spacing w:after="0" w:line="381"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Lithium Argentina reports Exar’s “</w:t>
      </w:r>
      <w:r>
        <w:rPr>
          <w:rFonts w:ascii="Arial" w:cs="Arial" w:eastAsia="Arial" w:hAnsi="Arial"/>
          <w:sz w:val="20"/>
          <w:szCs w:val="20"/>
          <w:b w:val="1"/>
          <w:bCs w:val="1"/>
          <w:color w:val="auto"/>
        </w:rPr>
        <w:t>Cash Operating Costs per tonne</w:t>
      </w:r>
      <w:r>
        <w:rPr>
          <w:rFonts w:ascii="Arial" w:cs="Arial" w:eastAsia="Arial" w:hAnsi="Arial"/>
          <w:sz w:val="20"/>
          <w:szCs w:val="20"/>
          <w:color w:val="auto"/>
        </w:rPr>
        <w:t>” and “</w:t>
      </w:r>
      <w:r>
        <w:rPr>
          <w:rFonts w:ascii="Arial" w:cs="Arial" w:eastAsia="Arial" w:hAnsi="Arial"/>
          <w:sz w:val="20"/>
          <w:szCs w:val="20"/>
          <w:b w:val="1"/>
          <w:bCs w:val="1"/>
          <w:color w:val="auto"/>
        </w:rPr>
        <w:t>Total Cash Costs per tonne</w:t>
      </w:r>
      <w:r>
        <w:rPr>
          <w:rFonts w:ascii="Arial" w:cs="Arial" w:eastAsia="Arial" w:hAnsi="Arial"/>
          <w:sz w:val="20"/>
          <w:szCs w:val="20"/>
          <w:color w:val="auto"/>
        </w:rPr>
        <w:t>” a non-GAAP financial measures or ratios. These non-GAAP financial measures or ratios do not hav standardized meaning under IFRS and might not be comparable to similar financial measures disclosed by issuers. The most directly comparable IFRS measure is Cost of Sales. These metrics provide investors insight into the Company’s cost structure by excluding non-cash and non-operating items, thereby enabling b comparability of operating performance.</w:t>
      </w:r>
    </w:p>
    <w:p>
      <w:pPr>
        <w:spacing w:after="0" w:line="313"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b w:val="1"/>
          <w:bCs w:val="1"/>
          <w:color w:val="auto"/>
        </w:rPr>
        <w:t xml:space="preserve">Cash Operating Cost </w:t>
      </w:r>
      <w:r>
        <w:rPr>
          <w:rFonts w:ascii="Arial" w:cs="Arial" w:eastAsia="Arial" w:hAnsi="Arial"/>
          <w:sz w:val="20"/>
          <w:szCs w:val="20"/>
          <w:color w:val="auto"/>
        </w:rPr>
        <w:t>(C1) includes all expenditures incurred at the site, such as brine management, lit</w:t>
      </w:r>
      <w:r>
        <w:rPr>
          <w:rFonts w:ascii="Arial" w:cs="Arial" w:eastAsia="Arial" w:hAnsi="Arial"/>
          <w:sz w:val="20"/>
          <w:szCs w:val="20"/>
          <w:b w:val="1"/>
          <w:bCs w:val="1"/>
          <w:color w:val="auto"/>
        </w:rPr>
        <w:t xml:space="preserve"> </w:t>
      </w:r>
      <w:r>
        <w:rPr>
          <w:rFonts w:ascii="Arial" w:cs="Arial" w:eastAsia="Arial" w:hAnsi="Arial"/>
          <w:sz w:val="20"/>
          <w:szCs w:val="20"/>
          <w:color w:val="auto"/>
        </w:rPr>
        <w:t>plant processing, site and provincial office overheads, and inventory adjustments. These costs also inc project general and administrative costs and sales logistics costs.</w:t>
      </w:r>
    </w:p>
    <w:p>
      <w:pPr>
        <w:spacing w:after="0" w:line="313"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b w:val="1"/>
          <w:bCs w:val="1"/>
          <w:color w:val="auto"/>
        </w:rPr>
        <w:t xml:space="preserve">Total Cash Costs </w:t>
      </w:r>
      <w:r>
        <w:rPr>
          <w:rFonts w:ascii="Arial" w:cs="Arial" w:eastAsia="Arial" w:hAnsi="Arial"/>
          <w:sz w:val="20"/>
          <w:szCs w:val="20"/>
          <w:color w:val="auto"/>
        </w:rPr>
        <w:t>(C2) include all C1 costs, along with selling costs, export duties (net of refunds) and prov</w:t>
      </w:r>
      <w:r>
        <w:rPr>
          <w:rFonts w:ascii="Arial" w:cs="Arial" w:eastAsia="Arial" w:hAnsi="Arial"/>
          <w:sz w:val="20"/>
          <w:szCs w:val="20"/>
          <w:b w:val="1"/>
          <w:bCs w:val="1"/>
          <w:color w:val="auto"/>
        </w:rPr>
        <w:t xml:space="preserve"> </w:t>
      </w:r>
      <w:r>
        <w:rPr>
          <w:rFonts w:ascii="Arial" w:cs="Arial" w:eastAsia="Arial" w:hAnsi="Arial"/>
          <w:sz w:val="20"/>
          <w:szCs w:val="20"/>
          <w:color w:val="auto"/>
        </w:rPr>
        <w:t>royalties. Tonnes are reported on a tonnes sold basis at FOB Buenos Aires port. Exar covers the co transporting lithium carbonate to the port, while the delivery cost to the buyer's factory in China, along processing and other costs are subtracted from the sales price.</w:t>
      </w:r>
    </w:p>
    <w:p>
      <w:pPr>
        <w:spacing w:after="0" w:line="3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RECONCILIATION TO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236220</wp:posOffset>
            </wp:positionV>
            <wp:extent cx="6078220" cy="41846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72">
                      <a:extLst>
                        <a:ext uri="{28A0092B-C50C-407E-A947-70E740481C1C}"/>
                      </a:extLst>
                    </a:blip>
                    <a:srcRect/>
                    <a:stretch>
                      <a:fillRect/>
                    </a:stretch>
                  </pic:blipFill>
                  <pic:spPr bwMode="auto">
                    <a:xfrm>
                      <a:off x="0" y="0"/>
                      <a:ext cx="6078220" cy="41846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9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FFFFFF"/>
        </w:rPr>
        <w:t>(Exar on a 100% basis)</w:t>
      </w:r>
    </w:p>
    <w:p>
      <w:pPr>
        <w:spacing w:after="0" w:line="322" w:lineRule="exact"/>
        <w:rPr>
          <w:sz w:val="20"/>
          <w:szCs w:val="20"/>
          <w:color w:val="auto"/>
        </w:rPr>
      </w:pPr>
    </w:p>
    <w:p>
      <w:pPr>
        <w:ind w:left="1000" w:right="400"/>
        <w:spacing w:after="0" w:line="307" w:lineRule="auto"/>
        <w:rPr>
          <w:sz w:val="20"/>
          <w:szCs w:val="20"/>
          <w:color w:val="auto"/>
        </w:rPr>
      </w:pPr>
      <w:r>
        <w:rPr>
          <w:rFonts w:ascii="Arial" w:cs="Arial" w:eastAsia="Arial" w:hAnsi="Arial"/>
          <w:sz w:val="18"/>
          <w:szCs w:val="18"/>
          <w:b w:val="1"/>
          <w:bCs w:val="1"/>
          <w:color w:val="FFFFFF"/>
        </w:rPr>
        <w:t>In USD millions (unless stated otherwise)</w:t>
      </w:r>
    </w:p>
    <w:p>
      <w:pPr>
        <w:spacing w:after="0" w:line="1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Cost of sales</w:t>
      </w:r>
    </w:p>
    <w:p>
      <w:pPr>
        <w:spacing w:after="0" w:line="186" w:lineRule="exact"/>
        <w:rPr>
          <w:sz w:val="20"/>
          <w:szCs w:val="20"/>
          <w:color w:val="auto"/>
        </w:rPr>
      </w:pPr>
    </w:p>
    <w:p>
      <w:pPr>
        <w:ind w:left="1000" w:right="320"/>
        <w:spacing w:after="0" w:line="307" w:lineRule="auto"/>
        <w:rPr>
          <w:sz w:val="20"/>
          <w:szCs w:val="20"/>
          <w:color w:val="auto"/>
        </w:rPr>
      </w:pPr>
      <w:r>
        <w:rPr>
          <w:rFonts w:ascii="Arial" w:cs="Arial" w:eastAsia="Arial" w:hAnsi="Arial"/>
          <w:sz w:val="18"/>
          <w:szCs w:val="18"/>
          <w:color w:val="auto"/>
        </w:rPr>
        <w:t>(-) Depreciation and inventory net realizable value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23495</wp:posOffset>
            </wp:positionV>
            <wp:extent cx="2287905" cy="43116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73">
                      <a:extLst>
                        <a:ext uri="{28A0092B-C50C-407E-A947-70E740481C1C}"/>
                      </a:extLst>
                    </a:blip>
                    <a:srcRect/>
                    <a:stretch>
                      <a:fillRect/>
                    </a:stretch>
                  </pic:blipFill>
                  <pic:spPr bwMode="auto">
                    <a:xfrm>
                      <a:off x="0" y="0"/>
                      <a:ext cx="2287905" cy="431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300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FFFFFF"/>
              </w:rPr>
              <w:t>Three months ended December</w:t>
            </w:r>
          </w:p>
        </w:tc>
        <w:tc>
          <w:tcPr>
            <w:tcW w:w="2380" w:type="dxa"/>
            <w:vAlign w:val="bottom"/>
            <w:gridSpan w:val="3"/>
          </w:tcPr>
          <w:p>
            <w:pPr>
              <w:ind w:left="440"/>
              <w:spacing w:after="0"/>
              <w:rPr>
                <w:sz w:val="20"/>
                <w:szCs w:val="20"/>
                <w:color w:val="auto"/>
              </w:rPr>
            </w:pPr>
            <w:r>
              <w:rPr>
                <w:rFonts w:ascii="Arial" w:cs="Arial" w:eastAsia="Arial" w:hAnsi="Arial"/>
                <w:sz w:val="18"/>
                <w:szCs w:val="18"/>
                <w:b w:val="1"/>
                <w:bCs w:val="1"/>
                <w:color w:val="FFFFFF"/>
              </w:rPr>
              <w:t>Twelve months ended</w:t>
            </w:r>
          </w:p>
        </w:tc>
      </w:tr>
      <w:tr>
        <w:trPr>
          <w:trHeight w:val="272"/>
        </w:trPr>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FFFFFF"/>
              </w:rPr>
              <w:t>31,</w:t>
            </w: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FFFFFF"/>
              </w:rPr>
              <w:t>December 31,</w:t>
            </w:r>
          </w:p>
        </w:tc>
        <w:tc>
          <w:tcPr>
            <w:tcW w:w="360" w:type="dxa"/>
            <w:vAlign w:val="bottom"/>
          </w:tcPr>
          <w:p>
            <w:pPr>
              <w:spacing w:after="0"/>
              <w:rPr>
                <w:sz w:val="23"/>
                <w:szCs w:val="23"/>
                <w:color w:val="auto"/>
              </w:rPr>
            </w:pPr>
          </w:p>
        </w:tc>
      </w:tr>
      <w:tr>
        <w:trPr>
          <w:trHeight w:val="523"/>
        </w:trPr>
        <w:tc>
          <w:tcPr>
            <w:tcW w:w="36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FFFFFF"/>
              </w:rPr>
              <w:t>2025</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FFFFFF"/>
              </w:rPr>
              <w:t>2024</w:t>
            </w: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FFFFFF"/>
              </w:rPr>
              <w:t>Change</w:t>
            </w: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FFFFFF"/>
              </w:rPr>
              <w:t>2025</w:t>
            </w: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FFFFFF"/>
              </w:rPr>
              <w:t>2024</w:t>
            </w:r>
          </w:p>
        </w:tc>
        <w:tc>
          <w:tcPr>
            <w:tcW w:w="360" w:type="dxa"/>
            <w:vAlign w:val="bottom"/>
          </w:tcPr>
          <w:p>
            <w:pPr>
              <w:ind w:left="20"/>
              <w:spacing w:after="0"/>
              <w:rPr>
                <w:sz w:val="20"/>
                <w:szCs w:val="20"/>
                <w:color w:val="auto"/>
              </w:rPr>
            </w:pPr>
            <w:r>
              <w:rPr>
                <w:rFonts w:ascii="Arial" w:cs="Arial" w:eastAsia="Arial" w:hAnsi="Arial"/>
                <w:sz w:val="18"/>
                <w:szCs w:val="18"/>
                <w:b w:val="1"/>
                <w:bCs w:val="1"/>
                <w:color w:val="FFFFFF"/>
                <w:w w:val="93"/>
              </w:rPr>
              <w:t>Cha</w:t>
            </w:r>
          </w:p>
        </w:tc>
      </w:tr>
      <w:tr>
        <w:trPr>
          <w:trHeight w:val="523"/>
        </w:trPr>
        <w:tc>
          <w:tcPr>
            <w:tcW w:w="360" w:type="dxa"/>
            <w:vAlign w:val="bottom"/>
          </w:tcPr>
          <w:p>
            <w:pPr>
              <w:spacing w:after="0"/>
              <w:rPr>
                <w:sz w:val="20"/>
                <w:szCs w:val="20"/>
                <w:color w:val="auto"/>
              </w:rPr>
            </w:pPr>
            <w:r>
              <w:rPr>
                <w:rFonts w:ascii="Arial" w:cs="Arial" w:eastAsia="Arial" w:hAnsi="Arial"/>
                <w:sz w:val="18"/>
                <w:szCs w:val="18"/>
                <w:color w:val="auto"/>
              </w:rPr>
              <w:t>M$</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67</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800" w:type="dxa"/>
            <w:vAlign w:val="bottom"/>
          </w:tcPr>
          <w:p>
            <w:pPr>
              <w:jc w:val="right"/>
              <w:spacing w:after="0"/>
              <w:rPr>
                <w:sz w:val="20"/>
                <w:szCs w:val="20"/>
                <w:color w:val="auto"/>
              </w:rPr>
            </w:pPr>
            <w:r>
              <w:rPr>
                <w:rFonts w:ascii="Arial" w:cs="Arial" w:eastAsia="Arial" w:hAnsi="Arial"/>
                <w:sz w:val="18"/>
                <w:szCs w:val="18"/>
                <w:color w:val="auto"/>
              </w:rPr>
              <w:t>239</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178</w:t>
            </w:r>
          </w:p>
        </w:tc>
        <w:tc>
          <w:tcPr>
            <w:tcW w:w="360" w:type="dxa"/>
            <w:vAlign w:val="bottom"/>
          </w:tcPr>
          <w:p>
            <w:pPr>
              <w:spacing w:after="0"/>
              <w:rPr>
                <w:sz w:val="24"/>
                <w:szCs w:val="24"/>
                <w:color w:val="auto"/>
              </w:rPr>
            </w:pPr>
          </w:p>
        </w:tc>
      </w:tr>
      <w:tr>
        <w:trPr>
          <w:trHeight w:val="387"/>
        </w:trPr>
        <w:tc>
          <w:tcPr>
            <w:tcW w:w="360" w:type="dxa"/>
            <w:vAlign w:val="bottom"/>
          </w:tcPr>
          <w:p>
            <w:pPr>
              <w:spacing w:after="0"/>
              <w:rPr>
                <w:sz w:val="20"/>
                <w:szCs w:val="20"/>
                <w:color w:val="auto"/>
              </w:rPr>
            </w:pPr>
            <w:r>
              <w:rPr>
                <w:rFonts w:ascii="Arial" w:cs="Arial" w:eastAsia="Arial" w:hAnsi="Arial"/>
                <w:sz w:val="18"/>
                <w:szCs w:val="18"/>
                <w:color w:val="auto"/>
              </w:rPr>
              <w:t>M$</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-2416175</wp:posOffset>
            </wp:positionH>
            <wp:positionV relativeFrom="paragraph">
              <wp:posOffset>-848995</wp:posOffset>
            </wp:positionV>
            <wp:extent cx="6078220" cy="151257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74">
                      <a:extLst>
                        <a:ext uri="{28A0092B-C50C-407E-A947-70E740481C1C}"/>
                      </a:extLst>
                    </a:blip>
                    <a:srcRect/>
                    <a:stretch>
                      <a:fillRect/>
                    </a:stretch>
                  </pic:blipFill>
                  <pic:spPr bwMode="auto">
                    <a:xfrm>
                      <a:off x="0" y="0"/>
                      <a:ext cx="6078220" cy="1512570"/>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-848995</wp:posOffset>
            </wp:positionV>
            <wp:extent cx="6078220" cy="151257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75">
                      <a:extLst>
                        <a:ext uri="{28A0092B-C50C-407E-A947-70E740481C1C}"/>
                      </a:extLst>
                    </a:blip>
                    <a:srcRect/>
                    <a:stretch>
                      <a:fillRect/>
                    </a:stretch>
                  </pic:blipFill>
                  <pic:spPr bwMode="auto">
                    <a:xfrm>
                      <a:off x="0" y="0"/>
                      <a:ext cx="6078220" cy="1512570"/>
                    </a:xfrm>
                    <a:prstGeom prst="rect">
                      <a:avLst/>
                    </a:prstGeom>
                    <a:noFill/>
                  </pic:spPr>
                </pic:pic>
              </a:graphicData>
            </a:graphic>
          </wp:anchor>
        </w:drawing>
      </w:r>
    </w:p>
    <w:p>
      <w:pPr>
        <w:spacing w:after="0" w:line="451" w:lineRule="exact"/>
        <w:rPr>
          <w:sz w:val="20"/>
          <w:szCs w:val="20"/>
          <w:color w:val="auto"/>
        </w:rPr>
      </w:pPr>
    </w:p>
    <w:p>
      <w:pPr>
        <w:sectPr>
          <w:pgSz w:w="11900" w:h="16838" w:orient="portrait"/>
          <w:cols w:equalWidth="0" w:num="2">
            <w:col w:w="3980" w:space="720"/>
            <w:col w:w="5760"/>
          </w:cols>
          <w:pgMar w:left="1440" w:top="1440" w:right="6" w:bottom="0" w:gutter="0" w:footer="0" w:header="0"/>
          <w:type w:val="continuous"/>
        </w:sectPr>
      </w:pPr>
    </w:p>
    <w:tbl>
      <w:tblPr>
        <w:tblLayout w:type="fixed"/>
        <w:tblInd w:w="1000" w:type="dxa"/>
        <w:tblCellMar>
          <w:top w:w="0" w:type="dxa"/>
          <w:left w:w="0" w:type="dxa"/>
          <w:bottom w:w="0" w:type="dxa"/>
          <w:right w:w="0" w:type="dxa"/>
        </w:tblCellMar>
      </w:tblPr>
      <w:tr>
        <w:trPr>
          <w:trHeight w:val="207"/>
        </w:trPr>
        <w:tc>
          <w:tcPr>
            <w:tcW w:w="3340" w:type="dxa"/>
            <w:vAlign w:val="bottom"/>
          </w:tcPr>
          <w:p>
            <w:pPr>
              <w:spacing w:after="0"/>
              <w:rPr>
                <w:sz w:val="20"/>
                <w:szCs w:val="20"/>
                <w:color w:val="auto"/>
              </w:rPr>
            </w:pPr>
            <w:r>
              <w:rPr>
                <w:rFonts w:ascii="Arial" w:cs="Arial" w:eastAsia="Arial" w:hAnsi="Arial"/>
                <w:sz w:val="18"/>
                <w:szCs w:val="18"/>
                <w:color w:val="auto"/>
              </w:rPr>
              <w:t>(+) General &amp; administration and sales</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M$</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6</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r>
      <w:tr>
        <w:trPr>
          <w:trHeight w:val="272"/>
        </w:trPr>
        <w:tc>
          <w:tcPr>
            <w:tcW w:w="3340" w:type="dxa"/>
            <w:vAlign w:val="bottom"/>
          </w:tcPr>
          <w:p>
            <w:pPr>
              <w:spacing w:after="0"/>
              <w:rPr>
                <w:sz w:val="20"/>
                <w:szCs w:val="20"/>
                <w:color w:val="auto"/>
              </w:rPr>
            </w:pPr>
            <w:r>
              <w:rPr>
                <w:rFonts w:ascii="Arial" w:cs="Arial" w:eastAsia="Arial" w:hAnsi="Arial"/>
                <w:sz w:val="18"/>
                <w:szCs w:val="18"/>
                <w:color w:val="auto"/>
              </w:rPr>
              <w:t>logistics</w:t>
            </w: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407"/>
        </w:trPr>
        <w:tc>
          <w:tcPr>
            <w:tcW w:w="3340" w:type="dxa"/>
            <w:vAlign w:val="bottom"/>
          </w:tcPr>
          <w:p>
            <w:pPr>
              <w:spacing w:after="0"/>
              <w:rPr>
                <w:sz w:val="20"/>
                <w:szCs w:val="20"/>
                <w:color w:val="auto"/>
              </w:rPr>
            </w:pPr>
            <w:r>
              <w:rPr>
                <w:rFonts w:ascii="Arial" w:cs="Arial" w:eastAsia="Arial" w:hAnsi="Arial"/>
                <w:sz w:val="18"/>
                <w:szCs w:val="18"/>
                <w:b w:val="1"/>
                <w:bCs w:val="1"/>
                <w:color w:val="auto"/>
              </w:rPr>
              <w:t>C1: Cash Operating Costs</w:t>
            </w: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M$</w:t>
            </w: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57</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62</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(5)</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206</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180</w:t>
            </w:r>
          </w:p>
        </w:tc>
        <w:tc>
          <w:tcPr>
            <w:tcW w:w="420" w:type="dxa"/>
            <w:vAlign w:val="bottom"/>
          </w:tcPr>
          <w:p>
            <w:pPr>
              <w:spacing w:after="0"/>
              <w:rPr>
                <w:sz w:val="24"/>
                <w:szCs w:val="24"/>
                <w:color w:val="auto"/>
              </w:rPr>
            </w:pPr>
          </w:p>
        </w:tc>
      </w:tr>
      <w:tr>
        <w:trPr>
          <w:trHeight w:val="387"/>
        </w:trPr>
        <w:tc>
          <w:tcPr>
            <w:tcW w:w="3340" w:type="dxa"/>
            <w:vAlign w:val="bottom"/>
          </w:tcPr>
          <w:p>
            <w:pPr>
              <w:spacing w:after="0"/>
              <w:rPr>
                <w:sz w:val="20"/>
                <w:szCs w:val="20"/>
                <w:color w:val="auto"/>
              </w:rPr>
            </w:pPr>
            <w:r>
              <w:rPr>
                <w:rFonts w:ascii="Arial" w:cs="Arial" w:eastAsia="Arial" w:hAnsi="Arial"/>
                <w:sz w:val="18"/>
                <w:szCs w:val="18"/>
                <w:color w:val="auto"/>
              </w:rPr>
              <w:t>(+) Selling costs, duties and royalties</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M$</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24"/>
                <w:szCs w:val="24"/>
                <w:color w:val="auto"/>
              </w:rPr>
            </w:pPr>
          </w:p>
        </w:tc>
      </w:tr>
      <w:tr>
        <w:trPr>
          <w:trHeight w:val="407"/>
        </w:trPr>
        <w:tc>
          <w:tcPr>
            <w:tcW w:w="3340" w:type="dxa"/>
            <w:vAlign w:val="bottom"/>
          </w:tcPr>
          <w:p>
            <w:pPr>
              <w:spacing w:after="0"/>
              <w:rPr>
                <w:sz w:val="20"/>
                <w:szCs w:val="20"/>
                <w:color w:val="auto"/>
              </w:rPr>
            </w:pPr>
            <w:r>
              <w:rPr>
                <w:rFonts w:ascii="Arial" w:cs="Arial" w:eastAsia="Arial" w:hAnsi="Arial"/>
                <w:sz w:val="18"/>
                <w:szCs w:val="18"/>
                <w:b w:val="1"/>
                <w:bCs w:val="1"/>
                <w:color w:val="auto"/>
              </w:rPr>
              <w:t>C2: Total Cash Costs</w:t>
            </w: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M$</w:t>
            </w: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61</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65</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(4)</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216</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188</w:t>
            </w:r>
          </w:p>
        </w:tc>
        <w:tc>
          <w:tcPr>
            <w:tcW w:w="420" w:type="dxa"/>
            <w:vAlign w:val="bottom"/>
          </w:tcPr>
          <w:p>
            <w:pPr>
              <w:spacing w:after="0"/>
              <w:rPr>
                <w:sz w:val="24"/>
                <w:szCs w:val="24"/>
                <w:color w:val="auto"/>
              </w:rPr>
            </w:pPr>
          </w:p>
        </w:tc>
      </w:tr>
      <w:tr>
        <w:trPr>
          <w:trHeight w:val="387"/>
        </w:trPr>
        <w:tc>
          <w:tcPr>
            <w:tcW w:w="3340" w:type="dxa"/>
            <w:vAlign w:val="bottom"/>
          </w:tcPr>
          <w:p>
            <w:pPr>
              <w:spacing w:after="0"/>
              <w:rPr>
                <w:sz w:val="20"/>
                <w:szCs w:val="20"/>
                <w:color w:val="auto"/>
              </w:rPr>
            </w:pPr>
            <w:r>
              <w:rPr>
                <w:rFonts w:ascii="Arial" w:cs="Arial" w:eastAsia="Arial" w:hAnsi="Arial"/>
                <w:sz w:val="18"/>
                <w:szCs w:val="18"/>
                <w:color w:val="auto"/>
              </w:rPr>
              <w:t>Li2CO3 Shipments (dry base)</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tns</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10,114</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9,383</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731</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33,670</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25,304</w:t>
            </w:r>
          </w:p>
        </w:tc>
        <w:tc>
          <w:tcPr>
            <w:tcW w:w="420" w:type="dxa"/>
            <w:vAlign w:val="bottom"/>
          </w:tcPr>
          <w:p>
            <w:pPr>
              <w:spacing w:after="0"/>
              <w:rPr>
                <w:sz w:val="24"/>
                <w:szCs w:val="24"/>
                <w:color w:val="auto"/>
              </w:rPr>
            </w:pPr>
          </w:p>
        </w:tc>
      </w:tr>
      <w:tr>
        <w:trPr>
          <w:trHeight w:val="387"/>
        </w:trPr>
        <w:tc>
          <w:tcPr>
            <w:tcW w:w="3340" w:type="dxa"/>
            <w:vAlign w:val="bottom"/>
          </w:tcPr>
          <w:p>
            <w:pPr>
              <w:spacing w:after="0"/>
              <w:rPr>
                <w:sz w:val="20"/>
                <w:szCs w:val="20"/>
                <w:color w:val="auto"/>
              </w:rPr>
            </w:pPr>
            <w:r>
              <w:rPr>
                <w:rFonts w:ascii="Arial" w:cs="Arial" w:eastAsia="Arial" w:hAnsi="Arial"/>
                <w:sz w:val="18"/>
                <w:szCs w:val="18"/>
                <w:b w:val="1"/>
                <w:bCs w:val="1"/>
                <w:color w:val="auto"/>
              </w:rPr>
              <w:t>C1 Total Cash Operating Costs per</w:t>
            </w: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$/tn</w:t>
            </w: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5,618</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6,630</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(1,012)</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6,108</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7,131</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72"/>
        </w:trPr>
        <w:tc>
          <w:tcPr>
            <w:tcW w:w="3340" w:type="dxa"/>
            <w:vAlign w:val="bottom"/>
          </w:tcPr>
          <w:p>
            <w:pPr>
              <w:spacing w:after="0"/>
              <w:rPr>
                <w:sz w:val="20"/>
                <w:szCs w:val="20"/>
                <w:color w:val="auto"/>
              </w:rPr>
            </w:pPr>
            <w:r>
              <w:rPr>
                <w:rFonts w:ascii="Arial" w:cs="Arial" w:eastAsia="Arial" w:hAnsi="Arial"/>
                <w:sz w:val="18"/>
                <w:szCs w:val="18"/>
                <w:b w:val="1"/>
                <w:bCs w:val="1"/>
                <w:color w:val="auto"/>
              </w:rPr>
              <w:t>tonne</w:t>
            </w: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387"/>
        </w:trPr>
        <w:tc>
          <w:tcPr>
            <w:tcW w:w="3340" w:type="dxa"/>
            <w:vAlign w:val="bottom"/>
          </w:tcPr>
          <w:p>
            <w:pPr>
              <w:spacing w:after="0"/>
              <w:rPr>
                <w:sz w:val="20"/>
                <w:szCs w:val="20"/>
                <w:color w:val="auto"/>
              </w:rPr>
            </w:pPr>
            <w:r>
              <w:rPr>
                <w:rFonts w:ascii="Arial" w:cs="Arial" w:eastAsia="Arial" w:hAnsi="Arial"/>
                <w:sz w:val="18"/>
                <w:szCs w:val="18"/>
                <w:b w:val="1"/>
                <w:bCs w:val="1"/>
                <w:color w:val="auto"/>
              </w:rPr>
              <w:t>C2 Total Cash Costs per tonne</w:t>
            </w: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$/tn</w:t>
            </w: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6,011</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6,881</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(870)</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6,407</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7,413</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-1611630</wp:posOffset>
            </wp:positionV>
            <wp:extent cx="6078220" cy="16846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76">
                      <a:extLst>
                        <a:ext uri="{28A0092B-C50C-407E-A947-70E740481C1C}"/>
                      </a:extLst>
                    </a:blip>
                    <a:srcRect/>
                    <a:stretch>
                      <a:fillRect/>
                    </a:stretch>
                  </pic:blipFill>
                  <pic:spPr bwMode="auto">
                    <a:xfrm>
                      <a:off x="0" y="0"/>
                      <a:ext cx="6078220" cy="16846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-1611630</wp:posOffset>
            </wp:positionV>
            <wp:extent cx="6078220" cy="16846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7">
                      <a:extLst>
                        <a:ext uri="{28A0092B-C50C-407E-A947-70E740481C1C}"/>
                      </a:extLst>
                    </a:blip>
                    <a:srcRect/>
                    <a:stretch>
                      <a:fillRect/>
                    </a:stretch>
                  </pic:blipFill>
                  <pic:spPr bwMode="auto">
                    <a:xfrm>
                      <a:off x="0" y="0"/>
                      <a:ext cx="6078220" cy="1684655"/>
                    </a:xfrm>
                    <a:prstGeom prst="rect">
                      <a:avLst/>
                    </a:prstGeom>
                    <a:noFill/>
                  </pic:spPr>
                </pic:pic>
              </a:graphicData>
            </a:graphic>
          </wp:anchor>
        </w:drawing>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Notes: Quarterly amounts added together may not equal to the total reported for the period due to rounding.</w:t>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11 / 85</w:t>
      </w:r>
    </w:p>
    <w:p>
      <w:pPr>
        <w:sectPr>
          <w:pgSz w:w="11900" w:h="16838" w:orient="portrait"/>
          <w:cols w:equalWidth="0" w:num="1">
            <w:col w:w="10460"/>
          </w:cols>
          <w:pgMar w:left="1440" w:top="1440" w:right="6" w:bottom="0" w:gutter="0" w:footer="0" w:header="0"/>
          <w:type w:val="continuous"/>
        </w:sectPr>
      </w:pPr>
    </w:p>
    <w:bookmarkStart w:id="538" w:name="page539"/>
    <w:bookmarkEnd w:id="538"/>
    <w:p>
      <w:pPr>
        <w:spacing w:after="0" w:line="27"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Exar EBITDA and Adjusted EBITDA</w:t>
      </w:r>
    </w:p>
    <w:p>
      <w:pPr>
        <w:spacing w:after="0" w:line="381"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Lithium Argentina reports “Exar EBITDA” and “Exar Adjusted EBITDA” as supplemental non-GAAP operat measures. These measures are presented on a 100% Exar basis and do not represent amounts attributab Lithium Argentina or its shareholders. Lithium Argentina accounts for its 44.8% interest in Exar using the e method and accordingly recognizes only its proportionate share of Exar’s net income or loss as a single line in its consolidated statements of operations. These non-GAAP measures do not have a standardized mea under IFRS and may not be comparable to similar measures disclosed by other issuers.</w:t>
      </w:r>
    </w:p>
    <w:p>
      <w:pPr>
        <w:spacing w:after="0" w:line="313"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Management presents these measures to provide investors and other stakeholders with additional insight int operational performance of the asset in which Lithium Argentina holds its primary interest, and should be re conjunction with the Company’s consolidated financial statements and Exar’s financial statements filed pur to Rule 3-09 of Regulation S-X, included as an exhibit to the Company's Annual Report on Form 20-F.</w:t>
      </w:r>
    </w:p>
    <w:p>
      <w:pPr>
        <w:spacing w:after="0" w:line="200" w:lineRule="exact"/>
        <w:rPr>
          <w:sz w:val="20"/>
          <w:szCs w:val="20"/>
          <w:color w:val="auto"/>
        </w:rPr>
      </w:pPr>
    </w:p>
    <w:p>
      <w:pPr>
        <w:spacing w:after="0" w:line="27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12 / 85</w:t>
      </w:r>
    </w:p>
    <w:p>
      <w:pPr>
        <w:sectPr>
          <w:pgSz w:w="11900" w:h="16838" w:orient="portrait"/>
          <w:cols w:equalWidth="0" w:num="1">
            <w:col w:w="10460"/>
          </w:cols>
          <w:pgMar w:left="1440" w:top="1440" w:right="6" w:bottom="0" w:gutter="0" w:footer="0" w:header="0"/>
          <w:type w:val="continuous"/>
        </w:sectPr>
      </w:pPr>
    </w:p>
    <w:bookmarkStart w:id="539" w:name="page540"/>
    <w:bookmarkEnd w:id="5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9">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00"/>
        <w:spacing w:after="0" w:line="332" w:lineRule="auto"/>
        <w:rPr>
          <w:sz w:val="20"/>
          <w:szCs w:val="20"/>
          <w:color w:val="auto"/>
        </w:rPr>
      </w:pPr>
      <w:r>
        <w:rPr>
          <w:rFonts w:ascii="Arial" w:cs="Arial" w:eastAsia="Arial" w:hAnsi="Arial"/>
          <w:sz w:val="19"/>
          <w:szCs w:val="19"/>
          <w:color w:val="auto"/>
        </w:rPr>
        <w:t>Exar EBITDA is defined as Exar’s net income (loss) before income tax expense (recovery), finance costs and depreciation and amortization. Exar Adjusted EBITDA further excludes foreign exchange gains and lo gains and losses arising from derivative liabilities, other income and expense items of a non-cash or operating nature. These adjustments reflect items that management considers to be outside the ordinary co of operations at the Cauchari-Olaroz project and that may obscure period-to-period and peer-to-comparability of operating results. We believe that disclosing these measures assists readers in understan the ongoing cash-generating potential of our significant equity investee in order to provide liquidity to fund its needs and service its outstanding debt, as well as repay loans provided by Lithium Argentina and pay divide</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FFFFFF"/>
        </w:rPr>
        <w:t>(Exar on a 100%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132080</wp:posOffset>
            </wp:positionV>
            <wp:extent cx="1786255" cy="36195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80">
                      <a:extLst>
                        <a:ext uri="{28A0092B-C50C-407E-A947-70E740481C1C}"/>
                      </a:extLst>
                    </a:blip>
                    <a:srcRect/>
                    <a:stretch>
                      <a:fillRect/>
                    </a:stretch>
                  </pic:blipFill>
                  <pic:spPr bwMode="auto">
                    <a:xfrm>
                      <a:off x="0" y="0"/>
                      <a:ext cx="1786255" cy="361950"/>
                    </a:xfrm>
                    <a:prstGeom prst="rect">
                      <a:avLst/>
                    </a:prstGeom>
                    <a:noFill/>
                  </pic:spPr>
                </pic:pic>
              </a:graphicData>
            </a:graphic>
          </wp:anchor>
        </w:drawing>
      </w:r>
    </w:p>
    <w:p>
      <w:pPr>
        <w:spacing w:after="0" w:line="236" w:lineRule="exact"/>
        <w:rPr>
          <w:sz w:val="20"/>
          <w:szCs w:val="20"/>
          <w:color w:val="auto"/>
        </w:rPr>
      </w:pPr>
    </w:p>
    <w:p>
      <w:pPr>
        <w:ind w:left="1000"/>
        <w:spacing w:after="0" w:line="307" w:lineRule="auto"/>
        <w:rPr>
          <w:sz w:val="20"/>
          <w:szCs w:val="20"/>
          <w:color w:val="auto"/>
        </w:rPr>
      </w:pPr>
      <w:r>
        <w:rPr>
          <w:rFonts w:ascii="Arial" w:cs="Arial" w:eastAsia="Arial" w:hAnsi="Arial"/>
          <w:sz w:val="18"/>
          <w:szCs w:val="18"/>
          <w:b w:val="1"/>
          <w:bCs w:val="1"/>
          <w:color w:val="FFFFFF"/>
        </w:rPr>
        <w:t>In USD millions (unless stated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-3810</wp:posOffset>
            </wp:positionV>
            <wp:extent cx="1786255" cy="20002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81">
                      <a:extLst>
                        <a:ext uri="{28A0092B-C50C-407E-A947-70E740481C1C}"/>
                      </a:extLst>
                    </a:blip>
                    <a:srcRect/>
                    <a:stretch>
                      <a:fillRect/>
                    </a:stretch>
                  </pic:blipFill>
                  <pic:spPr bwMode="auto">
                    <a:xfrm>
                      <a:off x="0" y="0"/>
                      <a:ext cx="1786255" cy="200025"/>
                    </a:xfrm>
                    <a:prstGeom prst="rect">
                      <a:avLst/>
                    </a:prstGeom>
                    <a:noFill/>
                  </pic:spPr>
                </pic:pic>
              </a:graphicData>
            </a:graphic>
          </wp:anchor>
        </w:drawing>
      </w:r>
    </w:p>
    <w:p>
      <w:pPr>
        <w:spacing w:after="0" w:line="13"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2341245</wp:posOffset>
            </wp:positionH>
            <wp:positionV relativeFrom="paragraph">
              <wp:posOffset>43180</wp:posOffset>
            </wp:positionV>
            <wp:extent cx="12700" cy="34480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82">
                      <a:extLst>
                        <a:ext uri="{28A0092B-C50C-407E-A947-70E740481C1C}"/>
                      </a:extLst>
                    </a:blip>
                    <a:srcRect/>
                    <a:stretch>
                      <a:fillRect/>
                    </a:stretch>
                  </pic:blipFill>
                  <pic:spPr bwMode="auto">
                    <a:xfrm>
                      <a:off x="0" y="0"/>
                      <a:ext cx="12700" cy="344805"/>
                    </a:xfrm>
                    <a:prstGeom prst="rect">
                      <a:avLst/>
                    </a:prstGeom>
                    <a:noFill/>
                  </pic:spPr>
                </pic:pic>
              </a:graphicData>
            </a:graphic>
          </wp:anchor>
        </w:drawing>
      </w:r>
    </w:p>
    <w:p>
      <w:pPr>
        <w:spacing w:after="0" w:line="82" w:lineRule="exact"/>
        <w:rPr>
          <w:sz w:val="20"/>
          <w:szCs w:val="20"/>
          <w:color w:val="auto"/>
        </w:rPr>
      </w:pPr>
    </w:p>
    <w:p>
      <w:pPr>
        <w:ind w:left="1000" w:right="200" w:firstLine="200"/>
        <w:spacing w:after="0" w:line="307" w:lineRule="auto"/>
        <w:rPr>
          <w:sz w:val="20"/>
          <w:szCs w:val="20"/>
          <w:color w:val="auto"/>
        </w:rPr>
      </w:pPr>
      <w:r>
        <w:rPr>
          <w:rFonts w:ascii="Arial" w:cs="Arial" w:eastAsia="Arial" w:hAnsi="Arial"/>
          <w:sz w:val="18"/>
          <w:szCs w:val="18"/>
          <w:color w:val="auto"/>
        </w:rPr>
        <w:t>(-/+) Income tax (recovery)/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2341245</wp:posOffset>
            </wp:positionH>
            <wp:positionV relativeFrom="paragraph">
              <wp:posOffset>-12700</wp:posOffset>
            </wp:positionV>
            <wp:extent cx="12700" cy="19050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83">
                      <a:extLst>
                        <a:ext uri="{28A0092B-C50C-407E-A947-70E740481C1C}"/>
                      </a:extLst>
                    </a:blip>
                    <a:srcRect/>
                    <a:stretch>
                      <a:fillRect/>
                    </a:stretch>
                  </pic:blipFill>
                  <pic:spPr bwMode="auto">
                    <a:xfrm>
                      <a:off x="0" y="0"/>
                      <a:ext cx="12700" cy="190500"/>
                    </a:xfrm>
                    <a:prstGeom prst="rect">
                      <a:avLst/>
                    </a:prstGeom>
                    <a:noFill/>
                  </pic:spPr>
                </pic:pic>
              </a:graphicData>
            </a:graphic>
          </wp:anchor>
        </w:drawing>
      </w:r>
    </w:p>
    <w:p>
      <w:pPr>
        <w:spacing w:after="0" w:line="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Finance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31750</wp:posOffset>
            </wp:positionV>
            <wp:extent cx="1786255" cy="35750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84">
                      <a:extLst>
                        <a:ext uri="{28A0092B-C50C-407E-A947-70E740481C1C}"/>
                      </a:extLst>
                    </a:blip>
                    <a:srcRect/>
                    <a:stretch>
                      <a:fillRect/>
                    </a:stretch>
                  </pic:blipFill>
                  <pic:spPr bwMode="auto">
                    <a:xfrm>
                      <a:off x="0" y="0"/>
                      <a:ext cx="1786255" cy="357505"/>
                    </a:xfrm>
                    <a:prstGeom prst="rect">
                      <a:avLst/>
                    </a:prstGeom>
                    <a:noFill/>
                  </pic:spPr>
                </pic:pic>
              </a:graphicData>
            </a:graphic>
          </wp:anchor>
        </w:drawing>
      </w:r>
    </w:p>
    <w:p>
      <w:pPr>
        <w:spacing w:after="0" w:line="65" w:lineRule="exact"/>
        <w:rPr>
          <w:sz w:val="20"/>
          <w:szCs w:val="20"/>
          <w:color w:val="auto"/>
        </w:rPr>
      </w:pPr>
    </w:p>
    <w:p>
      <w:pPr>
        <w:ind w:left="1000" w:right="740" w:firstLine="209"/>
        <w:spacing w:after="0" w:line="307" w:lineRule="auto"/>
        <w:tabs>
          <w:tab w:leader="none" w:pos="147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0</wp:posOffset>
            </wp:positionV>
            <wp:extent cx="1786255" cy="20002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85">
                      <a:extLst>
                        <a:ext uri="{28A0092B-C50C-407E-A947-70E740481C1C}"/>
                      </a:extLst>
                    </a:blip>
                    <a:srcRect/>
                    <a:stretch>
                      <a:fillRect/>
                    </a:stretch>
                  </pic:blipFill>
                  <pic:spPr bwMode="auto">
                    <a:xfrm>
                      <a:off x="0" y="0"/>
                      <a:ext cx="1786255" cy="200025"/>
                    </a:xfrm>
                    <a:prstGeom prst="rect">
                      <a:avLst/>
                    </a:prstGeom>
                    <a:noFill/>
                  </pic:spPr>
                </pic:pic>
              </a:graphicData>
            </a:graphic>
          </wp:anchor>
        </w:drawing>
      </w:r>
    </w:p>
    <w:p>
      <w:pPr>
        <w:spacing w:after="0" w:line="19"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2341245</wp:posOffset>
            </wp:positionH>
            <wp:positionV relativeFrom="paragraph">
              <wp:posOffset>43180</wp:posOffset>
            </wp:positionV>
            <wp:extent cx="12700" cy="20002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86">
                      <a:extLst>
                        <a:ext uri="{28A0092B-C50C-407E-A947-70E740481C1C}"/>
                      </a:extLst>
                    </a:blip>
                    <a:srcRect/>
                    <a:stretch>
                      <a:fillRect/>
                    </a:stretch>
                  </pic:blipFill>
                  <pic:spPr bwMode="auto">
                    <a:xfrm>
                      <a:off x="0" y="0"/>
                      <a:ext cx="12700" cy="200025"/>
                    </a:xfrm>
                    <a:prstGeom prst="rect">
                      <a:avLst/>
                    </a:prstGeom>
                    <a:noFill/>
                  </pic:spPr>
                </pic:pic>
              </a:graphicData>
            </a:graphic>
          </wp:anchor>
        </w:drawing>
      </w:r>
    </w:p>
    <w:p>
      <w:pPr>
        <w:spacing w:after="0" w:line="9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FX losses/(gains)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2341245</wp:posOffset>
            </wp:positionH>
            <wp:positionV relativeFrom="paragraph">
              <wp:posOffset>36830</wp:posOffset>
            </wp:positionV>
            <wp:extent cx="12700" cy="34480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7">
                      <a:extLst>
                        <a:ext uri="{28A0092B-C50C-407E-A947-70E740481C1C}"/>
                      </a:extLst>
                    </a:blip>
                    <a:srcRect/>
                    <a:stretch>
                      <a:fillRect/>
                    </a:stretch>
                  </pic:blipFill>
                  <pic:spPr bwMode="auto">
                    <a:xfrm>
                      <a:off x="0" y="0"/>
                      <a:ext cx="12700" cy="344805"/>
                    </a:xfrm>
                    <a:prstGeom prst="rect">
                      <a:avLst/>
                    </a:prstGeom>
                    <a:noFill/>
                  </pic:spPr>
                </pic:pic>
              </a:graphicData>
            </a:graphic>
          </wp:anchor>
        </w:drawing>
      </w:r>
    </w:p>
    <w:p>
      <w:pPr>
        <w:spacing w:after="0" w:line="72" w:lineRule="exact"/>
        <w:rPr>
          <w:sz w:val="20"/>
          <w:szCs w:val="20"/>
          <w:color w:val="auto"/>
        </w:rPr>
      </w:pPr>
    </w:p>
    <w:p>
      <w:pPr>
        <w:ind w:left="1000" w:right="500" w:firstLine="200"/>
        <w:spacing w:after="0" w:line="307" w:lineRule="auto"/>
        <w:rPr>
          <w:sz w:val="20"/>
          <w:szCs w:val="20"/>
          <w:color w:val="auto"/>
        </w:rPr>
      </w:pPr>
      <w:r>
        <w:rPr>
          <w:rFonts w:ascii="Arial" w:cs="Arial" w:eastAsia="Arial" w:hAnsi="Arial"/>
          <w:sz w:val="18"/>
          <w:szCs w:val="18"/>
          <w:color w:val="auto"/>
        </w:rPr>
        <w:t>(–/+) Derivative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2341245</wp:posOffset>
            </wp:positionH>
            <wp:positionV relativeFrom="paragraph">
              <wp:posOffset>-12700</wp:posOffset>
            </wp:positionV>
            <wp:extent cx="12700" cy="19050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8">
                      <a:extLst>
                        <a:ext uri="{28A0092B-C50C-407E-A947-70E740481C1C}"/>
                      </a:extLst>
                    </a:blip>
                    <a:srcRect/>
                    <a:stretch>
                      <a:fillRect/>
                    </a:stretch>
                  </pic:blipFill>
                  <pic:spPr bwMode="auto">
                    <a:xfrm>
                      <a:off x="0" y="0"/>
                      <a:ext cx="12700" cy="190500"/>
                    </a:xfrm>
                    <a:prstGeom prst="rect">
                      <a:avLst/>
                    </a:prstGeom>
                    <a:noFill/>
                  </pic:spPr>
                </pic:pic>
              </a:graphicData>
            </a:graphic>
          </wp:anchor>
        </w:drawing>
      </w:r>
    </w:p>
    <w:p>
      <w:pPr>
        <w:spacing w:after="0" w:line="8" w:lineRule="exact"/>
        <w:rPr>
          <w:sz w:val="20"/>
          <w:szCs w:val="20"/>
          <w:color w:val="auto"/>
        </w:rPr>
      </w:pPr>
    </w:p>
    <w:p>
      <w:pPr>
        <w:ind w:left="1000" w:right="420" w:firstLine="200"/>
        <w:spacing w:after="0" w:line="337" w:lineRule="auto"/>
        <w:rPr>
          <w:sz w:val="20"/>
          <w:szCs w:val="20"/>
          <w:color w:val="auto"/>
        </w:rPr>
      </w:pPr>
      <w:r>
        <w:rPr>
          <w:rFonts w:ascii="Arial" w:cs="Arial" w:eastAsia="Arial" w:hAnsi="Arial"/>
          <w:sz w:val="18"/>
          <w:szCs w:val="18"/>
          <w:color w:val="auto"/>
        </w:rPr>
        <w:t xml:space="preserve">(-/+) Other (income)/loss </w:t>
      </w:r>
      <w:r>
        <w:rPr>
          <w:rFonts w:ascii="Arial" w:cs="Arial" w:eastAsia="Arial" w:hAnsi="Arial"/>
          <w:sz w:val="18"/>
          <w:szCs w:val="18"/>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-208915</wp:posOffset>
            </wp:positionV>
            <wp:extent cx="1786255" cy="20002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9">
                      <a:extLst>
                        <a:ext uri="{28A0092B-C50C-407E-A947-70E740481C1C}"/>
                      </a:extLst>
                    </a:blip>
                    <a:srcRect/>
                    <a:stretch>
                      <a:fillRect/>
                    </a:stretch>
                  </pic:blipFill>
                  <pic:spPr bwMode="auto">
                    <a:xfrm>
                      <a:off x="0" y="0"/>
                      <a:ext cx="1786255" cy="200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-514985</wp:posOffset>
            </wp:positionV>
            <wp:extent cx="383540" cy="56197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90">
                      <a:extLst>
                        <a:ext uri="{28A0092B-C50C-407E-A947-70E740481C1C}"/>
                      </a:extLst>
                    </a:blip>
                    <a:srcRect/>
                    <a:stretch>
                      <a:fillRect/>
                    </a:stretch>
                  </pic:blipFill>
                  <pic:spPr bwMode="auto">
                    <a:xfrm>
                      <a:off x="0" y="0"/>
                      <a:ext cx="383540" cy="56197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35560</wp:posOffset>
            </wp:positionV>
            <wp:extent cx="383540" cy="35750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91">
                      <a:extLst>
                        <a:ext uri="{28A0092B-C50C-407E-A947-70E740481C1C}"/>
                      </a:extLst>
                    </a:blip>
                    <a:srcRect/>
                    <a:stretch>
                      <a:fillRect/>
                    </a:stretch>
                  </pic:blipFill>
                  <pic:spPr bwMode="auto">
                    <a:xfrm>
                      <a:off x="0" y="0"/>
                      <a:ext cx="383540" cy="35750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125730</wp:posOffset>
            </wp:positionV>
            <wp:extent cx="383540" cy="20002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92">
                      <a:extLst>
                        <a:ext uri="{28A0092B-C50C-407E-A947-70E740481C1C}"/>
                      </a:extLst>
                    </a:blip>
                    <a:srcRect/>
                    <a:stretch>
                      <a:fillRect/>
                    </a:stretch>
                  </pic:blipFill>
                  <pic:spPr bwMode="auto">
                    <a:xfrm>
                      <a:off x="0" y="0"/>
                      <a:ext cx="383540" cy="20002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M$</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M$</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35560</wp:posOffset>
            </wp:positionV>
            <wp:extent cx="383540" cy="20002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93">
                      <a:extLst>
                        <a:ext uri="{28A0092B-C50C-407E-A947-70E740481C1C}"/>
                      </a:extLst>
                    </a:blip>
                    <a:srcRect/>
                    <a:stretch>
                      <a:fillRect/>
                    </a:stretch>
                  </pic:blipFill>
                  <pic:spPr bwMode="auto">
                    <a:xfrm>
                      <a:off x="0" y="0"/>
                      <a:ext cx="383540" cy="20002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2540" w:type="dxa"/>
            <w:vAlign w:val="bottom"/>
            <w:gridSpan w:val="4"/>
            <w:shd w:val="clear" w:color="auto" w:fill="153A57"/>
          </w:tcPr>
          <w:p>
            <w:pPr>
              <w:jc w:val="center"/>
              <w:ind w:left="630"/>
              <w:spacing w:after="0"/>
              <w:rPr>
                <w:sz w:val="20"/>
                <w:szCs w:val="20"/>
                <w:color w:val="auto"/>
              </w:rPr>
            </w:pPr>
            <w:r>
              <w:rPr>
                <w:rFonts w:ascii="Arial" w:cs="Arial" w:eastAsia="Arial" w:hAnsi="Arial"/>
                <w:sz w:val="18"/>
                <w:szCs w:val="18"/>
                <w:b w:val="1"/>
                <w:bCs w:val="1"/>
                <w:color w:val="FFFFFF"/>
              </w:rPr>
              <w:t>Three months ended</w:t>
            </w:r>
          </w:p>
        </w:tc>
        <w:tc>
          <w:tcPr>
            <w:tcW w:w="780" w:type="dxa"/>
            <w:vAlign w:val="bottom"/>
            <w:shd w:val="clear" w:color="auto" w:fill="153A57"/>
          </w:tcPr>
          <w:p>
            <w:pPr>
              <w:spacing w:after="0"/>
              <w:rPr>
                <w:sz w:val="21"/>
                <w:szCs w:val="21"/>
                <w:color w:val="auto"/>
              </w:rPr>
            </w:pPr>
          </w:p>
        </w:tc>
        <w:tc>
          <w:tcPr>
            <w:tcW w:w="2820" w:type="dxa"/>
            <w:vAlign w:val="bottom"/>
            <w:gridSpan w:val="5"/>
            <w:shd w:val="clear" w:color="auto" w:fill="173B59"/>
          </w:tcPr>
          <w:p>
            <w:pPr>
              <w:jc w:val="center"/>
              <w:ind w:left="370"/>
              <w:spacing w:after="0"/>
              <w:rPr>
                <w:sz w:val="20"/>
                <w:szCs w:val="20"/>
                <w:color w:val="auto"/>
              </w:rPr>
            </w:pPr>
            <w:r>
              <w:rPr>
                <w:rFonts w:ascii="Arial" w:cs="Arial" w:eastAsia="Arial" w:hAnsi="Arial"/>
                <w:sz w:val="18"/>
                <w:szCs w:val="18"/>
                <w:b w:val="1"/>
                <w:bCs w:val="1"/>
                <w:color w:val="FFFFFF"/>
                <w:w w:val="99"/>
              </w:rPr>
              <w:t>Twelve months ended</w:t>
            </w:r>
          </w:p>
        </w:tc>
      </w:tr>
      <w:tr>
        <w:trPr>
          <w:trHeight w:val="345"/>
        </w:trPr>
        <w:tc>
          <w:tcPr>
            <w:tcW w:w="1020" w:type="dxa"/>
            <w:vAlign w:val="bottom"/>
            <w:tcBorders>
              <w:bottom w:val="single" w:sz="8" w:color="153A57"/>
            </w:tcBorders>
            <w:shd w:val="clear" w:color="auto" w:fill="153A57"/>
          </w:tcPr>
          <w:p>
            <w:pPr>
              <w:spacing w:after="0"/>
              <w:rPr>
                <w:sz w:val="24"/>
                <w:szCs w:val="24"/>
                <w:color w:val="auto"/>
              </w:rPr>
            </w:pPr>
          </w:p>
        </w:tc>
        <w:tc>
          <w:tcPr>
            <w:tcW w:w="1520" w:type="dxa"/>
            <w:vAlign w:val="bottom"/>
            <w:tcBorders>
              <w:bottom w:val="single" w:sz="8" w:color="153A57"/>
            </w:tcBorders>
            <w:gridSpan w:val="3"/>
            <w:shd w:val="clear" w:color="auto" w:fill="153A57"/>
          </w:tcPr>
          <w:p>
            <w:pPr>
              <w:jc w:val="center"/>
              <w:ind w:right="240"/>
              <w:spacing w:after="0"/>
              <w:rPr>
                <w:sz w:val="20"/>
                <w:szCs w:val="20"/>
                <w:color w:val="auto"/>
              </w:rPr>
            </w:pPr>
            <w:r>
              <w:rPr>
                <w:rFonts w:ascii="Arial" w:cs="Arial" w:eastAsia="Arial" w:hAnsi="Arial"/>
                <w:sz w:val="18"/>
                <w:szCs w:val="18"/>
                <w:b w:val="1"/>
                <w:bCs w:val="1"/>
                <w:color w:val="FFFFFF"/>
                <w:w w:val="99"/>
              </w:rPr>
              <w:t>December 31,</w:t>
            </w:r>
          </w:p>
        </w:tc>
        <w:tc>
          <w:tcPr>
            <w:tcW w:w="780" w:type="dxa"/>
            <w:vAlign w:val="bottom"/>
            <w:tcBorders>
              <w:bottom w:val="single" w:sz="8" w:color="153A57"/>
            </w:tcBorders>
            <w:shd w:val="clear" w:color="auto" w:fill="153A57"/>
          </w:tcPr>
          <w:p>
            <w:pPr>
              <w:spacing w:after="0"/>
              <w:rPr>
                <w:sz w:val="24"/>
                <w:szCs w:val="24"/>
                <w:color w:val="auto"/>
              </w:rPr>
            </w:pPr>
          </w:p>
        </w:tc>
        <w:tc>
          <w:tcPr>
            <w:tcW w:w="1040" w:type="dxa"/>
            <w:vAlign w:val="bottom"/>
            <w:tcBorders>
              <w:bottom w:val="single" w:sz="8" w:color="173B59"/>
            </w:tcBorders>
            <w:shd w:val="clear" w:color="auto" w:fill="173B59"/>
          </w:tcPr>
          <w:p>
            <w:pPr>
              <w:spacing w:after="0"/>
              <w:rPr>
                <w:sz w:val="24"/>
                <w:szCs w:val="24"/>
                <w:color w:val="auto"/>
              </w:rPr>
            </w:pPr>
          </w:p>
        </w:tc>
        <w:tc>
          <w:tcPr>
            <w:tcW w:w="1360" w:type="dxa"/>
            <w:vAlign w:val="bottom"/>
            <w:tcBorders>
              <w:bottom w:val="single" w:sz="8" w:color="173B59"/>
            </w:tcBorders>
            <w:gridSpan w:val="3"/>
            <w:shd w:val="clear" w:color="auto" w:fill="173B59"/>
          </w:tcPr>
          <w:p>
            <w:pPr>
              <w:jc w:val="center"/>
              <w:ind w:right="100"/>
              <w:spacing w:after="0"/>
              <w:rPr>
                <w:sz w:val="20"/>
                <w:szCs w:val="20"/>
                <w:color w:val="auto"/>
              </w:rPr>
            </w:pPr>
            <w:r>
              <w:rPr>
                <w:rFonts w:ascii="Arial" w:cs="Arial" w:eastAsia="Arial" w:hAnsi="Arial"/>
                <w:sz w:val="18"/>
                <w:szCs w:val="18"/>
                <w:b w:val="1"/>
                <w:bCs w:val="1"/>
                <w:color w:val="FFFFFF"/>
              </w:rPr>
              <w:t>December 31,</w:t>
            </w:r>
          </w:p>
        </w:tc>
        <w:tc>
          <w:tcPr>
            <w:tcW w:w="420" w:type="dxa"/>
            <w:vAlign w:val="bottom"/>
            <w:tcBorders>
              <w:bottom w:val="single" w:sz="8" w:color="173B59"/>
            </w:tcBorders>
            <w:shd w:val="clear" w:color="auto" w:fill="173B59"/>
          </w:tcPr>
          <w:p>
            <w:pPr>
              <w:spacing w:after="0"/>
              <w:rPr>
                <w:sz w:val="24"/>
                <w:szCs w:val="24"/>
                <w:color w:val="auto"/>
              </w:rPr>
            </w:pPr>
          </w:p>
        </w:tc>
      </w:tr>
      <w:tr>
        <w:trPr>
          <w:trHeight w:val="385"/>
        </w:trPr>
        <w:tc>
          <w:tcPr>
            <w:tcW w:w="1020" w:type="dxa"/>
            <w:vAlign w:val="bottom"/>
            <w:shd w:val="clear" w:color="auto" w:fill="153A57"/>
          </w:tcPr>
          <w:p>
            <w:pPr>
              <w:jc w:val="right"/>
              <w:spacing w:after="0"/>
              <w:rPr>
                <w:sz w:val="20"/>
                <w:szCs w:val="20"/>
                <w:color w:val="auto"/>
              </w:rPr>
            </w:pPr>
            <w:r>
              <w:rPr>
                <w:rFonts w:ascii="Arial" w:cs="Arial" w:eastAsia="Arial" w:hAnsi="Arial"/>
                <w:sz w:val="18"/>
                <w:szCs w:val="18"/>
                <w:b w:val="1"/>
                <w:bCs w:val="1"/>
                <w:color w:val="FFFFFF"/>
              </w:rPr>
              <w:t>2025</w:t>
            </w:r>
          </w:p>
        </w:tc>
        <w:tc>
          <w:tcPr>
            <w:tcW w:w="80" w:type="dxa"/>
            <w:vAlign w:val="bottom"/>
            <w:shd w:val="clear" w:color="auto" w:fill="153A57"/>
          </w:tcPr>
          <w:p>
            <w:pPr>
              <w:spacing w:after="0"/>
              <w:rPr>
                <w:sz w:val="24"/>
                <w:szCs w:val="24"/>
                <w:color w:val="auto"/>
              </w:rPr>
            </w:pPr>
          </w:p>
        </w:tc>
        <w:tc>
          <w:tcPr>
            <w:tcW w:w="1100" w:type="dxa"/>
            <w:vAlign w:val="bottom"/>
            <w:shd w:val="clear" w:color="auto" w:fill="173B59"/>
          </w:tcPr>
          <w:p>
            <w:pPr>
              <w:jc w:val="right"/>
              <w:ind w:right="10"/>
              <w:spacing w:after="0"/>
              <w:rPr>
                <w:sz w:val="20"/>
                <w:szCs w:val="20"/>
                <w:color w:val="auto"/>
              </w:rPr>
            </w:pPr>
            <w:r>
              <w:rPr>
                <w:rFonts w:ascii="Arial" w:cs="Arial" w:eastAsia="Arial" w:hAnsi="Arial"/>
                <w:sz w:val="18"/>
                <w:szCs w:val="18"/>
                <w:b w:val="1"/>
                <w:bCs w:val="1"/>
                <w:color w:val="FFFFFF"/>
              </w:rPr>
              <w:t>2024</w:t>
            </w:r>
          </w:p>
        </w:tc>
        <w:tc>
          <w:tcPr>
            <w:tcW w:w="340" w:type="dxa"/>
            <w:vAlign w:val="bottom"/>
            <w:shd w:val="clear" w:color="auto" w:fill="153A57"/>
          </w:tcPr>
          <w:p>
            <w:pPr>
              <w:spacing w:after="0"/>
              <w:rPr>
                <w:sz w:val="24"/>
                <w:szCs w:val="24"/>
                <w:color w:val="auto"/>
              </w:rPr>
            </w:pPr>
          </w:p>
        </w:tc>
        <w:tc>
          <w:tcPr>
            <w:tcW w:w="780" w:type="dxa"/>
            <w:vAlign w:val="bottom"/>
            <w:shd w:val="clear" w:color="auto" w:fill="153A57"/>
          </w:tcPr>
          <w:p>
            <w:pPr>
              <w:jc w:val="right"/>
              <w:ind w:right="10"/>
              <w:spacing w:after="0"/>
              <w:rPr>
                <w:sz w:val="20"/>
                <w:szCs w:val="20"/>
                <w:color w:val="auto"/>
              </w:rPr>
            </w:pPr>
            <w:r>
              <w:rPr>
                <w:rFonts w:ascii="Arial" w:cs="Arial" w:eastAsia="Arial" w:hAnsi="Arial"/>
                <w:sz w:val="18"/>
                <w:szCs w:val="18"/>
                <w:b w:val="1"/>
                <w:bCs w:val="1"/>
                <w:color w:val="FFFFFF"/>
                <w:w w:val="99"/>
              </w:rPr>
              <w:t>Change</w:t>
            </w:r>
          </w:p>
        </w:tc>
        <w:tc>
          <w:tcPr>
            <w:tcW w:w="1040" w:type="dxa"/>
            <w:vAlign w:val="bottom"/>
            <w:shd w:val="clear" w:color="auto" w:fill="173B59"/>
          </w:tcPr>
          <w:p>
            <w:pPr>
              <w:jc w:val="right"/>
              <w:spacing w:after="0"/>
              <w:rPr>
                <w:sz w:val="20"/>
                <w:szCs w:val="20"/>
                <w:color w:val="auto"/>
              </w:rPr>
            </w:pPr>
            <w:r>
              <w:rPr>
                <w:rFonts w:ascii="Arial" w:cs="Arial" w:eastAsia="Arial" w:hAnsi="Arial"/>
                <w:sz w:val="18"/>
                <w:szCs w:val="18"/>
                <w:b w:val="1"/>
                <w:bCs w:val="1"/>
                <w:color w:val="FFFFFF"/>
              </w:rPr>
              <w:t>2025</w:t>
            </w:r>
          </w:p>
        </w:tc>
        <w:tc>
          <w:tcPr>
            <w:tcW w:w="80" w:type="dxa"/>
            <w:vAlign w:val="bottom"/>
            <w:shd w:val="clear" w:color="auto" w:fill="173B59"/>
          </w:tcPr>
          <w:p>
            <w:pPr>
              <w:spacing w:after="0"/>
              <w:rPr>
                <w:sz w:val="24"/>
                <w:szCs w:val="24"/>
                <w:color w:val="auto"/>
              </w:rPr>
            </w:pPr>
          </w:p>
        </w:tc>
        <w:tc>
          <w:tcPr>
            <w:tcW w:w="1100" w:type="dxa"/>
            <w:vAlign w:val="bottom"/>
            <w:shd w:val="clear" w:color="auto" w:fill="173B59"/>
          </w:tcPr>
          <w:p>
            <w:pPr>
              <w:jc w:val="right"/>
              <w:ind w:right="10"/>
              <w:spacing w:after="0"/>
              <w:rPr>
                <w:sz w:val="20"/>
                <w:szCs w:val="20"/>
                <w:color w:val="auto"/>
              </w:rPr>
            </w:pPr>
            <w:r>
              <w:rPr>
                <w:rFonts w:ascii="Arial" w:cs="Arial" w:eastAsia="Arial" w:hAnsi="Arial"/>
                <w:sz w:val="18"/>
                <w:szCs w:val="18"/>
                <w:b w:val="1"/>
                <w:bCs w:val="1"/>
                <w:color w:val="FFFFFF"/>
              </w:rPr>
              <w:t>2024</w:t>
            </w:r>
          </w:p>
        </w:tc>
        <w:tc>
          <w:tcPr>
            <w:tcW w:w="180" w:type="dxa"/>
            <w:vAlign w:val="bottom"/>
            <w:shd w:val="clear" w:color="auto" w:fill="153A57"/>
          </w:tcPr>
          <w:p>
            <w:pPr>
              <w:spacing w:after="0"/>
              <w:rPr>
                <w:sz w:val="24"/>
                <w:szCs w:val="24"/>
                <w:color w:val="auto"/>
              </w:rPr>
            </w:pPr>
          </w:p>
        </w:tc>
        <w:tc>
          <w:tcPr>
            <w:tcW w:w="420" w:type="dxa"/>
            <w:vAlign w:val="bottom"/>
            <w:shd w:val="clear" w:color="auto" w:fill="153A57"/>
          </w:tcPr>
          <w:p>
            <w:pPr>
              <w:jc w:val="right"/>
              <w:spacing w:after="0"/>
              <w:rPr>
                <w:sz w:val="20"/>
                <w:szCs w:val="20"/>
                <w:color w:val="auto"/>
              </w:rPr>
            </w:pPr>
            <w:r>
              <w:rPr>
                <w:rFonts w:ascii="Arial" w:cs="Arial" w:eastAsia="Arial" w:hAnsi="Arial"/>
                <w:sz w:val="18"/>
                <w:szCs w:val="18"/>
                <w:b w:val="1"/>
                <w:bCs w:val="1"/>
                <w:color w:val="FFFFFF"/>
              </w:rPr>
              <w:t>Ch</w:t>
            </w:r>
          </w:p>
        </w:tc>
      </w:tr>
      <w:tr>
        <w:trPr>
          <w:trHeight w:val="185"/>
        </w:trPr>
        <w:tc>
          <w:tcPr>
            <w:tcW w:w="1020" w:type="dxa"/>
            <w:vAlign w:val="bottom"/>
            <w:shd w:val="clear" w:color="auto" w:fill="153A57"/>
          </w:tcPr>
          <w:p>
            <w:pPr>
              <w:spacing w:after="0"/>
              <w:rPr>
                <w:sz w:val="16"/>
                <w:szCs w:val="16"/>
                <w:color w:val="auto"/>
              </w:rPr>
            </w:pPr>
          </w:p>
        </w:tc>
        <w:tc>
          <w:tcPr>
            <w:tcW w:w="80" w:type="dxa"/>
            <w:vAlign w:val="bottom"/>
            <w:shd w:val="clear" w:color="auto" w:fill="153A57"/>
          </w:tcPr>
          <w:p>
            <w:pPr>
              <w:spacing w:after="0"/>
              <w:rPr>
                <w:sz w:val="16"/>
                <w:szCs w:val="16"/>
                <w:color w:val="auto"/>
              </w:rPr>
            </w:pPr>
          </w:p>
        </w:tc>
        <w:tc>
          <w:tcPr>
            <w:tcW w:w="1100" w:type="dxa"/>
            <w:vAlign w:val="bottom"/>
            <w:shd w:val="clear" w:color="auto" w:fill="173B59"/>
          </w:tcPr>
          <w:p>
            <w:pPr>
              <w:spacing w:after="0"/>
              <w:rPr>
                <w:sz w:val="16"/>
                <w:szCs w:val="16"/>
                <w:color w:val="auto"/>
              </w:rPr>
            </w:pPr>
          </w:p>
        </w:tc>
        <w:tc>
          <w:tcPr>
            <w:tcW w:w="340" w:type="dxa"/>
            <w:vAlign w:val="bottom"/>
            <w:shd w:val="clear" w:color="auto" w:fill="153A57"/>
          </w:tcPr>
          <w:p>
            <w:pPr>
              <w:spacing w:after="0"/>
              <w:rPr>
                <w:sz w:val="16"/>
                <w:szCs w:val="16"/>
                <w:color w:val="auto"/>
              </w:rPr>
            </w:pPr>
          </w:p>
        </w:tc>
        <w:tc>
          <w:tcPr>
            <w:tcW w:w="780" w:type="dxa"/>
            <w:vAlign w:val="bottom"/>
            <w:shd w:val="clear" w:color="auto" w:fill="153A57"/>
          </w:tcPr>
          <w:p>
            <w:pPr>
              <w:spacing w:after="0"/>
              <w:rPr>
                <w:sz w:val="16"/>
                <w:szCs w:val="16"/>
                <w:color w:val="auto"/>
              </w:rPr>
            </w:pPr>
          </w:p>
        </w:tc>
        <w:tc>
          <w:tcPr>
            <w:tcW w:w="1040" w:type="dxa"/>
            <w:vAlign w:val="bottom"/>
            <w:shd w:val="clear" w:color="auto" w:fill="173B59"/>
          </w:tcPr>
          <w:p>
            <w:pPr>
              <w:spacing w:after="0"/>
              <w:rPr>
                <w:sz w:val="16"/>
                <w:szCs w:val="16"/>
                <w:color w:val="auto"/>
              </w:rPr>
            </w:pPr>
          </w:p>
        </w:tc>
        <w:tc>
          <w:tcPr>
            <w:tcW w:w="80" w:type="dxa"/>
            <w:vAlign w:val="bottom"/>
            <w:shd w:val="clear" w:color="auto" w:fill="173B59"/>
          </w:tcPr>
          <w:p>
            <w:pPr>
              <w:spacing w:after="0"/>
              <w:rPr>
                <w:sz w:val="16"/>
                <w:szCs w:val="16"/>
                <w:color w:val="auto"/>
              </w:rPr>
            </w:pPr>
          </w:p>
        </w:tc>
        <w:tc>
          <w:tcPr>
            <w:tcW w:w="1100" w:type="dxa"/>
            <w:vAlign w:val="bottom"/>
            <w:shd w:val="clear" w:color="auto" w:fill="173B59"/>
          </w:tcPr>
          <w:p>
            <w:pPr>
              <w:spacing w:after="0"/>
              <w:rPr>
                <w:sz w:val="16"/>
                <w:szCs w:val="16"/>
                <w:color w:val="auto"/>
              </w:rPr>
            </w:pPr>
          </w:p>
        </w:tc>
        <w:tc>
          <w:tcPr>
            <w:tcW w:w="180" w:type="dxa"/>
            <w:vAlign w:val="bottom"/>
            <w:shd w:val="clear" w:color="auto" w:fill="153A57"/>
          </w:tcPr>
          <w:p>
            <w:pPr>
              <w:spacing w:after="0"/>
              <w:rPr>
                <w:sz w:val="16"/>
                <w:szCs w:val="16"/>
                <w:color w:val="auto"/>
              </w:rPr>
            </w:pPr>
          </w:p>
        </w:tc>
        <w:tc>
          <w:tcPr>
            <w:tcW w:w="420" w:type="dxa"/>
            <w:vAlign w:val="bottom"/>
            <w:shd w:val="clear" w:color="auto" w:fill="153A57"/>
          </w:tcPr>
          <w:p>
            <w:pPr>
              <w:spacing w:after="0"/>
              <w:rPr>
                <w:sz w:val="16"/>
                <w:szCs w:val="16"/>
                <w:color w:val="auto"/>
              </w:rPr>
            </w:pPr>
          </w:p>
        </w:tc>
      </w:tr>
      <w:tr>
        <w:trPr>
          <w:trHeight w:val="247"/>
        </w:trPr>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31.2</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(0.5)</w:t>
            </w:r>
          </w:p>
        </w:tc>
        <w:tc>
          <w:tcPr>
            <w:tcW w:w="34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rPr>
              <w:t>31.7</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(38.8)</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(32.8)</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439"/>
        </w:trPr>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41.7</w:t>
            </w:r>
          </w:p>
        </w:tc>
        <w:tc>
          <w:tcPr>
            <w:tcW w:w="34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(46.5)</w:t>
            </w:r>
          </w:p>
        </w:tc>
        <w:tc>
          <w:tcPr>
            <w:tcW w:w="1040" w:type="dxa"/>
            <w:vAlign w:val="bottom"/>
          </w:tcPr>
          <w:p>
            <w:pPr>
              <w:jc w:val="right"/>
              <w:spacing w:after="0"/>
              <w:rPr>
                <w:sz w:val="20"/>
                <w:szCs w:val="20"/>
                <w:color w:val="auto"/>
              </w:rPr>
            </w:pPr>
            <w:r>
              <w:rPr>
                <w:rFonts w:ascii="Arial" w:cs="Arial" w:eastAsia="Arial" w:hAnsi="Arial"/>
                <w:sz w:val="18"/>
                <w:szCs w:val="18"/>
                <w:color w:val="auto"/>
              </w:rPr>
              <w:t>(14.6)</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72.8</w:t>
            </w: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2"/>
        </w:trPr>
        <w:tc>
          <w:tcPr>
            <w:tcW w:w="1020" w:type="dxa"/>
            <w:vAlign w:val="bottom"/>
          </w:tcPr>
          <w:p>
            <w:pPr>
              <w:jc w:val="right"/>
              <w:spacing w:after="0"/>
              <w:rPr>
                <w:sz w:val="20"/>
                <w:szCs w:val="20"/>
                <w:color w:val="auto"/>
              </w:rPr>
            </w:pPr>
            <w:r>
              <w:rPr>
                <w:rFonts w:ascii="Arial" w:cs="Arial" w:eastAsia="Arial" w:hAnsi="Arial"/>
                <w:sz w:val="18"/>
                <w:szCs w:val="18"/>
                <w:color w:val="auto"/>
              </w:rPr>
              <w:t>26.5</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36.2</w:t>
            </w:r>
          </w:p>
        </w:tc>
        <w:tc>
          <w:tcPr>
            <w:tcW w:w="34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40" w:type="dxa"/>
            <w:vAlign w:val="bottom"/>
          </w:tcPr>
          <w:p>
            <w:pPr>
              <w:jc w:val="right"/>
              <w:spacing w:after="0"/>
              <w:rPr>
                <w:sz w:val="20"/>
                <w:szCs w:val="20"/>
                <w:color w:val="auto"/>
              </w:rPr>
            </w:pPr>
            <w:r>
              <w:rPr>
                <w:rFonts w:ascii="Arial" w:cs="Arial" w:eastAsia="Arial" w:hAnsi="Arial"/>
                <w:sz w:val="18"/>
                <w:szCs w:val="18"/>
                <w:color w:val="auto"/>
              </w:rPr>
              <w:t>138.5</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2"/>
        </w:trPr>
        <w:tc>
          <w:tcPr>
            <w:tcW w:w="1020" w:type="dxa"/>
            <w:vAlign w:val="bottom"/>
          </w:tcPr>
          <w:p>
            <w:pPr>
              <w:jc w:val="right"/>
              <w:spacing w:after="0"/>
              <w:rPr>
                <w:sz w:val="20"/>
                <w:szCs w:val="20"/>
                <w:color w:val="auto"/>
              </w:rPr>
            </w:pPr>
            <w:r>
              <w:rPr>
                <w:rFonts w:ascii="Arial" w:cs="Arial" w:eastAsia="Arial" w:hAnsi="Arial"/>
                <w:sz w:val="18"/>
                <w:szCs w:val="18"/>
                <w:color w:val="auto"/>
              </w:rPr>
              <w:t>15.4</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24"/>
                <w:szCs w:val="24"/>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1040" w:type="dxa"/>
            <w:vAlign w:val="bottom"/>
          </w:tcPr>
          <w:p>
            <w:pPr>
              <w:jc w:val="right"/>
              <w:spacing w:after="0"/>
              <w:rPr>
                <w:sz w:val="20"/>
                <w:szCs w:val="20"/>
                <w:color w:val="auto"/>
              </w:rPr>
            </w:pPr>
            <w:r>
              <w:rPr>
                <w:rFonts w:ascii="Arial" w:cs="Arial" w:eastAsia="Arial" w:hAnsi="Arial"/>
                <w:sz w:val="18"/>
                <w:szCs w:val="18"/>
                <w:color w:val="auto"/>
              </w:rPr>
              <w:t>54.3</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39"/>
        </w:trPr>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68.3</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91.9</w:t>
            </w:r>
          </w:p>
        </w:tc>
        <w:tc>
          <w:tcPr>
            <w:tcW w:w="34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(23.6)</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139.4</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96.4</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25"/>
        </w:trPr>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(85.9)</w:t>
            </w:r>
          </w:p>
        </w:tc>
        <w:tc>
          <w:tcPr>
            <w:tcW w:w="340" w:type="dxa"/>
            <w:vAlign w:val="bottom"/>
          </w:tcPr>
          <w:p>
            <w:pPr>
              <w:spacing w:after="0"/>
              <w:rPr>
                <w:sz w:val="24"/>
                <w:szCs w:val="24"/>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87.6</w:t>
            </w: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(85.9)</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29"/>
        </w:trPr>
        <w:tc>
          <w:tcPr>
            <w:tcW w:w="1020" w:type="dxa"/>
            <w:vAlign w:val="bottom"/>
          </w:tcPr>
          <w:p>
            <w:pPr>
              <w:jc w:val="right"/>
              <w:spacing w:after="0"/>
              <w:rPr>
                <w:sz w:val="20"/>
                <w:szCs w:val="20"/>
                <w:color w:val="auto"/>
              </w:rPr>
            </w:pPr>
            <w:r>
              <w:rPr>
                <w:rFonts w:ascii="Arial" w:cs="Arial" w:eastAsia="Arial" w:hAnsi="Arial"/>
                <w:sz w:val="18"/>
                <w:szCs w:val="18"/>
                <w:color w:val="auto"/>
              </w:rPr>
              <w:t>(38.7)</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(38.7)</w:t>
            </w:r>
          </w:p>
        </w:tc>
        <w:tc>
          <w:tcPr>
            <w:tcW w:w="1040" w:type="dxa"/>
            <w:vAlign w:val="bottom"/>
          </w:tcPr>
          <w:p>
            <w:pPr>
              <w:jc w:val="right"/>
              <w:spacing w:after="0"/>
              <w:rPr>
                <w:sz w:val="20"/>
                <w:szCs w:val="20"/>
                <w:color w:val="auto"/>
              </w:rPr>
            </w:pPr>
            <w:r>
              <w:rPr>
                <w:rFonts w:ascii="Arial" w:cs="Arial" w:eastAsia="Arial" w:hAnsi="Arial"/>
                <w:sz w:val="18"/>
                <w:szCs w:val="18"/>
                <w:color w:val="auto"/>
              </w:rPr>
              <w:t>(89.9)</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2"/>
        </w:trPr>
        <w:tc>
          <w:tcPr>
            <w:tcW w:w="1020" w:type="dxa"/>
            <w:vAlign w:val="bottom"/>
          </w:tcPr>
          <w:p>
            <w:pPr>
              <w:jc w:val="right"/>
              <w:spacing w:after="0"/>
              <w:rPr>
                <w:sz w:val="20"/>
                <w:szCs w:val="20"/>
                <w:color w:val="auto"/>
              </w:rPr>
            </w:pPr>
            <w:r>
              <w:rPr>
                <w:rFonts w:ascii="Arial" w:cs="Arial" w:eastAsia="Arial" w:hAnsi="Arial"/>
                <w:sz w:val="18"/>
                <w:szCs w:val="18"/>
                <w:color w:val="auto"/>
              </w:rPr>
              <w:t>(0.9)</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8"/>
        </w:trPr>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30.4</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6.0</w:t>
            </w:r>
          </w:p>
        </w:tc>
        <w:tc>
          <w:tcPr>
            <w:tcW w:w="340" w:type="dxa"/>
            <w:vAlign w:val="bottom"/>
          </w:tcPr>
          <w:p>
            <w:pPr>
              <w:spacing w:after="0"/>
              <w:rPr>
                <w:sz w:val="24"/>
                <w:szCs w:val="24"/>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rPr>
              <w:t>24.4</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55.6</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18.1</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-2185035</wp:posOffset>
            </wp:positionV>
            <wp:extent cx="3920490" cy="222885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94">
                      <a:extLst>
                        <a:ext uri="{28A0092B-C50C-407E-A947-70E740481C1C}"/>
                      </a:extLst>
                    </a:blip>
                    <a:srcRect/>
                    <a:stretch>
                      <a:fillRect/>
                    </a:stretch>
                  </pic:blipFill>
                  <pic:spPr bwMode="auto">
                    <a:xfrm>
                      <a:off x="0" y="0"/>
                      <a:ext cx="3920490" cy="222885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-2185035</wp:posOffset>
            </wp:positionV>
            <wp:extent cx="3920490" cy="222885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95">
                      <a:extLst>
                        <a:ext uri="{28A0092B-C50C-407E-A947-70E740481C1C}"/>
                      </a:extLst>
                    </a:blip>
                    <a:srcRect/>
                    <a:stretch>
                      <a:fillRect/>
                    </a:stretch>
                  </pic:blipFill>
                  <pic:spPr bwMode="auto">
                    <a:xfrm>
                      <a:off x="0" y="0"/>
                      <a:ext cx="3920490" cy="2228850"/>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3">
            <w:col w:w="3580" w:space="300"/>
            <w:col w:w="240" w:space="200"/>
            <w:col w:w="6140"/>
          </w:cols>
          <w:pgMar w:left="1440" w:top="1440" w:right="6" w:bottom="0" w:gutter="0" w:footer="0" w:header="0"/>
          <w:type w:val="continuous"/>
        </w:sectPr>
      </w:pPr>
    </w:p>
    <w:p>
      <w:pPr>
        <w:jc w:val="both"/>
        <w:ind w:left="900"/>
        <w:spacing w:after="0" w:line="412" w:lineRule="auto"/>
        <w:rPr>
          <w:sz w:val="20"/>
          <w:szCs w:val="20"/>
          <w:color w:val="auto"/>
        </w:rPr>
      </w:pPr>
      <w:r>
        <w:rPr>
          <w:rFonts w:ascii="Arial" w:cs="Arial" w:eastAsia="Arial" w:hAnsi="Arial"/>
          <w:sz w:val="15"/>
          <w:szCs w:val="15"/>
          <w:i w:val="1"/>
          <w:iCs w:val="1"/>
          <w:color w:val="auto"/>
        </w:rPr>
        <w:t>Note: The reconciliation above has been prepared using financial information from Exar's audited annual financial statements prepared in acco with IFRS and filed pursuant to Rule 3-09 of Regulation S-X, adjusted for certain reclassifications to conform with Lithium Argentina's presen Figures may not sum due to rounding.</w:t>
      </w:r>
    </w:p>
    <w:p>
      <w:pPr>
        <w:spacing w:after="0" w:line="92" w:lineRule="exact"/>
        <w:rPr>
          <w:sz w:val="20"/>
          <w:szCs w:val="20"/>
          <w:color w:val="auto"/>
        </w:rPr>
      </w:pPr>
    </w:p>
    <w:p>
      <w:pPr>
        <w:jc w:val="both"/>
        <w:ind w:left="900" w:right="20"/>
        <w:spacing w:after="0" w:line="415" w:lineRule="auto"/>
        <w:rPr>
          <w:sz w:val="20"/>
          <w:szCs w:val="20"/>
          <w:color w:val="auto"/>
        </w:rPr>
      </w:pPr>
      <w:r>
        <w:rPr>
          <w:rFonts w:ascii="Arial" w:cs="Arial" w:eastAsia="Arial" w:hAnsi="Arial"/>
          <w:sz w:val="15"/>
          <w:szCs w:val="15"/>
          <w:i w:val="1"/>
          <w:iCs w:val="1"/>
          <w:color w:val="auto"/>
        </w:rPr>
        <w:t>Derivative gains and losses reflect fair value changes related to an embedded derivative within Exar’s USD-denominated related party loans, t contractually required to be settled in Argentine Pesos using the Blue-Chip Swap (“BCS”) exchange rate. The fair value of this embedded de fluctuates with changes in the spread between the BCS rate and the official Argentine exchange rate. These amounts are excluded from A EBITDA because they reflect non-operating fair value movements associated with financing arrangements rather than the underlying op performance of the Cauchari-Olaroz project.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Average realized lithium price</w:t>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13 / 85</w:t>
      </w:r>
    </w:p>
    <w:p>
      <w:pPr>
        <w:sectPr>
          <w:pgSz w:w="11900" w:h="16838" w:orient="portrait"/>
          <w:cols w:equalWidth="0" w:num="1">
            <w:col w:w="10460"/>
          </w:cols>
          <w:pgMar w:left="1440" w:top="1440" w:right="6" w:bottom="0" w:gutter="0" w:footer="0" w:header="0"/>
          <w:type w:val="continuous"/>
        </w:sectPr>
      </w:pPr>
    </w:p>
    <w:bookmarkStart w:id="540" w:name="page541"/>
    <w:bookmarkEnd w:id="540"/>
    <w:p>
      <w:pPr>
        <w:jc w:val="both"/>
        <w:ind w:left="900"/>
        <w:spacing w:after="0" w:line="312" w:lineRule="auto"/>
        <w:rPr>
          <w:sz w:val="20"/>
          <w:szCs w:val="20"/>
          <w:color w:val="auto"/>
        </w:rPr>
      </w:pPr>
      <w:r>
        <w:rPr>
          <w:rFonts w:ascii="Arial" w:cs="Arial" w:eastAsia="Arial" w:hAnsi="Arial"/>
          <w:sz w:val="20"/>
          <w:szCs w:val="20"/>
          <w:color w:val="auto"/>
        </w:rPr>
        <w:t xml:space="preserve">Lithium Argentina reports Exar’s </w:t>
      </w:r>
      <w:r>
        <w:rPr>
          <w:rFonts w:ascii="Arial" w:cs="Arial" w:eastAsia="Arial" w:hAnsi="Arial"/>
          <w:sz w:val="20"/>
          <w:szCs w:val="20"/>
          <w:b w:val="1"/>
          <w:bCs w:val="1"/>
          <w:color w:val="auto"/>
        </w:rPr>
        <w:t>average realized lithium price</w:t>
      </w:r>
      <w:r>
        <w:rPr>
          <w:rFonts w:ascii="Arial" w:cs="Arial" w:eastAsia="Arial" w:hAnsi="Arial"/>
          <w:sz w:val="20"/>
          <w:szCs w:val="20"/>
          <w:color w:val="auto"/>
        </w:rPr>
        <w:t xml:space="preserve"> as a key non-GAAP financial measure. non-GAAP financial measure does not have a standardized meaning under IFRS and might not be compara similar financial measures disclosed by other issuers. Average realized lithium price per tonne is define lithium revenue divided by total lithium tonnes sold.</w:t>
      </w:r>
    </w:p>
    <w:p>
      <w:pPr>
        <w:spacing w:after="0" w:line="36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FINANCIAL INSTRUMENTS</w:t>
      </w:r>
    </w:p>
    <w:p>
      <w:pPr>
        <w:spacing w:after="0" w:line="3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Measurement</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Financial instruments recorded at fair value on the consolidated statements of financial position and present fair value disclosures are classified within a fair value hierarchy that reflects the significance of the inputs us making the measurements. The fair value hierarchy has the following levels: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Level 1 – Unadjusted quoted prices in active markets for identical assets or liabilities;</w:t>
      </w:r>
    </w:p>
    <w:p>
      <w:pPr>
        <w:spacing w:after="0" w:line="279" w:lineRule="exact"/>
        <w:rPr>
          <w:sz w:val="20"/>
          <w:szCs w:val="20"/>
          <w:color w:val="auto"/>
        </w:rPr>
      </w:pPr>
    </w:p>
    <w:p>
      <w:pPr>
        <w:ind w:left="900" w:right="20"/>
        <w:spacing w:after="0" w:line="307" w:lineRule="auto"/>
        <w:rPr>
          <w:sz w:val="20"/>
          <w:szCs w:val="20"/>
          <w:color w:val="auto"/>
        </w:rPr>
      </w:pPr>
      <w:r>
        <w:rPr>
          <w:rFonts w:ascii="Arial" w:cs="Arial" w:eastAsia="Arial" w:hAnsi="Arial"/>
          <w:sz w:val="20"/>
          <w:szCs w:val="20"/>
          <w:color w:val="auto"/>
        </w:rPr>
        <w:t>Level 2 – Inputs other than quoted prices that are observable for assets or liabilities, either directly or indir and</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color w:val="auto"/>
        </w:rPr>
        <w:t>Level 3 – Inputs for assets and liabilities that are not based on observable market data.</w:t>
      </w:r>
    </w:p>
    <w:p>
      <w:pPr>
        <w:spacing w:after="0" w:line="238"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9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14 / 85</w:t>
      </w:r>
    </w:p>
    <w:p>
      <w:pPr>
        <w:sectPr>
          <w:pgSz w:w="11900" w:h="16838" w:orient="portrait"/>
          <w:cols w:equalWidth="0" w:num="1">
            <w:col w:w="10460"/>
          </w:cols>
          <w:pgMar w:left="1440" w:top="1172" w:right="6" w:bottom="0" w:gutter="0" w:footer="0" w:header="0"/>
          <w:type w:val="continuous"/>
        </w:sectPr>
      </w:pPr>
    </w:p>
    <w:bookmarkStart w:id="541" w:name="page542"/>
    <w:bookmarkEnd w:id="5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7">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fair value hierarchy requires the use of observable market inputs whenever such inputs are availab financial instrument is classified at the lowest level of the hierarchy for which a significant input has been us measuring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193675</wp:posOffset>
            </wp:positionV>
            <wp:extent cx="6078220" cy="2857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8">
                      <a:extLst>
                        <a:ext uri="{28A0092B-C50C-407E-A947-70E740481C1C}"/>
                      </a:extLst>
                    </a:blip>
                    <a:srcRect/>
                    <a:stretch>
                      <a:fillRect/>
                    </a:stretch>
                  </pic:blipFill>
                  <pic:spPr bwMode="auto">
                    <a:xfrm>
                      <a:off x="0" y="0"/>
                      <a:ext cx="6078220" cy="28575"/>
                    </a:xfrm>
                    <a:prstGeom prst="rect">
                      <a:avLst/>
                    </a:prstGeom>
                    <a:noFill/>
                  </pic:spPr>
                </pic:pic>
              </a:graphicData>
            </a:graphic>
          </wp:anchor>
        </w:drawing>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Fair value 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204470</wp:posOffset>
            </wp:positionV>
            <wp:extent cx="6078220" cy="635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9">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35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Financial instruments</w:t>
      </w:r>
    </w:p>
    <w:p>
      <w:pPr>
        <w:spacing w:after="0" w:line="79" w:lineRule="exact"/>
        <w:rPr>
          <w:sz w:val="20"/>
          <w:szCs w:val="20"/>
          <w:color w:val="auto"/>
        </w:rPr>
      </w:pPr>
    </w:p>
    <w:p>
      <w:pPr>
        <w:ind w:left="900"/>
        <w:spacing w:after="0"/>
        <w:tabs>
          <w:tab w:leader="none" w:pos="10360" w:val="left"/>
        </w:tabs>
        <w:rPr>
          <w:sz w:val="20"/>
          <w:szCs w:val="20"/>
          <w:color w:val="auto"/>
        </w:rPr>
      </w:pPr>
      <w:r>
        <w:rPr>
          <w:rFonts w:ascii="Arial" w:cs="Arial" w:eastAsia="Arial" w:hAnsi="Arial"/>
          <w:sz w:val="18"/>
          <w:szCs w:val="18"/>
          <w:color w:val="auto"/>
        </w:rPr>
        <w:t>Convertible notes - embedded derivative</w:t>
      </w:r>
      <w:r>
        <w:rPr>
          <w:sz w:val="20"/>
          <w:szCs w:val="20"/>
          <w:color w:val="auto"/>
        </w:rPr>
        <w:tab/>
      </w:r>
      <w:r>
        <w:rPr>
          <w:rFonts w:ascii="Arial" w:cs="Arial" w:eastAsia="Arial" w:hAnsi="Arial"/>
          <w:sz w:val="14"/>
          <w:szCs w:val="14"/>
          <w:color w:val="auto"/>
        </w:rPr>
        <w: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22860</wp:posOffset>
            </wp:positionV>
            <wp:extent cx="6078220" cy="635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200">
                      <a:extLst>
                        <a:ext uri="{28A0092B-C50C-407E-A947-70E740481C1C}"/>
                      </a:extLst>
                    </a:blip>
                    <a:srcRect/>
                    <a:stretch>
                      <a:fillRect/>
                    </a:stretch>
                  </pic:blipFill>
                  <pic:spPr bwMode="auto">
                    <a:xfrm>
                      <a:off x="0" y="0"/>
                      <a:ext cx="6078220" cy="6350"/>
                    </a:xfrm>
                    <a:prstGeom prst="rect">
                      <a:avLst/>
                    </a:prstGeom>
                    <a:noFill/>
                  </pic:spPr>
                </pic:pic>
              </a:graphicData>
            </a:graphic>
          </wp:anchor>
        </w:drawing>
      </w:r>
    </w:p>
    <w:p>
      <w:pPr>
        <w:spacing w:after="0" w:line="366"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embedded derivative associated with the Convertible Notes is measured at fair value on a recurring and is classified within Level 2, as the valuation is based on observable market inputs, including the Comp quoted share price, observable volatility, risk-free interest rates and market-derived credit spread. The long receivable from JEMSE is not measured at fair value on a recurring basis; however, its fair value is disclose classified within Level 3, as it is determined using unobservable inputs, including assumptions regarding timing of future cash flows of Exar and the applicable discount rate.</w:t>
      </w:r>
    </w:p>
    <w:p>
      <w:pPr>
        <w:spacing w:after="0" w:line="313" w:lineRule="exact"/>
        <w:rPr>
          <w:sz w:val="20"/>
          <w:szCs w:val="20"/>
          <w:color w:val="auto"/>
        </w:rPr>
      </w:pPr>
    </w:p>
    <w:p>
      <w:pPr>
        <w:ind w:left="900"/>
        <w:spacing w:after="0" w:line="332" w:lineRule="auto"/>
        <w:rPr>
          <w:sz w:val="20"/>
          <w:szCs w:val="20"/>
          <w:color w:val="auto"/>
        </w:rPr>
      </w:pPr>
      <w:r>
        <w:rPr>
          <w:rFonts w:ascii="Arial" w:cs="Arial" w:eastAsia="Arial" w:hAnsi="Arial"/>
          <w:sz w:val="19"/>
          <w:szCs w:val="19"/>
          <w:color w:val="auto"/>
        </w:rPr>
        <w:t>The Company’s financial assets and financial liabilities measured at amortized cost include cash and equivalents, receivables from purchasers for lithium carbonate, loans to Exar Capital, loans to Exar, receivables, accounts payable and accrued liabilities, payable to Exar for lithium carbonate purchases, P shareholder liabilities – Ganfeng, and the debt host component of the Convertible Notes. As at Decembe 2025, the fair value of such financial instruments measured at amortized cost approximated their carrying val</w:t>
      </w:r>
    </w:p>
    <w:p>
      <w:pPr>
        <w:spacing w:after="0" w:line="293"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Risk</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Company manages risks to minimize potential losses. The primary objective of the Company’s management process is to ensure that risks are properly identified, monitored and managed, and that Company maintains an appropriate capital base relative to its risk profile. The principal risks impacting Company’s financial instruments are credit risk, liquidity risk and market risk.</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Credit Risk</w:t>
      </w:r>
    </w:p>
    <w:p>
      <w:pPr>
        <w:spacing w:after="0" w:line="279" w:lineRule="exact"/>
        <w:rPr>
          <w:sz w:val="20"/>
          <w:szCs w:val="20"/>
          <w:color w:val="auto"/>
        </w:rPr>
      </w:pPr>
    </w:p>
    <w:p>
      <w:pPr>
        <w:ind w:left="900"/>
        <w:spacing w:after="0" w:line="312" w:lineRule="auto"/>
        <w:rPr>
          <w:sz w:val="20"/>
          <w:szCs w:val="20"/>
          <w:color w:val="auto"/>
        </w:rPr>
      </w:pPr>
      <w:r>
        <w:rPr>
          <w:rFonts w:ascii="Arial" w:cs="Arial" w:eastAsia="Arial" w:hAnsi="Arial"/>
          <w:sz w:val="20"/>
          <w:szCs w:val="20"/>
          <w:color w:val="auto"/>
        </w:rPr>
        <w:t>Credit risk refers to the potential for loss due to a counterparty’s inability to meet its financial obligations. Company’s exposure to credit risk arises primarily from its cash and cash equivalents, receivables purchasers of lithium carbonate, the long-term receivable from JEMSE, and loans advanced to Exar Capita Exar.</w:t>
      </w:r>
    </w:p>
    <w:p>
      <w:pPr>
        <w:spacing w:after="0" w:line="2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Company limits its exposure to credit losses on cash and cash equivalents by placing funds with m financial institutions and regularly monitoring their creditworthiness. As at December 31, 2025, the Company its cash and cash equivalents with three financial institutions, enhancing diversification and liquidity manage</w:t>
      </w:r>
    </w:p>
    <w:p>
      <w:pPr>
        <w:spacing w:after="0" w:line="212"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Company actively monitors credit exposure to Exar and Exar Capital, which are related parties involved Cauchari-Olaroz Project. Management reviews their financial position regularly and, given the strategic natu these relationships and the support from project partners, ensures that credit risk on these balances is maint at acceptable levels.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5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15 / 85</w:t>
      </w:r>
    </w:p>
    <w:p>
      <w:pPr>
        <w:sectPr>
          <w:pgSz w:w="11900" w:h="16838" w:orient="portrait"/>
          <w:cols w:equalWidth="0" w:num="1">
            <w:col w:w="10460"/>
          </w:cols>
          <w:pgMar w:left="1440" w:top="1440" w:right="6" w:bottom="0" w:gutter="0" w:footer="0" w:header="0"/>
          <w:type w:val="continuous"/>
        </w:sectPr>
      </w:pPr>
    </w:p>
    <w:bookmarkStart w:id="542" w:name="page543"/>
    <w:bookmarkEnd w:id="542"/>
    <w:p>
      <w:pPr>
        <w:jc w:val="both"/>
        <w:ind w:left="900"/>
        <w:spacing w:after="0" w:line="313" w:lineRule="auto"/>
        <w:rPr>
          <w:sz w:val="20"/>
          <w:szCs w:val="20"/>
          <w:color w:val="auto"/>
        </w:rPr>
      </w:pPr>
      <w:r>
        <w:rPr>
          <w:rFonts w:ascii="Arial" w:cs="Arial" w:eastAsia="Arial" w:hAnsi="Arial"/>
          <w:sz w:val="20"/>
          <w:szCs w:val="20"/>
          <w:color w:val="auto"/>
        </w:rPr>
        <w:t>As at December 31, 2025, the Company performed an expected credit loss assessment on its loans to Capital and Exar. Based on this assessment, management concluded that expected credit losses were significant and, accordingly, no impairment allowance was recognized. The Company also assessed credi associated with receivables outstanding at year end and determined that no material impairment was require a substantial portion of these receivables was settled subsequent to December 31, 2025.</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Liquidity Risk</w:t>
      </w:r>
    </w:p>
    <w:p>
      <w:pPr>
        <w:spacing w:after="0" w:line="279" w:lineRule="exact"/>
        <w:rPr>
          <w:sz w:val="20"/>
          <w:szCs w:val="20"/>
          <w:color w:val="auto"/>
        </w:rPr>
      </w:pPr>
    </w:p>
    <w:p>
      <w:pPr>
        <w:jc w:val="both"/>
        <w:ind w:left="900"/>
        <w:spacing w:after="0" w:line="334" w:lineRule="auto"/>
        <w:rPr>
          <w:sz w:val="20"/>
          <w:szCs w:val="20"/>
          <w:color w:val="auto"/>
        </w:rPr>
      </w:pPr>
      <w:r>
        <w:rPr>
          <w:rFonts w:ascii="Arial" w:cs="Arial" w:eastAsia="Arial" w:hAnsi="Arial"/>
          <w:sz w:val="19"/>
          <w:szCs w:val="19"/>
          <w:color w:val="auto"/>
        </w:rPr>
        <w:t>Liquidity risk is the risk that the Company will not be able to meet its financial obligations as they become du The Company’s approach to managing liquidity is to evaluate current and expected funding requirements un both normal and stressed conditions and to maintain sufficient cash and cash equivalent reserves to meet sh</w:t>
      </w:r>
    </w:p>
    <w:p>
      <w:pPr>
        <w:spacing w:after="0" w:line="153"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20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16 / 85</w:t>
      </w:r>
    </w:p>
    <w:p>
      <w:pPr>
        <w:sectPr>
          <w:pgSz w:w="11900" w:h="16838" w:orient="portrait"/>
          <w:cols w:equalWidth="0" w:num="1">
            <w:col w:w="10460"/>
          </w:cols>
          <w:pgMar w:left="1440" w:top="1172" w:right="6" w:bottom="0" w:gutter="0" w:footer="0" w:header="0"/>
          <w:type w:val="continuous"/>
        </w:sectPr>
      </w:pPr>
    </w:p>
    <w:bookmarkStart w:id="543" w:name="page544"/>
    <w:bookmarkEnd w:id="5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202">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00" w:right="220"/>
        <w:spacing w:after="0" w:line="307" w:lineRule="auto"/>
        <w:rPr>
          <w:sz w:val="20"/>
          <w:szCs w:val="20"/>
          <w:color w:val="auto"/>
        </w:rPr>
      </w:pPr>
      <w:r>
        <w:rPr>
          <w:rFonts w:ascii="Arial" w:cs="Arial" w:eastAsia="Arial" w:hAnsi="Arial"/>
          <w:sz w:val="20"/>
          <w:szCs w:val="20"/>
          <w:color w:val="auto"/>
        </w:rPr>
        <w:t>and long-term obligations. The Company prepares annual budgets and forecasts, which are reviewed and updated regularly.</w:t>
      </w:r>
    </w:p>
    <w:p>
      <w:pPr>
        <w:spacing w:after="0" w:line="215"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As at December 31, 2025, the Company had cash and cash equivalents of $61.1 million and receivables fro purchasers of lithium carbonate of $23.2 million to settle current liabilities of $46.8 million. The Company’s eq settleable Convertible Notes with a face value of $259 million are due in January, 2027.</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For more about liquidity risk refer to Liquidity and Going Concern section above.</w:t>
      </w:r>
    </w:p>
    <w:p>
      <w:pPr>
        <w:spacing w:after="0" w:line="200" w:lineRule="exact"/>
        <w:rPr>
          <w:sz w:val="20"/>
          <w:szCs w:val="20"/>
          <w:color w:val="auto"/>
        </w:rPr>
      </w:pPr>
    </w:p>
    <w:p>
      <w:pPr>
        <w:spacing w:after="0" w:line="340"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20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17 / 85</w:t>
      </w:r>
    </w:p>
    <w:p>
      <w:pPr>
        <w:sectPr>
          <w:pgSz w:w="11900" w:h="16838" w:orient="portrait"/>
          <w:cols w:equalWidth="0" w:num="1">
            <w:col w:w="10460"/>
          </w:cols>
          <w:pgMar w:left="1440" w:top="1440" w:right="6" w:bottom="0" w:gutter="0" w:footer="0" w:header="0"/>
          <w:type w:val="continuous"/>
        </w:sectPr>
      </w:pPr>
    </w:p>
    <w:bookmarkStart w:id="544" w:name="page545"/>
    <w:bookmarkEnd w:id="5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204">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Market Risk</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Market risk encompasses various risks, including those related to market prices, share price fluctuations, currency movements, which can affect the fair values of financial assets and liabilities. The Company is exp to foreign currency risk, as described below.</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Foreign Currency Risk</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Company’s operations in foreign countries are subject to currency fluctuations, which may affect its fina results. The Company and its subsidiaries and associates have a US dollar functional currency, and it in expenditures in Canadian dollars (“</w:t>
      </w:r>
      <w:r>
        <w:rPr>
          <w:rFonts w:ascii="Arial" w:cs="Arial" w:eastAsia="Arial" w:hAnsi="Arial"/>
          <w:sz w:val="20"/>
          <w:szCs w:val="20"/>
          <w:b w:val="1"/>
          <w:bCs w:val="1"/>
          <w:color w:val="auto"/>
        </w:rPr>
        <w:t>CDN$</w:t>
      </w:r>
      <w:r>
        <w:rPr>
          <w:rFonts w:ascii="Arial" w:cs="Arial" w:eastAsia="Arial" w:hAnsi="Arial"/>
          <w:sz w:val="20"/>
          <w:szCs w:val="20"/>
          <w:color w:val="auto"/>
        </w:rPr>
        <w:t>”), Argentine Pesos (“</w:t>
      </w:r>
      <w:r>
        <w:rPr>
          <w:rFonts w:ascii="Arial" w:cs="Arial" w:eastAsia="Arial" w:hAnsi="Arial"/>
          <w:sz w:val="20"/>
          <w:szCs w:val="20"/>
          <w:b w:val="1"/>
          <w:bCs w:val="1"/>
          <w:color w:val="auto"/>
        </w:rPr>
        <w:t>ARS$</w:t>
      </w:r>
      <w:r>
        <w:rPr>
          <w:rFonts w:ascii="Arial" w:cs="Arial" w:eastAsia="Arial" w:hAnsi="Arial"/>
          <w:sz w:val="20"/>
          <w:szCs w:val="20"/>
          <w:color w:val="auto"/>
        </w:rPr>
        <w:t>”), Swiss francs (“</w:t>
      </w:r>
      <w:r>
        <w:rPr>
          <w:rFonts w:ascii="Arial" w:cs="Arial" w:eastAsia="Arial" w:hAnsi="Arial"/>
          <w:sz w:val="20"/>
          <w:szCs w:val="20"/>
          <w:b w:val="1"/>
          <w:bCs w:val="1"/>
          <w:color w:val="auto"/>
        </w:rPr>
        <w:t>CHF</w:t>
      </w:r>
      <w:r>
        <w:rPr>
          <w:rFonts w:ascii="Arial" w:cs="Arial" w:eastAsia="Arial" w:hAnsi="Arial"/>
          <w:sz w:val="20"/>
          <w:szCs w:val="20"/>
          <w:color w:val="auto"/>
        </w:rPr>
        <w:t>”) and US$, wit majority of the expenditures being incurred in US$ by the Company’s subsidiaries and investees. As at Dece 31, 2025, the Company did not hold significant amounts of cash and cash equivalents denominated in C ARS$, and CHF.</w:t>
      </w:r>
    </w:p>
    <w:p>
      <w:pPr>
        <w:spacing w:after="0" w:line="36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ESTIMATION UNCERTAINTY AND ACCOUNTING POLICY JUDGMENTS</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Impairment of investments in associates and joint ventures</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The application of the Company’s accounting policy for impairment assessment of its investments in assoc and joint ventures requires significant judgment to determine whether objective evidence of impairment e The investment in Cauchari-Olaroz includes the Company’s equity-accounted investments in associates, and Exar Capital, which are equity investees holding interests in the underlying Cauchari-Olaroz project. Company’s interest in Sal de la Puna is considered a joint venture and is accounted for using the equity met</w:t>
      </w:r>
    </w:p>
    <w:p>
      <w:pPr>
        <w:spacing w:after="0" w:line="210" w:lineRule="exact"/>
        <w:rPr>
          <w:sz w:val="20"/>
          <w:szCs w:val="20"/>
          <w:color w:val="auto"/>
        </w:rPr>
      </w:pPr>
    </w:p>
    <w:p>
      <w:pPr>
        <w:jc w:val="both"/>
        <w:ind w:left="900"/>
        <w:spacing w:after="0" w:line="331" w:lineRule="auto"/>
        <w:rPr>
          <w:sz w:val="20"/>
          <w:szCs w:val="20"/>
          <w:color w:val="auto"/>
        </w:rPr>
      </w:pPr>
      <w:r>
        <w:rPr>
          <w:rFonts w:ascii="Arial" w:cs="Arial" w:eastAsia="Arial" w:hAnsi="Arial"/>
          <w:sz w:val="19"/>
          <w:szCs w:val="19"/>
          <w:color w:val="auto"/>
        </w:rPr>
        <w:t>Management’s assessment of whether objective evidence of impairment exists considers whether any ev have impacted estimated future cash flows (loss events) or if there is any information regarding signif changes with an adverse effect on the investments in associates and joint ventures. These considerations in</w:t>
      </w:r>
    </w:p>
    <w:p>
      <w:pPr>
        <w:spacing w:after="0" w:line="2" w:lineRule="exact"/>
        <w:rPr>
          <w:sz w:val="20"/>
          <w:szCs w:val="20"/>
          <w:color w:val="auto"/>
        </w:rPr>
      </w:pPr>
    </w:p>
    <w:p>
      <w:pPr>
        <w:jc w:val="both"/>
        <w:ind w:left="900" w:hanging="6"/>
        <w:spacing w:after="0" w:line="313" w:lineRule="auto"/>
        <w:tabs>
          <w:tab w:leader="none" w:pos="1141" w:val="left"/>
        </w:tabs>
        <w:numPr>
          <w:ilvl w:val="0"/>
          <w:numId w:val="275"/>
        </w:numPr>
        <w:rPr>
          <w:rFonts w:ascii="Arial" w:cs="Arial" w:eastAsia="Arial" w:hAnsi="Arial"/>
          <w:sz w:val="20"/>
          <w:szCs w:val="20"/>
          <w:color w:val="auto"/>
        </w:rPr>
      </w:pPr>
      <w:r>
        <w:rPr>
          <w:rFonts w:ascii="Arial" w:cs="Arial" w:eastAsia="Arial" w:hAnsi="Arial"/>
          <w:sz w:val="20"/>
          <w:szCs w:val="20"/>
          <w:color w:val="auto"/>
        </w:rPr>
        <w:t>significant financial difficulties of the associates and joint ventures; (ii) a breach of contract, such as defa delinquency in payments by the associates and joint ventures; (iii) changes in the development plan or str for the underlying Cauchari-Olaroz or Sal de la Puna; or (iv) changes in significant assumptions that driv valuation of the underlying Cauchari-Olaroz or Sal de la Puna, including forecasted commodity prices, res and resource estimates, and capital expenditure requirements. Management also considered relevant ext indicators, including market conditions, lithium price trends, and country-specific and regulatory factors.</w:t>
      </w:r>
    </w:p>
    <w:p>
      <w:pPr>
        <w:spacing w:after="0" w:line="212" w:lineRule="exact"/>
        <w:rPr>
          <w:sz w:val="20"/>
          <w:szCs w:val="20"/>
          <w:color w:val="auto"/>
        </w:rPr>
      </w:pPr>
    </w:p>
    <w:p>
      <w:pPr>
        <w:ind w:left="900" w:right="40"/>
        <w:spacing w:after="0" w:line="307" w:lineRule="auto"/>
        <w:rPr>
          <w:sz w:val="20"/>
          <w:szCs w:val="20"/>
          <w:color w:val="auto"/>
        </w:rPr>
      </w:pPr>
      <w:r>
        <w:rPr>
          <w:rFonts w:ascii="Arial" w:cs="Arial" w:eastAsia="Arial" w:hAnsi="Arial"/>
          <w:sz w:val="20"/>
          <w:szCs w:val="20"/>
          <w:color w:val="auto"/>
        </w:rPr>
        <w:t>Management has performed an assessment and concluded that no objective evidence of impairment exists December 31, 2025.</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Impairment of Exploration and Evaluation Assets</w:t>
      </w:r>
    </w:p>
    <w:p>
      <w:pPr>
        <w:spacing w:after="0" w:line="279" w:lineRule="exact"/>
        <w:rPr>
          <w:sz w:val="20"/>
          <w:szCs w:val="20"/>
          <w:color w:val="auto"/>
        </w:rPr>
      </w:pPr>
    </w:p>
    <w:p>
      <w:pPr>
        <w:ind w:left="900"/>
        <w:spacing w:after="0" w:line="312" w:lineRule="auto"/>
        <w:rPr>
          <w:sz w:val="20"/>
          <w:szCs w:val="20"/>
          <w:color w:val="auto"/>
        </w:rPr>
      </w:pPr>
      <w:r>
        <w:rPr>
          <w:rFonts w:ascii="Arial" w:cs="Arial" w:eastAsia="Arial" w:hAnsi="Arial"/>
          <w:sz w:val="20"/>
          <w:szCs w:val="20"/>
          <w:color w:val="auto"/>
        </w:rPr>
        <w:t>The application of the Company’s accounting policy for impairment of exploration and evaluation assets req judgment to determine whether indicators of impairment exist, including information such as, the period for the Company has the right to explore including expected renewals, whether substantive expenditures on fu exploration and evaluation of resource properties are budgeted and evaluation of the results of exploration</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18 / 85</w:t>
      </w:r>
    </w:p>
    <w:p>
      <w:pPr>
        <w:sectPr>
          <w:pgSz w:w="11900" w:h="16838" w:orient="portrait"/>
          <w:cols w:equalWidth="0" w:num="1">
            <w:col w:w="10460"/>
          </w:cols>
          <w:pgMar w:left="1440" w:top="1440" w:right="6" w:bottom="0" w:gutter="0" w:footer="0" w:header="0"/>
          <w:type w:val="continuous"/>
        </w:sectPr>
      </w:pPr>
    </w:p>
    <w:bookmarkStart w:id="545" w:name="page546"/>
    <w:bookmarkEnd w:id="545"/>
    <w:p>
      <w:pPr>
        <w:jc w:val="both"/>
        <w:ind w:left="900"/>
        <w:spacing w:after="0" w:line="311" w:lineRule="auto"/>
        <w:rPr>
          <w:sz w:val="20"/>
          <w:szCs w:val="20"/>
          <w:color w:val="auto"/>
        </w:rPr>
      </w:pPr>
      <w:r>
        <w:rPr>
          <w:rFonts w:ascii="Arial" w:cs="Arial" w:eastAsia="Arial" w:hAnsi="Arial"/>
          <w:sz w:val="20"/>
          <w:szCs w:val="20"/>
          <w:color w:val="auto"/>
        </w:rPr>
        <w:t>evaluation activities up to the reporting date. Management has performed an impairment indicator assessme the Company’s exploration and evaluation assets and has concluded that no impairment indicators exist December 31, 2025.</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Accounting for Joint Arrangements</w:t>
      </w:r>
    </w:p>
    <w:p>
      <w:pPr>
        <w:spacing w:after="0" w:line="279"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A joint arrangement is defined as an arrangement over which two or more parties have joint control, which i contractually agreed sharing of control. Joint control exists only when decisions about the relevant acti (those that significantly affect the returns of the arrangement) require unanimous consent of the parties sh control. There are two types of joint arrangements: joint operations and joint ventures.</w:t>
      </w:r>
    </w:p>
    <w:p>
      <w:pPr>
        <w:spacing w:after="0" w:line="212" w:lineRule="exact"/>
        <w:rPr>
          <w:sz w:val="20"/>
          <w:szCs w:val="20"/>
          <w:color w:val="auto"/>
        </w:rPr>
      </w:pPr>
    </w:p>
    <w:p>
      <w:pPr>
        <w:jc w:val="both"/>
        <w:ind w:left="900"/>
        <w:spacing w:after="0" w:line="334" w:lineRule="auto"/>
        <w:rPr>
          <w:sz w:val="20"/>
          <w:szCs w:val="20"/>
          <w:color w:val="auto"/>
        </w:rPr>
      </w:pPr>
      <w:r>
        <w:rPr>
          <w:rFonts w:ascii="Arial" w:cs="Arial" w:eastAsia="Arial" w:hAnsi="Arial"/>
          <w:sz w:val="19"/>
          <w:szCs w:val="19"/>
          <w:color w:val="auto"/>
        </w:rPr>
        <w:t>A joint operation is a joint arrangement where the parties with joint control have rights to the assets and responsible for funding the liabilities related to the arrangement. The Company recognizes its share of the as liabilities, revenues, and expenses of a joint operation. A joint venture is a joint arrangement where the partie</w:t>
      </w:r>
    </w:p>
    <w:p>
      <w:pPr>
        <w:spacing w:after="0" w:line="153"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20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19 / 85</w:t>
      </w:r>
    </w:p>
    <w:p>
      <w:pPr>
        <w:sectPr>
          <w:pgSz w:w="11900" w:h="16838" w:orient="portrait"/>
          <w:cols w:equalWidth="0" w:num="1">
            <w:col w:w="10460"/>
          </w:cols>
          <w:pgMar w:left="1440" w:top="1172" w:right="6" w:bottom="0" w:gutter="0" w:footer="0" w:header="0"/>
          <w:type w:val="continuous"/>
        </w:sectPr>
      </w:pPr>
    </w:p>
    <w:bookmarkStart w:id="546" w:name="page547"/>
    <w:bookmarkEnd w:id="5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06">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with joint control have rights to the net assets of the arrangement. Investments in joint ventures are accounte using the equity method.</w:t>
      </w:r>
    </w:p>
    <w:p>
      <w:pPr>
        <w:spacing w:after="0" w:line="215" w:lineRule="exact"/>
        <w:rPr>
          <w:sz w:val="20"/>
          <w:szCs w:val="20"/>
          <w:color w:val="auto"/>
        </w:rPr>
      </w:pPr>
    </w:p>
    <w:p>
      <w:pPr>
        <w:ind w:left="900"/>
        <w:spacing w:after="0" w:line="307" w:lineRule="auto"/>
        <w:rPr>
          <w:sz w:val="20"/>
          <w:szCs w:val="20"/>
          <w:color w:val="auto"/>
        </w:rPr>
      </w:pPr>
      <w:r>
        <w:rPr>
          <w:rFonts w:ascii="Arial" w:cs="Arial" w:eastAsia="Arial" w:hAnsi="Arial"/>
          <w:sz w:val="20"/>
          <w:szCs w:val="20"/>
          <w:color w:val="auto"/>
        </w:rPr>
        <w:t>The Company’s 65% ownership interest in Sal de la Puna is considered to be a joint venture and accounte using the equity method.</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Fair value of derivatives</w:t>
      </w:r>
    </w:p>
    <w:p>
      <w:pPr>
        <w:spacing w:after="0" w:line="279" w:lineRule="exact"/>
        <w:rPr>
          <w:sz w:val="20"/>
          <w:szCs w:val="20"/>
          <w:color w:val="auto"/>
        </w:rPr>
      </w:pPr>
    </w:p>
    <w:p>
      <w:pPr>
        <w:ind w:left="900"/>
        <w:spacing w:after="0" w:line="312" w:lineRule="auto"/>
        <w:rPr>
          <w:sz w:val="20"/>
          <w:szCs w:val="20"/>
          <w:color w:val="auto"/>
        </w:rPr>
      </w:pPr>
      <w:r>
        <w:rPr>
          <w:rFonts w:ascii="Arial" w:cs="Arial" w:eastAsia="Arial" w:hAnsi="Arial"/>
          <w:sz w:val="20"/>
          <w:szCs w:val="20"/>
          <w:color w:val="auto"/>
        </w:rPr>
        <w:t>The fair values of financial instruments that are not traded in an active market are determined using valu techniques. The valuation of the convertible notes embedded derivative liability required management to significant estimates. Management exercises judgment in selecting the appropriate valuation method an making estimates of specific model inputs based on conditions existing at the reporting date.</w:t>
      </w:r>
    </w:p>
    <w:p>
      <w:pPr>
        <w:spacing w:after="0" w:line="2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valuation of the convertible note embedded derivatives was performed using a partial differential equ method with Monte Carlo simulation, which required significant assumptions, including expected volatili traded instruments, credit spreads, and estimates related to other inputs.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Determination of Commercial Production for the Cauchari Olaroz project</w:t>
      </w:r>
    </w:p>
    <w:p>
      <w:pPr>
        <w:spacing w:after="0" w:line="279"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Judgment is a requirement in determining whether a project’s assets are available for use (referred t “commercial production”). In making this determination, management considers specific facts and circumsta including, but not limited to, whether the product produced by the plant is saleable, the completion of a reaso commissioning period, and the achievement of consistent operating results at a predetermined level of d capacity for a reasonable period of time.</w:t>
      </w:r>
    </w:p>
    <w:p>
      <w:pPr>
        <w:spacing w:after="0" w:line="210" w:lineRule="exact"/>
        <w:rPr>
          <w:sz w:val="20"/>
          <w:szCs w:val="20"/>
          <w:color w:val="auto"/>
        </w:rPr>
      </w:pPr>
    </w:p>
    <w:p>
      <w:pPr>
        <w:jc w:val="both"/>
        <w:ind w:left="900" w:right="20"/>
        <w:spacing w:after="0" w:line="311" w:lineRule="auto"/>
        <w:rPr>
          <w:sz w:val="20"/>
          <w:szCs w:val="20"/>
          <w:color w:val="auto"/>
        </w:rPr>
      </w:pPr>
      <w:r>
        <w:rPr>
          <w:rFonts w:ascii="Arial" w:cs="Arial" w:eastAsia="Arial" w:hAnsi="Arial"/>
          <w:sz w:val="20"/>
          <w:szCs w:val="20"/>
          <w:color w:val="auto"/>
        </w:rPr>
        <w:t>Exar determined that commercial production was achieved at the Cauchari-Olaroz project as of October 1, As a result, the project’s assets were considered ready for their intended use, and depreciation of these a commenced on October 1, 2024.</w:t>
      </w:r>
    </w:p>
    <w:p>
      <w:pPr>
        <w:spacing w:after="0" w:line="365"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3A57"/>
        </w:rPr>
        <w:t>NEW IFRS PRONOUNCEMENTS</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20"/>
          <w:szCs w:val="20"/>
          <w:b w:val="1"/>
          <w:bCs w:val="1"/>
          <w:i w:val="1"/>
          <w:iCs w:val="1"/>
          <w:color w:val="auto"/>
        </w:rPr>
        <w:t>IFRS 18 Presentation and Disclosure in Financial Statements</w:t>
      </w:r>
    </w:p>
    <w:p>
      <w:pPr>
        <w:spacing w:after="0" w:line="279" w:lineRule="exact"/>
        <w:rPr>
          <w:sz w:val="20"/>
          <w:szCs w:val="20"/>
          <w:color w:val="auto"/>
        </w:rPr>
      </w:pPr>
    </w:p>
    <w:p>
      <w:pPr>
        <w:jc w:val="both"/>
        <w:ind w:left="900" w:right="40"/>
        <w:spacing w:after="0" w:line="311" w:lineRule="auto"/>
        <w:rPr>
          <w:sz w:val="20"/>
          <w:szCs w:val="20"/>
          <w:color w:val="auto"/>
        </w:rPr>
      </w:pPr>
      <w:r>
        <w:rPr>
          <w:rFonts w:ascii="Arial" w:cs="Arial" w:eastAsia="Arial" w:hAnsi="Arial"/>
          <w:sz w:val="20"/>
          <w:szCs w:val="20"/>
          <w:color w:val="auto"/>
        </w:rPr>
        <w:t xml:space="preserve">In April 2024, the IASB issued IFRS 18, </w:t>
      </w:r>
      <w:r>
        <w:rPr>
          <w:rFonts w:ascii="Arial" w:cs="Arial" w:eastAsia="Arial" w:hAnsi="Arial"/>
          <w:sz w:val="20"/>
          <w:szCs w:val="20"/>
          <w:i w:val="1"/>
          <w:iCs w:val="1"/>
          <w:color w:val="auto"/>
        </w:rPr>
        <w:t>Presentation and Disclosure in Financial Statements</w:t>
      </w:r>
      <w:r>
        <w:rPr>
          <w:rFonts w:ascii="Arial" w:cs="Arial" w:eastAsia="Arial" w:hAnsi="Arial"/>
          <w:sz w:val="20"/>
          <w:szCs w:val="20"/>
          <w:color w:val="auto"/>
        </w:rPr>
        <w:t xml:space="preserve"> which will re IAS 1, </w:t>
      </w:r>
      <w:r>
        <w:rPr>
          <w:rFonts w:ascii="Arial" w:cs="Arial" w:eastAsia="Arial" w:hAnsi="Arial"/>
          <w:sz w:val="20"/>
          <w:szCs w:val="20"/>
          <w:i w:val="1"/>
          <w:iCs w:val="1"/>
          <w:color w:val="auto"/>
        </w:rPr>
        <w:t>Presentation of Financial Statements</w:t>
      </w:r>
      <w:r>
        <w:rPr>
          <w:rFonts w:ascii="Arial" w:cs="Arial" w:eastAsia="Arial" w:hAnsi="Arial"/>
          <w:sz w:val="20"/>
          <w:szCs w:val="20"/>
          <w:color w:val="auto"/>
        </w:rPr>
        <w:t>. IFRS 18 introduces new requirements on presentation withi statement of profit or loss, including specified totals and subtotals.</w:t>
      </w:r>
    </w:p>
    <w:p>
      <w:pPr>
        <w:spacing w:after="0" w:line="2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It also requires disclosure of management-defined performance measures and includes new requirement aggregation and disaggregation of financial information based on the identified ‘roles’ of the primary fina statements and the notes.</w:t>
      </w:r>
    </w:p>
    <w:p>
      <w:pPr>
        <w:spacing w:after="0" w:line="212" w:lineRule="exact"/>
        <w:rPr>
          <w:sz w:val="20"/>
          <w:szCs w:val="20"/>
          <w:color w:val="auto"/>
        </w:rPr>
      </w:pPr>
    </w:p>
    <w:p>
      <w:pPr>
        <w:jc w:val="both"/>
        <w:ind w:left="900"/>
        <w:spacing w:after="0" w:line="336" w:lineRule="auto"/>
        <w:rPr>
          <w:sz w:val="20"/>
          <w:szCs w:val="20"/>
          <w:color w:val="auto"/>
        </w:rPr>
      </w:pPr>
      <w:r>
        <w:rPr>
          <w:rFonts w:ascii="Arial" w:cs="Arial" w:eastAsia="Arial" w:hAnsi="Arial"/>
          <w:sz w:val="19"/>
          <w:szCs w:val="19"/>
          <w:color w:val="auto"/>
        </w:rPr>
        <w:t>In addition, there are consequential amendments to other accounting standards; some requirements previ included in IAS 1 have been moved to IAS 8 and limited amendments have been made to IAS 7 and IAS 34.</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20 / 85</w:t>
      </w:r>
    </w:p>
    <w:p>
      <w:pPr>
        <w:sectPr>
          <w:pgSz w:w="11900" w:h="16838" w:orient="portrait"/>
          <w:cols w:equalWidth="0" w:num="1">
            <w:col w:w="10460"/>
          </w:cols>
          <w:pgMar w:left="1440" w:top="1440" w:right="6" w:bottom="0" w:gutter="0" w:footer="0" w:header="0"/>
          <w:type w:val="continuous"/>
        </w:sectPr>
      </w:pPr>
    </w:p>
    <w:bookmarkStart w:id="547" w:name="page548"/>
    <w:bookmarkEnd w:id="547"/>
    <w:p>
      <w:pPr>
        <w:jc w:val="both"/>
        <w:ind w:left="900"/>
        <w:spacing w:after="0" w:line="311" w:lineRule="auto"/>
        <w:rPr>
          <w:sz w:val="20"/>
          <w:szCs w:val="20"/>
          <w:color w:val="auto"/>
        </w:rPr>
      </w:pPr>
      <w:r>
        <w:rPr>
          <w:rFonts w:ascii="Arial" w:cs="Arial" w:eastAsia="Arial" w:hAnsi="Arial"/>
          <w:sz w:val="20"/>
          <w:szCs w:val="20"/>
          <w:color w:val="auto"/>
        </w:rPr>
        <w:t>IFRS 18 is effective for the reporting period beginning on or after January 1, 2027, with early applic permitted. Retrospective application is required in both annual and interim financial statements. The Compa currently assessing the impact of this standard on its financial statements and has not yet applied it.</w:t>
      </w:r>
    </w:p>
    <w:p>
      <w:pPr>
        <w:spacing w:after="0" w:line="212" w:lineRule="exact"/>
        <w:rPr>
          <w:sz w:val="20"/>
          <w:szCs w:val="20"/>
          <w:color w:val="auto"/>
        </w:rPr>
      </w:pPr>
    </w:p>
    <w:p>
      <w:pPr>
        <w:jc w:val="both"/>
        <w:ind w:left="900"/>
        <w:spacing w:after="0" w:line="307" w:lineRule="auto"/>
        <w:rPr>
          <w:sz w:val="20"/>
          <w:szCs w:val="20"/>
          <w:color w:val="auto"/>
        </w:rPr>
      </w:pPr>
      <w:r>
        <w:rPr>
          <w:rFonts w:ascii="Arial" w:cs="Arial" w:eastAsia="Arial" w:hAnsi="Arial"/>
          <w:sz w:val="20"/>
          <w:szCs w:val="20"/>
          <w:b w:val="1"/>
          <w:bCs w:val="1"/>
          <w:i w:val="1"/>
          <w:iCs w:val="1"/>
          <w:color w:val="auto"/>
        </w:rPr>
        <w:t>Amendments to IFRS 9 and IFRS 7 – Amendments to the Classification and Measurement of Finan Instruments</w:t>
      </w:r>
    </w:p>
    <w:p>
      <w:pPr>
        <w:spacing w:after="0" w:line="215"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 xml:space="preserve">In May 2024, the IASB issued amendments to IFRS 9 and IFRS 7, </w:t>
      </w:r>
      <w:r>
        <w:rPr>
          <w:rFonts w:ascii="Arial" w:cs="Arial" w:eastAsia="Arial" w:hAnsi="Arial"/>
          <w:sz w:val="20"/>
          <w:szCs w:val="20"/>
          <w:i w:val="1"/>
          <w:iCs w:val="1"/>
          <w:color w:val="auto"/>
        </w:rPr>
        <w:t>Amendments to the Classification</w:t>
      </w:r>
      <w:r>
        <w:rPr>
          <w:rFonts w:ascii="Arial" w:cs="Arial" w:eastAsia="Arial" w:hAnsi="Arial"/>
          <w:sz w:val="20"/>
          <w:szCs w:val="20"/>
          <w:color w:val="auto"/>
        </w:rPr>
        <w:t xml:space="preserve"> </w:t>
      </w:r>
      <w:r>
        <w:rPr>
          <w:rFonts w:ascii="Arial" w:cs="Arial" w:eastAsia="Arial" w:hAnsi="Arial"/>
          <w:sz w:val="20"/>
          <w:szCs w:val="20"/>
          <w:i w:val="1"/>
          <w:iCs w:val="1"/>
          <w:color w:val="auto"/>
        </w:rPr>
        <w:t>Measurement of Financials Instruments</w:t>
      </w:r>
      <w:r>
        <w:rPr>
          <w:rFonts w:ascii="Arial" w:cs="Arial" w:eastAsia="Arial" w:hAnsi="Arial"/>
          <w:sz w:val="20"/>
          <w:szCs w:val="20"/>
          <w:color w:val="auto"/>
        </w:rPr>
        <w:t>. These amendments updated classification and measurem</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requirements in IFRS 9 </w:t>
      </w:r>
      <w:r>
        <w:rPr>
          <w:rFonts w:ascii="Arial" w:cs="Arial" w:eastAsia="Arial" w:hAnsi="Arial"/>
          <w:sz w:val="20"/>
          <w:szCs w:val="20"/>
          <w:i w:val="1"/>
          <w:iCs w:val="1"/>
          <w:color w:val="auto"/>
        </w:rPr>
        <w:t>Financial Instruments</w:t>
      </w:r>
      <w:r>
        <w:rPr>
          <w:rFonts w:ascii="Arial" w:cs="Arial" w:eastAsia="Arial" w:hAnsi="Arial"/>
          <w:sz w:val="20"/>
          <w:szCs w:val="20"/>
          <w:color w:val="auto"/>
        </w:rPr>
        <w:t xml:space="preserve"> and related disclosure requirements in IFRS 7 </w:t>
      </w:r>
      <w:r>
        <w:rPr>
          <w:rFonts w:ascii="Arial" w:cs="Arial" w:eastAsia="Arial" w:hAnsi="Arial"/>
          <w:sz w:val="20"/>
          <w:szCs w:val="20"/>
          <w:i w:val="1"/>
          <w:iCs w:val="1"/>
          <w:color w:val="auto"/>
        </w:rPr>
        <w:t>Fina</w:t>
      </w:r>
      <w:r>
        <w:rPr>
          <w:rFonts w:ascii="Arial" w:cs="Arial" w:eastAsia="Arial" w:hAnsi="Arial"/>
          <w:sz w:val="20"/>
          <w:szCs w:val="20"/>
          <w:color w:val="auto"/>
        </w:rPr>
        <w:t xml:space="preserve"> </w:t>
      </w:r>
      <w:r>
        <w:rPr>
          <w:rFonts w:ascii="Arial" w:cs="Arial" w:eastAsia="Arial" w:hAnsi="Arial"/>
          <w:sz w:val="20"/>
          <w:szCs w:val="20"/>
          <w:i w:val="1"/>
          <w:iCs w:val="1"/>
          <w:color w:val="auto"/>
        </w:rPr>
        <w:t>Instruments:</w:t>
      </w:r>
    </w:p>
    <w:p>
      <w:pPr>
        <w:spacing w:after="0" w:line="1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i w:val="1"/>
          <w:iCs w:val="1"/>
          <w:color w:val="auto"/>
        </w:rPr>
        <w:t>Disclosures</w:t>
      </w:r>
      <w:r>
        <w:rPr>
          <w:rFonts w:ascii="Arial" w:cs="Arial" w:eastAsia="Arial" w:hAnsi="Arial"/>
          <w:sz w:val="20"/>
          <w:szCs w:val="20"/>
          <w:color w:val="auto"/>
        </w:rPr>
        <w:t>. The IASB clarified the recognition and derecognition date of certain financial assets and liabil</w:t>
      </w:r>
      <w:r>
        <w:rPr>
          <w:rFonts w:ascii="Arial" w:cs="Arial" w:eastAsia="Arial" w:hAnsi="Arial"/>
          <w:sz w:val="20"/>
          <w:szCs w:val="20"/>
          <w:i w:val="1"/>
          <w:iCs w:val="1"/>
          <w:color w:val="auto"/>
        </w:rPr>
        <w:t xml:space="preserve"> </w:t>
      </w:r>
      <w:r>
        <w:rPr>
          <w:rFonts w:ascii="Arial" w:cs="Arial" w:eastAsia="Arial" w:hAnsi="Arial"/>
          <w:sz w:val="20"/>
          <w:szCs w:val="20"/>
          <w:color w:val="auto"/>
        </w:rPr>
        <w:t>and amended the requirements related to settling financial liabilities using an electronic payment system. It clarified how to assess the contractual cash flow characteristics of financial assets in determining whether meet the solely payments of principal and interest criterion, including financial assets that have environme social and corporate governance (ESG)-linked features and other similar contingent features.</w:t>
      </w:r>
    </w:p>
    <w:p>
      <w:pPr>
        <w:spacing w:after="0" w:line="169"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21 / 85</w:t>
      </w:r>
    </w:p>
    <w:p>
      <w:pPr>
        <w:sectPr>
          <w:pgSz w:w="11900" w:h="16838" w:orient="portrait"/>
          <w:cols w:equalWidth="0" w:num="1">
            <w:col w:w="10460"/>
          </w:cols>
          <w:pgMar w:left="1440" w:top="1172" w:right="6" w:bottom="0" w:gutter="0" w:footer="0" w:header="0"/>
          <w:type w:val="continuous"/>
        </w:sectPr>
      </w:pPr>
    </w:p>
    <w:bookmarkStart w:id="548" w:name="page549"/>
    <w:bookmarkEnd w:id="5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8">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900" w:right="20"/>
        <w:spacing w:after="0" w:line="311" w:lineRule="auto"/>
        <w:rPr>
          <w:sz w:val="20"/>
          <w:szCs w:val="20"/>
          <w:color w:val="auto"/>
        </w:rPr>
      </w:pPr>
      <w:r>
        <w:rPr>
          <w:rFonts w:ascii="Arial" w:cs="Arial" w:eastAsia="Arial" w:hAnsi="Arial"/>
          <w:sz w:val="20"/>
          <w:szCs w:val="20"/>
          <w:color w:val="auto"/>
        </w:rPr>
        <w:t>These amendments require additional disclosures for financial instruments with contingent features that d relate directly to basic lending risks and costs and amended disclosures relating to equity instruments desig at fair value through other comprehensive income.</w:t>
      </w:r>
    </w:p>
    <w:p>
      <w:pPr>
        <w:spacing w:after="0" w:line="2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amendments are effective for annual periods beginning on or after January 1, 2026. Management assessed the impact of these amendments and does not expect their adoption to have a material effect o Company’s consolidated financial statements.</w:t>
      </w:r>
    </w:p>
    <w:p>
      <w:pPr>
        <w:spacing w:after="0" w:line="365"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153A57"/>
        </w:rPr>
        <w:t>TECHNICAL INFORMATION AND QUALIFIED PERSON</w:t>
      </w:r>
    </w:p>
    <w:p>
      <w:pPr>
        <w:spacing w:after="0" w:line="381"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The Scoping Study for PPG was prepared by James Wang of Golder and Frederik Reidel from Atacama Wa “qualified persons” (“QPs”) as defined by National Instrument 43-101 – Standards of Disclosure for Min Projects and Subpart 1300 of Regulation S-K by virtue of his experience, education, and professional associ and his independence from the Company.</w:t>
      </w:r>
    </w:p>
    <w:p>
      <w:pPr>
        <w:spacing w:after="0" w:line="313" w:lineRule="exact"/>
        <w:rPr>
          <w:sz w:val="20"/>
          <w:szCs w:val="20"/>
          <w:color w:val="auto"/>
        </w:rPr>
      </w:pPr>
    </w:p>
    <w:p>
      <w:pPr>
        <w:jc w:val="both"/>
        <w:ind w:left="900"/>
        <w:spacing w:after="0" w:line="336" w:lineRule="auto"/>
        <w:rPr>
          <w:sz w:val="20"/>
          <w:szCs w:val="20"/>
          <w:color w:val="auto"/>
        </w:rPr>
      </w:pPr>
      <w:r>
        <w:rPr>
          <w:rFonts w:ascii="Arial" w:cs="Arial" w:eastAsia="Arial" w:hAnsi="Arial"/>
          <w:sz w:val="19"/>
          <w:szCs w:val="19"/>
          <w:color w:val="auto"/>
        </w:rPr>
        <w:t>The scientific and technical information in this MD&amp;A in respect of PPG has been reviewed and approved b independent qualified persons (“QPs”) listed below, each of whom is a “qualified person” as defined in NI 43-</w:t>
      </w:r>
    </w:p>
    <w:p>
      <w:pPr>
        <w:spacing w:after="0" w:line="331" w:lineRule="exact"/>
        <w:rPr>
          <w:sz w:val="20"/>
          <w:szCs w:val="20"/>
          <w:color w:val="auto"/>
        </w:rPr>
      </w:pPr>
    </w:p>
    <w:p>
      <w:pPr>
        <w:ind w:left="1880" w:hanging="497"/>
        <w:spacing w:after="0"/>
        <w:tabs>
          <w:tab w:leader="none" w:pos="188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James Wang, P.E., Director, Golder.</w:t>
      </w:r>
    </w:p>
    <w:p>
      <w:pPr>
        <w:spacing w:after="0" w:line="130" w:lineRule="exact"/>
        <w:rPr>
          <w:rFonts w:ascii="Arial" w:cs="Arial" w:eastAsia="Arial" w:hAnsi="Arial"/>
          <w:sz w:val="20"/>
          <w:szCs w:val="20"/>
          <w:color w:val="auto"/>
        </w:rPr>
      </w:pPr>
    </w:p>
    <w:p>
      <w:pPr>
        <w:ind w:left="1880" w:hanging="497"/>
        <w:spacing w:after="0"/>
        <w:tabs>
          <w:tab w:leader="none" w:pos="188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Frederik Reidel, Managing Director, Atacama Water SpA.</w:t>
      </w:r>
    </w:p>
    <w:p>
      <w:pPr>
        <w:spacing w:after="0" w:line="395" w:lineRule="exact"/>
        <w:rPr>
          <w:sz w:val="20"/>
          <w:szCs w:val="20"/>
          <w:color w:val="auto"/>
        </w:rPr>
      </w:pPr>
    </w:p>
    <w:p>
      <w:pPr>
        <w:jc w:val="both"/>
        <w:ind w:left="900"/>
        <w:spacing w:after="0" w:line="333" w:lineRule="auto"/>
        <w:rPr>
          <w:sz w:val="20"/>
          <w:szCs w:val="20"/>
          <w:color w:val="auto"/>
        </w:rPr>
      </w:pPr>
      <w:r>
        <w:rPr>
          <w:rFonts w:ascii="Arial" w:cs="Arial" w:eastAsia="Arial" w:hAnsi="Arial"/>
          <w:sz w:val="19"/>
          <w:szCs w:val="19"/>
          <w:color w:val="auto"/>
        </w:rPr>
        <w:t xml:space="preserve">Dr. Mark King was engaged as qualified person to prepare the 2026 Mineral Resource Estimate and 2026 M Reserve Estimate, including the mineral resource and reserve estimation in brine for the Project in accord with the guidelines for lithium brines set forth by the Canadian Institute of Mining, Metallurgy and Petroleum 2012), National Instrument 43-101 – </w:t>
      </w:r>
      <w:r>
        <w:rPr>
          <w:rFonts w:ascii="Arial" w:cs="Arial" w:eastAsia="Arial" w:hAnsi="Arial"/>
          <w:sz w:val="19"/>
          <w:szCs w:val="19"/>
          <w:i w:val="1"/>
          <w:iCs w:val="1"/>
          <w:color w:val="auto"/>
        </w:rPr>
        <w:t>Standards of Disclosure for Mineral Projects</w:t>
      </w:r>
      <w:r>
        <w:rPr>
          <w:rFonts w:ascii="Arial" w:cs="Arial" w:eastAsia="Arial" w:hAnsi="Arial"/>
          <w:sz w:val="19"/>
          <w:szCs w:val="19"/>
          <w:color w:val="auto"/>
        </w:rPr>
        <w:t xml:space="preserve"> (“NI 43-101”) and SK-1300</w:t>
      </w:r>
    </w:p>
    <w:p>
      <w:pPr>
        <w:spacing w:after="0" w:line="297" w:lineRule="exact"/>
        <w:rPr>
          <w:sz w:val="20"/>
          <w:szCs w:val="20"/>
          <w:color w:val="auto"/>
        </w:rPr>
      </w:pPr>
    </w:p>
    <w:p>
      <w:pPr>
        <w:jc w:val="both"/>
        <w:ind w:left="900"/>
        <w:spacing w:after="0" w:line="336" w:lineRule="auto"/>
        <w:rPr>
          <w:sz w:val="20"/>
          <w:szCs w:val="20"/>
          <w:color w:val="auto"/>
        </w:rPr>
      </w:pPr>
      <w:r>
        <w:rPr>
          <w:rFonts w:ascii="Arial" w:cs="Arial" w:eastAsia="Arial" w:hAnsi="Arial"/>
          <w:sz w:val="19"/>
          <w:szCs w:val="19"/>
          <w:color w:val="auto"/>
        </w:rPr>
        <w:t>The scientific and technical information in this MD&amp;A in respect to the Updated Estimate has been reviewed approved by the independent QPs listed below, each of whom is a “qualified person” as defined in NI 43-101</w:t>
      </w:r>
    </w:p>
    <w:p>
      <w:pPr>
        <w:spacing w:after="0" w:line="331" w:lineRule="exact"/>
        <w:rPr>
          <w:sz w:val="20"/>
          <w:szCs w:val="20"/>
          <w:color w:val="auto"/>
        </w:rPr>
      </w:pPr>
    </w:p>
    <w:p>
      <w:pPr>
        <w:ind w:left="1880" w:hanging="497"/>
        <w:spacing w:after="0"/>
        <w:tabs>
          <w:tab w:leader="none" w:pos="188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David Burga, P.Geo.</w:t>
      </w:r>
    </w:p>
    <w:p>
      <w:pPr>
        <w:spacing w:after="0" w:line="130" w:lineRule="exact"/>
        <w:rPr>
          <w:rFonts w:ascii="Arial" w:cs="Arial" w:eastAsia="Arial" w:hAnsi="Arial"/>
          <w:sz w:val="20"/>
          <w:szCs w:val="20"/>
          <w:color w:val="auto"/>
        </w:rPr>
      </w:pPr>
    </w:p>
    <w:p>
      <w:pPr>
        <w:ind w:left="1880" w:hanging="497"/>
        <w:spacing w:after="0"/>
        <w:tabs>
          <w:tab w:leader="none" w:pos="188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Mark King, PhD PGeo., FGC</w:t>
      </w:r>
    </w:p>
    <w:p>
      <w:pPr>
        <w:spacing w:after="0" w:line="395"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 xml:space="preserve">The scientific and technical information in this MD&amp;A in respect of Cauchari-Olaroz has been reviewed approved by David Burga, P.Geo., a “qualified person” as defined by National Instrument 43-101 – </w:t>
      </w:r>
      <w:r>
        <w:rPr>
          <w:rFonts w:ascii="Arial" w:cs="Arial" w:eastAsia="Arial" w:hAnsi="Arial"/>
          <w:sz w:val="20"/>
          <w:szCs w:val="20"/>
          <w:i w:val="1"/>
          <w:iCs w:val="1"/>
          <w:color w:val="auto"/>
        </w:rPr>
        <w:t>Standar</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Disclosure for Mineral Projects </w:t>
      </w:r>
      <w:r>
        <w:rPr>
          <w:rFonts w:ascii="Arial" w:cs="Arial" w:eastAsia="Arial" w:hAnsi="Arial"/>
          <w:sz w:val="20"/>
          <w:szCs w:val="20"/>
          <w:color w:val="auto"/>
        </w:rPr>
        <w:t>and Subpart 1300 of Regulation S-K by virtue of his experience, education</w:t>
      </w:r>
      <w:r>
        <w:rPr>
          <w:rFonts w:ascii="Arial" w:cs="Arial" w:eastAsia="Arial" w:hAnsi="Arial"/>
          <w:sz w:val="20"/>
          <w:szCs w:val="20"/>
          <w:i w:val="1"/>
          <w:iCs w:val="1"/>
          <w:color w:val="auto"/>
        </w:rPr>
        <w:t xml:space="preserve"> </w:t>
      </w:r>
      <w:r>
        <w:rPr>
          <w:rFonts w:ascii="Arial" w:cs="Arial" w:eastAsia="Arial" w:hAnsi="Arial"/>
          <w:sz w:val="20"/>
          <w:szCs w:val="20"/>
          <w:color w:val="auto"/>
        </w:rPr>
        <w:t>professional association, and his independence from the Company.</w:t>
      </w:r>
    </w:p>
    <w:p>
      <w:pPr>
        <w:spacing w:after="0" w:line="365" w:lineRule="exact"/>
        <w:rPr>
          <w:sz w:val="20"/>
          <w:szCs w:val="20"/>
          <w:color w:val="auto"/>
        </w:rPr>
      </w:pPr>
    </w:p>
    <w:p>
      <w:pPr>
        <w:ind w:left="1000"/>
        <w:spacing w:after="0"/>
        <w:rPr>
          <w:sz w:val="20"/>
          <w:szCs w:val="20"/>
          <w:color w:val="auto"/>
        </w:rPr>
      </w:pPr>
      <w:r>
        <w:rPr>
          <w:rFonts w:ascii="Arial" w:cs="Arial" w:eastAsia="Arial" w:hAnsi="Arial"/>
          <w:sz w:val="20"/>
          <w:szCs w:val="20"/>
          <w:b w:val="1"/>
          <w:bCs w:val="1"/>
          <w:color w:val="153A57"/>
        </w:rPr>
        <w:t>DISCLOSURE CONTROLS AND PROCEDURES</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Disclosure controls and procedures are designed to provide reasonable assurance that information require be disclosed in reports filed or submitted by us under U.S. and Canadian securities legislation is record processed, summarized and reported within the time periods specified in those rules, and include controls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3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22 / 85</w:t>
      </w:r>
    </w:p>
    <w:p>
      <w:pPr>
        <w:sectPr>
          <w:pgSz w:w="11900" w:h="16838" w:orient="portrait"/>
          <w:cols w:equalWidth="0" w:num="1">
            <w:col w:w="10460"/>
          </w:cols>
          <w:pgMar w:left="1440" w:top="1440" w:right="6" w:bottom="0" w:gutter="0" w:footer="0" w:header="0"/>
          <w:type w:val="continuous"/>
        </w:sectPr>
      </w:pPr>
    </w:p>
    <w:bookmarkStart w:id="549" w:name="page550"/>
    <w:bookmarkEnd w:id="549"/>
    <w:p>
      <w:pPr>
        <w:ind w:left="900"/>
        <w:spacing w:after="0" w:line="313" w:lineRule="auto"/>
        <w:rPr>
          <w:sz w:val="20"/>
          <w:szCs w:val="20"/>
          <w:color w:val="auto"/>
        </w:rPr>
      </w:pPr>
      <w:r>
        <w:rPr>
          <w:rFonts w:ascii="Arial" w:cs="Arial" w:eastAsia="Arial" w:hAnsi="Arial"/>
          <w:sz w:val="20"/>
          <w:szCs w:val="20"/>
          <w:color w:val="auto"/>
        </w:rPr>
        <w:t>procedures designed to ensure that information required to be disclosed in reports filed or submitted by us u U.S. and Canadian securities legislation is accumulated and communicated to management, including Company’s Chief Executive Officer (“</w:t>
      </w:r>
      <w:r>
        <w:rPr>
          <w:rFonts w:ascii="Arial" w:cs="Arial" w:eastAsia="Arial" w:hAnsi="Arial"/>
          <w:sz w:val="20"/>
          <w:szCs w:val="20"/>
          <w:b w:val="1"/>
          <w:bCs w:val="1"/>
          <w:color w:val="auto"/>
        </w:rPr>
        <w:t>CEO</w:t>
      </w:r>
      <w:r>
        <w:rPr>
          <w:rFonts w:ascii="Arial" w:cs="Arial" w:eastAsia="Arial" w:hAnsi="Arial"/>
          <w:sz w:val="20"/>
          <w:szCs w:val="20"/>
          <w:color w:val="auto"/>
        </w:rPr>
        <w:t>”) and Chief Financial Officer (“</w:t>
      </w:r>
      <w:r>
        <w:rPr>
          <w:rFonts w:ascii="Arial" w:cs="Arial" w:eastAsia="Arial" w:hAnsi="Arial"/>
          <w:sz w:val="20"/>
          <w:szCs w:val="20"/>
          <w:b w:val="1"/>
          <w:bCs w:val="1"/>
          <w:color w:val="auto"/>
        </w:rPr>
        <w:t>CFO</w:t>
      </w:r>
      <w:r>
        <w:rPr>
          <w:rFonts w:ascii="Arial" w:cs="Arial" w:eastAsia="Arial" w:hAnsi="Arial"/>
          <w:sz w:val="20"/>
          <w:szCs w:val="20"/>
          <w:color w:val="auto"/>
        </w:rPr>
        <w:t>”), as appropriate, to permit tim decisions regarding required disclosure. Management, including the CEO and CFO, has evaluated effectiveness of the design and operation of our disclosure controls and procedures, as defined in the rule the SEC and the Canadian Securities Administrators, as at December 31, 2025. Based on this evaluation, CEO and CFO have concluded that our disclosure controls and procedures were effective as at December 2025.</w:t>
      </w:r>
    </w:p>
    <w:p>
      <w:pPr>
        <w:spacing w:after="0" w:line="368" w:lineRule="exact"/>
        <w:rPr>
          <w:sz w:val="20"/>
          <w:szCs w:val="20"/>
          <w:color w:val="auto"/>
        </w:rPr>
      </w:pPr>
    </w:p>
    <w:p>
      <w:pPr>
        <w:ind w:left="1000"/>
        <w:spacing w:after="0"/>
        <w:rPr>
          <w:sz w:val="20"/>
          <w:szCs w:val="20"/>
          <w:color w:val="auto"/>
        </w:rPr>
      </w:pPr>
      <w:r>
        <w:rPr>
          <w:rFonts w:ascii="Arial" w:cs="Arial" w:eastAsia="Arial" w:hAnsi="Arial"/>
          <w:sz w:val="20"/>
          <w:szCs w:val="20"/>
          <w:b w:val="1"/>
          <w:bCs w:val="1"/>
          <w:color w:val="153A57"/>
        </w:rPr>
        <w:t>MANAGEMENT'S REPORT ON INTERNAL CONTROL OVER FINANCIAL REPORTING</w:t>
      </w:r>
    </w:p>
    <w:p>
      <w:pPr>
        <w:spacing w:after="0" w:line="279"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Company’s management, including the CEO and CFO, is responsible for establishing and mainta adequate internal control over financial reporting. Any system of internal control over financial reporting matter</w:t>
      </w:r>
    </w:p>
    <w:p>
      <w:pPr>
        <w:spacing w:after="0" w:line="17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23 / 85</w:t>
      </w:r>
    </w:p>
    <w:p>
      <w:pPr>
        <w:sectPr>
          <w:pgSz w:w="11900" w:h="16838" w:orient="portrait"/>
          <w:cols w:equalWidth="0" w:num="1">
            <w:col w:w="10460"/>
          </w:cols>
          <w:pgMar w:left="1440" w:top="1172" w:right="6" w:bottom="0" w:gutter="0" w:footer="0" w:header="0"/>
          <w:type w:val="continuous"/>
        </w:sectPr>
      </w:pPr>
    </w:p>
    <w:bookmarkStart w:id="550" w:name="page551"/>
    <w:bookmarkEnd w:id="5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10">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how well-designed, has inherent limitations. Therefore, even those systems determined to be effective provide only reasonable assurance with respect to financial statement preparation and presentation. There been no significant changes in our internal controls over financial reporting during the year ended Decembe 2025, that have materially affected, or are reasonably likely to materially affect, the Company’s internal co over financial reporting.</w:t>
      </w:r>
    </w:p>
    <w:p>
      <w:pPr>
        <w:spacing w:after="0" w:line="210" w:lineRule="exact"/>
        <w:rPr>
          <w:sz w:val="20"/>
          <w:szCs w:val="20"/>
          <w:color w:val="auto"/>
        </w:rPr>
      </w:pPr>
    </w:p>
    <w:p>
      <w:pPr>
        <w:jc w:val="both"/>
        <w:ind w:left="900"/>
        <w:spacing w:after="0" w:line="312" w:lineRule="auto"/>
        <w:rPr>
          <w:sz w:val="20"/>
          <w:szCs w:val="20"/>
          <w:color w:val="auto"/>
        </w:rPr>
      </w:pPr>
      <w:r>
        <w:rPr>
          <w:rFonts w:ascii="Arial" w:cs="Arial" w:eastAsia="Arial" w:hAnsi="Arial"/>
          <w:sz w:val="20"/>
          <w:szCs w:val="20"/>
          <w:color w:val="auto"/>
        </w:rPr>
        <w:t>Management, including the CEO and CFO, has used the Committee of Sponsoring Organizations of Treadway Commission (COSO) 2013 framework to evaluate the effectiveness of our internal control over fin reporting. Based on this assessment, the Company’s management, including the CEO and CFO, has concl that as at December 31, 2025, the Company’s internal control over financial reporting was effective.</w:t>
      </w:r>
    </w:p>
    <w:p>
      <w:pPr>
        <w:spacing w:after="0" w:line="212"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The effectiveness of our internal controls over financial reporting has been audited by PricewaterhouseCoo LLP, an independent registered public accounting firm, which has expressed its opinion in its report included our annual consolidated financial statements for the financial year ended December 31, 2025.</w:t>
      </w:r>
    </w:p>
    <w:p>
      <w:pPr>
        <w:spacing w:after="0" w:line="365" w:lineRule="exact"/>
        <w:rPr>
          <w:sz w:val="20"/>
          <w:szCs w:val="20"/>
          <w:color w:val="auto"/>
        </w:rPr>
      </w:pPr>
    </w:p>
    <w:p>
      <w:pPr>
        <w:ind w:left="1000"/>
        <w:spacing w:after="0"/>
        <w:rPr>
          <w:sz w:val="20"/>
          <w:szCs w:val="20"/>
          <w:color w:val="auto"/>
        </w:rPr>
      </w:pPr>
      <w:r>
        <w:rPr>
          <w:rFonts w:ascii="Arial" w:cs="Arial" w:eastAsia="Arial" w:hAnsi="Arial"/>
          <w:sz w:val="20"/>
          <w:szCs w:val="20"/>
          <w:b w:val="1"/>
          <w:bCs w:val="1"/>
          <w:color w:val="153A57"/>
        </w:rPr>
        <w:t>FORWARD-LOOKING STATEMENTS</w:t>
      </w:r>
    </w:p>
    <w:p>
      <w:pPr>
        <w:spacing w:after="0" w:line="319"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This MD&amp;A contains “forward-looking information” within the meaning of applicable Canadian securities legis and “forward-looking statements” within the meaning of the United States Private Securities Litigation Refor of 1995 (collectively referred to herein as “forward-looking information”). These statements relate to future e or the Company’s future performance. All statements, other than statements of historical fact, may be for looking information. Forward-looking information generally can be identified by the use of words such as “s “anticipate,” “plan,” “continue,” “estimate,” “expect,” “may,” “will,” “project,” “predict,” “propose,” “poten “targeting,” “intend,” “could,” “might,” “should,” “believe” and similar expressions. These statements involve k and unknown risks, uncertainties and other factors that may cause actual results or events to differ materially those anticipated in such forward-looking information.</w:t>
      </w:r>
    </w:p>
    <w:p>
      <w:pPr>
        <w:spacing w:after="0" w:line="249"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In particular, this MD&amp;A contains forward-looking information, including, without limitation, with respect t following matters or the Company’s expectations relating to such matters: the tax treatment of the Continu the expected operations, financial results and condition of the Company; the Company's future objectives strategies to achieve those objectives, expected production for Cauchari-Olaroz; expected cost reduction tonne; operation of Cauchari-Olaroz, including timing, approach, continuity or change in plans, construc commissioning, milestones, anticipated production and results thereof and expansion plans; the implement of DLE technology at Cauchari-Olaroz; expected remaining funding commitments at the Cauchari-Ol Operation; expected timing of full capacity production at Cauchari-Olaroz and plans for additional produ capacity; Stage 2 targeted production capacity; estimates, and any change in estimates, of the Mineral Reso and Mineral Reserves at the Company’s properties; development of Mineral Resources and Mineral Rese government regulation of mining operations and treatment under governmental and taxation regimes; the f price of commodities, including lithium; the realization of Mineral Resources and Mineral Reserves estim including whether Mineral Resources that are not included in Mineral Reserves will ever be developed Mineral Reserves, and information and underlying assumptions related thereto; the timing and amount of f production; expectations with respect to costs of production; liquidity outlook; use of proceeds from finan activities; currency exchange and interest rates; the Company’s expectations with respect to meeting its fu</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24 / 85</w:t>
      </w:r>
    </w:p>
    <w:p>
      <w:pPr>
        <w:sectPr>
          <w:pgSz w:w="11900" w:h="16838" w:orient="portrait"/>
          <w:cols w:equalWidth="0" w:num="1">
            <w:col w:w="10460"/>
          </w:cols>
          <w:pgMar w:left="1440" w:top="1440" w:right="6" w:bottom="0" w:gutter="0" w:footer="0" w:header="0"/>
          <w:type w:val="continuous"/>
        </w:sectPr>
      </w:pPr>
    </w:p>
    <w:bookmarkStart w:id="551" w:name="page552"/>
    <w:bookmarkEnd w:id="551"/>
    <w:p>
      <w:pPr>
        <w:jc w:val="both"/>
        <w:ind w:left="900"/>
        <w:spacing w:after="0" w:line="332" w:lineRule="auto"/>
        <w:rPr>
          <w:sz w:val="20"/>
          <w:szCs w:val="20"/>
          <w:color w:val="auto"/>
        </w:rPr>
      </w:pPr>
      <w:r>
        <w:rPr>
          <w:rFonts w:ascii="Arial" w:cs="Arial" w:eastAsia="Arial" w:hAnsi="Arial"/>
          <w:sz w:val="19"/>
          <w:szCs w:val="19"/>
          <w:color w:val="auto"/>
        </w:rPr>
        <w:t>obligations through its financing plans; expectations with respect to the sufficiency of current cash balances other sources to fund planned expenditures; the Company’s ability to raise capital and the sufficiency of curr available funding; expected expenditures to be made by the Company on its properties; the timing, cost, qua capacity and product quality of production of the Cauchari-Olaroz Operation; successful operation of Cau Olaroz under its co-ownership structure; ability to produce battery quality lithium products; the Company’s s of the expected capital expenditures for the construction of Cauchari-Olaroz; the formation of a New JV, incl expectations regarding its advancement and benefits, the targeted production capacity, and the pote production of lithium chloride; the results of the Scoping Study, including, without limitation, expected mine production, capital and operating costs, IRR, NPV and other economic and operating parameters of P financing of the New JV and development of PPG ability to achieve capital cost efficiencies; stability and infl related to the Argentine peso, matters relating to the agreement reached by the Argentine government wit International Monetary Fund in respect of Argentina’s external debt, whether the Argentine government</w:t>
      </w:r>
    </w:p>
    <w:p>
      <w:pPr>
        <w:spacing w:after="0" w:line="155"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1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25 / 85</w:t>
      </w:r>
    </w:p>
    <w:p>
      <w:pPr>
        <w:sectPr>
          <w:pgSz w:w="11900" w:h="16838" w:orient="portrait"/>
          <w:cols w:equalWidth="0" w:num="1">
            <w:col w:w="10460"/>
          </w:cols>
          <w:pgMar w:left="1440" w:top="1172" w:right="6" w:bottom="0" w:gutter="0" w:footer="0" w:header="0"/>
          <w:type w:val="continuous"/>
        </w:sectPr>
      </w:pPr>
    </w:p>
    <w:bookmarkStart w:id="552" w:name="page553"/>
    <w:bookmarkEnd w:id="5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12">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900"/>
        <w:spacing w:after="0" w:line="311" w:lineRule="auto"/>
        <w:rPr>
          <w:sz w:val="20"/>
          <w:szCs w:val="20"/>
          <w:color w:val="auto"/>
        </w:rPr>
      </w:pPr>
      <w:r>
        <w:rPr>
          <w:rFonts w:ascii="Arial" w:cs="Arial" w:eastAsia="Arial" w:hAnsi="Arial"/>
          <w:sz w:val="20"/>
          <w:szCs w:val="20"/>
          <w:color w:val="auto"/>
        </w:rPr>
        <w:t>implements additional foreign exchange and capital controls, and the effect of current or any additi regulations on the Company’s operations; and opportunities for regional growth and development of the P Grandes basin expected from the acquisition.</w:t>
      </w:r>
    </w:p>
    <w:p>
      <w:pPr>
        <w:spacing w:after="0" w:line="252" w:lineRule="exact"/>
        <w:rPr>
          <w:sz w:val="20"/>
          <w:szCs w:val="20"/>
          <w:color w:val="auto"/>
        </w:rPr>
      </w:pPr>
    </w:p>
    <w:p>
      <w:pPr>
        <w:jc w:val="both"/>
        <w:ind w:left="900"/>
        <w:spacing w:after="0" w:line="313" w:lineRule="auto"/>
        <w:rPr>
          <w:sz w:val="20"/>
          <w:szCs w:val="20"/>
          <w:color w:val="auto"/>
        </w:rPr>
      </w:pPr>
      <w:r>
        <w:rPr>
          <w:rFonts w:ascii="Arial" w:cs="Arial" w:eastAsia="Arial" w:hAnsi="Arial"/>
          <w:sz w:val="20"/>
          <w:szCs w:val="20"/>
          <w:color w:val="auto"/>
        </w:rPr>
        <w:t>Forward-looking information does not take into account the effect of transactions or other items announc occurring after the statements are made. Forward-looking information contained in this MD&amp;A is based up number of expectations and assumptions and is subject to a number of risks and uncertainties, many of whic beyond the Company’s control, that could cause actual results to differ materially from those that are disclos or implied by such forward-looking information. With respect to forward-looking information listed above Company has made assumptions regarding, among other things:</w:t>
      </w:r>
    </w:p>
    <w:p>
      <w:pPr>
        <w:spacing w:after="0" w:line="288" w:lineRule="exact"/>
        <w:rPr>
          <w:sz w:val="20"/>
          <w:szCs w:val="20"/>
          <w:color w:val="auto"/>
        </w:rPr>
      </w:pPr>
    </w:p>
    <w:p>
      <w:pPr>
        <w:ind w:left="1980" w:hanging="366"/>
        <w:spacing w:after="0"/>
        <w:tabs>
          <w:tab w:leader="none" w:pos="198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current technological trends;</w:t>
      </w:r>
    </w:p>
    <w:p>
      <w:pPr>
        <w:spacing w:after="0" w:line="377" w:lineRule="exact"/>
        <w:rPr>
          <w:rFonts w:ascii="Arial" w:cs="Arial" w:eastAsia="Arial" w:hAnsi="Arial"/>
          <w:sz w:val="20"/>
          <w:szCs w:val="20"/>
          <w:color w:val="auto"/>
        </w:rPr>
      </w:pPr>
    </w:p>
    <w:p>
      <w:pPr>
        <w:ind w:left="1980" w:right="180" w:hanging="366"/>
        <w:spacing w:after="0" w:line="368" w:lineRule="auto"/>
        <w:tabs>
          <w:tab w:leader="none" w:pos="198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a cordial business relationship between the Company and third party strategic and contractual partners, including the co-owners of the Company’s projects;</w:t>
      </w:r>
    </w:p>
    <w:p>
      <w:pPr>
        <w:spacing w:after="0" w:line="254" w:lineRule="exact"/>
        <w:rPr>
          <w:rFonts w:ascii="Arial" w:cs="Arial" w:eastAsia="Arial" w:hAnsi="Arial"/>
          <w:sz w:val="20"/>
          <w:szCs w:val="20"/>
          <w:color w:val="auto"/>
        </w:rPr>
      </w:pPr>
    </w:p>
    <w:p>
      <w:pPr>
        <w:ind w:left="1980" w:hanging="366"/>
        <w:spacing w:after="0" w:line="368" w:lineRule="auto"/>
        <w:tabs>
          <w:tab w:leader="none" w:pos="198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ability of the Company to fund, advance and develop Cauchari-Olaroz and its other projects, and expected production and the timing thereof at Cauchari-Olaroz;</w:t>
      </w:r>
    </w:p>
    <w:p>
      <w:pPr>
        <w:spacing w:after="0" w:line="247" w:lineRule="exact"/>
        <w:rPr>
          <w:rFonts w:ascii="Arial" w:cs="Arial" w:eastAsia="Arial" w:hAnsi="Arial"/>
          <w:sz w:val="20"/>
          <w:szCs w:val="20"/>
          <w:color w:val="auto"/>
        </w:rPr>
      </w:pPr>
    </w:p>
    <w:p>
      <w:pPr>
        <w:ind w:left="1980" w:hanging="366"/>
        <w:spacing w:after="0"/>
        <w:tabs>
          <w:tab w:leader="none" w:pos="198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ability of the Company to fund, advance and develop PPG;</w:t>
      </w:r>
    </w:p>
    <w:p>
      <w:pPr>
        <w:spacing w:after="0" w:line="370" w:lineRule="exact"/>
        <w:rPr>
          <w:rFonts w:ascii="Arial" w:cs="Arial" w:eastAsia="Arial" w:hAnsi="Arial"/>
          <w:sz w:val="20"/>
          <w:szCs w:val="20"/>
          <w:color w:val="auto"/>
        </w:rPr>
      </w:pPr>
    </w:p>
    <w:p>
      <w:pPr>
        <w:ind w:left="1980" w:hanging="366"/>
        <w:spacing w:after="0"/>
        <w:tabs>
          <w:tab w:leader="none" w:pos="198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the successful operation of Cauchari-Olaroz under its co-ownership structure;</w:t>
      </w:r>
    </w:p>
    <w:p>
      <w:pPr>
        <w:spacing w:after="0" w:line="370" w:lineRule="exact"/>
        <w:rPr>
          <w:rFonts w:ascii="Arial" w:cs="Arial" w:eastAsia="Arial" w:hAnsi="Arial"/>
          <w:sz w:val="20"/>
          <w:szCs w:val="20"/>
          <w:color w:val="auto"/>
        </w:rPr>
      </w:pPr>
    </w:p>
    <w:p>
      <w:pPr>
        <w:ind w:left="1980" w:hanging="366"/>
        <w:spacing w:after="0"/>
        <w:tabs>
          <w:tab w:leader="none" w:pos="198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ability of the Company to produce battery quality lithium products;</w:t>
      </w:r>
    </w:p>
    <w:p>
      <w:pPr>
        <w:spacing w:after="0" w:line="370" w:lineRule="exact"/>
        <w:rPr>
          <w:rFonts w:ascii="Arial" w:cs="Arial" w:eastAsia="Arial" w:hAnsi="Arial"/>
          <w:sz w:val="20"/>
          <w:szCs w:val="20"/>
          <w:color w:val="auto"/>
        </w:rPr>
      </w:pPr>
    </w:p>
    <w:p>
      <w:pPr>
        <w:ind w:left="1980" w:hanging="366"/>
        <w:spacing w:after="0"/>
        <w:tabs>
          <w:tab w:leader="none" w:pos="198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the Company’s ability to operate in a safe and effective manner;</w:t>
      </w:r>
    </w:p>
    <w:p>
      <w:pPr>
        <w:spacing w:after="0" w:line="377" w:lineRule="exact"/>
        <w:rPr>
          <w:rFonts w:ascii="Arial" w:cs="Arial" w:eastAsia="Arial" w:hAnsi="Arial"/>
          <w:sz w:val="20"/>
          <w:szCs w:val="20"/>
          <w:color w:val="auto"/>
        </w:rPr>
      </w:pPr>
    </w:p>
    <w:p>
      <w:pPr>
        <w:ind w:left="1980" w:right="100" w:hanging="366"/>
        <w:spacing w:after="0" w:line="368" w:lineRule="auto"/>
        <w:tabs>
          <w:tab w:leader="none" w:pos="198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uncertainties relating to receiving and maintaining mining, exploration, environmental and other permits or approvals in Argentina;</w:t>
      </w:r>
    </w:p>
    <w:p>
      <w:pPr>
        <w:spacing w:after="0" w:line="254" w:lineRule="exact"/>
        <w:rPr>
          <w:rFonts w:ascii="Arial" w:cs="Arial" w:eastAsia="Arial" w:hAnsi="Arial"/>
          <w:sz w:val="20"/>
          <w:szCs w:val="20"/>
          <w:color w:val="auto"/>
        </w:rPr>
      </w:pPr>
    </w:p>
    <w:p>
      <w:pPr>
        <w:ind w:left="1980" w:hanging="366"/>
        <w:spacing w:after="0"/>
        <w:tabs>
          <w:tab w:leader="none" w:pos="198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demand for lithium, including that such demand is supported by growth in the electric vehicle ma</w:t>
      </w:r>
    </w:p>
    <w:p>
      <w:pPr>
        <w:spacing w:after="0" w:line="381" w:lineRule="exact"/>
        <w:rPr>
          <w:rFonts w:ascii="Arial" w:cs="Arial" w:eastAsia="Arial" w:hAnsi="Arial"/>
          <w:sz w:val="19"/>
          <w:szCs w:val="19"/>
          <w:color w:val="auto"/>
        </w:rPr>
      </w:pPr>
    </w:p>
    <w:p>
      <w:pPr>
        <w:ind w:left="1980" w:hanging="366"/>
        <w:spacing w:after="0" w:line="368" w:lineRule="auto"/>
        <w:tabs>
          <w:tab w:leader="none" w:pos="198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the impact of increasing competition in the lithium business, and the Company’s competitive pos in the industry;</w:t>
      </w:r>
    </w:p>
    <w:p>
      <w:pPr>
        <w:spacing w:after="0" w:line="247" w:lineRule="exact"/>
        <w:rPr>
          <w:rFonts w:ascii="Arial" w:cs="Arial" w:eastAsia="Arial" w:hAnsi="Arial"/>
          <w:sz w:val="20"/>
          <w:szCs w:val="20"/>
          <w:color w:val="auto"/>
        </w:rPr>
      </w:pPr>
    </w:p>
    <w:p>
      <w:pPr>
        <w:ind w:left="1980" w:hanging="366"/>
        <w:spacing w:after="0"/>
        <w:tabs>
          <w:tab w:leader="none" w:pos="198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general economic, geopolitical, and political conditions;</w:t>
      </w:r>
    </w:p>
    <w:p>
      <w:pPr>
        <w:spacing w:after="0" w:line="377" w:lineRule="exact"/>
        <w:rPr>
          <w:rFonts w:ascii="Arial" w:cs="Arial" w:eastAsia="Arial" w:hAnsi="Arial"/>
          <w:sz w:val="20"/>
          <w:szCs w:val="20"/>
          <w:color w:val="auto"/>
        </w:rPr>
      </w:pPr>
    </w:p>
    <w:p>
      <w:pPr>
        <w:ind w:left="1980" w:right="100" w:hanging="366"/>
        <w:spacing w:after="0" w:line="368" w:lineRule="auto"/>
        <w:tabs>
          <w:tab w:leader="none" w:pos="198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the stable and supportive legislative, regulatory and community environment in the jurisdictions the Company operates;</w:t>
      </w:r>
    </w:p>
    <w:p>
      <w:pPr>
        <w:spacing w:after="0" w:line="254" w:lineRule="exact"/>
        <w:rPr>
          <w:rFonts w:ascii="Arial" w:cs="Arial" w:eastAsia="Arial" w:hAnsi="Arial"/>
          <w:sz w:val="20"/>
          <w:szCs w:val="20"/>
          <w:color w:val="auto"/>
        </w:rPr>
      </w:pPr>
    </w:p>
    <w:p>
      <w:pPr>
        <w:ind w:left="1980" w:hanging="366"/>
        <w:spacing w:after="0"/>
        <w:tabs>
          <w:tab w:leader="none" w:pos="198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regulatory, and political matters that may influence or be influenced by future events or condition</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26 / 85</w:t>
      </w:r>
    </w:p>
    <w:p>
      <w:pPr>
        <w:sectPr>
          <w:pgSz w:w="11900" w:h="16838" w:orient="portrait"/>
          <w:cols w:equalWidth="0" w:num="1">
            <w:col w:w="10460"/>
          </w:cols>
          <w:pgMar w:left="1440" w:top="1440" w:right="6" w:bottom="0" w:gutter="0" w:footer="0" w:header="0"/>
          <w:type w:val="continuous"/>
        </w:sectPr>
      </w:pPr>
    </w:p>
    <w:bookmarkStart w:id="553" w:name="page554"/>
    <w:bookmarkEnd w:id="553"/>
    <w:p>
      <w:pPr>
        <w:spacing w:after="0" w:line="9" w:lineRule="exact"/>
        <w:rPr>
          <w:sz w:val="20"/>
          <w:szCs w:val="20"/>
          <w:color w:val="auto"/>
        </w:rPr>
      </w:pPr>
    </w:p>
    <w:p>
      <w:pPr>
        <w:ind w:left="1980" w:hanging="366"/>
        <w:spacing w:after="0"/>
        <w:tabs>
          <w:tab w:leader="none" w:pos="198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local and global political and economic conditions;</w:t>
      </w:r>
    </w:p>
    <w:p>
      <w:pPr>
        <w:spacing w:after="0" w:line="377" w:lineRule="exact"/>
        <w:rPr>
          <w:rFonts w:ascii="Arial" w:cs="Arial" w:eastAsia="Arial" w:hAnsi="Arial"/>
          <w:sz w:val="20"/>
          <w:szCs w:val="20"/>
          <w:color w:val="auto"/>
        </w:rPr>
      </w:pPr>
    </w:p>
    <w:p>
      <w:pPr>
        <w:ind w:left="1980" w:right="220" w:hanging="366"/>
        <w:spacing w:after="0" w:line="368" w:lineRule="auto"/>
        <w:tabs>
          <w:tab w:leader="none" w:pos="198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governmental and regulatory requirements and actions by governmental authorities, including changes in government policies;</w:t>
      </w:r>
    </w:p>
    <w:p>
      <w:pPr>
        <w:spacing w:after="0" w:line="254" w:lineRule="exact"/>
        <w:rPr>
          <w:rFonts w:ascii="Arial" w:cs="Arial" w:eastAsia="Arial" w:hAnsi="Arial"/>
          <w:sz w:val="20"/>
          <w:szCs w:val="20"/>
          <w:color w:val="auto"/>
        </w:rPr>
      </w:pPr>
    </w:p>
    <w:p>
      <w:pPr>
        <w:jc w:val="both"/>
        <w:ind w:left="1980" w:right="20" w:hanging="366"/>
        <w:spacing w:after="0" w:line="372" w:lineRule="auto"/>
        <w:tabs>
          <w:tab w:leader="none" w:pos="198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stability and inflation of the Argentine Peso, including any foreign exchange or capital controls w may be enacted in respect thereof, and the effect of current or any additional regulations on the Company’s operations;</w:t>
      </w:r>
    </w:p>
    <w:p>
      <w:pPr>
        <w:spacing w:after="0" w:line="250" w:lineRule="exact"/>
        <w:rPr>
          <w:rFonts w:ascii="Arial" w:cs="Arial" w:eastAsia="Arial" w:hAnsi="Arial"/>
          <w:sz w:val="20"/>
          <w:szCs w:val="20"/>
          <w:color w:val="auto"/>
        </w:rPr>
      </w:pPr>
    </w:p>
    <w:p>
      <w:pPr>
        <w:ind w:left="1980" w:right="480" w:hanging="366"/>
        <w:spacing w:after="0" w:line="368" w:lineRule="auto"/>
        <w:tabs>
          <w:tab w:leader="none" w:pos="198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the impact of unknown financial contingencies, including litigation costs, on the Company’s operations;</w:t>
      </w:r>
    </w:p>
    <w:p>
      <w:pPr>
        <w:spacing w:after="0" w:line="254" w:lineRule="exact"/>
        <w:rPr>
          <w:rFonts w:ascii="Arial" w:cs="Arial" w:eastAsia="Arial" w:hAnsi="Arial"/>
          <w:sz w:val="20"/>
          <w:szCs w:val="20"/>
          <w:color w:val="auto"/>
        </w:rPr>
      </w:pPr>
    </w:p>
    <w:p>
      <w:pPr>
        <w:ind w:left="1980" w:hanging="366"/>
        <w:spacing w:after="0"/>
        <w:tabs>
          <w:tab w:leader="none" w:pos="198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gains or losses, in each case, if any, from short-term investments in Argentine bonds and equitie</w:t>
      </w:r>
    </w:p>
    <w:p>
      <w:pPr>
        <w:spacing w:after="0" w:line="374" w:lineRule="exact"/>
        <w:rPr>
          <w:rFonts w:ascii="Arial" w:cs="Arial" w:eastAsia="Arial" w:hAnsi="Arial"/>
          <w:sz w:val="19"/>
          <w:szCs w:val="19"/>
          <w:color w:val="auto"/>
        </w:rPr>
      </w:pPr>
    </w:p>
    <w:p>
      <w:pPr>
        <w:ind w:left="1980" w:hanging="366"/>
        <w:spacing w:after="0"/>
        <w:tabs>
          <w:tab w:leader="none" w:pos="198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estimates of and unpredictable changes to the market prices for lithium products;</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1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27 / 85</w:t>
      </w:r>
    </w:p>
    <w:p>
      <w:pPr>
        <w:sectPr>
          <w:pgSz w:w="11900" w:h="16838" w:orient="portrait"/>
          <w:cols w:equalWidth="0" w:num="1">
            <w:col w:w="10460"/>
          </w:cols>
          <w:pgMar w:left="1440" w:top="1440" w:right="6" w:bottom="0" w:gutter="0" w:footer="0" w:header="0"/>
          <w:type w:val="continuous"/>
        </w:sectPr>
      </w:pPr>
    </w:p>
    <w:bookmarkStart w:id="554" w:name="page555"/>
    <w:bookmarkEnd w:id="5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14">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980" w:right="80" w:hanging="366"/>
        <w:spacing w:after="0" w:line="368" w:lineRule="auto"/>
        <w:tabs>
          <w:tab w:leader="none" w:pos="19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development and ramp up costs for the Cauchari-Olaroz operation, and costs for any additional exploration work at the operation;</w:t>
      </w:r>
    </w:p>
    <w:p>
      <w:pPr>
        <w:spacing w:after="0" w:line="254" w:lineRule="exact"/>
        <w:rPr>
          <w:rFonts w:ascii="Arial" w:cs="Arial" w:eastAsia="Arial" w:hAnsi="Arial"/>
          <w:sz w:val="20"/>
          <w:szCs w:val="20"/>
          <w:color w:val="auto"/>
        </w:rPr>
      </w:pPr>
    </w:p>
    <w:p>
      <w:pPr>
        <w:jc w:val="both"/>
        <w:ind w:left="1980" w:hanging="366"/>
        <w:spacing w:after="0" w:line="400" w:lineRule="auto"/>
        <w:tabs>
          <w:tab w:leader="none" w:pos="198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uncertainties inherent to estimates of Mineral Resources and Mineral Reserves, including wheth Mineral Resources not included in Mineral Reserves will be further developed into Mineral Reser</w:t>
      </w:r>
    </w:p>
    <w:p>
      <w:pPr>
        <w:spacing w:after="0" w:line="224" w:lineRule="exact"/>
        <w:rPr>
          <w:rFonts w:ascii="Arial" w:cs="Arial" w:eastAsia="Arial" w:hAnsi="Arial"/>
          <w:sz w:val="19"/>
          <w:szCs w:val="19"/>
          <w:color w:val="auto"/>
        </w:rPr>
      </w:pPr>
    </w:p>
    <w:p>
      <w:pPr>
        <w:ind w:left="1980" w:hanging="366"/>
        <w:spacing w:after="0"/>
        <w:tabs>
          <w:tab w:leader="none" w:pos="19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reliability of technical data;</w:t>
      </w:r>
    </w:p>
    <w:p>
      <w:pPr>
        <w:spacing w:after="0" w:line="370" w:lineRule="exact"/>
        <w:rPr>
          <w:rFonts w:ascii="Arial" w:cs="Arial" w:eastAsia="Arial" w:hAnsi="Arial"/>
          <w:sz w:val="20"/>
          <w:szCs w:val="20"/>
          <w:color w:val="auto"/>
        </w:rPr>
      </w:pPr>
    </w:p>
    <w:p>
      <w:pPr>
        <w:ind w:left="1980" w:hanging="366"/>
        <w:spacing w:after="0"/>
        <w:tabs>
          <w:tab w:leader="none" w:pos="19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anticipated timing and results of exploration, development and construction activities;</w:t>
      </w:r>
    </w:p>
    <w:p>
      <w:pPr>
        <w:spacing w:after="0" w:line="377" w:lineRule="exact"/>
        <w:rPr>
          <w:rFonts w:ascii="Arial" w:cs="Arial" w:eastAsia="Arial" w:hAnsi="Arial"/>
          <w:sz w:val="20"/>
          <w:szCs w:val="20"/>
          <w:color w:val="auto"/>
        </w:rPr>
      </w:pPr>
    </w:p>
    <w:p>
      <w:pPr>
        <w:ind w:left="1980" w:right="220" w:hanging="366"/>
        <w:spacing w:after="0" w:line="368" w:lineRule="auto"/>
        <w:tabs>
          <w:tab w:leader="none" w:pos="19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discretion in the use of proceeds of certain financing activities; the Company’s ability to obtain additional financing on satisfactory terms or at all;</w:t>
      </w:r>
    </w:p>
    <w:p>
      <w:pPr>
        <w:spacing w:after="0" w:line="254" w:lineRule="exact"/>
        <w:rPr>
          <w:rFonts w:ascii="Arial" w:cs="Arial" w:eastAsia="Arial" w:hAnsi="Arial"/>
          <w:sz w:val="20"/>
          <w:szCs w:val="20"/>
          <w:color w:val="auto"/>
        </w:rPr>
      </w:pPr>
    </w:p>
    <w:p>
      <w:pPr>
        <w:ind w:left="1980" w:right="200" w:hanging="366"/>
        <w:spacing w:after="0" w:line="368" w:lineRule="auto"/>
        <w:tabs>
          <w:tab w:leader="none" w:pos="19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the ability to develop and achieve production at any of the Company’s mineral exploration and development properties;</w:t>
      </w:r>
    </w:p>
    <w:p>
      <w:pPr>
        <w:spacing w:after="0" w:line="247" w:lineRule="exact"/>
        <w:rPr>
          <w:rFonts w:ascii="Arial" w:cs="Arial" w:eastAsia="Arial" w:hAnsi="Arial"/>
          <w:sz w:val="20"/>
          <w:szCs w:val="20"/>
          <w:color w:val="auto"/>
        </w:rPr>
      </w:pPr>
    </w:p>
    <w:p>
      <w:pPr>
        <w:ind w:left="1980" w:hanging="366"/>
        <w:spacing w:after="0"/>
        <w:tabs>
          <w:tab w:leader="none" w:pos="19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the impacts of pandemics and geopolitical issues on the Company’s business;</w:t>
      </w:r>
    </w:p>
    <w:p>
      <w:pPr>
        <w:spacing w:after="0" w:line="377" w:lineRule="exact"/>
        <w:rPr>
          <w:rFonts w:ascii="Arial" w:cs="Arial" w:eastAsia="Arial" w:hAnsi="Arial"/>
          <w:sz w:val="20"/>
          <w:szCs w:val="20"/>
          <w:color w:val="auto"/>
        </w:rPr>
      </w:pPr>
    </w:p>
    <w:p>
      <w:pPr>
        <w:ind w:left="1980" w:hanging="366"/>
        <w:spacing w:after="0"/>
        <w:tabs>
          <w:tab w:leader="none" w:pos="198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the impact of inflation and other economic conditions on the Company’s business and global ma</w:t>
      </w:r>
    </w:p>
    <w:p>
      <w:pPr>
        <w:spacing w:after="0" w:line="374" w:lineRule="exact"/>
        <w:rPr>
          <w:rFonts w:ascii="Arial" w:cs="Arial" w:eastAsia="Arial" w:hAnsi="Arial"/>
          <w:sz w:val="19"/>
          <w:szCs w:val="19"/>
          <w:color w:val="auto"/>
        </w:rPr>
      </w:pPr>
    </w:p>
    <w:p>
      <w:pPr>
        <w:ind w:left="1980" w:hanging="366"/>
        <w:spacing w:after="0"/>
        <w:tabs>
          <w:tab w:leader="none" w:pos="19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ability to repay or refinance debt as it comes due; and</w:t>
      </w:r>
    </w:p>
    <w:p>
      <w:pPr>
        <w:spacing w:after="0" w:line="361" w:lineRule="exact"/>
        <w:rPr>
          <w:rFonts w:ascii="Arial" w:cs="Arial" w:eastAsia="Arial" w:hAnsi="Arial"/>
          <w:sz w:val="20"/>
          <w:szCs w:val="20"/>
          <w:color w:val="auto"/>
        </w:rPr>
      </w:pPr>
    </w:p>
    <w:p>
      <w:pPr>
        <w:ind w:left="1980" w:hanging="366"/>
        <w:spacing w:after="0"/>
        <w:tabs>
          <w:tab w:leader="none" w:pos="19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accuracy of development budget and construction estimates</w:t>
      </w:r>
      <w:r>
        <w:rPr>
          <w:rFonts w:ascii="Arial" w:cs="Arial" w:eastAsia="Arial" w:hAnsi="Arial"/>
          <w:sz w:val="21"/>
          <w:szCs w:val="21"/>
          <w:color w:val="auto"/>
        </w:rPr>
        <w:t>.</w:t>
      </w:r>
    </w:p>
    <w:p>
      <w:pPr>
        <w:spacing w:after="0" w:line="330" w:lineRule="exact"/>
        <w:rPr>
          <w:sz w:val="20"/>
          <w:szCs w:val="20"/>
          <w:color w:val="auto"/>
        </w:rPr>
      </w:pPr>
    </w:p>
    <w:p>
      <w:pPr>
        <w:jc w:val="both"/>
        <w:ind w:left="900"/>
        <w:spacing w:after="0" w:line="314" w:lineRule="auto"/>
        <w:rPr>
          <w:sz w:val="20"/>
          <w:szCs w:val="20"/>
          <w:color w:val="auto"/>
        </w:rPr>
      </w:pPr>
      <w:r>
        <w:rPr>
          <w:rFonts w:ascii="Arial" w:cs="Arial" w:eastAsia="Arial" w:hAnsi="Arial"/>
          <w:sz w:val="20"/>
          <w:szCs w:val="20"/>
          <w:color w:val="auto"/>
        </w:rPr>
        <w:t xml:space="preserve">Many of these expectations, assumptions, risk and uncertainties are beyond the Company’s control and c cause actual results to differ materially from those that are disclosed in or implied by such forward-loo information. Although the Company believes that the assumptions and expectations reflected in such for looking information are reasonable, the Company can give no assurance that these assumptions expectations will prove to be correct. Since forward-looking information inherently involves risks and uncertai undue reliance should not be placed on such information. The Company’s actual results could differ mate from those anticipated in any forward-looking information as a result of the risk factors set out herein and, i Company’s Form 20-F and other filings, which are available on the Company’s website at </w:t>
      </w:r>
      <w:r>
        <w:rPr>
          <w:rFonts w:ascii="Arial" w:cs="Arial" w:eastAsia="Arial" w:hAnsi="Arial"/>
          <w:sz w:val="20"/>
          <w:szCs w:val="20"/>
          <w:u w:val="single" w:color="auto"/>
          <w:color w:val="0000FF"/>
        </w:rPr>
        <w:t>www.lit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argentina.com</w:t>
      </w:r>
      <w:r>
        <w:rPr>
          <w:rFonts w:ascii="Arial" w:cs="Arial" w:eastAsia="Arial" w:hAnsi="Arial"/>
          <w:sz w:val="20"/>
          <w:szCs w:val="20"/>
          <w:color w:val="000000"/>
        </w:rPr>
        <w:t>, on SEDAR+ at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www.sedarplus.ca</w:t>
      </w:r>
      <w:r>
        <w:rPr>
          <w:rFonts w:ascii="Arial" w:cs="Arial" w:eastAsia="Arial" w:hAnsi="Arial"/>
          <w:sz w:val="20"/>
          <w:szCs w:val="20"/>
          <w:color w:val="0000FF"/>
        </w:rPr>
        <w:t xml:space="preserve"> </w:t>
      </w:r>
      <w:r>
        <w:rPr>
          <w:rFonts w:ascii="Arial" w:cs="Arial" w:eastAsia="Arial" w:hAnsi="Arial"/>
          <w:sz w:val="20"/>
          <w:szCs w:val="20"/>
          <w:color w:val="000000"/>
        </w:rPr>
        <w:t>and on EDGAR at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www.sec.gov</w:t>
      </w:r>
      <w:r>
        <w:rPr>
          <w:rFonts w:ascii="Arial" w:cs="Arial" w:eastAsia="Arial" w:hAnsi="Arial"/>
          <w:sz w:val="20"/>
          <w:szCs w:val="20"/>
          <w:color w:val="000000"/>
        </w:rPr>
        <w:t>.</w:t>
      </w:r>
    </w:p>
    <w:p>
      <w:pPr>
        <w:spacing w:after="0" w:line="249" w:lineRule="exact"/>
        <w:rPr>
          <w:sz w:val="20"/>
          <w:szCs w:val="20"/>
          <w:color w:val="auto"/>
        </w:rPr>
      </w:pPr>
    </w:p>
    <w:p>
      <w:pPr>
        <w:jc w:val="both"/>
        <w:ind w:left="900"/>
        <w:spacing w:after="0" w:line="332" w:lineRule="auto"/>
        <w:rPr>
          <w:sz w:val="20"/>
          <w:szCs w:val="20"/>
          <w:color w:val="auto"/>
        </w:rPr>
      </w:pPr>
      <w:r>
        <w:rPr>
          <w:rFonts w:ascii="Arial" w:cs="Arial" w:eastAsia="Arial" w:hAnsi="Arial"/>
          <w:sz w:val="19"/>
          <w:szCs w:val="19"/>
          <w:color w:val="auto"/>
        </w:rPr>
        <w:t>All forward-looking information contained in this MD&amp;A is expressly qualified by the risk factors set out i latest Form 20-F, this MD&amp;A and other public filings. Such risks include, but are not limited to the following Company’s mineral properties, or the mineral properties in which it has an interest, may not be develope operate as planned and uncertainty of whether there will ever be production at the Company’s mineral explor properties, or the properties in which it has an interest; cost overruns; risks associated with the Company’s a to successfully secure adequate additional funding; market prices affecting the ability to develop or operat Company's mineral properties and properties in which it has an interest; risks associated with co-ownership or joint venture arrangements; risks related to acquisitions, integration and dispositions; risk to the grow</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9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28 / 85</w:t>
      </w:r>
    </w:p>
    <w:p>
      <w:pPr>
        <w:sectPr>
          <w:pgSz w:w="11900" w:h="16838" w:orient="portrait"/>
          <w:cols w:equalWidth="0" w:num="1">
            <w:col w:w="10460"/>
          </w:cols>
          <w:pgMar w:left="1440" w:top="1440" w:right="6" w:bottom="0" w:gutter="0" w:footer="0" w:header="0"/>
          <w:type w:val="continuous"/>
        </w:sectPr>
      </w:pPr>
    </w:p>
    <w:bookmarkStart w:id="555" w:name="page556"/>
    <w:bookmarkEnd w:id="555"/>
    <w:p>
      <w:pPr>
        <w:jc w:val="both"/>
        <w:ind w:left="900"/>
        <w:spacing w:after="0" w:line="331" w:lineRule="auto"/>
        <w:rPr>
          <w:sz w:val="20"/>
          <w:szCs w:val="20"/>
          <w:color w:val="auto"/>
        </w:rPr>
      </w:pPr>
      <w:r>
        <w:rPr>
          <w:rFonts w:ascii="Arial" w:cs="Arial" w:eastAsia="Arial" w:hAnsi="Arial"/>
          <w:sz w:val="19"/>
          <w:szCs w:val="19"/>
          <w:color w:val="auto"/>
        </w:rPr>
        <w:t>lithium markets; lithium prices; inability to obtain required governmental permits and government-imp limitations on operations; technology risk; inability to achieve and manage expected growth; political associated with foreign operations, including co-ownership arrangements with foreign domiciled partners; arising from the outbreak of hostilities in Ukraine, Israel, the Middle East and other parts of the world an international response, including but not limited to their impact on commodity markets, supply chains, equip and construction; emerging and developing market risks; risks relating to tariff wars, including but not limit their impact on stock markets, interest rates, the availability of financing, commodity markets, supply ch equipment and construction; risks associated with not having production experience; operational risks; chang government regulations; changes to environmental requirements; failure to obtain or maintain necessary lice permits or approvals; insurance risk; receipt and security of mineral property titles and mineral tenure changes in project parameters as plans continue to be refined; changes in legislation, governmental or comm policy; regulatory risks with respect to strategic minerals; mining industry competition; market risk; volatil global financial conditions; uncertainties associated with estimating Mineral Resources and Mineral Rese including uncertainties relating to the assumptions underlying Mineral Resource and Mineral Reserve estim whether certain Mineral Resources will ever be converted into Mineral Reserves; uncertainties with respect t</w:t>
      </w:r>
    </w:p>
    <w:p>
      <w:pPr>
        <w:spacing w:after="0" w:line="167"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1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29 / 85</w:t>
      </w:r>
    </w:p>
    <w:p>
      <w:pPr>
        <w:sectPr>
          <w:pgSz w:w="11900" w:h="16838" w:orient="portrait"/>
          <w:cols w:equalWidth="0" w:num="1">
            <w:col w:w="10460"/>
          </w:cols>
          <w:pgMar w:left="1440" w:top="1172" w:right="6" w:bottom="0" w:gutter="0" w:footer="0" w:header="0"/>
          <w:type w:val="continuous"/>
        </w:sectPr>
      </w:pPr>
    </w:p>
    <w:bookmarkStart w:id="556" w:name="page557"/>
    <w:bookmarkEnd w:id="5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6054090</wp:posOffset>
            </wp:positionH>
            <wp:positionV relativeFrom="page">
              <wp:posOffset>1177290</wp:posOffset>
            </wp:positionV>
            <wp:extent cx="1506220" cy="20955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16">
                      <a:clrChange>
                        <a:clrFrom>
                          <a:srgbClr val="FFFFFF"/>
                        </a:clrFrom>
                        <a:clrTo>
                          <a:srgbClr val="FFFFFF">
                            <a:alpha val="0"/>
                          </a:srgbClr>
                        </a:clrTo>
                      </a:clrChange>
                      <a:extLst>
                        <a:ext uri="{28A0092B-C50C-407E-A947-70E740481C1C}"/>
                      </a:extLst>
                    </a:blip>
                    <a:srcRect/>
                    <a:stretch>
                      <a:fillRect/>
                    </a:stretch>
                  </pic:blipFill>
                  <pic:spPr bwMode="auto">
                    <a:xfrm>
                      <a:off x="0" y="0"/>
                      <a:ext cx="150622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line="331" w:lineRule="auto"/>
        <w:rPr>
          <w:sz w:val="20"/>
          <w:szCs w:val="20"/>
          <w:color w:val="auto"/>
        </w:rPr>
      </w:pPr>
      <w:r>
        <w:rPr>
          <w:rFonts w:ascii="Arial" w:cs="Arial" w:eastAsia="Arial" w:hAnsi="Arial"/>
          <w:sz w:val="19"/>
          <w:szCs w:val="19"/>
          <w:color w:val="auto"/>
        </w:rPr>
        <w:t xml:space="preserve">estimates of operating costs and related economics for the Cauchari-Olaroz Project; uncertainties with resp the formation of the New JV, the development of PPG and the expected economics of PPG; risk tha Company may not be able to file the RIGI application and obtain the anticipated benefits therefrom as anticip or at all; risk that the Company may not be able to finance the development of PPG as contemplated, or at al that the Company may not be able to attract third party investors for the development of PPG as contemplate at all; risk that the Company will not be able to implement DLE technology; uncertainties inherent to the resu technical and economic studies, such as the Scoping Study, which are subject to significant assumptions a high degree of uncertainty; risks in connection with the Company’s existing debt financing; risks relate investments in Argentine bonds and equities; opposition to development of the Company’s mineral prope lack of brine management regulations; surface access risk; risks related to climate change; geological, tech drilling or processing problems; uncertainties in estimating capital and operating costs, cash flows and project economics; liabilities and risks, including environmental liabilities and risks inherent in mineral extra operations; health and safety risks; risks related to the stability and inflation of the Argentine Peso, includin foreign exchange or capital controls which may be enacted in respect thereof, and the effect of current and additional regulations on the Company’s operations; risks related to unknown financial contingencies, inclu litigation costs, on the Company’s operations; unanticipated results of exploration activities; unpredictable we conditions; unanticipated delays in preparing technical studies; inability to generate profitable operati restrictive covenants in debt instruments; lack of availability of additional financing on terms acceptable t Company, or to the Company and its co-owners for any co-ownership interests; shareholder dilution; intelle property risk; dependency on consultants and key personnel; payment of dividends; competition for, amo other things, capital, undeveloped lands and skilled personnel; fluctuations in currency exchange and int rates; regulatory risk, including as a result of the Company’s dual-exchange listing and increased costs the conflicts of interest; share price volatility; and cybersecurity risks and threats. Such risk factors are not exhau The Company does not undertake any obligation to update or revise any forward-looking information, wheth a result of new information, future events or otherwise, except as required by law. All forward-looking inform contained in this MD&amp;A is expressly qualified in its entirety by this cautionary statement. Additional inform about the above-noted assumptions, risks and uncertainties is contained in the Company’s Form 20-F and public filings, which are available on the Company’s website at </w:t>
      </w:r>
      <w:r>
        <w:rPr>
          <w:rFonts w:ascii="Arial" w:cs="Arial" w:eastAsia="Arial" w:hAnsi="Arial"/>
          <w:sz w:val="19"/>
          <w:szCs w:val="19"/>
          <w:u w:val="single" w:color="auto"/>
          <w:color w:val="0000FF"/>
        </w:rPr>
        <w:t>www.lithium-argentina.com</w:t>
      </w:r>
      <w:r>
        <w:rPr>
          <w:rFonts w:ascii="Arial" w:cs="Arial" w:eastAsia="Arial" w:hAnsi="Arial"/>
          <w:sz w:val="19"/>
          <w:szCs w:val="19"/>
          <w:color w:val="auto"/>
        </w:rPr>
        <w:t xml:space="preserve">, on SEDAR </w:t>
      </w:r>
      <w:r>
        <w:rPr>
          <w:rFonts w:ascii="Arial" w:cs="Arial" w:eastAsia="Arial" w:hAnsi="Arial"/>
          <w:sz w:val="19"/>
          <w:szCs w:val="19"/>
          <w:u w:val="single" w:color="auto"/>
          <w:color w:val="0000FF"/>
        </w:rPr>
        <w:t>www.sedarplus.ca</w:t>
      </w:r>
      <w:r>
        <w:rPr>
          <w:rFonts w:ascii="Arial" w:cs="Arial" w:eastAsia="Arial" w:hAnsi="Arial"/>
          <w:sz w:val="19"/>
          <w:szCs w:val="19"/>
          <w:color w:val="0000FF"/>
        </w:rPr>
        <w:t xml:space="preserve"> </w:t>
      </w:r>
      <w:r>
        <w:rPr>
          <w:rFonts w:ascii="Arial" w:cs="Arial" w:eastAsia="Arial" w:hAnsi="Arial"/>
          <w:sz w:val="19"/>
          <w:szCs w:val="19"/>
          <w:color w:val="000000"/>
        </w:rPr>
        <w:t>and on EDGAR at</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www.sec.gov</w:t>
      </w:r>
      <w:r>
        <w:rPr>
          <w:rFonts w:ascii="Arial" w:cs="Arial" w:eastAsia="Arial" w:hAnsi="Arial"/>
          <w:sz w:val="19"/>
          <w:szCs w:val="19"/>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565785</wp:posOffset>
            </wp:positionV>
            <wp:extent cx="6764020" cy="1905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30 / 85</w:t>
      </w:r>
    </w:p>
    <w:p>
      <w:pPr>
        <w:sectPr>
          <w:pgSz w:w="11900" w:h="16838" w:orient="portrait"/>
          <w:cols w:equalWidth="0" w:num="1">
            <w:col w:w="10460"/>
          </w:cols>
          <w:pgMar w:left="1440" w:top="1440" w:right="6" w:bottom="0" w:gutter="0" w:footer="0" w:header="0"/>
          <w:type w:val="continuous"/>
        </w:sectPr>
      </w:pPr>
    </w:p>
    <w:bookmarkStart w:id="557" w:name="page558"/>
    <w:bookmarkEnd w:id="5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31 / 85</w:t>
      </w:r>
    </w:p>
    <w:p>
      <w:pPr>
        <w:sectPr>
          <w:pgSz w:w="11900" w:h="16838" w:orient="portrait"/>
          <w:cols w:equalWidth="0" w:num="1">
            <w:col w:w="9026"/>
          </w:cols>
          <w:pgMar w:left="1440" w:top="1440" w:right="1440" w:bottom="0" w:gutter="0" w:footer="0" w:header="0"/>
        </w:sectPr>
      </w:pPr>
    </w:p>
    <w:bookmarkStart w:id="558" w:name="page559"/>
    <w:bookmarkEnd w:id="558"/>
    <w:p>
      <w:pPr>
        <w:spacing w:after="0" w:line="200" w:lineRule="exact"/>
        <w:rPr>
          <w:sz w:val="20"/>
          <w:szCs w:val="20"/>
          <w:color w:val="auto"/>
        </w:rPr>
      </w:pPr>
    </w:p>
    <w:p>
      <w:pPr>
        <w:spacing w:after="0" w:line="245" w:lineRule="exact"/>
        <w:rPr>
          <w:sz w:val="20"/>
          <w:szCs w:val="20"/>
          <w:color w:val="auto"/>
        </w:rPr>
      </w:pPr>
    </w:p>
    <w:p>
      <w:pPr>
        <w:ind w:left="9500"/>
        <w:spacing w:after="0"/>
        <w:rPr>
          <w:sz w:val="20"/>
          <w:szCs w:val="20"/>
          <w:color w:val="auto"/>
        </w:rPr>
      </w:pPr>
      <w:r>
        <w:rPr>
          <w:rFonts w:ascii="Arial" w:cs="Arial" w:eastAsia="Arial" w:hAnsi="Arial"/>
          <w:sz w:val="20"/>
          <w:szCs w:val="20"/>
          <w:b w:val="1"/>
          <w:bCs w:val="1"/>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CONSENT OF DAVID BURGA</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March 23, 2026</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VIA EDGAR</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United States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360"/>
        <w:spacing w:after="0"/>
        <w:tabs>
          <w:tab w:leader="none" w:pos="2000" w:val="left"/>
        </w:tabs>
        <w:rPr>
          <w:sz w:val="20"/>
          <w:szCs w:val="20"/>
          <w:color w:val="auto"/>
        </w:rPr>
      </w:pPr>
      <w:r>
        <w:rPr>
          <w:rFonts w:ascii="Arial" w:cs="Arial" w:eastAsia="Arial" w:hAnsi="Arial"/>
          <w:sz w:val="20"/>
          <w:szCs w:val="20"/>
          <w:b w:val="1"/>
          <w:bCs w:val="1"/>
          <w:color w:val="auto"/>
        </w:rPr>
        <w:t>Re:</w:t>
        <w:tab/>
        <w:t>Lithium Argentina AG (the “Company”)</w:t>
      </w:r>
    </w:p>
    <w:p>
      <w:pPr>
        <w:spacing w:after="0" w:line="79" w:lineRule="exact"/>
        <w:rPr>
          <w:sz w:val="20"/>
          <w:szCs w:val="20"/>
          <w:color w:val="auto"/>
        </w:rPr>
      </w:pPr>
    </w:p>
    <w:p>
      <w:pPr>
        <w:ind w:left="2020" w:right="100"/>
        <w:spacing w:after="0" w:line="307" w:lineRule="auto"/>
        <w:rPr>
          <w:sz w:val="20"/>
          <w:szCs w:val="20"/>
          <w:color w:val="auto"/>
        </w:rPr>
      </w:pPr>
      <w:r>
        <w:rPr>
          <w:rFonts w:ascii="Arial" w:cs="Arial" w:eastAsia="Arial" w:hAnsi="Arial"/>
          <w:sz w:val="20"/>
          <w:szCs w:val="20"/>
          <w:b w:val="1"/>
          <w:bCs w:val="1"/>
          <w:color w:val="auto"/>
        </w:rPr>
        <w:t>Annual Report on Form 20-F of the Company for the year ended December 31, 2025 (the “Form 20-F”)</w:t>
      </w:r>
    </w:p>
    <w:p>
      <w:pPr>
        <w:spacing w:after="0" w:line="375" w:lineRule="exact"/>
        <w:rPr>
          <w:sz w:val="20"/>
          <w:szCs w:val="20"/>
          <w:color w:val="auto"/>
        </w:rPr>
      </w:pPr>
    </w:p>
    <w:p>
      <w:pPr>
        <w:ind w:left="1260" w:right="20"/>
        <w:spacing w:after="0" w:line="307" w:lineRule="auto"/>
        <w:rPr>
          <w:sz w:val="20"/>
          <w:szCs w:val="20"/>
          <w:color w:val="auto"/>
        </w:rPr>
      </w:pPr>
      <w:r>
        <w:rPr>
          <w:rFonts w:ascii="Arial" w:cs="Arial" w:eastAsia="Arial" w:hAnsi="Arial"/>
          <w:sz w:val="20"/>
          <w:szCs w:val="20"/>
          <w:color w:val="auto"/>
        </w:rPr>
        <w:t>I, David Burga, hereby consent to the use of my name in connection with reference to my involvement i the preparation and review of the following:</w:t>
      </w:r>
    </w:p>
    <w:p>
      <w:pPr>
        <w:spacing w:after="0" w:line="299" w:lineRule="exact"/>
        <w:rPr>
          <w:sz w:val="20"/>
          <w:szCs w:val="20"/>
          <w:color w:val="auto"/>
        </w:rPr>
      </w:pPr>
    </w:p>
    <w:p>
      <w:pPr>
        <w:ind w:left="1980" w:hanging="366"/>
        <w:spacing w:after="0" w:line="368" w:lineRule="auto"/>
        <w:tabs>
          <w:tab w:leader="none" w:pos="198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the Technical Report titled “</w:t>
      </w:r>
      <w:r>
        <w:rPr>
          <w:rFonts w:ascii="Arial" w:cs="Arial" w:eastAsia="Arial" w:hAnsi="Arial"/>
          <w:sz w:val="20"/>
          <w:szCs w:val="20"/>
          <w:i w:val="1"/>
          <w:iCs w:val="1"/>
          <w:color w:val="auto"/>
        </w:rPr>
        <w:t>2026 Cauchari-Olaroz S-K 1300 Technical Report, Jujuy, Argentina</w:t>
      </w:r>
      <w:r>
        <w:rPr>
          <w:rFonts w:ascii="Arial" w:cs="Arial" w:eastAsia="Arial" w:hAnsi="Arial"/>
          <w:sz w:val="20"/>
          <w:szCs w:val="20"/>
          <w:color w:val="auto"/>
        </w:rPr>
        <w:t xml:space="preserve"> with an effective date as of February 27, 2026 (the “</w:t>
      </w:r>
      <w:r>
        <w:rPr>
          <w:rFonts w:ascii="Arial" w:cs="Arial" w:eastAsia="Arial" w:hAnsi="Arial"/>
          <w:sz w:val="20"/>
          <w:szCs w:val="20"/>
          <w:b w:val="1"/>
          <w:bCs w:val="1"/>
          <w:color w:val="auto"/>
        </w:rPr>
        <w:t>Technical Report</w:t>
      </w:r>
      <w:r>
        <w:rPr>
          <w:rFonts w:ascii="Arial" w:cs="Arial" w:eastAsia="Arial" w:hAnsi="Arial"/>
          <w:sz w:val="20"/>
          <w:szCs w:val="20"/>
          <w:color w:val="auto"/>
        </w:rPr>
        <w:t>”);</w:t>
      </w:r>
    </w:p>
    <w:p>
      <w:pPr>
        <w:spacing w:after="0" w:line="254" w:lineRule="exact"/>
        <w:rPr>
          <w:rFonts w:ascii="Arial" w:cs="Arial" w:eastAsia="Arial" w:hAnsi="Arial"/>
          <w:sz w:val="20"/>
          <w:szCs w:val="20"/>
          <w:color w:val="auto"/>
        </w:rPr>
      </w:pPr>
    </w:p>
    <w:p>
      <w:pPr>
        <w:jc w:val="both"/>
        <w:ind w:left="1980" w:hanging="366"/>
        <w:spacing w:after="0" w:line="372" w:lineRule="auto"/>
        <w:tabs>
          <w:tab w:leader="none" w:pos="198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the review and approval of the technical and scientific information concerning the Caucha Olaroz Salars contained in the Management’s Discussion &amp; Analysis for the year ended December 31, 2025 being filed by the Company as part of the Form 20-F (the “</w:t>
      </w:r>
      <w:r>
        <w:rPr>
          <w:rFonts w:ascii="Arial" w:cs="Arial" w:eastAsia="Arial" w:hAnsi="Arial"/>
          <w:sz w:val="20"/>
          <w:szCs w:val="20"/>
          <w:b w:val="1"/>
          <w:bCs w:val="1"/>
          <w:color w:val="auto"/>
        </w:rPr>
        <w:t>MD&amp;A</w:t>
      </w:r>
      <w:r>
        <w:rPr>
          <w:rFonts w:ascii="Arial" w:cs="Arial" w:eastAsia="Arial" w:hAnsi="Arial"/>
          <w:sz w:val="20"/>
          <w:szCs w:val="20"/>
          <w:color w:val="auto"/>
        </w:rPr>
        <w:t>”); and</w:t>
      </w:r>
    </w:p>
    <w:p>
      <w:pPr>
        <w:spacing w:after="0" w:line="250" w:lineRule="exact"/>
        <w:rPr>
          <w:rFonts w:ascii="Arial" w:cs="Arial" w:eastAsia="Arial" w:hAnsi="Arial"/>
          <w:sz w:val="20"/>
          <w:szCs w:val="20"/>
          <w:color w:val="auto"/>
        </w:rPr>
      </w:pPr>
    </w:p>
    <w:p>
      <w:pPr>
        <w:ind w:left="1980" w:right="20" w:hanging="366"/>
        <w:spacing w:after="0" w:line="368" w:lineRule="auto"/>
        <w:tabs>
          <w:tab w:leader="none" w:pos="198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the review and approval of all technical and scientific information contained in the Form 20-F (th “</w:t>
      </w:r>
      <w:r>
        <w:rPr>
          <w:rFonts w:ascii="Arial" w:cs="Arial" w:eastAsia="Arial" w:hAnsi="Arial"/>
          <w:sz w:val="20"/>
          <w:szCs w:val="20"/>
          <w:b w:val="1"/>
          <w:bCs w:val="1"/>
          <w:color w:val="auto"/>
        </w:rPr>
        <w:t>Technical Information</w:t>
      </w:r>
      <w:r>
        <w:rPr>
          <w:rFonts w:ascii="Arial" w:cs="Arial" w:eastAsia="Arial" w:hAnsi="Arial"/>
          <w:sz w:val="20"/>
          <w:szCs w:val="20"/>
          <w:color w:val="auto"/>
        </w:rPr>
        <w:t>”);</w:t>
      </w:r>
    </w:p>
    <w:p>
      <w:pPr>
        <w:spacing w:after="0" w:line="211"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and to references to the Technical Report, MD&amp;A and Technical Information, or portions thereof, include or incorporated by reference in the Form 20-F, which is being filed pursuant to the Securities Exchang Act of 1934, as amended, and to the inclusion or incorporation by reference of the information derive from the Technical Report, MD&amp;A and Technical Information related to me in the Form 20-F. This conse extends to any amendments to the Form 20-F.</w:t>
      </w:r>
    </w:p>
    <w:p>
      <w:pPr>
        <w:spacing w:after="0" w:line="250"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I also hereby consent to the use of my name in connection with reference to my involvement in th preparation and review of the Technical Report, the MD&amp;A and the Technical Information, to reference to the Technical Report, the MD&amp;A and the Technical Information, or portions thereof, and to the inclusio or incorporation by reference of the information derived from the Technical Report, MD&amp;A and Technica Information related to me in the registration statements (No. 333-238142, No. 333-227816, and No 333-282163) on Form S-8. This consent extends to any amendments to the Form S-8s, including pos effective amendments, and any new Form S-8 registration statement filed by the Company incorporatin by reference the Form 20-F.</w:t>
      </w:r>
    </w:p>
    <w:p>
      <w:pPr>
        <w:spacing w:after="0" w:line="248"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I further consent to the filing of the Technical Report as an exhibit to the Form 20-F.</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32 / 85</w:t>
      </w:r>
    </w:p>
    <w:p>
      <w:pPr>
        <w:sectPr>
          <w:pgSz w:w="11900" w:h="16838" w:orient="portrait"/>
          <w:cols w:equalWidth="0" w:num="1">
            <w:col w:w="10460"/>
          </w:cols>
          <w:pgMar w:left="1440" w:top="1440" w:right="6" w:bottom="0" w:gutter="0" w:footer="0" w:header="0"/>
          <w:type w:val="continuous"/>
        </w:sectPr>
      </w:pPr>
    </w:p>
    <w:bookmarkStart w:id="559" w:name="page560"/>
    <w:bookmarkEnd w:id="559"/>
    <w:p>
      <w:pPr>
        <w:spacing w:after="0" w:line="130"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/s/David Burga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264795</wp:posOffset>
            </wp:positionV>
            <wp:extent cx="2377440" cy="635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8">
                      <a:extLst>
                        <a:ext uri="{28A0092B-C50C-407E-A947-70E740481C1C}"/>
                      </a:extLst>
                    </a:blip>
                    <a:srcRect/>
                    <a:stretch>
                      <a:fillRect/>
                    </a:stretch>
                  </pic:blipFill>
                  <pic:spPr bwMode="auto">
                    <a:xfrm>
                      <a:off x="0" y="0"/>
                      <a:ext cx="2377440" cy="635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David Burga, P.Geo.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1209675</wp:posOffset>
            </wp:positionV>
            <wp:extent cx="6764020" cy="1905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33 / 85</w:t>
      </w:r>
    </w:p>
    <w:p>
      <w:pPr>
        <w:sectPr>
          <w:pgSz w:w="11900" w:h="16838" w:orient="portrait"/>
          <w:cols w:equalWidth="0" w:num="1">
            <w:col w:w="9026"/>
          </w:cols>
          <w:pgMar w:left="1440" w:top="1440" w:right="1440" w:bottom="0" w:gutter="0" w:footer="0" w:header="0"/>
          <w:type w:val="continuous"/>
        </w:sectPr>
      </w:pPr>
    </w:p>
    <w:bookmarkStart w:id="560" w:name="page561"/>
    <w:bookmarkEnd w:id="5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34 / 85</w:t>
      </w:r>
    </w:p>
    <w:p>
      <w:pPr>
        <w:sectPr>
          <w:pgSz w:w="11900" w:h="16838" w:orient="portrait"/>
          <w:cols w:equalWidth="0" w:num="1">
            <w:col w:w="9026"/>
          </w:cols>
          <w:pgMar w:left="1440" w:top="1440" w:right="1440" w:bottom="0" w:gutter="0" w:footer="0" w:header="0"/>
        </w:sectPr>
      </w:pPr>
    </w:p>
    <w:bookmarkStart w:id="561" w:name="page562"/>
    <w:bookmarkEnd w:id="561"/>
    <w:p>
      <w:pPr>
        <w:spacing w:after="0" w:line="200" w:lineRule="exact"/>
        <w:rPr>
          <w:sz w:val="20"/>
          <w:szCs w:val="20"/>
          <w:color w:val="auto"/>
        </w:rPr>
      </w:pPr>
    </w:p>
    <w:p>
      <w:pPr>
        <w:spacing w:after="0" w:line="245" w:lineRule="exact"/>
        <w:rPr>
          <w:sz w:val="20"/>
          <w:szCs w:val="20"/>
          <w:color w:val="auto"/>
        </w:rPr>
      </w:pPr>
    </w:p>
    <w:p>
      <w:pPr>
        <w:ind w:left="9500"/>
        <w:spacing w:after="0"/>
        <w:rPr>
          <w:sz w:val="20"/>
          <w:szCs w:val="20"/>
          <w:color w:val="auto"/>
        </w:rPr>
      </w:pPr>
      <w:r>
        <w:rPr>
          <w:rFonts w:ascii="Arial" w:cs="Arial" w:eastAsia="Arial" w:hAnsi="Arial"/>
          <w:sz w:val="20"/>
          <w:szCs w:val="20"/>
          <w:b w:val="1"/>
          <w:bCs w:val="1"/>
          <w:color w:val="auto"/>
        </w:rPr>
        <w:t>Exhibit 15</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CONSENT OF ANTHONY SANFORD</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March 23, 2026</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VIA EDGAR</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United States Securities and Exchange Commission</w:t>
      </w:r>
    </w:p>
    <w:p>
      <w:pPr>
        <w:spacing w:after="0" w:line="342" w:lineRule="exact"/>
        <w:rPr>
          <w:sz w:val="20"/>
          <w:szCs w:val="20"/>
          <w:color w:val="auto"/>
        </w:rPr>
      </w:pPr>
    </w:p>
    <w:p>
      <w:pPr>
        <w:ind w:left="1360"/>
        <w:spacing w:after="0"/>
        <w:tabs>
          <w:tab w:leader="none" w:pos="204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Lithium Argentina AG (the “Company”)</w:t>
      </w:r>
    </w:p>
    <w:p>
      <w:pPr>
        <w:spacing w:after="0" w:line="79" w:lineRule="exact"/>
        <w:rPr>
          <w:sz w:val="20"/>
          <w:szCs w:val="20"/>
          <w:color w:val="auto"/>
        </w:rPr>
      </w:pPr>
    </w:p>
    <w:p>
      <w:pPr>
        <w:ind w:left="2060" w:right="60"/>
        <w:spacing w:after="0" w:line="307" w:lineRule="auto"/>
        <w:rPr>
          <w:sz w:val="20"/>
          <w:szCs w:val="20"/>
          <w:color w:val="auto"/>
        </w:rPr>
      </w:pPr>
      <w:r>
        <w:rPr>
          <w:rFonts w:ascii="Arial" w:cs="Arial" w:eastAsia="Arial" w:hAnsi="Arial"/>
          <w:sz w:val="20"/>
          <w:szCs w:val="20"/>
          <w:b w:val="1"/>
          <w:bCs w:val="1"/>
          <w:color w:val="auto"/>
        </w:rPr>
        <w:t>Annual Report on Form 20-F of the Company for the year ended December 31, 2025 (the “Form 20-F”)</w:t>
      </w:r>
    </w:p>
    <w:p>
      <w:pPr>
        <w:spacing w:after="0" w:line="375" w:lineRule="exact"/>
        <w:rPr>
          <w:sz w:val="20"/>
          <w:szCs w:val="20"/>
          <w:color w:val="auto"/>
        </w:rPr>
      </w:pPr>
    </w:p>
    <w:p>
      <w:pPr>
        <w:ind w:left="1260"/>
        <w:spacing w:after="0" w:line="307" w:lineRule="auto"/>
        <w:rPr>
          <w:sz w:val="20"/>
          <w:szCs w:val="20"/>
          <w:color w:val="auto"/>
        </w:rPr>
      </w:pPr>
      <w:r>
        <w:rPr>
          <w:rFonts w:ascii="Arial" w:cs="Arial" w:eastAsia="Arial" w:hAnsi="Arial"/>
          <w:sz w:val="20"/>
          <w:szCs w:val="20"/>
          <w:color w:val="auto"/>
        </w:rPr>
        <w:t>I, Anthony Sanford, hereby consent to the use of my name in connection with reference to my involvement in the preparation of the following technical report (the “</w:t>
      </w:r>
      <w:r>
        <w:rPr>
          <w:rFonts w:ascii="Arial" w:cs="Arial" w:eastAsia="Arial" w:hAnsi="Arial"/>
          <w:sz w:val="20"/>
          <w:szCs w:val="20"/>
          <w:b w:val="1"/>
          <w:bCs w:val="1"/>
          <w:color w:val="auto"/>
        </w:rPr>
        <w:t>Technical Report</w:t>
      </w:r>
      <w:r>
        <w:rPr>
          <w:rFonts w:ascii="Arial" w:cs="Arial" w:eastAsia="Arial" w:hAnsi="Arial"/>
          <w:sz w:val="20"/>
          <w:szCs w:val="20"/>
          <w:color w:val="auto"/>
        </w:rPr>
        <w:t>”):</w:t>
      </w:r>
    </w:p>
    <w:p>
      <w:pPr>
        <w:spacing w:after="0" w:line="299" w:lineRule="exact"/>
        <w:rPr>
          <w:sz w:val="20"/>
          <w:szCs w:val="20"/>
          <w:color w:val="auto"/>
        </w:rPr>
      </w:pPr>
    </w:p>
    <w:p>
      <w:pPr>
        <w:ind w:left="1980" w:right="20" w:hanging="366"/>
        <w:spacing w:after="0" w:line="368" w:lineRule="auto"/>
        <w:tabs>
          <w:tab w:leader="none" w:pos="1980" w:val="left"/>
        </w:tabs>
        <w:numPr>
          <w:ilvl w:val="0"/>
          <w:numId w:val="282"/>
        </w:numPr>
        <w:rPr>
          <w:rFonts w:ascii="Arial" w:cs="Arial" w:eastAsia="Arial" w:hAnsi="Arial"/>
          <w:sz w:val="20"/>
          <w:szCs w:val="20"/>
          <w:color w:val="auto"/>
        </w:rPr>
      </w:pPr>
      <w:r>
        <w:rPr>
          <w:rFonts w:ascii="Arial" w:cs="Arial" w:eastAsia="Arial" w:hAnsi="Arial"/>
          <w:sz w:val="20"/>
          <w:szCs w:val="20"/>
          <w:color w:val="auto"/>
        </w:rPr>
        <w:t>Technical Report titled “</w:t>
      </w:r>
      <w:r>
        <w:rPr>
          <w:rFonts w:ascii="Arial" w:cs="Arial" w:eastAsia="Arial" w:hAnsi="Arial"/>
          <w:sz w:val="20"/>
          <w:szCs w:val="20"/>
          <w:i w:val="1"/>
          <w:iCs w:val="1"/>
          <w:color w:val="auto"/>
        </w:rPr>
        <w:t>2026 Cauchari-Olaroz S-K 1300 Technical Report, Jujuy, Argentina</w:t>
      </w:r>
      <w:r>
        <w:rPr>
          <w:rFonts w:ascii="Arial" w:cs="Arial" w:eastAsia="Arial" w:hAnsi="Arial"/>
          <w:sz w:val="20"/>
          <w:szCs w:val="20"/>
          <w:color w:val="auto"/>
        </w:rPr>
        <w:t>” wit an effective date as of February 27, 2026;</w:t>
      </w:r>
    </w:p>
    <w:p>
      <w:pPr>
        <w:spacing w:after="0" w:line="211" w:lineRule="exact"/>
        <w:rPr>
          <w:sz w:val="20"/>
          <w:szCs w:val="20"/>
          <w:color w:val="auto"/>
        </w:rPr>
      </w:pPr>
    </w:p>
    <w:p>
      <w:pPr>
        <w:jc w:val="both"/>
        <w:ind w:left="1260" w:right="20"/>
        <w:spacing w:after="0" w:line="312" w:lineRule="auto"/>
        <w:rPr>
          <w:sz w:val="20"/>
          <w:szCs w:val="20"/>
          <w:color w:val="auto"/>
        </w:rPr>
      </w:pPr>
      <w:r>
        <w:rPr>
          <w:rFonts w:ascii="Arial" w:cs="Arial" w:eastAsia="Arial" w:hAnsi="Arial"/>
          <w:sz w:val="20"/>
          <w:szCs w:val="20"/>
          <w:color w:val="auto"/>
        </w:rPr>
        <w:t>and to references to the Technical Report, or portions thereof, included or incorporated by reference i the Form 20-F, which is being filed pursuant to the Securities Exchange Act of 1934, as amended, and t the inclusion or incorporation by reference of the information derived from the Technical Report related t me in the Form 20-F. This consent extends to any amendments to the Form 20-F.</w:t>
      </w:r>
    </w:p>
    <w:p>
      <w:pPr>
        <w:spacing w:after="0" w:line="252" w:lineRule="exact"/>
        <w:rPr>
          <w:sz w:val="20"/>
          <w:szCs w:val="20"/>
          <w:color w:val="auto"/>
        </w:rPr>
      </w:pPr>
    </w:p>
    <w:p>
      <w:pPr>
        <w:jc w:val="both"/>
        <w:ind w:left="1260"/>
        <w:spacing w:after="0" w:line="332" w:lineRule="auto"/>
        <w:rPr>
          <w:sz w:val="20"/>
          <w:szCs w:val="20"/>
          <w:color w:val="auto"/>
        </w:rPr>
      </w:pPr>
      <w:r>
        <w:rPr>
          <w:rFonts w:ascii="Arial" w:cs="Arial" w:eastAsia="Arial" w:hAnsi="Arial"/>
          <w:sz w:val="19"/>
          <w:szCs w:val="19"/>
          <w:color w:val="auto"/>
        </w:rPr>
        <w:t>I also hereby consent to the use of my name in connection with reference to my involvement in th preparation of the Technical Report, to references to the Technical Report, or portions thereof, and to th inclusion or incorporation by reference of the information derived from the Technical Report related to m in the registration statements (No. 333-238142, No. 333-227816, and No. 333-282163) on Form S-8. Thi consent extends to any amendments to the Form S-8s, including post-effective amendments, and an new Form S-8 registration statement filed by the Company incorporating by reference the Form 20-F.</w:t>
      </w:r>
    </w:p>
    <w:p>
      <w:pPr>
        <w:spacing w:after="0" w:line="231"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I further consent to the filing of the Technical Report as an exhibit to the Form 20-F.</w:t>
      </w:r>
    </w:p>
    <w:p>
      <w:pPr>
        <w:spacing w:after="0" w:line="200" w:lineRule="exact"/>
        <w:rPr>
          <w:sz w:val="20"/>
          <w:szCs w:val="20"/>
          <w:color w:val="auto"/>
        </w:rPr>
      </w:pPr>
    </w:p>
    <w:p>
      <w:pPr>
        <w:spacing w:after="0" w:line="262"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/s/Anthony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26035</wp:posOffset>
            </wp:positionV>
            <wp:extent cx="2971800" cy="635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20">
                      <a:extLst>
                        <a:ext uri="{28A0092B-C50C-407E-A947-70E740481C1C}"/>
                      </a:extLst>
                    </a:blip>
                    <a:srcRect/>
                    <a:stretch>
                      <a:fillRect/>
                    </a:stretch>
                  </pic:blipFill>
                  <pic:spPr bwMode="auto">
                    <a:xfrm>
                      <a:off x="0" y="0"/>
                      <a:ext cx="2971800" cy="635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Anthony Sanford, Pr.Sci.Nat.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1207135</wp:posOffset>
            </wp:positionV>
            <wp:extent cx="6764020" cy="1905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2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35 / 85</w:t>
      </w:r>
    </w:p>
    <w:p>
      <w:pPr>
        <w:sectPr>
          <w:pgSz w:w="11900" w:h="16838" w:orient="portrait"/>
          <w:cols w:equalWidth="0" w:num="1">
            <w:col w:w="10460"/>
          </w:cols>
          <w:pgMar w:left="1440" w:top="1440" w:right="6" w:bottom="0" w:gutter="0" w:footer="0" w:header="0"/>
          <w:type w:val="continuous"/>
        </w:sectPr>
      </w:pPr>
    </w:p>
    <w:bookmarkStart w:id="562" w:name="page563"/>
    <w:bookmarkEnd w:id="5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36 / 85</w:t>
      </w:r>
    </w:p>
    <w:p>
      <w:pPr>
        <w:sectPr>
          <w:pgSz w:w="11900" w:h="16838" w:orient="portrait"/>
          <w:cols w:equalWidth="0" w:num="1">
            <w:col w:w="9026"/>
          </w:cols>
          <w:pgMar w:left="1440" w:top="1440" w:right="1440" w:bottom="0" w:gutter="0" w:footer="0" w:header="0"/>
        </w:sectPr>
      </w:pPr>
    </w:p>
    <w:bookmarkStart w:id="563" w:name="page564"/>
    <w:bookmarkEnd w:id="563"/>
    <w:p>
      <w:pPr>
        <w:spacing w:after="0" w:line="200" w:lineRule="exact"/>
        <w:rPr>
          <w:sz w:val="20"/>
          <w:szCs w:val="20"/>
          <w:color w:val="auto"/>
        </w:rPr>
      </w:pPr>
    </w:p>
    <w:p>
      <w:pPr>
        <w:spacing w:after="0" w:line="245" w:lineRule="exact"/>
        <w:rPr>
          <w:sz w:val="20"/>
          <w:szCs w:val="20"/>
          <w:color w:val="auto"/>
        </w:rPr>
      </w:pPr>
    </w:p>
    <w:p>
      <w:pPr>
        <w:ind w:left="9500"/>
        <w:spacing w:after="0"/>
        <w:rPr>
          <w:sz w:val="20"/>
          <w:szCs w:val="20"/>
          <w:color w:val="auto"/>
        </w:rPr>
      </w:pPr>
      <w:r>
        <w:rPr>
          <w:rFonts w:ascii="Arial" w:cs="Arial" w:eastAsia="Arial" w:hAnsi="Arial"/>
          <w:sz w:val="20"/>
          <w:szCs w:val="20"/>
          <w:b w:val="1"/>
          <w:bCs w:val="1"/>
          <w:color w:val="auto"/>
        </w:rPr>
        <w:t>Exhibit 15</w:t>
      </w:r>
    </w:p>
    <w:p>
      <w:pPr>
        <w:spacing w:after="0" w:line="200" w:lineRule="exact"/>
        <w:rPr>
          <w:sz w:val="20"/>
          <w:szCs w:val="20"/>
          <w:color w:val="auto"/>
        </w:rPr>
      </w:pPr>
    </w:p>
    <w:p>
      <w:pPr>
        <w:spacing w:after="0" w:line="290"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auto"/>
        </w:rPr>
        <w:t>CONSENT OF MAREK DWORZANOWSKI</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March 23, 2026</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VIA EDGAR</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United States Securities and Exchange Commission</w:t>
      </w:r>
    </w:p>
    <w:p>
      <w:pPr>
        <w:spacing w:after="0" w:line="200" w:lineRule="exact"/>
        <w:rPr>
          <w:sz w:val="20"/>
          <w:szCs w:val="20"/>
          <w:color w:val="auto"/>
        </w:rPr>
      </w:pPr>
    </w:p>
    <w:p>
      <w:pPr>
        <w:spacing w:after="0" w:line="262" w:lineRule="exact"/>
        <w:rPr>
          <w:sz w:val="20"/>
          <w:szCs w:val="20"/>
          <w:color w:val="auto"/>
        </w:rPr>
      </w:pPr>
    </w:p>
    <w:p>
      <w:pPr>
        <w:ind w:left="1360"/>
        <w:spacing w:after="0"/>
        <w:tabs>
          <w:tab w:leader="none" w:pos="204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Lithium Argentina AG (the “Company”)</w:t>
      </w:r>
    </w:p>
    <w:p>
      <w:pPr>
        <w:spacing w:after="0" w:line="79" w:lineRule="exact"/>
        <w:rPr>
          <w:sz w:val="20"/>
          <w:szCs w:val="20"/>
          <w:color w:val="auto"/>
        </w:rPr>
      </w:pPr>
    </w:p>
    <w:p>
      <w:pPr>
        <w:ind w:left="2060" w:right="60"/>
        <w:spacing w:after="0" w:line="307" w:lineRule="auto"/>
        <w:rPr>
          <w:sz w:val="20"/>
          <w:szCs w:val="20"/>
          <w:color w:val="auto"/>
        </w:rPr>
      </w:pPr>
      <w:r>
        <w:rPr>
          <w:rFonts w:ascii="Arial" w:cs="Arial" w:eastAsia="Arial" w:hAnsi="Arial"/>
          <w:sz w:val="20"/>
          <w:szCs w:val="20"/>
          <w:b w:val="1"/>
          <w:bCs w:val="1"/>
          <w:color w:val="auto"/>
        </w:rPr>
        <w:t>Annual Report on Form 20-F of the Company for the year ended December 31, 2025 (the “Form 20-F”)</w:t>
      </w:r>
    </w:p>
    <w:p>
      <w:pPr>
        <w:spacing w:after="0" w:line="375" w:lineRule="exact"/>
        <w:rPr>
          <w:sz w:val="20"/>
          <w:szCs w:val="20"/>
          <w:color w:val="auto"/>
        </w:rPr>
      </w:pPr>
    </w:p>
    <w:p>
      <w:pPr>
        <w:ind w:left="1260" w:right="40"/>
        <w:spacing w:after="0" w:line="307" w:lineRule="auto"/>
        <w:rPr>
          <w:sz w:val="20"/>
          <w:szCs w:val="20"/>
          <w:color w:val="auto"/>
        </w:rPr>
      </w:pPr>
      <w:r>
        <w:rPr>
          <w:rFonts w:ascii="Arial" w:cs="Arial" w:eastAsia="Arial" w:hAnsi="Arial"/>
          <w:sz w:val="20"/>
          <w:szCs w:val="20"/>
          <w:color w:val="auto"/>
        </w:rPr>
        <w:t>I, Marek Dworzanowski, hereby consent to the use of my name in connection with reference to m involvement in the preparation of the following technical report (the “</w:t>
      </w:r>
      <w:r>
        <w:rPr>
          <w:rFonts w:ascii="Arial" w:cs="Arial" w:eastAsia="Arial" w:hAnsi="Arial"/>
          <w:sz w:val="20"/>
          <w:szCs w:val="20"/>
          <w:b w:val="1"/>
          <w:bCs w:val="1"/>
          <w:color w:val="auto"/>
        </w:rPr>
        <w:t>Technical Report</w:t>
      </w:r>
      <w:r>
        <w:rPr>
          <w:rFonts w:ascii="Arial" w:cs="Arial" w:eastAsia="Arial" w:hAnsi="Arial"/>
          <w:sz w:val="20"/>
          <w:szCs w:val="20"/>
          <w:color w:val="auto"/>
        </w:rPr>
        <w:t>”):</w:t>
      </w:r>
    </w:p>
    <w:p>
      <w:pPr>
        <w:spacing w:after="0" w:line="299" w:lineRule="exact"/>
        <w:rPr>
          <w:sz w:val="20"/>
          <w:szCs w:val="20"/>
          <w:color w:val="auto"/>
        </w:rPr>
      </w:pPr>
    </w:p>
    <w:p>
      <w:pPr>
        <w:ind w:left="1980" w:right="20" w:hanging="366"/>
        <w:spacing w:after="0" w:line="368" w:lineRule="auto"/>
        <w:tabs>
          <w:tab w:leader="none" w:pos="1980" w:val="left"/>
        </w:tabs>
        <w:numPr>
          <w:ilvl w:val="0"/>
          <w:numId w:val="283"/>
        </w:numPr>
        <w:rPr>
          <w:rFonts w:ascii="Arial" w:cs="Arial" w:eastAsia="Arial" w:hAnsi="Arial"/>
          <w:sz w:val="20"/>
          <w:szCs w:val="20"/>
          <w:color w:val="auto"/>
        </w:rPr>
      </w:pPr>
      <w:r>
        <w:rPr>
          <w:rFonts w:ascii="Arial" w:cs="Arial" w:eastAsia="Arial" w:hAnsi="Arial"/>
          <w:sz w:val="20"/>
          <w:szCs w:val="20"/>
          <w:color w:val="auto"/>
        </w:rPr>
        <w:t>Technical Report titled “</w:t>
      </w:r>
      <w:r>
        <w:rPr>
          <w:rFonts w:ascii="Arial" w:cs="Arial" w:eastAsia="Arial" w:hAnsi="Arial"/>
          <w:sz w:val="20"/>
          <w:szCs w:val="20"/>
          <w:i w:val="1"/>
          <w:iCs w:val="1"/>
          <w:color w:val="auto"/>
        </w:rPr>
        <w:t>2026 Cauchari-Olaroz S-K 1300 Technical Report, Jujuy, Argentina</w:t>
      </w:r>
      <w:r>
        <w:rPr>
          <w:rFonts w:ascii="Arial" w:cs="Arial" w:eastAsia="Arial" w:hAnsi="Arial"/>
          <w:sz w:val="20"/>
          <w:szCs w:val="20"/>
          <w:color w:val="auto"/>
        </w:rPr>
        <w:t>” wit an effective date as of February 27, 2026;</w:t>
      </w:r>
    </w:p>
    <w:p>
      <w:pPr>
        <w:spacing w:after="0" w:line="211" w:lineRule="exact"/>
        <w:rPr>
          <w:sz w:val="20"/>
          <w:szCs w:val="20"/>
          <w:color w:val="auto"/>
        </w:rPr>
      </w:pPr>
    </w:p>
    <w:p>
      <w:pPr>
        <w:jc w:val="both"/>
        <w:ind w:left="1260" w:right="20"/>
        <w:spacing w:after="0" w:line="312" w:lineRule="auto"/>
        <w:rPr>
          <w:sz w:val="20"/>
          <w:szCs w:val="20"/>
          <w:color w:val="auto"/>
        </w:rPr>
      </w:pPr>
      <w:r>
        <w:rPr>
          <w:rFonts w:ascii="Arial" w:cs="Arial" w:eastAsia="Arial" w:hAnsi="Arial"/>
          <w:sz w:val="20"/>
          <w:szCs w:val="20"/>
          <w:color w:val="auto"/>
        </w:rPr>
        <w:t>and to references to the Technical Report, or portions thereof, included or incorporated by reference i the Form 20-F, which is being filed pursuant to the Securities Exchange Act of 1934, as amended, and t the inclusion or incorporation by reference of the information derived from the Technical Report related t me in the Form 20-F. This consent extends to any amendments to the Form 20-F.</w:t>
      </w:r>
    </w:p>
    <w:p>
      <w:pPr>
        <w:spacing w:after="0" w:line="252" w:lineRule="exact"/>
        <w:rPr>
          <w:sz w:val="20"/>
          <w:szCs w:val="20"/>
          <w:color w:val="auto"/>
        </w:rPr>
      </w:pPr>
    </w:p>
    <w:p>
      <w:pPr>
        <w:jc w:val="both"/>
        <w:ind w:left="1260"/>
        <w:spacing w:after="0" w:line="332" w:lineRule="auto"/>
        <w:rPr>
          <w:sz w:val="20"/>
          <w:szCs w:val="20"/>
          <w:color w:val="auto"/>
        </w:rPr>
      </w:pPr>
      <w:r>
        <w:rPr>
          <w:rFonts w:ascii="Arial" w:cs="Arial" w:eastAsia="Arial" w:hAnsi="Arial"/>
          <w:sz w:val="19"/>
          <w:szCs w:val="19"/>
          <w:color w:val="auto"/>
        </w:rPr>
        <w:t>I also hereby consent to the use of my name in connection with reference to my involvement in th preparation of the Technical Report, to references to the Technical Report, or portions thereof, and to th inclusion or incorporation by reference of the information derived from the Technical Report related to m in the registration statements (No. 333-238142, No. 333-227816, and No. 333-282163) on Form S-8. Thi consent extends to any amendments to the Form S-8s, including post-effective amendments, and an new Form S-8 registration statement filed by the Company incorporating by reference the Form 20-F.</w:t>
      </w:r>
    </w:p>
    <w:p>
      <w:pPr>
        <w:spacing w:after="0" w:line="231"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I further consent to the filing of the Technical Report as an exhibit to the Form 20-F.</w:t>
      </w:r>
    </w:p>
    <w:p>
      <w:pPr>
        <w:spacing w:after="0" w:line="200" w:lineRule="exact"/>
        <w:rPr>
          <w:sz w:val="20"/>
          <w:szCs w:val="20"/>
          <w:color w:val="auto"/>
        </w:rPr>
      </w:pPr>
    </w:p>
    <w:p>
      <w:pPr>
        <w:spacing w:after="0" w:line="262"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/s/ Marek Dworzanowski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26035</wp:posOffset>
            </wp:positionV>
            <wp:extent cx="2971800" cy="635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22">
                      <a:extLst>
                        <a:ext uri="{28A0092B-C50C-407E-A947-70E740481C1C}"/>
                      </a:extLst>
                    </a:blip>
                    <a:srcRect/>
                    <a:stretch>
                      <a:fillRect/>
                    </a:stretch>
                  </pic:blipFill>
                  <pic:spPr bwMode="auto">
                    <a:xfrm>
                      <a:off x="0" y="0"/>
                      <a:ext cx="2971800" cy="635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Marek Dworzanowski, C.Eng., 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1207135</wp:posOffset>
            </wp:positionV>
            <wp:extent cx="6764020" cy="1905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2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37 / 85</w:t>
      </w:r>
    </w:p>
    <w:p>
      <w:pPr>
        <w:sectPr>
          <w:pgSz w:w="11900" w:h="16838" w:orient="portrait"/>
          <w:cols w:equalWidth="0" w:num="1">
            <w:col w:w="10460"/>
          </w:cols>
          <w:pgMar w:left="1440" w:top="1440" w:right="6" w:bottom="0" w:gutter="0" w:footer="0" w:header="0"/>
          <w:type w:val="continuous"/>
        </w:sectPr>
      </w:pPr>
    </w:p>
    <w:bookmarkStart w:id="564" w:name="page565"/>
    <w:bookmarkEnd w:id="5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38 / 85</w:t>
      </w:r>
    </w:p>
    <w:p>
      <w:pPr>
        <w:sectPr>
          <w:pgSz w:w="11900" w:h="16838" w:orient="portrait"/>
          <w:cols w:equalWidth="0" w:num="1">
            <w:col w:w="9026"/>
          </w:cols>
          <w:pgMar w:left="1440" w:top="1440" w:right="1440" w:bottom="0" w:gutter="0" w:footer="0" w:header="0"/>
        </w:sectPr>
      </w:pPr>
    </w:p>
    <w:bookmarkStart w:id="565" w:name="page566"/>
    <w:bookmarkEnd w:id="565"/>
    <w:p>
      <w:pPr>
        <w:spacing w:after="0" w:line="200" w:lineRule="exact"/>
        <w:rPr>
          <w:sz w:val="20"/>
          <w:szCs w:val="20"/>
          <w:color w:val="auto"/>
        </w:rPr>
      </w:pPr>
    </w:p>
    <w:p>
      <w:pPr>
        <w:spacing w:after="0" w:line="245" w:lineRule="exact"/>
        <w:rPr>
          <w:sz w:val="20"/>
          <w:szCs w:val="20"/>
          <w:color w:val="auto"/>
        </w:rPr>
      </w:pPr>
    </w:p>
    <w:p>
      <w:pPr>
        <w:ind w:left="9500"/>
        <w:spacing w:after="0"/>
        <w:rPr>
          <w:sz w:val="20"/>
          <w:szCs w:val="20"/>
          <w:color w:val="auto"/>
        </w:rPr>
      </w:pPr>
      <w:r>
        <w:rPr>
          <w:rFonts w:ascii="Arial" w:cs="Arial" w:eastAsia="Arial" w:hAnsi="Arial"/>
          <w:sz w:val="20"/>
          <w:szCs w:val="20"/>
          <w:b w:val="1"/>
          <w:bCs w:val="1"/>
          <w:color w:val="auto"/>
        </w:rPr>
        <w:t>Exhibit 15</w:t>
      </w:r>
    </w:p>
    <w:p>
      <w:pPr>
        <w:spacing w:after="0" w:line="200" w:lineRule="exact"/>
        <w:rPr>
          <w:sz w:val="20"/>
          <w:szCs w:val="20"/>
          <w:color w:val="auto"/>
        </w:rPr>
      </w:pPr>
    </w:p>
    <w:p>
      <w:pPr>
        <w:spacing w:after="0" w:line="290"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CONSENT OF MARK KING</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March 23, 2026</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VIA EDGAR</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United States Securities and Exchange Commission</w:t>
      </w:r>
    </w:p>
    <w:p>
      <w:pPr>
        <w:spacing w:after="0" w:line="342" w:lineRule="exact"/>
        <w:rPr>
          <w:sz w:val="20"/>
          <w:szCs w:val="20"/>
          <w:color w:val="auto"/>
        </w:rPr>
      </w:pPr>
    </w:p>
    <w:p>
      <w:pPr>
        <w:ind w:left="1360"/>
        <w:spacing w:after="0"/>
        <w:tabs>
          <w:tab w:leader="none" w:pos="204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Lithium Argentina AG (the “Company”)</w:t>
      </w:r>
    </w:p>
    <w:p>
      <w:pPr>
        <w:spacing w:after="0" w:line="79" w:lineRule="exact"/>
        <w:rPr>
          <w:sz w:val="20"/>
          <w:szCs w:val="20"/>
          <w:color w:val="auto"/>
        </w:rPr>
      </w:pPr>
    </w:p>
    <w:p>
      <w:pPr>
        <w:ind w:left="2060" w:right="60"/>
        <w:spacing w:after="0" w:line="307" w:lineRule="auto"/>
        <w:rPr>
          <w:sz w:val="20"/>
          <w:szCs w:val="20"/>
          <w:color w:val="auto"/>
        </w:rPr>
      </w:pPr>
      <w:r>
        <w:rPr>
          <w:rFonts w:ascii="Arial" w:cs="Arial" w:eastAsia="Arial" w:hAnsi="Arial"/>
          <w:sz w:val="20"/>
          <w:szCs w:val="20"/>
          <w:b w:val="1"/>
          <w:bCs w:val="1"/>
          <w:color w:val="auto"/>
        </w:rPr>
        <w:t>Annual Report on Form 20-F of the Company for the year ended December 31, 2025 (the “Form 20-F”)</w:t>
      </w:r>
    </w:p>
    <w:p>
      <w:pPr>
        <w:spacing w:after="0" w:line="375" w:lineRule="exact"/>
        <w:rPr>
          <w:sz w:val="20"/>
          <w:szCs w:val="20"/>
          <w:color w:val="auto"/>
        </w:rPr>
      </w:pPr>
    </w:p>
    <w:p>
      <w:pPr>
        <w:ind w:left="1260"/>
        <w:spacing w:after="0" w:line="307" w:lineRule="auto"/>
        <w:rPr>
          <w:sz w:val="20"/>
          <w:szCs w:val="20"/>
          <w:color w:val="auto"/>
        </w:rPr>
      </w:pPr>
      <w:r>
        <w:rPr>
          <w:rFonts w:ascii="Arial" w:cs="Arial" w:eastAsia="Arial" w:hAnsi="Arial"/>
          <w:sz w:val="20"/>
          <w:szCs w:val="20"/>
          <w:color w:val="auto"/>
        </w:rPr>
        <w:t>I, Mark King, hereby consent to the use of my name in connection with reference to my involvement in th preparation of the following technical report (the “</w:t>
      </w:r>
      <w:r>
        <w:rPr>
          <w:rFonts w:ascii="Arial" w:cs="Arial" w:eastAsia="Arial" w:hAnsi="Arial"/>
          <w:sz w:val="20"/>
          <w:szCs w:val="20"/>
          <w:b w:val="1"/>
          <w:bCs w:val="1"/>
          <w:color w:val="auto"/>
        </w:rPr>
        <w:t>Technical Report</w:t>
      </w:r>
      <w:r>
        <w:rPr>
          <w:rFonts w:ascii="Arial" w:cs="Arial" w:eastAsia="Arial" w:hAnsi="Arial"/>
          <w:sz w:val="20"/>
          <w:szCs w:val="20"/>
          <w:color w:val="auto"/>
        </w:rPr>
        <w:t>”):</w:t>
      </w:r>
    </w:p>
    <w:p>
      <w:pPr>
        <w:spacing w:after="0" w:line="299" w:lineRule="exact"/>
        <w:rPr>
          <w:sz w:val="20"/>
          <w:szCs w:val="20"/>
          <w:color w:val="auto"/>
        </w:rPr>
      </w:pPr>
    </w:p>
    <w:p>
      <w:pPr>
        <w:ind w:left="1980" w:right="20" w:hanging="366"/>
        <w:spacing w:after="0" w:line="368" w:lineRule="auto"/>
        <w:tabs>
          <w:tab w:leader="none" w:pos="1980" w:val="left"/>
        </w:tabs>
        <w:numPr>
          <w:ilvl w:val="0"/>
          <w:numId w:val="284"/>
        </w:numPr>
        <w:rPr>
          <w:rFonts w:ascii="Arial" w:cs="Arial" w:eastAsia="Arial" w:hAnsi="Arial"/>
          <w:sz w:val="20"/>
          <w:szCs w:val="20"/>
          <w:color w:val="auto"/>
        </w:rPr>
      </w:pPr>
      <w:r>
        <w:rPr>
          <w:rFonts w:ascii="Arial" w:cs="Arial" w:eastAsia="Arial" w:hAnsi="Arial"/>
          <w:sz w:val="20"/>
          <w:szCs w:val="20"/>
          <w:color w:val="auto"/>
        </w:rPr>
        <w:t>Technical Report titled “</w:t>
      </w:r>
      <w:r>
        <w:rPr>
          <w:rFonts w:ascii="Arial" w:cs="Arial" w:eastAsia="Arial" w:hAnsi="Arial"/>
          <w:sz w:val="20"/>
          <w:szCs w:val="20"/>
          <w:i w:val="1"/>
          <w:iCs w:val="1"/>
          <w:color w:val="auto"/>
        </w:rPr>
        <w:t>2026 Cauchari-Olaroz S-K 1300 Technical Report, Jujuy, Argentina</w:t>
      </w:r>
      <w:r>
        <w:rPr>
          <w:rFonts w:ascii="Arial" w:cs="Arial" w:eastAsia="Arial" w:hAnsi="Arial"/>
          <w:sz w:val="20"/>
          <w:szCs w:val="20"/>
          <w:color w:val="auto"/>
        </w:rPr>
        <w:t>” wit an effective date as of February 27, 2026;</w:t>
      </w:r>
    </w:p>
    <w:p>
      <w:pPr>
        <w:spacing w:after="0" w:line="211" w:lineRule="exact"/>
        <w:rPr>
          <w:sz w:val="20"/>
          <w:szCs w:val="20"/>
          <w:color w:val="auto"/>
        </w:rPr>
      </w:pPr>
    </w:p>
    <w:p>
      <w:pPr>
        <w:jc w:val="both"/>
        <w:ind w:left="1260" w:right="20"/>
        <w:spacing w:after="0" w:line="312" w:lineRule="auto"/>
        <w:rPr>
          <w:sz w:val="20"/>
          <w:szCs w:val="20"/>
          <w:color w:val="auto"/>
        </w:rPr>
      </w:pPr>
      <w:r>
        <w:rPr>
          <w:rFonts w:ascii="Arial" w:cs="Arial" w:eastAsia="Arial" w:hAnsi="Arial"/>
          <w:sz w:val="20"/>
          <w:szCs w:val="20"/>
          <w:color w:val="auto"/>
        </w:rPr>
        <w:t>and to references to the Technical Report, or portions thereof, included or incorporated by reference i the Form 20-F, which is being filed pursuant to the Securities Exchange Act of 1934, as amended, and t the inclusion or incorporation by reference of the information derived from the Technical Report related t me in the Form 20-F. This consent extends to any amendments to the Form 20-F.</w:t>
      </w:r>
    </w:p>
    <w:p>
      <w:pPr>
        <w:spacing w:after="0" w:line="252" w:lineRule="exact"/>
        <w:rPr>
          <w:sz w:val="20"/>
          <w:szCs w:val="20"/>
          <w:color w:val="auto"/>
        </w:rPr>
      </w:pPr>
    </w:p>
    <w:p>
      <w:pPr>
        <w:jc w:val="both"/>
        <w:ind w:left="1260"/>
        <w:spacing w:after="0" w:line="332" w:lineRule="auto"/>
        <w:rPr>
          <w:sz w:val="20"/>
          <w:szCs w:val="20"/>
          <w:color w:val="auto"/>
        </w:rPr>
      </w:pPr>
      <w:r>
        <w:rPr>
          <w:rFonts w:ascii="Arial" w:cs="Arial" w:eastAsia="Arial" w:hAnsi="Arial"/>
          <w:sz w:val="19"/>
          <w:szCs w:val="19"/>
          <w:color w:val="auto"/>
        </w:rPr>
        <w:t>I also hereby consent to the use of my name in connection with reference to my involvement in th preparation of the Technical Report, to references to the Technical Report, or portions thereof, and to th inclusion or incorporation by reference of the information derived from the Technical Report related to m in the registration statements (No. 333-238142, No. 333-227816, and No. 333-282163) on Form S-8. Thi consent extends to any amendments to the Form S-8s, including post-effective amendments, and an new Form S-8 registration statement filed by the Company incorporating by reference the Form 20-F.</w:t>
      </w:r>
    </w:p>
    <w:p>
      <w:pPr>
        <w:spacing w:after="0" w:line="231"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I further consent to the filing of the Technical Report as an exhibit to the Form 20-F.</w:t>
      </w:r>
    </w:p>
    <w:p>
      <w:pPr>
        <w:spacing w:after="0" w:line="200" w:lineRule="exact"/>
        <w:rPr>
          <w:sz w:val="20"/>
          <w:szCs w:val="20"/>
          <w:color w:val="auto"/>
        </w:rPr>
      </w:pPr>
    </w:p>
    <w:p>
      <w:pPr>
        <w:spacing w:after="0" w:line="262"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/s/Mark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26035</wp:posOffset>
            </wp:positionV>
            <wp:extent cx="2971800" cy="635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24">
                      <a:extLst>
                        <a:ext uri="{28A0092B-C50C-407E-A947-70E740481C1C}"/>
                      </a:extLst>
                    </a:blip>
                    <a:srcRect/>
                    <a:stretch>
                      <a:fillRect/>
                    </a:stretch>
                  </pic:blipFill>
                  <pic:spPr bwMode="auto">
                    <a:xfrm>
                      <a:off x="0" y="0"/>
                      <a:ext cx="2971800" cy="635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Dr. Mark King, PhD, P.Geo., FGC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1207135</wp:posOffset>
            </wp:positionV>
            <wp:extent cx="6764020" cy="1905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2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39 / 85</w:t>
      </w:r>
    </w:p>
    <w:p>
      <w:pPr>
        <w:sectPr>
          <w:pgSz w:w="11900" w:h="16838" w:orient="portrait"/>
          <w:cols w:equalWidth="0" w:num="1">
            <w:col w:w="10460"/>
          </w:cols>
          <w:pgMar w:left="1440" w:top="1440" w:right="6" w:bottom="0" w:gutter="0" w:footer="0" w:header="0"/>
          <w:type w:val="continuous"/>
        </w:sectPr>
      </w:pPr>
    </w:p>
    <w:bookmarkStart w:id="566" w:name="page567"/>
    <w:bookmarkEnd w:id="5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40 / 85</w:t>
      </w:r>
    </w:p>
    <w:p>
      <w:pPr>
        <w:sectPr>
          <w:pgSz w:w="11900" w:h="16838" w:orient="portrait"/>
          <w:cols w:equalWidth="0" w:num="1">
            <w:col w:w="9026"/>
          </w:cols>
          <w:pgMar w:left="1440" w:top="1440" w:right="1440" w:bottom="0" w:gutter="0" w:footer="0" w:header="0"/>
        </w:sectPr>
      </w:pPr>
    </w:p>
    <w:bookmarkStart w:id="567" w:name="page568"/>
    <w:bookmarkEnd w:id="567"/>
    <w:p>
      <w:pPr>
        <w:spacing w:after="0" w:line="200" w:lineRule="exact"/>
        <w:rPr>
          <w:sz w:val="20"/>
          <w:szCs w:val="20"/>
          <w:color w:val="auto"/>
        </w:rPr>
      </w:pPr>
    </w:p>
    <w:p>
      <w:pPr>
        <w:spacing w:after="0" w:line="245" w:lineRule="exact"/>
        <w:rPr>
          <w:sz w:val="20"/>
          <w:szCs w:val="20"/>
          <w:color w:val="auto"/>
        </w:rPr>
      </w:pPr>
    </w:p>
    <w:p>
      <w:pPr>
        <w:ind w:left="9500"/>
        <w:spacing w:after="0"/>
        <w:rPr>
          <w:sz w:val="20"/>
          <w:szCs w:val="20"/>
          <w:color w:val="auto"/>
        </w:rPr>
      </w:pPr>
      <w:r>
        <w:rPr>
          <w:rFonts w:ascii="Arial" w:cs="Arial" w:eastAsia="Arial" w:hAnsi="Arial"/>
          <w:sz w:val="20"/>
          <w:szCs w:val="20"/>
          <w:b w:val="1"/>
          <w:bCs w:val="1"/>
          <w:color w:val="auto"/>
        </w:rPr>
        <w:t>Exhibit 15</w:t>
      </w:r>
    </w:p>
    <w:p>
      <w:pPr>
        <w:spacing w:after="0" w:line="200" w:lineRule="exact"/>
        <w:rPr>
          <w:sz w:val="20"/>
          <w:szCs w:val="20"/>
          <w:color w:val="auto"/>
        </w:rPr>
      </w:pPr>
    </w:p>
    <w:p>
      <w:pPr>
        <w:spacing w:after="0" w:line="290"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CONSENT OF JONATHAN GIBSON</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March 23, 2026</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VIA EDGAR</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United States Securities and Exchange Commission</w:t>
      </w:r>
    </w:p>
    <w:p>
      <w:pPr>
        <w:spacing w:after="0" w:line="342" w:lineRule="exact"/>
        <w:rPr>
          <w:sz w:val="20"/>
          <w:szCs w:val="20"/>
          <w:color w:val="auto"/>
        </w:rPr>
      </w:pPr>
    </w:p>
    <w:p>
      <w:pPr>
        <w:ind w:left="1360"/>
        <w:spacing w:after="0"/>
        <w:tabs>
          <w:tab w:leader="none" w:pos="204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Lithium Argentina AG (the “Company”)</w:t>
      </w:r>
    </w:p>
    <w:p>
      <w:pPr>
        <w:spacing w:after="0" w:line="79" w:lineRule="exact"/>
        <w:rPr>
          <w:sz w:val="20"/>
          <w:szCs w:val="20"/>
          <w:color w:val="auto"/>
        </w:rPr>
      </w:pPr>
    </w:p>
    <w:p>
      <w:pPr>
        <w:ind w:left="2060" w:right="60"/>
        <w:spacing w:after="0" w:line="307" w:lineRule="auto"/>
        <w:rPr>
          <w:sz w:val="20"/>
          <w:szCs w:val="20"/>
          <w:color w:val="auto"/>
        </w:rPr>
      </w:pPr>
      <w:r>
        <w:rPr>
          <w:rFonts w:ascii="Arial" w:cs="Arial" w:eastAsia="Arial" w:hAnsi="Arial"/>
          <w:sz w:val="20"/>
          <w:szCs w:val="20"/>
          <w:b w:val="1"/>
          <w:bCs w:val="1"/>
          <w:color w:val="auto"/>
        </w:rPr>
        <w:t>Annual Report on Form 20-F of the Company for the year ended December 31, 2025 (the “Form 20-F”)</w:t>
      </w:r>
    </w:p>
    <w:p>
      <w:pPr>
        <w:spacing w:after="0" w:line="375" w:lineRule="exact"/>
        <w:rPr>
          <w:sz w:val="20"/>
          <w:szCs w:val="20"/>
          <w:color w:val="auto"/>
        </w:rPr>
      </w:pPr>
    </w:p>
    <w:p>
      <w:pPr>
        <w:ind w:left="1260"/>
        <w:spacing w:after="0" w:line="307" w:lineRule="auto"/>
        <w:rPr>
          <w:sz w:val="20"/>
          <w:szCs w:val="20"/>
          <w:color w:val="auto"/>
        </w:rPr>
      </w:pPr>
      <w:r>
        <w:rPr>
          <w:rFonts w:ascii="Arial" w:cs="Arial" w:eastAsia="Arial" w:hAnsi="Arial"/>
          <w:sz w:val="20"/>
          <w:szCs w:val="20"/>
          <w:color w:val="auto"/>
        </w:rPr>
        <w:t>I, Jonathan Gibson, hereby consent to the use of my name in connection with reference to my involvement in the preparation of the following technical report (the “</w:t>
      </w:r>
      <w:r>
        <w:rPr>
          <w:rFonts w:ascii="Arial" w:cs="Arial" w:eastAsia="Arial" w:hAnsi="Arial"/>
          <w:sz w:val="20"/>
          <w:szCs w:val="20"/>
          <w:b w:val="1"/>
          <w:bCs w:val="1"/>
          <w:color w:val="auto"/>
        </w:rPr>
        <w:t>Technical Report</w:t>
      </w:r>
      <w:r>
        <w:rPr>
          <w:rFonts w:ascii="Arial" w:cs="Arial" w:eastAsia="Arial" w:hAnsi="Arial"/>
          <w:sz w:val="20"/>
          <w:szCs w:val="20"/>
          <w:color w:val="auto"/>
        </w:rPr>
        <w:t>”):</w:t>
      </w:r>
    </w:p>
    <w:p>
      <w:pPr>
        <w:spacing w:after="0" w:line="299" w:lineRule="exact"/>
        <w:rPr>
          <w:sz w:val="20"/>
          <w:szCs w:val="20"/>
          <w:color w:val="auto"/>
        </w:rPr>
      </w:pPr>
    </w:p>
    <w:p>
      <w:pPr>
        <w:ind w:left="1980" w:right="20" w:hanging="366"/>
        <w:spacing w:after="0" w:line="368" w:lineRule="auto"/>
        <w:tabs>
          <w:tab w:leader="none" w:pos="1980" w:val="left"/>
        </w:tabs>
        <w:numPr>
          <w:ilvl w:val="0"/>
          <w:numId w:val="285"/>
        </w:numPr>
        <w:rPr>
          <w:rFonts w:ascii="Arial" w:cs="Arial" w:eastAsia="Arial" w:hAnsi="Arial"/>
          <w:sz w:val="20"/>
          <w:szCs w:val="20"/>
          <w:color w:val="auto"/>
        </w:rPr>
      </w:pPr>
      <w:r>
        <w:rPr>
          <w:rFonts w:ascii="Arial" w:cs="Arial" w:eastAsia="Arial" w:hAnsi="Arial"/>
          <w:sz w:val="20"/>
          <w:szCs w:val="20"/>
          <w:color w:val="auto"/>
        </w:rPr>
        <w:t>Technical Report titled “</w:t>
      </w:r>
      <w:r>
        <w:rPr>
          <w:rFonts w:ascii="Arial" w:cs="Arial" w:eastAsia="Arial" w:hAnsi="Arial"/>
          <w:sz w:val="20"/>
          <w:szCs w:val="20"/>
          <w:i w:val="1"/>
          <w:iCs w:val="1"/>
          <w:color w:val="auto"/>
        </w:rPr>
        <w:t>2026 Cauchari-Olaroz S-K 1300 Technical Report, Jujuy, Argentina</w:t>
      </w:r>
      <w:r>
        <w:rPr>
          <w:rFonts w:ascii="Arial" w:cs="Arial" w:eastAsia="Arial" w:hAnsi="Arial"/>
          <w:sz w:val="20"/>
          <w:szCs w:val="20"/>
          <w:color w:val="auto"/>
        </w:rPr>
        <w:t>” wit an effective date as of February 27, 2026;</w:t>
      </w:r>
    </w:p>
    <w:p>
      <w:pPr>
        <w:spacing w:after="0" w:line="211" w:lineRule="exact"/>
        <w:rPr>
          <w:sz w:val="20"/>
          <w:szCs w:val="20"/>
          <w:color w:val="auto"/>
        </w:rPr>
      </w:pPr>
    </w:p>
    <w:p>
      <w:pPr>
        <w:jc w:val="both"/>
        <w:ind w:left="1260" w:right="20"/>
        <w:spacing w:after="0" w:line="312" w:lineRule="auto"/>
        <w:rPr>
          <w:sz w:val="20"/>
          <w:szCs w:val="20"/>
          <w:color w:val="auto"/>
        </w:rPr>
      </w:pPr>
      <w:r>
        <w:rPr>
          <w:rFonts w:ascii="Arial" w:cs="Arial" w:eastAsia="Arial" w:hAnsi="Arial"/>
          <w:sz w:val="20"/>
          <w:szCs w:val="20"/>
          <w:color w:val="auto"/>
        </w:rPr>
        <w:t>and to references to the Technical Report, or portions thereof, included or incorporated by reference i the Form 20-F, which is being filed pursuant to the Securities Exchange Act of 1934, as amended, and t the inclusion or incorporation by reference of the information derived from the Technical Report related t me in the Form 20-F. This consent extends to any amendments to the Form 20-F.</w:t>
      </w:r>
    </w:p>
    <w:p>
      <w:pPr>
        <w:spacing w:after="0" w:line="252" w:lineRule="exact"/>
        <w:rPr>
          <w:sz w:val="20"/>
          <w:szCs w:val="20"/>
          <w:color w:val="auto"/>
        </w:rPr>
      </w:pPr>
    </w:p>
    <w:p>
      <w:pPr>
        <w:jc w:val="both"/>
        <w:ind w:left="1260"/>
        <w:spacing w:after="0" w:line="332" w:lineRule="auto"/>
        <w:rPr>
          <w:sz w:val="20"/>
          <w:szCs w:val="20"/>
          <w:color w:val="auto"/>
        </w:rPr>
      </w:pPr>
      <w:r>
        <w:rPr>
          <w:rFonts w:ascii="Arial" w:cs="Arial" w:eastAsia="Arial" w:hAnsi="Arial"/>
          <w:sz w:val="19"/>
          <w:szCs w:val="19"/>
          <w:color w:val="auto"/>
        </w:rPr>
        <w:t>I also hereby consent to the use of my name in connection with reference to my involvement in th preparation of the Technical Report, to references to the Technical Report, or portions thereof, and to th inclusion or incorporation by reference of the information derived from the Technical Report related to m in the registration statements (No. 333-238142, No. 333-227816, and No. 333-282163) on Form S-8. Thi consent extends to any amendments to the Form S-8s, including post-effective amendments, and an new Form S-8 registration statement filed by the Company incorporating by reference the Form 20-F.</w:t>
      </w:r>
    </w:p>
    <w:p>
      <w:pPr>
        <w:spacing w:after="0" w:line="231"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I further consent to the filing of the Technical Report as an exhibit to the Form 20-F.</w:t>
      </w:r>
    </w:p>
    <w:p>
      <w:pPr>
        <w:spacing w:after="0" w:line="200" w:lineRule="exact"/>
        <w:rPr>
          <w:sz w:val="20"/>
          <w:szCs w:val="20"/>
          <w:color w:val="auto"/>
        </w:rPr>
      </w:pPr>
    </w:p>
    <w:p>
      <w:pPr>
        <w:spacing w:after="0" w:line="262"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/s/Jonathan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26035</wp:posOffset>
            </wp:positionV>
            <wp:extent cx="2971800" cy="635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26">
                      <a:extLst>
                        <a:ext uri="{28A0092B-C50C-407E-A947-70E740481C1C}"/>
                      </a:extLst>
                    </a:blip>
                    <a:srcRect/>
                    <a:stretch>
                      <a:fillRect/>
                    </a:stretch>
                  </pic:blipFill>
                  <pic:spPr bwMode="auto">
                    <a:xfrm>
                      <a:off x="0" y="0"/>
                      <a:ext cx="2971800" cy="6350"/>
                    </a:xfrm>
                    <a:prstGeom prst="rect">
                      <a:avLst/>
                    </a:prstGeom>
                    <a:noFill/>
                  </pic:spPr>
                </pic:pic>
              </a:graphicData>
            </a:graphic>
          </wp:anchor>
        </w:drawing>
      </w:r>
    </w:p>
    <w:p>
      <w:pPr>
        <w:spacing w:after="0" w:line="8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Jonathan Gibson,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1207135</wp:posOffset>
            </wp:positionV>
            <wp:extent cx="6764020" cy="1905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41 / 85</w:t>
      </w:r>
    </w:p>
    <w:p>
      <w:pPr>
        <w:sectPr>
          <w:pgSz w:w="11900" w:h="16838" w:orient="portrait"/>
          <w:cols w:equalWidth="0" w:num="1">
            <w:col w:w="10460"/>
          </w:cols>
          <w:pgMar w:left="1440" w:top="1440" w:right="6" w:bottom="0" w:gutter="0" w:footer="0" w:header="0"/>
          <w:type w:val="continuous"/>
        </w:sectPr>
      </w:pPr>
    </w:p>
    <w:bookmarkStart w:id="568" w:name="page569"/>
    <w:bookmarkEnd w:id="5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42 / 85</w:t>
      </w:r>
    </w:p>
    <w:p>
      <w:pPr>
        <w:sectPr>
          <w:pgSz w:w="11900" w:h="16838" w:orient="portrait"/>
          <w:cols w:equalWidth="0" w:num="1">
            <w:col w:w="9026"/>
          </w:cols>
          <w:pgMar w:left="1440" w:top="1440" w:right="1440" w:bottom="0" w:gutter="0" w:footer="0" w:header="0"/>
        </w:sectPr>
      </w:pPr>
    </w:p>
    <w:bookmarkStart w:id="569" w:name="page570"/>
    <w:bookmarkEnd w:id="569"/>
    <w:p>
      <w:pPr>
        <w:spacing w:after="0" w:line="200" w:lineRule="exact"/>
        <w:rPr>
          <w:sz w:val="20"/>
          <w:szCs w:val="20"/>
          <w:color w:val="auto"/>
        </w:rPr>
      </w:pPr>
    </w:p>
    <w:p>
      <w:pPr>
        <w:spacing w:after="0" w:line="245" w:lineRule="exact"/>
        <w:rPr>
          <w:sz w:val="20"/>
          <w:szCs w:val="20"/>
          <w:color w:val="auto"/>
        </w:rPr>
      </w:pPr>
    </w:p>
    <w:p>
      <w:pPr>
        <w:ind w:left="9500"/>
        <w:spacing w:after="0"/>
        <w:rPr>
          <w:sz w:val="20"/>
          <w:szCs w:val="20"/>
          <w:color w:val="auto"/>
        </w:rPr>
      </w:pPr>
      <w:r>
        <w:rPr>
          <w:rFonts w:ascii="Arial" w:cs="Arial" w:eastAsia="Arial" w:hAnsi="Arial"/>
          <w:sz w:val="20"/>
          <w:szCs w:val="20"/>
          <w:b w:val="1"/>
          <w:bCs w:val="1"/>
          <w:color w:val="auto"/>
        </w:rPr>
        <w:t>Exhibit 15</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CONSENT OF ALEXANDER CUSHING</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March 23, 2026</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VIA EDGAR</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United States Securities and Exchange Commission</w:t>
      </w:r>
    </w:p>
    <w:p>
      <w:pPr>
        <w:spacing w:after="0" w:line="342" w:lineRule="exact"/>
        <w:rPr>
          <w:sz w:val="20"/>
          <w:szCs w:val="20"/>
          <w:color w:val="auto"/>
        </w:rPr>
      </w:pPr>
    </w:p>
    <w:p>
      <w:pPr>
        <w:ind w:left="1360"/>
        <w:spacing w:after="0"/>
        <w:tabs>
          <w:tab w:leader="none" w:pos="204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Lithium Argentina AG (the “Company”)</w:t>
      </w:r>
    </w:p>
    <w:p>
      <w:pPr>
        <w:spacing w:after="0" w:line="79" w:lineRule="exact"/>
        <w:rPr>
          <w:sz w:val="20"/>
          <w:szCs w:val="20"/>
          <w:color w:val="auto"/>
        </w:rPr>
      </w:pPr>
    </w:p>
    <w:p>
      <w:pPr>
        <w:ind w:left="2060" w:right="60"/>
        <w:spacing w:after="0" w:line="307" w:lineRule="auto"/>
        <w:rPr>
          <w:sz w:val="20"/>
          <w:szCs w:val="20"/>
          <w:color w:val="auto"/>
        </w:rPr>
      </w:pPr>
      <w:r>
        <w:rPr>
          <w:rFonts w:ascii="Arial" w:cs="Arial" w:eastAsia="Arial" w:hAnsi="Arial"/>
          <w:sz w:val="20"/>
          <w:szCs w:val="20"/>
          <w:b w:val="1"/>
          <w:bCs w:val="1"/>
          <w:color w:val="auto"/>
        </w:rPr>
        <w:t>Annual Report on Form 20-F of the Company for the year ended December 31, 2025 (the “Form 20-F”)</w:t>
      </w:r>
    </w:p>
    <w:p>
      <w:pPr>
        <w:spacing w:after="0" w:line="375" w:lineRule="exact"/>
        <w:rPr>
          <w:sz w:val="20"/>
          <w:szCs w:val="20"/>
          <w:color w:val="auto"/>
        </w:rPr>
      </w:pPr>
    </w:p>
    <w:p>
      <w:pPr>
        <w:ind w:left="1260"/>
        <w:spacing w:after="0" w:line="307" w:lineRule="auto"/>
        <w:rPr>
          <w:sz w:val="20"/>
          <w:szCs w:val="20"/>
          <w:color w:val="auto"/>
        </w:rPr>
      </w:pPr>
      <w:r>
        <w:rPr>
          <w:rFonts w:ascii="Arial" w:cs="Arial" w:eastAsia="Arial" w:hAnsi="Arial"/>
          <w:sz w:val="20"/>
          <w:szCs w:val="20"/>
          <w:color w:val="auto"/>
        </w:rPr>
        <w:t>I, Alexander Cushing, hereby consent to the use of my name in connection with reference to my involvement in the preparation of the following technical report (the “</w:t>
      </w:r>
      <w:r>
        <w:rPr>
          <w:rFonts w:ascii="Arial" w:cs="Arial" w:eastAsia="Arial" w:hAnsi="Arial"/>
          <w:sz w:val="20"/>
          <w:szCs w:val="20"/>
          <w:b w:val="1"/>
          <w:bCs w:val="1"/>
          <w:color w:val="auto"/>
        </w:rPr>
        <w:t>Technical Report</w:t>
      </w:r>
      <w:r>
        <w:rPr>
          <w:rFonts w:ascii="Arial" w:cs="Arial" w:eastAsia="Arial" w:hAnsi="Arial"/>
          <w:sz w:val="20"/>
          <w:szCs w:val="20"/>
          <w:color w:val="auto"/>
        </w:rPr>
        <w:t>”):</w:t>
      </w:r>
    </w:p>
    <w:p>
      <w:pPr>
        <w:spacing w:after="0" w:line="299" w:lineRule="exact"/>
        <w:rPr>
          <w:sz w:val="20"/>
          <w:szCs w:val="20"/>
          <w:color w:val="auto"/>
        </w:rPr>
      </w:pPr>
    </w:p>
    <w:p>
      <w:pPr>
        <w:ind w:left="1980" w:right="20" w:hanging="366"/>
        <w:spacing w:after="0" w:line="368" w:lineRule="auto"/>
        <w:tabs>
          <w:tab w:leader="none" w:pos="198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Technical Report titled “</w:t>
      </w:r>
      <w:r>
        <w:rPr>
          <w:rFonts w:ascii="Arial" w:cs="Arial" w:eastAsia="Arial" w:hAnsi="Arial"/>
          <w:sz w:val="20"/>
          <w:szCs w:val="20"/>
          <w:i w:val="1"/>
          <w:iCs w:val="1"/>
          <w:color w:val="auto"/>
        </w:rPr>
        <w:t>2026 Cauchari-Olaroz S-K 1300 Technical Report, Jujuy, Argentina</w:t>
      </w:r>
      <w:r>
        <w:rPr>
          <w:rFonts w:ascii="Arial" w:cs="Arial" w:eastAsia="Arial" w:hAnsi="Arial"/>
          <w:sz w:val="20"/>
          <w:szCs w:val="20"/>
          <w:color w:val="auto"/>
        </w:rPr>
        <w:t>” wit an effective date as of February 27, 2026;</w:t>
      </w:r>
    </w:p>
    <w:p>
      <w:pPr>
        <w:spacing w:after="0" w:line="211" w:lineRule="exact"/>
        <w:rPr>
          <w:sz w:val="20"/>
          <w:szCs w:val="20"/>
          <w:color w:val="auto"/>
        </w:rPr>
      </w:pPr>
    </w:p>
    <w:p>
      <w:pPr>
        <w:jc w:val="both"/>
        <w:ind w:left="1260" w:right="20"/>
        <w:spacing w:after="0" w:line="312" w:lineRule="auto"/>
        <w:rPr>
          <w:sz w:val="20"/>
          <w:szCs w:val="20"/>
          <w:color w:val="auto"/>
        </w:rPr>
      </w:pPr>
      <w:r>
        <w:rPr>
          <w:rFonts w:ascii="Arial" w:cs="Arial" w:eastAsia="Arial" w:hAnsi="Arial"/>
          <w:sz w:val="20"/>
          <w:szCs w:val="20"/>
          <w:color w:val="auto"/>
        </w:rPr>
        <w:t>and to references to the Technical Report, or portions thereof, included or incorporated by reference i the Form 20-F, which is being filed pursuant to the Securities Exchange Act of 1934, as amended, and t the inclusion or incorporation by reference of the information derived from the Technical Report related t me in the Form 20-F. This consent extends to any amendments to the Form 20-F.</w:t>
      </w:r>
    </w:p>
    <w:p>
      <w:pPr>
        <w:spacing w:after="0" w:line="252" w:lineRule="exact"/>
        <w:rPr>
          <w:sz w:val="20"/>
          <w:szCs w:val="20"/>
          <w:color w:val="auto"/>
        </w:rPr>
      </w:pPr>
    </w:p>
    <w:p>
      <w:pPr>
        <w:jc w:val="both"/>
        <w:ind w:left="1260"/>
        <w:spacing w:after="0" w:line="332" w:lineRule="auto"/>
        <w:rPr>
          <w:sz w:val="20"/>
          <w:szCs w:val="20"/>
          <w:color w:val="auto"/>
        </w:rPr>
      </w:pPr>
      <w:r>
        <w:rPr>
          <w:rFonts w:ascii="Arial" w:cs="Arial" w:eastAsia="Arial" w:hAnsi="Arial"/>
          <w:sz w:val="19"/>
          <w:szCs w:val="19"/>
          <w:color w:val="auto"/>
        </w:rPr>
        <w:t>I also hereby consent to the use of my name in connection with reference to my involvement in th preparation of the Technical Report, to references to the Technical Report, or portions thereof, and to th inclusion or incorporation by reference of the information derived from the Technical Report related to m in the registration statements (No. 333-238142, No. 333-227816, and No. 333-282163) on Form S-8. Thi consent extends to any amendments to the Form S-8s, including post-effective amendments, and an new Form S-8 registration statement filed by the Company incorporating by reference the Form 20-F.</w:t>
      </w:r>
    </w:p>
    <w:p>
      <w:pPr>
        <w:spacing w:after="0" w:line="231"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I further consent to the filing of the Technical Report as an exhibit to the Form 20-F.</w:t>
      </w:r>
    </w:p>
    <w:p>
      <w:pPr>
        <w:spacing w:after="0" w:line="200" w:lineRule="exact"/>
        <w:rPr>
          <w:sz w:val="20"/>
          <w:szCs w:val="20"/>
          <w:color w:val="auto"/>
        </w:rPr>
      </w:pPr>
    </w:p>
    <w:p>
      <w:pPr>
        <w:spacing w:after="0" w:line="262"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/s/Alexander Cushing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26035</wp:posOffset>
            </wp:positionV>
            <wp:extent cx="2971800" cy="635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8">
                      <a:extLst>
                        <a:ext uri="{28A0092B-C50C-407E-A947-70E740481C1C}"/>
                      </a:extLst>
                    </a:blip>
                    <a:srcRect/>
                    <a:stretch>
                      <a:fillRect/>
                    </a:stretch>
                  </pic:blipFill>
                  <pic:spPr bwMode="auto">
                    <a:xfrm>
                      <a:off x="0" y="0"/>
                      <a:ext cx="2971800" cy="635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Alexander Cushing, PhD, MFin,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1207135</wp:posOffset>
            </wp:positionV>
            <wp:extent cx="6764020" cy="1905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43 / 85</w:t>
      </w:r>
    </w:p>
    <w:p>
      <w:pPr>
        <w:sectPr>
          <w:pgSz w:w="11900" w:h="16838" w:orient="portrait"/>
          <w:cols w:equalWidth="0" w:num="1">
            <w:col w:w="10460"/>
          </w:cols>
          <w:pgMar w:left="1440" w:top="1440" w:right="6" w:bottom="0" w:gutter="0" w:footer="0" w:header="0"/>
          <w:type w:val="continuous"/>
        </w:sectPr>
      </w:pPr>
    </w:p>
    <w:bookmarkStart w:id="570" w:name="page571"/>
    <w:bookmarkEnd w:id="5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44 / 85</w:t>
      </w:r>
    </w:p>
    <w:p>
      <w:pPr>
        <w:sectPr>
          <w:pgSz w:w="11900" w:h="16838" w:orient="portrait"/>
          <w:cols w:equalWidth="0" w:num="1">
            <w:col w:w="9026"/>
          </w:cols>
          <w:pgMar w:left="1440" w:top="1440" w:right="1440" w:bottom="0" w:gutter="0" w:footer="0" w:header="0"/>
        </w:sectPr>
      </w:pPr>
    </w:p>
    <w:bookmarkStart w:id="571" w:name="page572"/>
    <w:bookmarkEnd w:id="571"/>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15.1</w:t>
      </w:r>
    </w:p>
    <w:p>
      <w:pPr>
        <w:spacing w:after="0" w:line="200" w:lineRule="exact"/>
        <w:rPr>
          <w:sz w:val="20"/>
          <w:szCs w:val="20"/>
          <w:color w:val="auto"/>
        </w:rPr>
      </w:pPr>
    </w:p>
    <w:p>
      <w:pPr>
        <w:spacing w:after="0" w:line="290"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auto"/>
        </w:rPr>
        <w:t>CONSENT OF DEPTFORD GEOSCIENCE</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March 23, 2026</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VIA EDGAR</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United States Securities and Exchange Commission</w:t>
      </w:r>
    </w:p>
    <w:p>
      <w:pPr>
        <w:spacing w:after="0" w:line="342" w:lineRule="exact"/>
        <w:rPr>
          <w:sz w:val="20"/>
          <w:szCs w:val="20"/>
          <w:color w:val="auto"/>
        </w:rPr>
      </w:pPr>
    </w:p>
    <w:p>
      <w:pPr>
        <w:ind w:left="1360"/>
        <w:spacing w:after="0"/>
        <w:tabs>
          <w:tab w:leader="none" w:pos="204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Lithium Argentina AG (the “Company”)</w:t>
      </w:r>
    </w:p>
    <w:p>
      <w:pPr>
        <w:spacing w:after="0" w:line="79" w:lineRule="exact"/>
        <w:rPr>
          <w:sz w:val="20"/>
          <w:szCs w:val="20"/>
          <w:color w:val="auto"/>
        </w:rPr>
      </w:pPr>
    </w:p>
    <w:p>
      <w:pPr>
        <w:ind w:left="2060" w:right="60"/>
        <w:spacing w:after="0" w:line="307" w:lineRule="auto"/>
        <w:rPr>
          <w:sz w:val="20"/>
          <w:szCs w:val="20"/>
          <w:color w:val="auto"/>
        </w:rPr>
      </w:pPr>
      <w:r>
        <w:rPr>
          <w:rFonts w:ascii="Arial" w:cs="Arial" w:eastAsia="Arial" w:hAnsi="Arial"/>
          <w:sz w:val="20"/>
          <w:szCs w:val="20"/>
          <w:b w:val="1"/>
          <w:bCs w:val="1"/>
          <w:color w:val="auto"/>
        </w:rPr>
        <w:t>Annual Report on Form 20-F of the Company for the year ended December 31, 2025 (the “Form 20-F”)</w:t>
      </w:r>
    </w:p>
    <w:p>
      <w:pPr>
        <w:spacing w:after="0" w:line="375" w:lineRule="exact"/>
        <w:rPr>
          <w:sz w:val="20"/>
          <w:szCs w:val="20"/>
          <w:color w:val="auto"/>
        </w:rPr>
      </w:pPr>
    </w:p>
    <w:p>
      <w:pPr>
        <w:ind w:left="1260" w:right="40"/>
        <w:spacing w:after="0" w:line="307" w:lineRule="auto"/>
        <w:rPr>
          <w:sz w:val="20"/>
          <w:szCs w:val="20"/>
          <w:color w:val="auto"/>
        </w:rPr>
      </w:pPr>
      <w:r>
        <w:rPr>
          <w:rFonts w:ascii="Arial" w:cs="Arial" w:eastAsia="Arial" w:hAnsi="Arial"/>
          <w:sz w:val="20"/>
          <w:szCs w:val="20"/>
          <w:color w:val="auto"/>
        </w:rPr>
        <w:t>Deptford Geoscience Inc. hereby consents to the use of its name in connection with reference to it involvement in the preparation of the following technical report (the “</w:t>
      </w:r>
      <w:r>
        <w:rPr>
          <w:rFonts w:ascii="Arial" w:cs="Arial" w:eastAsia="Arial" w:hAnsi="Arial"/>
          <w:sz w:val="20"/>
          <w:szCs w:val="20"/>
          <w:b w:val="1"/>
          <w:bCs w:val="1"/>
          <w:color w:val="auto"/>
        </w:rPr>
        <w:t>Technical Report</w:t>
      </w:r>
      <w:r>
        <w:rPr>
          <w:rFonts w:ascii="Arial" w:cs="Arial" w:eastAsia="Arial" w:hAnsi="Arial"/>
          <w:sz w:val="20"/>
          <w:szCs w:val="20"/>
          <w:color w:val="auto"/>
        </w:rPr>
        <w:t>”):</w:t>
      </w:r>
    </w:p>
    <w:p>
      <w:pPr>
        <w:spacing w:after="0" w:line="299" w:lineRule="exact"/>
        <w:rPr>
          <w:sz w:val="20"/>
          <w:szCs w:val="20"/>
          <w:color w:val="auto"/>
        </w:rPr>
      </w:pPr>
    </w:p>
    <w:p>
      <w:pPr>
        <w:ind w:left="1980" w:right="20" w:hanging="366"/>
        <w:spacing w:after="0" w:line="368" w:lineRule="auto"/>
        <w:tabs>
          <w:tab w:leader="none" w:pos="198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Technical Report titled “2026 Cauchari-Olaroz S-K 1300 Technical Report, Jujuy, Argentina” wit an effective date as of February 27, 2026</w:t>
      </w:r>
    </w:p>
    <w:p>
      <w:pPr>
        <w:spacing w:after="0" w:line="211" w:lineRule="exact"/>
        <w:rPr>
          <w:sz w:val="20"/>
          <w:szCs w:val="20"/>
          <w:color w:val="auto"/>
        </w:rPr>
      </w:pPr>
    </w:p>
    <w:p>
      <w:pPr>
        <w:jc w:val="both"/>
        <w:ind w:left="1260" w:right="20"/>
        <w:spacing w:after="0" w:line="312" w:lineRule="auto"/>
        <w:rPr>
          <w:sz w:val="20"/>
          <w:szCs w:val="20"/>
          <w:color w:val="auto"/>
        </w:rPr>
      </w:pPr>
      <w:r>
        <w:rPr>
          <w:rFonts w:ascii="Arial" w:cs="Arial" w:eastAsia="Arial" w:hAnsi="Arial"/>
          <w:sz w:val="20"/>
          <w:szCs w:val="20"/>
          <w:color w:val="auto"/>
        </w:rPr>
        <w:t>and to references to the Technical Report, or portions thereof, included or incorporated by reference i the Form 20-F, which is being filed pursuant to the Securities Exchange Act of 1934, as amended, and t the inclusion or incorporation by reference of the information derived from the Technical Report related t the undersigned in the Form 20-F. This consent extends to any amendments to the Form 20-F.</w:t>
      </w:r>
    </w:p>
    <w:p>
      <w:pPr>
        <w:spacing w:after="0" w:line="252"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The undersigned also hereby consents to the use of its name in connection with reference to its involvement in the preparation of the Technical Report, to references to the Technical Report, or portion thereof, and to the inclusion or incorporation by reference of the information derived from the Technica Report related to the undersigned in the registration statements (No. 333-238142, No. 333-227816, an No. 333-282163) on Form S-8. This consent extends to any amendments to the Form S-8s, includin post-effective amendments, and any new Form S-8 registration statement filed by the Company incorporating by reference the Form 20-F.</w:t>
      </w:r>
    </w:p>
    <w:p>
      <w:pPr>
        <w:spacing w:after="0" w:line="247"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The undersigned further consents to the filing of the Technical Report as an exhibit to the Form 20-F.</w:t>
      </w:r>
    </w:p>
    <w:p>
      <w:pPr>
        <w:spacing w:after="0" w:line="200" w:lineRule="exact"/>
        <w:rPr>
          <w:sz w:val="20"/>
          <w:szCs w:val="20"/>
          <w:color w:val="auto"/>
        </w:rPr>
      </w:pPr>
    </w:p>
    <w:p>
      <w:pPr>
        <w:spacing w:after="0" w:line="26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Deptford Geoscience Inc.</w:t>
      </w:r>
    </w:p>
    <w:p>
      <w:pPr>
        <w:spacing w:after="0" w:line="200" w:lineRule="exact"/>
        <w:rPr>
          <w:sz w:val="20"/>
          <w:szCs w:val="20"/>
          <w:color w:val="auto"/>
        </w:rPr>
      </w:pPr>
    </w:p>
    <w:p>
      <w:pPr>
        <w:spacing w:after="0" w:line="234"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/s/David Burga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26035</wp:posOffset>
            </wp:positionV>
            <wp:extent cx="2971800" cy="635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30">
                      <a:extLst>
                        <a:ext uri="{28A0092B-C50C-407E-A947-70E740481C1C}"/>
                      </a:extLst>
                    </a:blip>
                    <a:srcRect/>
                    <a:stretch>
                      <a:fillRect/>
                    </a:stretch>
                  </pic:blipFill>
                  <pic:spPr bwMode="auto">
                    <a:xfrm>
                      <a:off x="0" y="0"/>
                      <a:ext cx="2971800" cy="635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Name: David Burga, P.Geo</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Title: Principal</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45 / 85</w:t>
      </w:r>
    </w:p>
    <w:p>
      <w:pPr>
        <w:sectPr>
          <w:pgSz w:w="11900" w:h="16838" w:orient="portrait"/>
          <w:cols w:equalWidth="0" w:num="1">
            <w:col w:w="10460"/>
          </w:cols>
          <w:pgMar w:left="1440" w:top="1440" w:right="6" w:bottom="0" w:gutter="0" w:footer="0" w:header="0"/>
          <w:type w:val="continuous"/>
        </w:sectPr>
      </w:pPr>
    </w:p>
    <w:bookmarkStart w:id="572" w:name="page573"/>
    <w:bookmarkEnd w:id="5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1710690</wp:posOffset>
            </wp:positionV>
            <wp:extent cx="6764020" cy="1905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3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46 / 85</w:t>
      </w:r>
    </w:p>
    <w:p>
      <w:pPr>
        <w:sectPr>
          <w:pgSz w:w="11900" w:h="16838" w:orient="portrait"/>
          <w:cols w:equalWidth="0" w:num="1">
            <w:col w:w="9026"/>
          </w:cols>
          <w:pgMar w:left="1440" w:top="1440" w:right="1440" w:bottom="0" w:gutter="0" w:footer="0" w:header="0"/>
        </w:sectPr>
      </w:pPr>
    </w:p>
    <w:bookmarkStart w:id="573" w:name="page574"/>
    <w:bookmarkEnd w:id="5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47 / 85</w:t>
      </w:r>
    </w:p>
    <w:p>
      <w:pPr>
        <w:sectPr>
          <w:pgSz w:w="11900" w:h="16838" w:orient="portrait"/>
          <w:cols w:equalWidth="0" w:num="1">
            <w:col w:w="9026"/>
          </w:cols>
          <w:pgMar w:left="1440" w:top="1440" w:right="1440" w:bottom="0" w:gutter="0" w:footer="0" w:header="0"/>
        </w:sectPr>
      </w:pPr>
    </w:p>
    <w:bookmarkStart w:id="574" w:name="page575"/>
    <w:bookmarkEnd w:id="574"/>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15.1</w:t>
      </w:r>
    </w:p>
    <w:p>
      <w:pPr>
        <w:spacing w:after="0" w:line="200" w:lineRule="exact"/>
        <w:rPr>
          <w:sz w:val="20"/>
          <w:szCs w:val="20"/>
          <w:color w:val="auto"/>
        </w:rPr>
      </w:pPr>
    </w:p>
    <w:p>
      <w:pPr>
        <w:spacing w:after="0" w:line="290"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CONSENT OF ION IQ SOLUTIONS</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March 23, 2026</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VIA EDGAR</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United States Securities and Exchange Commission</w:t>
      </w:r>
    </w:p>
    <w:p>
      <w:pPr>
        <w:spacing w:after="0" w:line="342" w:lineRule="exact"/>
        <w:rPr>
          <w:sz w:val="20"/>
          <w:szCs w:val="20"/>
          <w:color w:val="auto"/>
        </w:rPr>
      </w:pPr>
    </w:p>
    <w:p>
      <w:pPr>
        <w:ind w:left="1360"/>
        <w:spacing w:after="0"/>
        <w:tabs>
          <w:tab w:leader="none" w:pos="204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Lithium Argentina AG (the “Company”)</w:t>
      </w:r>
    </w:p>
    <w:p>
      <w:pPr>
        <w:spacing w:after="0" w:line="79" w:lineRule="exact"/>
        <w:rPr>
          <w:sz w:val="20"/>
          <w:szCs w:val="20"/>
          <w:color w:val="auto"/>
        </w:rPr>
      </w:pPr>
    </w:p>
    <w:p>
      <w:pPr>
        <w:ind w:left="2060" w:right="60"/>
        <w:spacing w:after="0" w:line="307" w:lineRule="auto"/>
        <w:rPr>
          <w:sz w:val="20"/>
          <w:szCs w:val="20"/>
          <w:color w:val="auto"/>
        </w:rPr>
      </w:pPr>
      <w:r>
        <w:rPr>
          <w:rFonts w:ascii="Arial" w:cs="Arial" w:eastAsia="Arial" w:hAnsi="Arial"/>
          <w:sz w:val="20"/>
          <w:szCs w:val="20"/>
          <w:b w:val="1"/>
          <w:bCs w:val="1"/>
          <w:color w:val="auto"/>
        </w:rPr>
        <w:t>Annual Report on Form 20-F of the Company for the year ended December 31, 2025 (the “Form 20-F”)</w:t>
      </w:r>
    </w:p>
    <w:p>
      <w:pPr>
        <w:spacing w:after="0" w:line="375" w:lineRule="exact"/>
        <w:rPr>
          <w:sz w:val="20"/>
          <w:szCs w:val="20"/>
          <w:color w:val="auto"/>
        </w:rPr>
      </w:pPr>
    </w:p>
    <w:p>
      <w:pPr>
        <w:ind w:left="1260" w:right="20"/>
        <w:spacing w:after="0" w:line="307" w:lineRule="auto"/>
        <w:rPr>
          <w:sz w:val="20"/>
          <w:szCs w:val="20"/>
          <w:color w:val="auto"/>
        </w:rPr>
      </w:pPr>
      <w:r>
        <w:rPr>
          <w:rFonts w:ascii="Arial" w:cs="Arial" w:eastAsia="Arial" w:hAnsi="Arial"/>
          <w:sz w:val="20"/>
          <w:szCs w:val="20"/>
          <w:color w:val="auto"/>
        </w:rPr>
        <w:t>Ioniq Solutions hereby consents to the use of its name in connection with reference to its involvement i the preparation of the following technical report (the “</w:t>
      </w:r>
      <w:r>
        <w:rPr>
          <w:rFonts w:ascii="Arial" w:cs="Arial" w:eastAsia="Arial" w:hAnsi="Arial"/>
          <w:sz w:val="20"/>
          <w:szCs w:val="20"/>
          <w:b w:val="1"/>
          <w:bCs w:val="1"/>
          <w:color w:val="auto"/>
        </w:rPr>
        <w:t>Technical Report</w:t>
      </w:r>
      <w:r>
        <w:rPr>
          <w:rFonts w:ascii="Arial" w:cs="Arial" w:eastAsia="Arial" w:hAnsi="Arial"/>
          <w:sz w:val="20"/>
          <w:szCs w:val="20"/>
          <w:color w:val="auto"/>
        </w:rPr>
        <w:t>”):</w:t>
      </w:r>
    </w:p>
    <w:p>
      <w:pPr>
        <w:spacing w:after="0" w:line="299" w:lineRule="exact"/>
        <w:rPr>
          <w:sz w:val="20"/>
          <w:szCs w:val="20"/>
          <w:color w:val="auto"/>
        </w:rPr>
      </w:pPr>
    </w:p>
    <w:p>
      <w:pPr>
        <w:ind w:left="1980" w:right="20" w:hanging="366"/>
        <w:spacing w:after="0" w:line="368" w:lineRule="auto"/>
        <w:tabs>
          <w:tab w:leader="none" w:pos="1980" w:val="left"/>
        </w:tabs>
        <w:numPr>
          <w:ilvl w:val="0"/>
          <w:numId w:val="288"/>
        </w:numPr>
        <w:rPr>
          <w:rFonts w:ascii="Arial" w:cs="Arial" w:eastAsia="Arial" w:hAnsi="Arial"/>
          <w:sz w:val="20"/>
          <w:szCs w:val="20"/>
          <w:color w:val="auto"/>
        </w:rPr>
      </w:pPr>
      <w:r>
        <w:rPr>
          <w:rFonts w:ascii="Arial" w:cs="Arial" w:eastAsia="Arial" w:hAnsi="Arial"/>
          <w:sz w:val="20"/>
          <w:szCs w:val="20"/>
          <w:color w:val="auto"/>
        </w:rPr>
        <w:t>Technical Report titled “</w:t>
      </w:r>
      <w:r>
        <w:rPr>
          <w:rFonts w:ascii="Arial" w:cs="Arial" w:eastAsia="Arial" w:hAnsi="Arial"/>
          <w:sz w:val="20"/>
          <w:szCs w:val="20"/>
          <w:i w:val="1"/>
          <w:iCs w:val="1"/>
          <w:color w:val="auto"/>
        </w:rPr>
        <w:t>2026 Cauchari-Olaroz S-K 1300 Technical Report, Jujuy, Argentina</w:t>
      </w:r>
      <w:r>
        <w:rPr>
          <w:rFonts w:ascii="Arial" w:cs="Arial" w:eastAsia="Arial" w:hAnsi="Arial"/>
          <w:sz w:val="20"/>
          <w:szCs w:val="20"/>
          <w:color w:val="auto"/>
        </w:rPr>
        <w:t>” wit an effective date as of February 27, 2026;</w:t>
      </w:r>
    </w:p>
    <w:p>
      <w:pPr>
        <w:spacing w:after="0" w:line="211" w:lineRule="exact"/>
        <w:rPr>
          <w:sz w:val="20"/>
          <w:szCs w:val="20"/>
          <w:color w:val="auto"/>
        </w:rPr>
      </w:pPr>
    </w:p>
    <w:p>
      <w:pPr>
        <w:jc w:val="both"/>
        <w:ind w:left="1260" w:right="20"/>
        <w:spacing w:after="0" w:line="312" w:lineRule="auto"/>
        <w:rPr>
          <w:sz w:val="20"/>
          <w:szCs w:val="20"/>
          <w:color w:val="auto"/>
        </w:rPr>
      </w:pPr>
      <w:r>
        <w:rPr>
          <w:rFonts w:ascii="Arial" w:cs="Arial" w:eastAsia="Arial" w:hAnsi="Arial"/>
          <w:sz w:val="20"/>
          <w:szCs w:val="20"/>
          <w:color w:val="auto"/>
        </w:rPr>
        <w:t>and to references to the Technical Report, or portions thereof, included or incorporated by reference i the Form 20-F, which is being filed pursuant to the Securities Exchange Act of 1934, as amended, and t the inclusion or incorporation by reference of the information derived from the Technical Report related t the undersigned in the Form 20-F. This consent extends to any amendments to the Form 20-F.</w:t>
      </w:r>
    </w:p>
    <w:p>
      <w:pPr>
        <w:spacing w:after="0" w:line="252"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The undersigned also hereby consents to the use of its name in connection with reference to its involvement in the preparation of the Technical Report, to references to the Technical Report, or portion thereof, and to the inclusion or incorporation by reference of the information derived from the Technica Report related to the undersigned in the registration statements (No. 333-238142, No. 333-227816, an No. 333-282163) on Form S-8. This consent extends to any amendments to the Form S-8s, includin post-effective amendments, and any new Form S-8 registration statement filed by the Company incorporating by reference the Form 20-F.</w:t>
      </w:r>
    </w:p>
    <w:p>
      <w:pPr>
        <w:spacing w:after="0" w:line="247"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The undersigned further consents to the filing of the Technical Report as an exhibit to the Form 20-F.</w:t>
      </w:r>
    </w:p>
    <w:p>
      <w:pPr>
        <w:spacing w:after="0" w:line="200" w:lineRule="exact"/>
        <w:rPr>
          <w:sz w:val="20"/>
          <w:szCs w:val="20"/>
          <w:color w:val="auto"/>
        </w:rPr>
      </w:pPr>
    </w:p>
    <w:p>
      <w:pPr>
        <w:spacing w:after="0" w:line="26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Ioniq Solutions Inc.</w:t>
      </w:r>
    </w:p>
    <w:p>
      <w:pPr>
        <w:spacing w:after="0" w:line="200" w:lineRule="exact"/>
        <w:rPr>
          <w:sz w:val="20"/>
          <w:szCs w:val="20"/>
          <w:color w:val="auto"/>
        </w:rPr>
      </w:pPr>
    </w:p>
    <w:p>
      <w:pPr>
        <w:spacing w:after="0" w:line="234"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/s/Derek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26035</wp:posOffset>
            </wp:positionV>
            <wp:extent cx="2971800" cy="635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32">
                      <a:extLst>
                        <a:ext uri="{28A0092B-C50C-407E-A947-70E740481C1C}"/>
                      </a:extLst>
                    </a:blip>
                    <a:srcRect/>
                    <a:stretch>
                      <a:fillRect/>
                    </a:stretch>
                  </pic:blipFill>
                  <pic:spPr bwMode="auto">
                    <a:xfrm>
                      <a:off x="0" y="0"/>
                      <a:ext cx="2971800" cy="635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Name: Derek Chow</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48 / 85</w:t>
      </w:r>
    </w:p>
    <w:p>
      <w:pPr>
        <w:sectPr>
          <w:pgSz w:w="11900" w:h="16838" w:orient="portrait"/>
          <w:cols w:equalWidth="0" w:num="1">
            <w:col w:w="10460"/>
          </w:cols>
          <w:pgMar w:left="1440" w:top="1440" w:right="6" w:bottom="0" w:gutter="0" w:footer="0" w:header="0"/>
          <w:type w:val="continuous"/>
        </w:sectPr>
      </w:pPr>
    </w:p>
    <w:bookmarkStart w:id="575" w:name="page576"/>
    <w:bookmarkEnd w:id="5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1710690</wp:posOffset>
            </wp:positionV>
            <wp:extent cx="6764020" cy="1905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3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49 / 85</w:t>
      </w:r>
    </w:p>
    <w:p>
      <w:pPr>
        <w:sectPr>
          <w:pgSz w:w="11900" w:h="16838" w:orient="portrait"/>
          <w:cols w:equalWidth="0" w:num="1">
            <w:col w:w="9026"/>
          </w:cols>
          <w:pgMar w:left="1440" w:top="1440" w:right="1440" w:bottom="0" w:gutter="0" w:footer="0" w:header="0"/>
        </w:sectPr>
      </w:pPr>
    </w:p>
    <w:bookmarkStart w:id="576" w:name="page577"/>
    <w:bookmarkEnd w:id="5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50 / 85</w:t>
      </w:r>
    </w:p>
    <w:p>
      <w:pPr>
        <w:sectPr>
          <w:pgSz w:w="11900" w:h="16838" w:orient="portrait"/>
          <w:cols w:equalWidth="0" w:num="1">
            <w:col w:w="9026"/>
          </w:cols>
          <w:pgMar w:left="1440" w:top="1440" w:right="1440" w:bottom="0" w:gutter="0" w:footer="0" w:header="0"/>
        </w:sectPr>
      </w:pPr>
    </w:p>
    <w:bookmarkStart w:id="577" w:name="page578"/>
    <w:bookmarkEnd w:id="577"/>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15.1</w:t>
      </w:r>
    </w:p>
    <w:p>
      <w:pPr>
        <w:spacing w:after="0" w:line="200" w:lineRule="exact"/>
        <w:rPr>
          <w:sz w:val="20"/>
          <w:szCs w:val="20"/>
          <w:color w:val="auto"/>
        </w:rPr>
      </w:pPr>
    </w:p>
    <w:p>
      <w:pPr>
        <w:spacing w:after="0" w:line="290"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CONSENT OF ENVIROPROTECH-T</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March 23, 2026</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VIA EDGAR</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United States Securities and Exchange Commission</w:t>
      </w:r>
    </w:p>
    <w:p>
      <w:pPr>
        <w:spacing w:after="0" w:line="342" w:lineRule="exact"/>
        <w:rPr>
          <w:sz w:val="20"/>
          <w:szCs w:val="20"/>
          <w:color w:val="auto"/>
        </w:rPr>
      </w:pPr>
    </w:p>
    <w:p>
      <w:pPr>
        <w:ind w:left="1360"/>
        <w:spacing w:after="0"/>
        <w:tabs>
          <w:tab w:leader="none" w:pos="204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Lithium Argentina AG (the “Company”)</w:t>
      </w:r>
    </w:p>
    <w:p>
      <w:pPr>
        <w:spacing w:after="0" w:line="79" w:lineRule="exact"/>
        <w:rPr>
          <w:sz w:val="20"/>
          <w:szCs w:val="20"/>
          <w:color w:val="auto"/>
        </w:rPr>
      </w:pPr>
    </w:p>
    <w:p>
      <w:pPr>
        <w:ind w:left="2060" w:right="60"/>
        <w:spacing w:after="0" w:line="307" w:lineRule="auto"/>
        <w:rPr>
          <w:sz w:val="20"/>
          <w:szCs w:val="20"/>
          <w:color w:val="auto"/>
        </w:rPr>
      </w:pPr>
      <w:r>
        <w:rPr>
          <w:rFonts w:ascii="Arial" w:cs="Arial" w:eastAsia="Arial" w:hAnsi="Arial"/>
          <w:sz w:val="20"/>
          <w:szCs w:val="20"/>
          <w:b w:val="1"/>
          <w:bCs w:val="1"/>
          <w:color w:val="auto"/>
        </w:rPr>
        <w:t>Annual Report on Form 20-F of the Company for the year ended December 31, 2025 (the “Form 20-F”)</w:t>
      </w:r>
    </w:p>
    <w:p>
      <w:pPr>
        <w:spacing w:after="0" w:line="375" w:lineRule="exact"/>
        <w:rPr>
          <w:sz w:val="20"/>
          <w:szCs w:val="20"/>
          <w:color w:val="auto"/>
        </w:rPr>
      </w:pPr>
    </w:p>
    <w:p>
      <w:pPr>
        <w:ind w:left="1260" w:right="20"/>
        <w:spacing w:after="0" w:line="307" w:lineRule="auto"/>
        <w:rPr>
          <w:sz w:val="20"/>
          <w:szCs w:val="20"/>
          <w:color w:val="auto"/>
        </w:rPr>
      </w:pPr>
      <w:r>
        <w:rPr>
          <w:rFonts w:ascii="Arial" w:cs="Arial" w:eastAsia="Arial" w:hAnsi="Arial"/>
          <w:sz w:val="20"/>
          <w:szCs w:val="20"/>
          <w:color w:val="auto"/>
        </w:rPr>
        <w:t>EnviroProTech-t hereby consents to the use of its name in connection with reference to its involvement i the preparation of the following technical report (the “</w:t>
      </w:r>
      <w:r>
        <w:rPr>
          <w:rFonts w:ascii="Arial" w:cs="Arial" w:eastAsia="Arial" w:hAnsi="Arial"/>
          <w:sz w:val="20"/>
          <w:szCs w:val="20"/>
          <w:b w:val="1"/>
          <w:bCs w:val="1"/>
          <w:color w:val="auto"/>
        </w:rPr>
        <w:t>Technical Report</w:t>
      </w:r>
      <w:r>
        <w:rPr>
          <w:rFonts w:ascii="Arial" w:cs="Arial" w:eastAsia="Arial" w:hAnsi="Arial"/>
          <w:sz w:val="20"/>
          <w:szCs w:val="20"/>
          <w:color w:val="auto"/>
        </w:rPr>
        <w:t>”):</w:t>
      </w:r>
    </w:p>
    <w:p>
      <w:pPr>
        <w:spacing w:after="0" w:line="299" w:lineRule="exact"/>
        <w:rPr>
          <w:sz w:val="20"/>
          <w:szCs w:val="20"/>
          <w:color w:val="auto"/>
        </w:rPr>
      </w:pPr>
    </w:p>
    <w:p>
      <w:pPr>
        <w:ind w:left="1980" w:right="20" w:hanging="366"/>
        <w:spacing w:after="0" w:line="368" w:lineRule="auto"/>
        <w:tabs>
          <w:tab w:leader="none" w:pos="1980" w:val="left"/>
        </w:tabs>
        <w:numPr>
          <w:ilvl w:val="0"/>
          <w:numId w:val="289"/>
        </w:numPr>
        <w:rPr>
          <w:rFonts w:ascii="Arial" w:cs="Arial" w:eastAsia="Arial" w:hAnsi="Arial"/>
          <w:sz w:val="20"/>
          <w:szCs w:val="20"/>
          <w:color w:val="auto"/>
        </w:rPr>
      </w:pPr>
      <w:r>
        <w:rPr>
          <w:rFonts w:ascii="Arial" w:cs="Arial" w:eastAsia="Arial" w:hAnsi="Arial"/>
          <w:sz w:val="20"/>
          <w:szCs w:val="20"/>
          <w:color w:val="auto"/>
        </w:rPr>
        <w:t>Technical Report titled “</w:t>
      </w:r>
      <w:r>
        <w:rPr>
          <w:rFonts w:ascii="Arial" w:cs="Arial" w:eastAsia="Arial" w:hAnsi="Arial"/>
          <w:sz w:val="20"/>
          <w:szCs w:val="20"/>
          <w:i w:val="1"/>
          <w:iCs w:val="1"/>
          <w:color w:val="auto"/>
        </w:rPr>
        <w:t>2026 Cauchari-Olaroz S-K 1300 Technical Report, Jujuy, Argentina</w:t>
      </w:r>
      <w:r>
        <w:rPr>
          <w:rFonts w:ascii="Arial" w:cs="Arial" w:eastAsia="Arial" w:hAnsi="Arial"/>
          <w:sz w:val="20"/>
          <w:szCs w:val="20"/>
          <w:color w:val="auto"/>
        </w:rPr>
        <w:t>” wit an effective date as of February 27, 2026;</w:t>
      </w:r>
    </w:p>
    <w:p>
      <w:pPr>
        <w:spacing w:after="0" w:line="211" w:lineRule="exact"/>
        <w:rPr>
          <w:sz w:val="20"/>
          <w:szCs w:val="20"/>
          <w:color w:val="auto"/>
        </w:rPr>
      </w:pPr>
    </w:p>
    <w:p>
      <w:pPr>
        <w:jc w:val="both"/>
        <w:ind w:left="1260" w:right="20"/>
        <w:spacing w:after="0" w:line="312" w:lineRule="auto"/>
        <w:rPr>
          <w:sz w:val="20"/>
          <w:szCs w:val="20"/>
          <w:color w:val="auto"/>
        </w:rPr>
      </w:pPr>
      <w:r>
        <w:rPr>
          <w:rFonts w:ascii="Arial" w:cs="Arial" w:eastAsia="Arial" w:hAnsi="Arial"/>
          <w:sz w:val="20"/>
          <w:szCs w:val="20"/>
          <w:color w:val="auto"/>
        </w:rPr>
        <w:t>and to references to the Technical Report, or portions thereof, included or incorporated by reference i the Form 20-F, which is being filed pursuant to the Securities Exchange Act of 1934, as amended, and t the inclusion or incorporation by reference of the information derived from the Technical Report related t the undersigned in the Form 20-F. This consent extends to any amendments to the Form 20-F.</w:t>
      </w:r>
    </w:p>
    <w:p>
      <w:pPr>
        <w:spacing w:after="0" w:line="252"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The undersigned also hereby consents to the use of its name in connection with reference to its involvement in the preparation of the Technical Report, to references to the Technical Report, or portion thereof, and to the inclusion or incorporation by reference of the information derived from the Technica Report related to the undersigned in the registration statements (No. 333-238142, No. 333-227816, an No. 333-282163) on Form S-8. This consent extends to any amendments to the Form S-8s, includin post-effective amendments, and any new Form S-8 registration statement filed by the Company incorporating by reference the Form 20-F.</w:t>
      </w:r>
    </w:p>
    <w:p>
      <w:pPr>
        <w:spacing w:after="0" w:line="247"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The undersigned further consents to the filing of the Technical Report as an exhibit to the Form 20-F.</w:t>
      </w:r>
    </w:p>
    <w:p>
      <w:pPr>
        <w:spacing w:after="0" w:line="200" w:lineRule="exact"/>
        <w:rPr>
          <w:sz w:val="20"/>
          <w:szCs w:val="20"/>
          <w:color w:val="auto"/>
        </w:rPr>
      </w:pPr>
    </w:p>
    <w:p>
      <w:pPr>
        <w:spacing w:after="0" w:line="26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EnviroProTech-t</w:t>
      </w:r>
    </w:p>
    <w:p>
      <w:pPr>
        <w:spacing w:after="0" w:line="200" w:lineRule="exact"/>
        <w:rPr>
          <w:sz w:val="20"/>
          <w:szCs w:val="20"/>
          <w:color w:val="auto"/>
        </w:rPr>
      </w:pPr>
    </w:p>
    <w:p>
      <w:pPr>
        <w:spacing w:after="0" w:line="234"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/s/Anthony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26035</wp:posOffset>
            </wp:positionV>
            <wp:extent cx="2971800" cy="635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34">
                      <a:extLst>
                        <a:ext uri="{28A0092B-C50C-407E-A947-70E740481C1C}"/>
                      </a:extLst>
                    </a:blip>
                    <a:srcRect/>
                    <a:stretch>
                      <a:fillRect/>
                    </a:stretch>
                  </pic:blipFill>
                  <pic:spPr bwMode="auto">
                    <a:xfrm>
                      <a:off x="0" y="0"/>
                      <a:ext cx="2971800" cy="635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Name: Anthony Sanford, Pr.Sci.Nat</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Title: Principal Consultant</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51 / 85</w:t>
      </w:r>
    </w:p>
    <w:p>
      <w:pPr>
        <w:sectPr>
          <w:pgSz w:w="11900" w:h="16838" w:orient="portrait"/>
          <w:cols w:equalWidth="0" w:num="1">
            <w:col w:w="10460"/>
          </w:cols>
          <w:pgMar w:left="1440" w:top="1440" w:right="6" w:bottom="0" w:gutter="0" w:footer="0" w:header="0"/>
          <w:type w:val="continuous"/>
        </w:sectPr>
      </w:pPr>
    </w:p>
    <w:bookmarkStart w:id="578" w:name="page579"/>
    <w:bookmarkEnd w:id="5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1710690</wp:posOffset>
            </wp:positionV>
            <wp:extent cx="6764020" cy="1905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3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52 / 85</w:t>
      </w:r>
    </w:p>
    <w:p>
      <w:pPr>
        <w:sectPr>
          <w:pgSz w:w="11900" w:h="16838" w:orient="portrait"/>
          <w:cols w:equalWidth="0" w:num="1">
            <w:col w:w="9026"/>
          </w:cols>
          <w:pgMar w:left="1440" w:top="1440" w:right="1440" w:bottom="0" w:gutter="0" w:footer="0" w:header="0"/>
        </w:sectPr>
      </w:pPr>
    </w:p>
    <w:bookmarkStart w:id="579" w:name="page580"/>
    <w:bookmarkEnd w:id="5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53 / 85</w:t>
      </w:r>
    </w:p>
    <w:p>
      <w:pPr>
        <w:sectPr>
          <w:pgSz w:w="11900" w:h="16838" w:orient="portrait"/>
          <w:cols w:equalWidth="0" w:num="1">
            <w:col w:w="9026"/>
          </w:cols>
          <w:pgMar w:left="1440" w:top="1440" w:right="1440" w:bottom="0" w:gutter="0" w:footer="0" w:header="0"/>
        </w:sectPr>
      </w:pPr>
    </w:p>
    <w:bookmarkStart w:id="580" w:name="page581"/>
    <w:bookmarkEnd w:id="580"/>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15.1</w:t>
      </w:r>
    </w:p>
    <w:p>
      <w:pPr>
        <w:spacing w:after="0" w:line="200" w:lineRule="exact"/>
        <w:rPr>
          <w:sz w:val="20"/>
          <w:szCs w:val="20"/>
          <w:color w:val="auto"/>
        </w:rPr>
      </w:pPr>
    </w:p>
    <w:p>
      <w:pPr>
        <w:spacing w:after="0" w:line="290"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auto"/>
        </w:rPr>
        <w:t>CONSENT OF GROUNDWATER INSIGHT</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March 23, 2026</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VIA EDGAR</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United States Securities and Exchange Commission</w:t>
      </w:r>
    </w:p>
    <w:p>
      <w:pPr>
        <w:spacing w:after="0" w:line="342" w:lineRule="exact"/>
        <w:rPr>
          <w:sz w:val="20"/>
          <w:szCs w:val="20"/>
          <w:color w:val="auto"/>
        </w:rPr>
      </w:pPr>
    </w:p>
    <w:p>
      <w:pPr>
        <w:ind w:left="1360"/>
        <w:spacing w:after="0"/>
        <w:tabs>
          <w:tab w:leader="none" w:pos="204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Lithium Argentina AG (the “Company”)</w:t>
      </w:r>
    </w:p>
    <w:p>
      <w:pPr>
        <w:spacing w:after="0" w:line="79" w:lineRule="exact"/>
        <w:rPr>
          <w:sz w:val="20"/>
          <w:szCs w:val="20"/>
          <w:color w:val="auto"/>
        </w:rPr>
      </w:pPr>
    </w:p>
    <w:p>
      <w:pPr>
        <w:ind w:left="2060" w:right="60"/>
        <w:spacing w:after="0" w:line="307" w:lineRule="auto"/>
        <w:rPr>
          <w:sz w:val="20"/>
          <w:szCs w:val="20"/>
          <w:color w:val="auto"/>
        </w:rPr>
      </w:pPr>
      <w:r>
        <w:rPr>
          <w:rFonts w:ascii="Arial" w:cs="Arial" w:eastAsia="Arial" w:hAnsi="Arial"/>
          <w:sz w:val="20"/>
          <w:szCs w:val="20"/>
          <w:b w:val="1"/>
          <w:bCs w:val="1"/>
          <w:color w:val="auto"/>
        </w:rPr>
        <w:t>Annual Report on Form 20-F of the Company for the year ended December 31, 2025 (the “Form 20-F”)</w:t>
      </w:r>
    </w:p>
    <w:p>
      <w:pPr>
        <w:spacing w:after="0" w:line="375" w:lineRule="exact"/>
        <w:rPr>
          <w:sz w:val="20"/>
          <w:szCs w:val="20"/>
          <w:color w:val="auto"/>
        </w:rPr>
      </w:pPr>
    </w:p>
    <w:p>
      <w:pPr>
        <w:ind w:left="1260" w:right="40"/>
        <w:spacing w:after="0" w:line="307" w:lineRule="auto"/>
        <w:rPr>
          <w:sz w:val="20"/>
          <w:szCs w:val="20"/>
          <w:color w:val="auto"/>
        </w:rPr>
      </w:pPr>
      <w:r>
        <w:rPr>
          <w:rFonts w:ascii="Arial" w:cs="Arial" w:eastAsia="Arial" w:hAnsi="Arial"/>
          <w:sz w:val="20"/>
          <w:szCs w:val="20"/>
          <w:color w:val="auto"/>
        </w:rPr>
        <w:t>Groundwater Insight Inc. hereby consents to the use of its name in connection with reference to it involvement in the preparation of the following technical report (the “</w:t>
      </w:r>
      <w:r>
        <w:rPr>
          <w:rFonts w:ascii="Arial" w:cs="Arial" w:eastAsia="Arial" w:hAnsi="Arial"/>
          <w:sz w:val="20"/>
          <w:szCs w:val="20"/>
          <w:b w:val="1"/>
          <w:bCs w:val="1"/>
          <w:color w:val="auto"/>
        </w:rPr>
        <w:t>Technical Report</w:t>
      </w:r>
      <w:r>
        <w:rPr>
          <w:rFonts w:ascii="Arial" w:cs="Arial" w:eastAsia="Arial" w:hAnsi="Arial"/>
          <w:sz w:val="20"/>
          <w:szCs w:val="20"/>
          <w:color w:val="auto"/>
        </w:rPr>
        <w:t>”):</w:t>
      </w:r>
    </w:p>
    <w:p>
      <w:pPr>
        <w:spacing w:after="0" w:line="299" w:lineRule="exact"/>
        <w:rPr>
          <w:sz w:val="20"/>
          <w:szCs w:val="20"/>
          <w:color w:val="auto"/>
        </w:rPr>
      </w:pPr>
    </w:p>
    <w:p>
      <w:pPr>
        <w:ind w:left="1980" w:right="20" w:hanging="366"/>
        <w:spacing w:after="0" w:line="368" w:lineRule="auto"/>
        <w:tabs>
          <w:tab w:leader="none" w:pos="1980" w:val="left"/>
        </w:tabs>
        <w:numPr>
          <w:ilvl w:val="0"/>
          <w:numId w:val="290"/>
        </w:numPr>
        <w:rPr>
          <w:rFonts w:ascii="Arial" w:cs="Arial" w:eastAsia="Arial" w:hAnsi="Arial"/>
          <w:sz w:val="20"/>
          <w:szCs w:val="20"/>
          <w:color w:val="auto"/>
        </w:rPr>
      </w:pPr>
      <w:r>
        <w:rPr>
          <w:rFonts w:ascii="Arial" w:cs="Arial" w:eastAsia="Arial" w:hAnsi="Arial"/>
          <w:sz w:val="20"/>
          <w:szCs w:val="20"/>
          <w:color w:val="auto"/>
        </w:rPr>
        <w:t>Technical Report titled “2026 Cauchari-Olaroz S-K 1300 Technical Report, Jujuy, Argentina” wit an effective date as of February 27, 2026;</w:t>
      </w:r>
    </w:p>
    <w:p>
      <w:pPr>
        <w:spacing w:after="0" w:line="211" w:lineRule="exact"/>
        <w:rPr>
          <w:sz w:val="20"/>
          <w:szCs w:val="20"/>
          <w:color w:val="auto"/>
        </w:rPr>
      </w:pPr>
    </w:p>
    <w:p>
      <w:pPr>
        <w:jc w:val="both"/>
        <w:ind w:left="1260" w:right="20"/>
        <w:spacing w:after="0" w:line="312" w:lineRule="auto"/>
        <w:rPr>
          <w:sz w:val="20"/>
          <w:szCs w:val="20"/>
          <w:color w:val="auto"/>
        </w:rPr>
      </w:pPr>
      <w:r>
        <w:rPr>
          <w:rFonts w:ascii="Arial" w:cs="Arial" w:eastAsia="Arial" w:hAnsi="Arial"/>
          <w:sz w:val="20"/>
          <w:szCs w:val="20"/>
          <w:color w:val="auto"/>
        </w:rPr>
        <w:t>and to references to the Technical Report, or portions thereof, included or incorporated by reference i the Form 20-F, which is being filed pursuant to the Securities Exchange Act of 1934, as amended, and t the inclusion or incorporation by reference of the information derived from the Technical Report related t the undersigned in the Form 20-F. This consent extends to any amendments to the Form 20-F.</w:t>
      </w:r>
    </w:p>
    <w:p>
      <w:pPr>
        <w:spacing w:after="0" w:line="252"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The undersigned also hereby consents to the use of its name in connection with reference to its involvement in the preparation of the Technical Report, to references to the Technical Report, or portion thereof, and to the inclusion or incorporation by reference of the information derived from the Technica Report related to the undersigned in the registration statements (No. 333-238142, No. 333-227816, an No. 333-282163) on Form S-8. This consent extends to any amendments to the Form S-8s, includin post-effective amendments, and any new Form S-8 registration statement filed by the Company incorporating by reference the Form 20-F.</w:t>
      </w:r>
    </w:p>
    <w:p>
      <w:pPr>
        <w:spacing w:after="0" w:line="247"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The undersigned further consents to the filing of the Technical Report as an exhibit to the Form 20-F.</w:t>
      </w:r>
    </w:p>
    <w:p>
      <w:pPr>
        <w:spacing w:after="0" w:line="200" w:lineRule="exact"/>
        <w:rPr>
          <w:sz w:val="20"/>
          <w:szCs w:val="20"/>
          <w:color w:val="auto"/>
        </w:rPr>
      </w:pPr>
    </w:p>
    <w:p>
      <w:pPr>
        <w:spacing w:after="0" w:line="26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Groundwater Insight Inc.</w:t>
      </w:r>
    </w:p>
    <w:p>
      <w:pPr>
        <w:spacing w:after="0" w:line="200" w:lineRule="exact"/>
        <w:rPr>
          <w:sz w:val="20"/>
          <w:szCs w:val="20"/>
          <w:color w:val="auto"/>
        </w:rPr>
      </w:pPr>
    </w:p>
    <w:p>
      <w:pPr>
        <w:spacing w:after="0" w:line="234"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/s/Mark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26035</wp:posOffset>
            </wp:positionV>
            <wp:extent cx="2971800" cy="635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36">
                      <a:extLst>
                        <a:ext uri="{28A0092B-C50C-407E-A947-70E740481C1C}"/>
                      </a:extLst>
                    </a:blip>
                    <a:srcRect/>
                    <a:stretch>
                      <a:fillRect/>
                    </a:stretch>
                  </pic:blipFill>
                  <pic:spPr bwMode="auto">
                    <a:xfrm>
                      <a:off x="0" y="0"/>
                      <a:ext cx="2971800" cy="635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Name: Mark King, P.Geo.</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Title: President</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54 / 85</w:t>
      </w:r>
    </w:p>
    <w:p>
      <w:pPr>
        <w:sectPr>
          <w:pgSz w:w="11900" w:h="16838" w:orient="portrait"/>
          <w:cols w:equalWidth="0" w:num="1">
            <w:col w:w="10460"/>
          </w:cols>
          <w:pgMar w:left="1440" w:top="1440" w:right="6" w:bottom="0" w:gutter="0" w:footer="0" w:header="0"/>
          <w:type w:val="continuous"/>
        </w:sectPr>
      </w:pPr>
    </w:p>
    <w:bookmarkStart w:id="581" w:name="page582"/>
    <w:bookmarkEnd w:id="5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1710690</wp:posOffset>
            </wp:positionV>
            <wp:extent cx="6764020" cy="1905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55 / 85</w:t>
      </w:r>
    </w:p>
    <w:p>
      <w:pPr>
        <w:sectPr>
          <w:pgSz w:w="11900" w:h="16838" w:orient="portrait"/>
          <w:cols w:equalWidth="0" w:num="1">
            <w:col w:w="9026"/>
          </w:cols>
          <w:pgMar w:left="1440" w:top="1440" w:right="1440" w:bottom="0" w:gutter="0" w:footer="0" w:header="0"/>
        </w:sectPr>
      </w:pPr>
    </w:p>
    <w:bookmarkStart w:id="582" w:name="page583"/>
    <w:bookmarkEnd w:id="5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56 / 85</w:t>
      </w:r>
    </w:p>
    <w:p>
      <w:pPr>
        <w:sectPr>
          <w:pgSz w:w="11900" w:h="16838" w:orient="portrait"/>
          <w:cols w:equalWidth="0" w:num="1">
            <w:col w:w="9026"/>
          </w:cols>
          <w:pgMar w:left="1440" w:top="1440" w:right="1440" w:bottom="0" w:gutter="0" w:footer="0" w:header="0"/>
        </w:sectPr>
      </w:pPr>
    </w:p>
    <w:bookmarkStart w:id="583" w:name="page584"/>
    <w:bookmarkEnd w:id="583"/>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15.1</w:t>
      </w:r>
    </w:p>
    <w:p>
      <w:pPr>
        <w:spacing w:after="0" w:line="200" w:lineRule="exact"/>
        <w:rPr>
          <w:sz w:val="20"/>
          <w:szCs w:val="20"/>
          <w:color w:val="auto"/>
        </w:rPr>
      </w:pPr>
    </w:p>
    <w:p>
      <w:pPr>
        <w:spacing w:after="0" w:line="290"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CONSENT OF FREDERICK REIDEL</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March 23, 2026</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VIA EDGAR</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United States Securities and Exchange Commission</w:t>
      </w:r>
    </w:p>
    <w:p>
      <w:pPr>
        <w:spacing w:after="0" w:line="342" w:lineRule="exact"/>
        <w:rPr>
          <w:sz w:val="20"/>
          <w:szCs w:val="20"/>
          <w:color w:val="auto"/>
        </w:rPr>
      </w:pPr>
    </w:p>
    <w:p>
      <w:pPr>
        <w:ind w:left="1360"/>
        <w:spacing w:after="0"/>
        <w:tabs>
          <w:tab w:leader="none" w:pos="204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Lithium Argentina AG (the “Company”)</w:t>
      </w:r>
    </w:p>
    <w:p>
      <w:pPr>
        <w:spacing w:after="0" w:line="79" w:lineRule="exact"/>
        <w:rPr>
          <w:sz w:val="20"/>
          <w:szCs w:val="20"/>
          <w:color w:val="auto"/>
        </w:rPr>
      </w:pPr>
    </w:p>
    <w:p>
      <w:pPr>
        <w:ind w:left="2060" w:right="60"/>
        <w:spacing w:after="0" w:line="307" w:lineRule="auto"/>
        <w:rPr>
          <w:sz w:val="20"/>
          <w:szCs w:val="20"/>
          <w:color w:val="auto"/>
        </w:rPr>
      </w:pPr>
      <w:r>
        <w:rPr>
          <w:rFonts w:ascii="Arial" w:cs="Arial" w:eastAsia="Arial" w:hAnsi="Arial"/>
          <w:sz w:val="20"/>
          <w:szCs w:val="20"/>
          <w:b w:val="1"/>
          <w:bCs w:val="1"/>
          <w:color w:val="auto"/>
        </w:rPr>
        <w:t>Annual Report on Form 20-F of the Company for the year ended December 31, 2025 (the “Form 20-F”)</w:t>
      </w:r>
    </w:p>
    <w:p>
      <w:pPr>
        <w:spacing w:after="0" w:line="375" w:lineRule="exact"/>
        <w:rPr>
          <w:sz w:val="20"/>
          <w:szCs w:val="20"/>
          <w:color w:val="auto"/>
        </w:rPr>
      </w:pPr>
    </w:p>
    <w:p>
      <w:pPr>
        <w:ind w:left="1260"/>
        <w:spacing w:after="0" w:line="307" w:lineRule="auto"/>
        <w:rPr>
          <w:sz w:val="20"/>
          <w:szCs w:val="20"/>
          <w:color w:val="auto"/>
        </w:rPr>
      </w:pPr>
      <w:r>
        <w:rPr>
          <w:rFonts w:ascii="Arial" w:cs="Arial" w:eastAsia="Arial" w:hAnsi="Arial"/>
          <w:sz w:val="20"/>
          <w:szCs w:val="20"/>
          <w:color w:val="auto"/>
        </w:rPr>
        <w:t>I, Frederik Reidel, hereby consent to the use of my name in connection with reference to my involvemen in the preparation and review of the following:</w:t>
      </w:r>
    </w:p>
    <w:p>
      <w:pPr>
        <w:spacing w:after="0" w:line="299" w:lineRule="exact"/>
        <w:rPr>
          <w:sz w:val="20"/>
          <w:szCs w:val="20"/>
          <w:color w:val="auto"/>
        </w:rPr>
      </w:pPr>
    </w:p>
    <w:p>
      <w:pPr>
        <w:ind w:left="1980" w:hanging="366"/>
        <w:spacing w:after="0" w:line="368" w:lineRule="auto"/>
        <w:tabs>
          <w:tab w:leader="none" w:pos="1980" w:val="left"/>
        </w:tabs>
        <w:numPr>
          <w:ilvl w:val="0"/>
          <w:numId w:val="291"/>
        </w:numPr>
        <w:rPr>
          <w:rFonts w:ascii="Arial" w:cs="Arial" w:eastAsia="Arial" w:hAnsi="Arial"/>
          <w:sz w:val="20"/>
          <w:szCs w:val="20"/>
          <w:color w:val="auto"/>
        </w:rPr>
      </w:pPr>
      <w:r>
        <w:rPr>
          <w:rFonts w:ascii="Arial" w:cs="Arial" w:eastAsia="Arial" w:hAnsi="Arial"/>
          <w:sz w:val="20"/>
          <w:szCs w:val="20"/>
          <w:color w:val="auto"/>
        </w:rPr>
        <w:t>the Technical Report titled “S-K 1300 Technical Report - Scoping Study Report at the PPG Salars, Salta Province, Argentina,” effective December 31, 2025 (the “</w:t>
      </w:r>
      <w:r>
        <w:rPr>
          <w:rFonts w:ascii="Arial" w:cs="Arial" w:eastAsia="Arial" w:hAnsi="Arial"/>
          <w:sz w:val="20"/>
          <w:szCs w:val="20"/>
          <w:b w:val="1"/>
          <w:bCs w:val="1"/>
          <w:color w:val="auto"/>
        </w:rPr>
        <w:t>Technical Report</w:t>
      </w:r>
      <w:r>
        <w:rPr>
          <w:rFonts w:ascii="Arial" w:cs="Arial" w:eastAsia="Arial" w:hAnsi="Arial"/>
          <w:sz w:val="20"/>
          <w:szCs w:val="20"/>
          <w:color w:val="auto"/>
        </w:rPr>
        <w:t>”); and</w:t>
      </w:r>
    </w:p>
    <w:p>
      <w:pPr>
        <w:spacing w:after="0" w:line="254" w:lineRule="exact"/>
        <w:rPr>
          <w:rFonts w:ascii="Arial" w:cs="Arial" w:eastAsia="Arial" w:hAnsi="Arial"/>
          <w:sz w:val="20"/>
          <w:szCs w:val="20"/>
          <w:color w:val="auto"/>
        </w:rPr>
      </w:pPr>
    </w:p>
    <w:p>
      <w:pPr>
        <w:jc w:val="both"/>
        <w:ind w:left="1980" w:right="20" w:hanging="366"/>
        <w:spacing w:after="0" w:line="373" w:lineRule="auto"/>
        <w:tabs>
          <w:tab w:leader="none" w:pos="1980" w:val="left"/>
        </w:tabs>
        <w:numPr>
          <w:ilvl w:val="0"/>
          <w:numId w:val="291"/>
        </w:numPr>
        <w:rPr>
          <w:rFonts w:ascii="Arial" w:cs="Arial" w:eastAsia="Arial" w:hAnsi="Arial"/>
          <w:sz w:val="20"/>
          <w:szCs w:val="20"/>
          <w:color w:val="auto"/>
        </w:rPr>
      </w:pPr>
      <w:r>
        <w:rPr>
          <w:rFonts w:ascii="Arial" w:cs="Arial" w:eastAsia="Arial" w:hAnsi="Arial"/>
          <w:sz w:val="20"/>
          <w:szCs w:val="20"/>
          <w:color w:val="auto"/>
        </w:rPr>
        <w:t>the review and approval of the technical and scientific information concerning the PPG Salar contained in the Form 20-F and the Management’s Discussion &amp; Analysis for the year ende December 31, 2025 being filed by the Company as part of the Form 20-F (together with th Technical Report, the “</w:t>
      </w:r>
      <w:r>
        <w:rPr>
          <w:rFonts w:ascii="Arial" w:cs="Arial" w:eastAsia="Arial" w:hAnsi="Arial"/>
          <w:sz w:val="20"/>
          <w:szCs w:val="20"/>
          <w:b w:val="1"/>
          <w:bCs w:val="1"/>
          <w:color w:val="auto"/>
        </w:rPr>
        <w:t>The Pastos Grandes Information</w:t>
      </w:r>
      <w:r>
        <w:rPr>
          <w:rFonts w:ascii="Arial" w:cs="Arial" w:eastAsia="Arial" w:hAnsi="Arial"/>
          <w:sz w:val="20"/>
          <w:szCs w:val="20"/>
          <w:color w:val="auto"/>
        </w:rPr>
        <w:t>”);</w:t>
      </w:r>
    </w:p>
    <w:p>
      <w:pPr>
        <w:spacing w:after="0" w:line="207" w:lineRule="exact"/>
        <w:rPr>
          <w:sz w:val="20"/>
          <w:szCs w:val="20"/>
          <w:color w:val="auto"/>
        </w:rPr>
      </w:pPr>
    </w:p>
    <w:p>
      <w:pPr>
        <w:jc w:val="both"/>
        <w:ind w:left="1260" w:right="20"/>
        <w:spacing w:after="0" w:line="313" w:lineRule="auto"/>
        <w:rPr>
          <w:sz w:val="20"/>
          <w:szCs w:val="20"/>
          <w:color w:val="auto"/>
        </w:rPr>
      </w:pPr>
      <w:r>
        <w:rPr>
          <w:rFonts w:ascii="Arial" w:cs="Arial" w:eastAsia="Arial" w:hAnsi="Arial"/>
          <w:sz w:val="20"/>
          <w:szCs w:val="20"/>
          <w:color w:val="auto"/>
        </w:rPr>
        <w:t>and to references to the Pastos Grandes Information, or portions thereof, included or incorporated b reference in the Form 20-F, which is being filed pursuant to the Securities Exchange Act of 1934, a amended, and to the inclusion or incorporation by reference of the information derived from the Pasto Grandes Information related to me in the Form 20-F. This consent extends to any amendments to th Form 20-F.</w:t>
      </w:r>
    </w:p>
    <w:p>
      <w:pPr>
        <w:spacing w:after="0" w:line="250"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I also hereby consent to the use of my name in connection with reference to my involvement in th preparation of the Pastos Grandes Information, to references to the Pastos Grandes Information, o portions thereof, and to the inclusion or incorporation by reference of the information derived from th Pastos Grandes Information related to me in the registration statements (No. 333-238142, No. 333-227816, and No. 333-282163) on Form S-8. This consent extends to any amendments to the Form S-8s, including post-effective amendments, and any new Form S-8 registration statement filed by th Company incorporating by reference the Form 20-F.</w:t>
      </w:r>
    </w:p>
    <w:p>
      <w:pPr>
        <w:spacing w:after="0" w:line="247"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I further consent to the filing of the Technical Report as an exhibit to the Form 20-F.</w:t>
      </w:r>
    </w:p>
    <w:p>
      <w:pPr>
        <w:spacing w:after="0" w:line="200" w:lineRule="exact"/>
        <w:rPr>
          <w:sz w:val="20"/>
          <w:szCs w:val="20"/>
          <w:color w:val="auto"/>
        </w:rPr>
      </w:pPr>
    </w:p>
    <w:p>
      <w:pPr>
        <w:spacing w:after="0" w:line="262"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/s/Frederik Reidel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26035</wp:posOffset>
            </wp:positionV>
            <wp:extent cx="2971800" cy="635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8">
                      <a:extLst>
                        <a:ext uri="{28A0092B-C50C-407E-A947-70E740481C1C}"/>
                      </a:extLst>
                    </a:blip>
                    <a:srcRect/>
                    <a:stretch>
                      <a:fillRect/>
                    </a:stretch>
                  </pic:blipFill>
                  <pic:spPr bwMode="auto">
                    <a:xfrm>
                      <a:off x="0" y="0"/>
                      <a:ext cx="2971800" cy="6350"/>
                    </a:xfrm>
                    <a:prstGeom prst="rect">
                      <a:avLst/>
                    </a:prstGeom>
                    <a:noFill/>
                  </pic:spPr>
                </pic:pic>
              </a:graphicData>
            </a:graphic>
          </wp:anchor>
        </w:drawing>
      </w:r>
    </w:p>
    <w:p>
      <w:pPr>
        <w:spacing w:after="0" w:line="6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Frederik Reidel, CPG</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57 / 85</w:t>
      </w:r>
    </w:p>
    <w:p>
      <w:pPr>
        <w:sectPr>
          <w:pgSz w:w="11900" w:h="16838" w:orient="portrait"/>
          <w:cols w:equalWidth="0" w:num="1">
            <w:col w:w="10460"/>
          </w:cols>
          <w:pgMar w:left="1440" w:top="1440" w:right="6" w:bottom="0" w:gutter="0" w:footer="0" w:header="0"/>
          <w:type w:val="continuous"/>
        </w:sectPr>
      </w:pPr>
    </w:p>
    <w:bookmarkStart w:id="584" w:name="page585"/>
    <w:bookmarkEnd w:id="5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1710690</wp:posOffset>
            </wp:positionV>
            <wp:extent cx="6764020" cy="1905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58 / 85</w:t>
      </w:r>
    </w:p>
    <w:p>
      <w:pPr>
        <w:sectPr>
          <w:pgSz w:w="11900" w:h="16838" w:orient="portrait"/>
          <w:cols w:equalWidth="0" w:num="1">
            <w:col w:w="9026"/>
          </w:cols>
          <w:pgMar w:left="1440" w:top="1440" w:right="1440" w:bottom="0" w:gutter="0" w:footer="0" w:header="0"/>
        </w:sectPr>
      </w:pPr>
    </w:p>
    <w:bookmarkStart w:id="585" w:name="page586"/>
    <w:bookmarkEnd w:id="5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59 / 85</w:t>
      </w:r>
    </w:p>
    <w:p>
      <w:pPr>
        <w:sectPr>
          <w:pgSz w:w="11900" w:h="16838" w:orient="portrait"/>
          <w:cols w:equalWidth="0" w:num="1">
            <w:col w:w="9026"/>
          </w:cols>
          <w:pgMar w:left="1440" w:top="1440" w:right="1440" w:bottom="0" w:gutter="0" w:footer="0" w:header="0"/>
        </w:sectPr>
      </w:pPr>
    </w:p>
    <w:bookmarkStart w:id="586" w:name="page587"/>
    <w:bookmarkEnd w:id="586"/>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15.1</w:t>
      </w:r>
    </w:p>
    <w:p>
      <w:pPr>
        <w:spacing w:after="0" w:line="200" w:lineRule="exact"/>
        <w:rPr>
          <w:sz w:val="20"/>
          <w:szCs w:val="20"/>
          <w:color w:val="auto"/>
        </w:rPr>
      </w:pPr>
    </w:p>
    <w:p>
      <w:pPr>
        <w:spacing w:after="0" w:line="290" w:lineRule="exact"/>
        <w:rPr>
          <w:sz w:val="20"/>
          <w:szCs w:val="20"/>
          <w:color w:val="auto"/>
        </w:rPr>
      </w:pPr>
    </w:p>
    <w:p>
      <w:pPr>
        <w:ind w:left="3560"/>
        <w:spacing w:after="0"/>
        <w:rPr>
          <w:sz w:val="20"/>
          <w:szCs w:val="20"/>
          <w:color w:val="auto"/>
        </w:rPr>
      </w:pPr>
      <w:r>
        <w:rPr>
          <w:rFonts w:ascii="Arial" w:cs="Arial" w:eastAsia="Arial" w:hAnsi="Arial"/>
          <w:sz w:val="20"/>
          <w:szCs w:val="20"/>
          <w:b w:val="1"/>
          <w:bCs w:val="1"/>
          <w:color w:val="auto"/>
        </w:rPr>
        <w:t>CONSENT OF ATACAMA WATER CONSULTANTS</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March 23, 2026</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VIA EDGAR</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United States Securities and Exchange Commission</w:t>
      </w:r>
    </w:p>
    <w:p>
      <w:pPr>
        <w:spacing w:after="0" w:line="342" w:lineRule="exact"/>
        <w:rPr>
          <w:sz w:val="20"/>
          <w:szCs w:val="20"/>
          <w:color w:val="auto"/>
        </w:rPr>
      </w:pPr>
    </w:p>
    <w:p>
      <w:pPr>
        <w:ind w:left="1360"/>
        <w:spacing w:after="0"/>
        <w:tabs>
          <w:tab w:leader="none" w:pos="204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Lithium Argentina AG (the “Company”)</w:t>
      </w:r>
    </w:p>
    <w:p>
      <w:pPr>
        <w:spacing w:after="0" w:line="79" w:lineRule="exact"/>
        <w:rPr>
          <w:sz w:val="20"/>
          <w:szCs w:val="20"/>
          <w:color w:val="auto"/>
        </w:rPr>
      </w:pPr>
    </w:p>
    <w:p>
      <w:pPr>
        <w:ind w:left="2060" w:right="60"/>
        <w:spacing w:after="0" w:line="307" w:lineRule="auto"/>
        <w:rPr>
          <w:sz w:val="20"/>
          <w:szCs w:val="20"/>
          <w:color w:val="auto"/>
        </w:rPr>
      </w:pPr>
      <w:r>
        <w:rPr>
          <w:rFonts w:ascii="Arial" w:cs="Arial" w:eastAsia="Arial" w:hAnsi="Arial"/>
          <w:sz w:val="20"/>
          <w:szCs w:val="20"/>
          <w:b w:val="1"/>
          <w:bCs w:val="1"/>
          <w:color w:val="auto"/>
        </w:rPr>
        <w:t>Annual Report on Form 20-F of the Company for the year ended December 31, 2025 (the “Form 20-F”)</w:t>
      </w:r>
    </w:p>
    <w:p>
      <w:pPr>
        <w:spacing w:after="0" w:line="375" w:lineRule="exact"/>
        <w:rPr>
          <w:sz w:val="20"/>
          <w:szCs w:val="20"/>
          <w:color w:val="auto"/>
        </w:rPr>
      </w:pPr>
    </w:p>
    <w:p>
      <w:pPr>
        <w:ind w:left="1260" w:right="20"/>
        <w:spacing w:after="0" w:line="307" w:lineRule="auto"/>
        <w:rPr>
          <w:sz w:val="20"/>
          <w:szCs w:val="20"/>
          <w:color w:val="auto"/>
        </w:rPr>
      </w:pPr>
      <w:r>
        <w:rPr>
          <w:rFonts w:ascii="Arial" w:cs="Arial" w:eastAsia="Arial" w:hAnsi="Arial"/>
          <w:sz w:val="20"/>
          <w:szCs w:val="20"/>
          <w:color w:val="auto"/>
        </w:rPr>
        <w:t>Atacama Water Consultants hereby consents to the use of its name in connection with reference to it involvement in the preparation of the following technical report (the “</w:t>
      </w:r>
      <w:r>
        <w:rPr>
          <w:rFonts w:ascii="Arial" w:cs="Arial" w:eastAsia="Arial" w:hAnsi="Arial"/>
          <w:sz w:val="20"/>
          <w:szCs w:val="20"/>
          <w:b w:val="1"/>
          <w:bCs w:val="1"/>
          <w:color w:val="auto"/>
        </w:rPr>
        <w:t>Technical Report</w:t>
      </w:r>
      <w:r>
        <w:rPr>
          <w:rFonts w:ascii="Arial" w:cs="Arial" w:eastAsia="Arial" w:hAnsi="Arial"/>
          <w:sz w:val="20"/>
          <w:szCs w:val="20"/>
          <w:color w:val="auto"/>
        </w:rPr>
        <w:t>”):</w:t>
      </w:r>
    </w:p>
    <w:p>
      <w:pPr>
        <w:spacing w:after="0" w:line="299" w:lineRule="exact"/>
        <w:rPr>
          <w:sz w:val="20"/>
          <w:szCs w:val="20"/>
          <w:color w:val="auto"/>
        </w:rPr>
      </w:pPr>
    </w:p>
    <w:p>
      <w:pPr>
        <w:ind w:left="1980" w:hanging="366"/>
        <w:spacing w:after="0" w:line="368" w:lineRule="auto"/>
        <w:tabs>
          <w:tab w:leader="none" w:pos="1980" w:val="left"/>
        </w:tabs>
        <w:numPr>
          <w:ilvl w:val="0"/>
          <w:numId w:val="292"/>
        </w:numPr>
        <w:rPr>
          <w:rFonts w:ascii="Arial" w:cs="Arial" w:eastAsia="Arial" w:hAnsi="Arial"/>
          <w:sz w:val="20"/>
          <w:szCs w:val="20"/>
          <w:color w:val="auto"/>
        </w:rPr>
      </w:pPr>
      <w:r>
        <w:rPr>
          <w:rFonts w:ascii="Arial" w:cs="Arial" w:eastAsia="Arial" w:hAnsi="Arial"/>
          <w:sz w:val="20"/>
          <w:szCs w:val="20"/>
          <w:color w:val="auto"/>
        </w:rPr>
        <w:t>the Technical Report titled “S-K 1300 Technical Report - Scoping Study Report at the PPG Salars, Salta Province, Argentina,” effective December 31, 2025; and</w:t>
      </w:r>
    </w:p>
    <w:p>
      <w:pPr>
        <w:spacing w:after="0" w:line="254" w:lineRule="exact"/>
        <w:rPr>
          <w:rFonts w:ascii="Arial" w:cs="Arial" w:eastAsia="Arial" w:hAnsi="Arial"/>
          <w:sz w:val="20"/>
          <w:szCs w:val="20"/>
          <w:color w:val="auto"/>
        </w:rPr>
      </w:pPr>
    </w:p>
    <w:p>
      <w:pPr>
        <w:jc w:val="both"/>
        <w:ind w:left="1980" w:hanging="366"/>
        <w:spacing w:after="0" w:line="373" w:lineRule="auto"/>
        <w:tabs>
          <w:tab w:leader="none" w:pos="1980" w:val="left"/>
        </w:tabs>
        <w:numPr>
          <w:ilvl w:val="0"/>
          <w:numId w:val="292"/>
        </w:numPr>
        <w:rPr>
          <w:rFonts w:ascii="Arial" w:cs="Arial" w:eastAsia="Arial" w:hAnsi="Arial"/>
          <w:sz w:val="20"/>
          <w:szCs w:val="20"/>
          <w:color w:val="auto"/>
        </w:rPr>
      </w:pPr>
      <w:r>
        <w:rPr>
          <w:rFonts w:ascii="Arial" w:cs="Arial" w:eastAsia="Arial" w:hAnsi="Arial"/>
          <w:sz w:val="20"/>
          <w:szCs w:val="20"/>
          <w:color w:val="auto"/>
        </w:rPr>
        <w:t>the review and approval of the technical and scientific information concerning the PPG Salar contained in the Management’s Discussion &amp; Analysis for the year ended December 31, 202 being filed by the Company as part of the Form 20-F (together with the Technical Report, the “</w:t>
      </w:r>
      <w:r>
        <w:rPr>
          <w:rFonts w:ascii="Arial" w:cs="Arial" w:eastAsia="Arial" w:hAnsi="Arial"/>
          <w:sz w:val="20"/>
          <w:szCs w:val="20"/>
          <w:b w:val="1"/>
          <w:bCs w:val="1"/>
          <w:color w:val="auto"/>
        </w:rPr>
        <w:t>The Pastos Grandes Information</w:t>
      </w:r>
      <w:r>
        <w:rPr>
          <w:rFonts w:ascii="Arial" w:cs="Arial" w:eastAsia="Arial" w:hAnsi="Arial"/>
          <w:sz w:val="20"/>
          <w:szCs w:val="20"/>
          <w:color w:val="auto"/>
        </w:rPr>
        <w:t>”)</w:t>
      </w:r>
    </w:p>
    <w:p>
      <w:pPr>
        <w:spacing w:after="0" w:line="207"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and to references to the Pastos Grandes Information, or portions thereof, included or incorporated b reference in the Form 20-F, which is being filed pursuant to the Securities Exchange Act of 1934, a amended, and to the inclusion or incorporation by reference of the information derived from the Pasto Grandes Information related to the undersigned in the Form 20-F. This consent extends to any amendments to the Form 20-F.</w:t>
      </w:r>
    </w:p>
    <w:p>
      <w:pPr>
        <w:spacing w:after="0" w:line="250"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The undersigned also hereby consents to the use of its name in connection with reference to its involvement in the preparation of the Pastos Grandes Information, to references to the Pastos Grande Information, or portions thereof, and to the inclusion or incorporation by reference of the information derived from the Pastos Grandes Information related to the undersigned in the registration statement (No. 333-238142, No. 333-227816, and No. 333-282163) on Form S-8. This consent extends to an amendments to the Form S-8s, including post-effective amendments, and any new Form S-8 registratio statement filed by the Company incorporating by reference the Form 20-F.</w:t>
      </w:r>
    </w:p>
    <w:p>
      <w:pPr>
        <w:spacing w:after="0" w:line="247"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The undersigned further consents to the filing of the Technical Report as an exhibit to the Form 20-F.</w:t>
      </w:r>
    </w:p>
    <w:p>
      <w:pPr>
        <w:spacing w:after="0" w:line="200" w:lineRule="exact"/>
        <w:rPr>
          <w:sz w:val="20"/>
          <w:szCs w:val="20"/>
          <w:color w:val="auto"/>
        </w:rPr>
      </w:pPr>
    </w:p>
    <w:p>
      <w:pPr>
        <w:spacing w:after="0" w:line="26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Atacama Water Consultants</w:t>
      </w:r>
    </w:p>
    <w:p>
      <w:pPr>
        <w:spacing w:after="0" w:line="200" w:lineRule="exact"/>
        <w:rPr>
          <w:sz w:val="20"/>
          <w:szCs w:val="20"/>
          <w:color w:val="auto"/>
        </w:rPr>
      </w:pPr>
    </w:p>
    <w:p>
      <w:pPr>
        <w:spacing w:after="0" w:line="234"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/s/Frederik Reidel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26035</wp:posOffset>
            </wp:positionV>
            <wp:extent cx="2971800" cy="635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40">
                      <a:extLst>
                        <a:ext uri="{28A0092B-C50C-407E-A947-70E740481C1C}"/>
                      </a:extLst>
                    </a:blip>
                    <a:srcRect/>
                    <a:stretch>
                      <a:fillRect/>
                    </a:stretch>
                  </pic:blipFill>
                  <pic:spPr bwMode="auto">
                    <a:xfrm>
                      <a:off x="0" y="0"/>
                      <a:ext cx="2971800" cy="63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60 / 85</w:t>
      </w:r>
    </w:p>
    <w:p>
      <w:pPr>
        <w:sectPr>
          <w:pgSz w:w="11900" w:h="16838" w:orient="portrait"/>
          <w:cols w:equalWidth="0" w:num="1">
            <w:col w:w="10460"/>
          </w:cols>
          <w:pgMar w:left="1440" w:top="1440" w:right="6" w:bottom="0" w:gutter="0" w:footer="0" w:header="0"/>
          <w:type w:val="continuous"/>
        </w:sectPr>
      </w:pPr>
    </w:p>
    <w:bookmarkStart w:id="587" w:name="page588"/>
    <w:bookmarkEnd w:id="587"/>
    <w:p>
      <w:pPr>
        <w:ind w:left="1260"/>
        <w:spacing w:after="0"/>
        <w:rPr>
          <w:sz w:val="20"/>
          <w:szCs w:val="20"/>
          <w:color w:val="auto"/>
        </w:rPr>
      </w:pPr>
      <w:r>
        <w:rPr>
          <w:rFonts w:ascii="Arial" w:cs="Arial" w:eastAsia="Arial" w:hAnsi="Arial"/>
          <w:sz w:val="20"/>
          <w:szCs w:val="20"/>
          <w:color w:val="auto"/>
        </w:rPr>
        <w:t>Name: Frederik Reidel</w:t>
      </w:r>
    </w:p>
    <w:p>
      <w:pPr>
        <w:spacing w:after="0" w:line="79"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1209675</wp:posOffset>
            </wp:positionV>
            <wp:extent cx="6764020" cy="1905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4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026"/>
          </w:cols>
          <w:pgMar w:left="1440" w:top="11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61 / 85</w:t>
      </w:r>
    </w:p>
    <w:p>
      <w:pPr>
        <w:sectPr>
          <w:pgSz w:w="11900" w:h="16838" w:orient="portrait"/>
          <w:cols w:equalWidth="0" w:num="1">
            <w:col w:w="9026"/>
          </w:cols>
          <w:pgMar w:left="1440" w:top="1165" w:right="1440" w:bottom="0" w:gutter="0" w:footer="0" w:header="0"/>
          <w:type w:val="continuous"/>
        </w:sectPr>
      </w:pPr>
    </w:p>
    <w:bookmarkStart w:id="588" w:name="page589"/>
    <w:bookmarkEnd w:id="5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62 / 85</w:t>
      </w:r>
    </w:p>
    <w:p>
      <w:pPr>
        <w:sectPr>
          <w:pgSz w:w="11900" w:h="16838" w:orient="portrait"/>
          <w:cols w:equalWidth="0" w:num="1">
            <w:col w:w="9026"/>
          </w:cols>
          <w:pgMar w:left="1440" w:top="1440" w:right="1440" w:bottom="0" w:gutter="0" w:footer="0" w:header="0"/>
        </w:sectPr>
      </w:pPr>
    </w:p>
    <w:bookmarkStart w:id="589" w:name="page590"/>
    <w:bookmarkEnd w:id="589"/>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15.1</w:t>
      </w:r>
    </w:p>
    <w:p>
      <w:pPr>
        <w:spacing w:after="0" w:line="200" w:lineRule="exact"/>
        <w:rPr>
          <w:sz w:val="20"/>
          <w:szCs w:val="20"/>
          <w:color w:val="auto"/>
        </w:rPr>
      </w:pPr>
    </w:p>
    <w:p>
      <w:pPr>
        <w:spacing w:after="0" w:line="290"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CONSENT OF JAMES WANG</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March 23, 2026</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VIA EDGAR</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United States Securities and Exchange Commission</w:t>
      </w:r>
    </w:p>
    <w:p>
      <w:pPr>
        <w:spacing w:after="0" w:line="342" w:lineRule="exact"/>
        <w:rPr>
          <w:sz w:val="20"/>
          <w:szCs w:val="20"/>
          <w:color w:val="auto"/>
        </w:rPr>
      </w:pPr>
    </w:p>
    <w:p>
      <w:pPr>
        <w:ind w:left="1360"/>
        <w:spacing w:after="0"/>
        <w:tabs>
          <w:tab w:leader="none" w:pos="204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Lithium Argentina AG (the “Company”)</w:t>
      </w:r>
    </w:p>
    <w:p>
      <w:pPr>
        <w:spacing w:after="0" w:line="79" w:lineRule="exact"/>
        <w:rPr>
          <w:sz w:val="20"/>
          <w:szCs w:val="20"/>
          <w:color w:val="auto"/>
        </w:rPr>
      </w:pPr>
    </w:p>
    <w:p>
      <w:pPr>
        <w:ind w:left="2060" w:right="60"/>
        <w:spacing w:after="0" w:line="307" w:lineRule="auto"/>
        <w:rPr>
          <w:sz w:val="20"/>
          <w:szCs w:val="20"/>
          <w:color w:val="auto"/>
        </w:rPr>
      </w:pPr>
      <w:r>
        <w:rPr>
          <w:rFonts w:ascii="Arial" w:cs="Arial" w:eastAsia="Arial" w:hAnsi="Arial"/>
          <w:sz w:val="20"/>
          <w:szCs w:val="20"/>
          <w:b w:val="1"/>
          <w:bCs w:val="1"/>
          <w:color w:val="auto"/>
        </w:rPr>
        <w:t>Annual Report on Form 20-F of the Company for the year ended December 31, 2025 (the “Form 20-F”)</w:t>
      </w:r>
    </w:p>
    <w:p>
      <w:pPr>
        <w:spacing w:after="0" w:line="375" w:lineRule="exact"/>
        <w:rPr>
          <w:sz w:val="20"/>
          <w:szCs w:val="20"/>
          <w:color w:val="auto"/>
        </w:rPr>
      </w:pPr>
    </w:p>
    <w:p>
      <w:pPr>
        <w:ind w:left="1260" w:right="20"/>
        <w:spacing w:after="0" w:line="307" w:lineRule="auto"/>
        <w:rPr>
          <w:sz w:val="20"/>
          <w:szCs w:val="20"/>
          <w:color w:val="auto"/>
        </w:rPr>
      </w:pPr>
      <w:r>
        <w:rPr>
          <w:rFonts w:ascii="Arial" w:cs="Arial" w:eastAsia="Arial" w:hAnsi="Arial"/>
          <w:sz w:val="20"/>
          <w:szCs w:val="20"/>
          <w:color w:val="auto"/>
        </w:rPr>
        <w:t>I, James Wang, hereby consent to the use of my name in connection with reference to my involvement i the preparation and review of the following:</w:t>
      </w:r>
    </w:p>
    <w:p>
      <w:pPr>
        <w:spacing w:after="0" w:line="299" w:lineRule="exact"/>
        <w:rPr>
          <w:sz w:val="20"/>
          <w:szCs w:val="20"/>
          <w:color w:val="auto"/>
        </w:rPr>
      </w:pPr>
    </w:p>
    <w:p>
      <w:pPr>
        <w:ind w:left="1980" w:hanging="366"/>
        <w:spacing w:after="0" w:line="368" w:lineRule="auto"/>
        <w:tabs>
          <w:tab w:leader="none" w:pos="1980" w:val="left"/>
        </w:tabs>
        <w:numPr>
          <w:ilvl w:val="0"/>
          <w:numId w:val="293"/>
        </w:numPr>
        <w:rPr>
          <w:rFonts w:ascii="Arial" w:cs="Arial" w:eastAsia="Arial" w:hAnsi="Arial"/>
          <w:sz w:val="20"/>
          <w:szCs w:val="20"/>
          <w:color w:val="auto"/>
        </w:rPr>
      </w:pPr>
      <w:r>
        <w:rPr>
          <w:rFonts w:ascii="Arial" w:cs="Arial" w:eastAsia="Arial" w:hAnsi="Arial"/>
          <w:sz w:val="20"/>
          <w:szCs w:val="20"/>
          <w:color w:val="auto"/>
        </w:rPr>
        <w:t>the Technical Report titled “S-K 1300 Technical Report - Scoping Study Report at the PPG Salars, Salta Province, Argentina,” effective December 31, 2025 (the “</w:t>
      </w:r>
      <w:r>
        <w:rPr>
          <w:rFonts w:ascii="Arial" w:cs="Arial" w:eastAsia="Arial" w:hAnsi="Arial"/>
          <w:sz w:val="20"/>
          <w:szCs w:val="20"/>
          <w:b w:val="1"/>
          <w:bCs w:val="1"/>
          <w:color w:val="auto"/>
        </w:rPr>
        <w:t>Technical Report</w:t>
      </w:r>
      <w:r>
        <w:rPr>
          <w:rFonts w:ascii="Arial" w:cs="Arial" w:eastAsia="Arial" w:hAnsi="Arial"/>
          <w:sz w:val="20"/>
          <w:szCs w:val="20"/>
          <w:color w:val="auto"/>
        </w:rPr>
        <w:t>”); and</w:t>
      </w:r>
    </w:p>
    <w:p>
      <w:pPr>
        <w:spacing w:after="0" w:line="254" w:lineRule="exact"/>
        <w:rPr>
          <w:rFonts w:ascii="Arial" w:cs="Arial" w:eastAsia="Arial" w:hAnsi="Arial"/>
          <w:sz w:val="20"/>
          <w:szCs w:val="20"/>
          <w:color w:val="auto"/>
        </w:rPr>
      </w:pPr>
    </w:p>
    <w:p>
      <w:pPr>
        <w:jc w:val="both"/>
        <w:ind w:left="1980" w:hanging="366"/>
        <w:spacing w:after="0" w:line="373" w:lineRule="auto"/>
        <w:tabs>
          <w:tab w:leader="none" w:pos="1980" w:val="left"/>
        </w:tabs>
        <w:numPr>
          <w:ilvl w:val="0"/>
          <w:numId w:val="293"/>
        </w:numPr>
        <w:rPr>
          <w:rFonts w:ascii="Arial" w:cs="Arial" w:eastAsia="Arial" w:hAnsi="Arial"/>
          <w:sz w:val="20"/>
          <w:szCs w:val="20"/>
          <w:color w:val="auto"/>
        </w:rPr>
      </w:pPr>
      <w:r>
        <w:rPr>
          <w:rFonts w:ascii="Arial" w:cs="Arial" w:eastAsia="Arial" w:hAnsi="Arial"/>
          <w:sz w:val="20"/>
          <w:szCs w:val="20"/>
          <w:color w:val="auto"/>
        </w:rPr>
        <w:t>the review and approval of the technical and scientific information concerning the PPG Salars an the Technical Report contained in the Form 20-F and the Management’s Discussion &amp; Analysi for the year ended December 31, 2025 being filed by the Company as part of the Form 20-(together with the Technical Report, the “</w:t>
      </w:r>
      <w:r>
        <w:rPr>
          <w:rFonts w:ascii="Arial" w:cs="Arial" w:eastAsia="Arial" w:hAnsi="Arial"/>
          <w:sz w:val="20"/>
          <w:szCs w:val="20"/>
          <w:b w:val="1"/>
          <w:bCs w:val="1"/>
          <w:color w:val="auto"/>
        </w:rPr>
        <w:t>Pastos Grandes Information</w:t>
      </w:r>
      <w:r>
        <w:rPr>
          <w:rFonts w:ascii="Arial" w:cs="Arial" w:eastAsia="Arial" w:hAnsi="Arial"/>
          <w:sz w:val="20"/>
          <w:szCs w:val="20"/>
          <w:color w:val="auto"/>
        </w:rPr>
        <w:t>”);</w:t>
      </w:r>
    </w:p>
    <w:p>
      <w:pPr>
        <w:spacing w:after="0" w:line="207" w:lineRule="exact"/>
        <w:rPr>
          <w:sz w:val="20"/>
          <w:szCs w:val="20"/>
          <w:color w:val="auto"/>
        </w:rPr>
      </w:pPr>
    </w:p>
    <w:p>
      <w:pPr>
        <w:jc w:val="both"/>
        <w:ind w:left="1260" w:right="20"/>
        <w:spacing w:after="0" w:line="313" w:lineRule="auto"/>
        <w:rPr>
          <w:sz w:val="20"/>
          <w:szCs w:val="20"/>
          <w:color w:val="auto"/>
        </w:rPr>
      </w:pPr>
      <w:r>
        <w:rPr>
          <w:rFonts w:ascii="Arial" w:cs="Arial" w:eastAsia="Arial" w:hAnsi="Arial"/>
          <w:sz w:val="20"/>
          <w:szCs w:val="20"/>
          <w:color w:val="auto"/>
        </w:rPr>
        <w:t>and to references to the Pastos Grandes Information, or portions thereof, included or incorporated b reference in the Form 20-F, which is being filed pursuant to the Securities Exchange Act of 1934, a amended, and to the inclusion or incorporation by reference of the information derived from the Pasto Grandes Information related to me in the Form 20-F. This consent extends to any amendments to th Form 20-F.</w:t>
      </w:r>
    </w:p>
    <w:p>
      <w:pPr>
        <w:spacing w:after="0" w:line="250"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I also hereby consent to the use of my name in connection with reference to my involvement in th preparation of the Pastos Grandes Information, to references to the Pastos Grandes Information, o portions thereof, and to the inclusion or incorporation by reference of the information derived from th Pastos Grandes Information related to me in the registration statements (No. 333-238142, No. 333-227816, and No. 333-282163) on Form S-8. This consent extends to any amendments to the Form S-8s, including post-effective amendments, and any new Form S-8 registration statement filed by th Company incorporating by reference the Form 20-F.</w:t>
      </w:r>
    </w:p>
    <w:p>
      <w:pPr>
        <w:spacing w:after="0" w:line="247"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I further consent to the filing of the Technical Report as an exhibit to the Form 20-F.</w:t>
      </w:r>
    </w:p>
    <w:p>
      <w:pPr>
        <w:spacing w:after="0" w:line="200" w:lineRule="exact"/>
        <w:rPr>
          <w:sz w:val="20"/>
          <w:szCs w:val="20"/>
          <w:color w:val="auto"/>
        </w:rPr>
      </w:pPr>
    </w:p>
    <w:p>
      <w:pPr>
        <w:spacing w:after="0" w:line="262"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/s/James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26035</wp:posOffset>
            </wp:positionV>
            <wp:extent cx="2971800" cy="635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42">
                      <a:extLst>
                        <a:ext uri="{28A0092B-C50C-407E-A947-70E740481C1C}"/>
                      </a:extLst>
                    </a:blip>
                    <a:srcRect/>
                    <a:stretch>
                      <a:fillRect/>
                    </a:stretch>
                  </pic:blipFill>
                  <pic:spPr bwMode="auto">
                    <a:xfrm>
                      <a:off x="0" y="0"/>
                      <a:ext cx="2971800" cy="6350"/>
                    </a:xfrm>
                    <a:prstGeom prst="rect">
                      <a:avLst/>
                    </a:prstGeom>
                    <a:noFill/>
                  </pic:spPr>
                </pic:pic>
              </a:graphicData>
            </a:graphic>
          </wp:anchor>
        </w:drawing>
      </w:r>
    </w:p>
    <w:p>
      <w:pPr>
        <w:spacing w:after="0" w:line="8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James Wang, P.E.</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63 / 85</w:t>
      </w:r>
    </w:p>
    <w:p>
      <w:pPr>
        <w:sectPr>
          <w:pgSz w:w="11900" w:h="16838" w:orient="portrait"/>
          <w:cols w:equalWidth="0" w:num="1">
            <w:col w:w="10460"/>
          </w:cols>
          <w:pgMar w:left="1440" w:top="1440" w:right="6" w:bottom="0" w:gutter="0" w:footer="0" w:header="0"/>
          <w:type w:val="continuous"/>
        </w:sectPr>
      </w:pPr>
    </w:p>
    <w:bookmarkStart w:id="590" w:name="page591"/>
    <w:bookmarkEnd w:id="5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1710690</wp:posOffset>
            </wp:positionV>
            <wp:extent cx="6764020" cy="1905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4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64 / 85</w:t>
      </w:r>
    </w:p>
    <w:p>
      <w:pPr>
        <w:sectPr>
          <w:pgSz w:w="11900" w:h="16838" w:orient="portrait"/>
          <w:cols w:equalWidth="0" w:num="1">
            <w:col w:w="9026"/>
          </w:cols>
          <w:pgMar w:left="1440" w:top="1440" w:right="1440" w:bottom="0" w:gutter="0" w:footer="0" w:header="0"/>
        </w:sectPr>
      </w:pPr>
    </w:p>
    <w:bookmarkStart w:id="591" w:name="page592"/>
    <w:bookmarkEnd w:id="5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65 / 85</w:t>
      </w:r>
    </w:p>
    <w:p>
      <w:pPr>
        <w:sectPr>
          <w:pgSz w:w="11900" w:h="16838" w:orient="portrait"/>
          <w:cols w:equalWidth="0" w:num="1">
            <w:col w:w="9026"/>
          </w:cols>
          <w:pgMar w:left="1440" w:top="1440" w:right="1440" w:bottom="0" w:gutter="0" w:footer="0" w:header="0"/>
        </w:sectPr>
      </w:pPr>
    </w:p>
    <w:bookmarkStart w:id="592" w:name="page593"/>
    <w:bookmarkEnd w:id="592"/>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15.1</w:t>
      </w:r>
    </w:p>
    <w:p>
      <w:pPr>
        <w:spacing w:after="0" w:line="200" w:lineRule="exact"/>
        <w:rPr>
          <w:sz w:val="20"/>
          <w:szCs w:val="20"/>
          <w:color w:val="auto"/>
        </w:rPr>
      </w:pPr>
    </w:p>
    <w:p>
      <w:pPr>
        <w:spacing w:after="0" w:line="290"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CONSENT OF WSP GOLDER</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March 23, 2026</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VIA EDGAR</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United States Securities and Exchange Commission</w:t>
      </w:r>
    </w:p>
    <w:p>
      <w:pPr>
        <w:spacing w:after="0" w:line="342" w:lineRule="exact"/>
        <w:rPr>
          <w:sz w:val="20"/>
          <w:szCs w:val="20"/>
          <w:color w:val="auto"/>
        </w:rPr>
      </w:pPr>
    </w:p>
    <w:p>
      <w:pPr>
        <w:ind w:left="1360"/>
        <w:spacing w:after="0"/>
        <w:tabs>
          <w:tab w:leader="none" w:pos="204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Lithium Argentina AG (the “Company”)</w:t>
      </w:r>
    </w:p>
    <w:p>
      <w:pPr>
        <w:spacing w:after="0" w:line="79" w:lineRule="exact"/>
        <w:rPr>
          <w:sz w:val="20"/>
          <w:szCs w:val="20"/>
          <w:color w:val="auto"/>
        </w:rPr>
      </w:pPr>
    </w:p>
    <w:p>
      <w:pPr>
        <w:ind w:left="2060" w:right="60"/>
        <w:spacing w:after="0" w:line="307" w:lineRule="auto"/>
        <w:rPr>
          <w:sz w:val="20"/>
          <w:szCs w:val="20"/>
          <w:color w:val="auto"/>
        </w:rPr>
      </w:pPr>
      <w:r>
        <w:rPr>
          <w:rFonts w:ascii="Arial" w:cs="Arial" w:eastAsia="Arial" w:hAnsi="Arial"/>
          <w:sz w:val="20"/>
          <w:szCs w:val="20"/>
          <w:b w:val="1"/>
          <w:bCs w:val="1"/>
          <w:color w:val="auto"/>
        </w:rPr>
        <w:t>Annual Report on Form 20-F of the Company for the year ended December 31, 2025 (the “Form 20-F”)</w:t>
      </w:r>
    </w:p>
    <w:p>
      <w:pPr>
        <w:spacing w:after="0" w:line="375" w:lineRule="exact"/>
        <w:rPr>
          <w:sz w:val="20"/>
          <w:szCs w:val="20"/>
          <w:color w:val="auto"/>
        </w:rPr>
      </w:pPr>
    </w:p>
    <w:p>
      <w:pPr>
        <w:ind w:left="1260" w:right="20"/>
        <w:spacing w:after="0" w:line="307" w:lineRule="auto"/>
        <w:rPr>
          <w:sz w:val="20"/>
          <w:szCs w:val="20"/>
          <w:color w:val="auto"/>
        </w:rPr>
      </w:pPr>
      <w:r>
        <w:rPr>
          <w:rFonts w:ascii="Arial" w:cs="Arial" w:eastAsia="Arial" w:hAnsi="Arial"/>
          <w:sz w:val="20"/>
          <w:szCs w:val="20"/>
          <w:color w:val="auto"/>
        </w:rPr>
        <w:t>Golder Associates (Golder) hereby consents to the use of its name in connection with reference to it involvement in the preparation of the following technical report (the “</w:t>
      </w:r>
      <w:r>
        <w:rPr>
          <w:rFonts w:ascii="Arial" w:cs="Arial" w:eastAsia="Arial" w:hAnsi="Arial"/>
          <w:sz w:val="20"/>
          <w:szCs w:val="20"/>
          <w:b w:val="1"/>
          <w:bCs w:val="1"/>
          <w:color w:val="auto"/>
        </w:rPr>
        <w:t>Technical Report</w:t>
      </w:r>
      <w:r>
        <w:rPr>
          <w:rFonts w:ascii="Arial" w:cs="Arial" w:eastAsia="Arial" w:hAnsi="Arial"/>
          <w:sz w:val="20"/>
          <w:szCs w:val="20"/>
          <w:color w:val="auto"/>
        </w:rPr>
        <w:t>”):</w:t>
      </w:r>
    </w:p>
    <w:p>
      <w:pPr>
        <w:spacing w:after="0" w:line="299" w:lineRule="exact"/>
        <w:rPr>
          <w:sz w:val="20"/>
          <w:szCs w:val="20"/>
          <w:color w:val="auto"/>
        </w:rPr>
      </w:pPr>
    </w:p>
    <w:p>
      <w:pPr>
        <w:ind w:left="1980" w:hanging="366"/>
        <w:spacing w:after="0" w:line="368" w:lineRule="auto"/>
        <w:tabs>
          <w:tab w:leader="none" w:pos="198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Technical Report titled “S-K 1300 Technical Report - Scoping Study Report at the PPG Salars Salta Province, Argentina,” effective December 31, 2025;</w:t>
      </w:r>
    </w:p>
    <w:p>
      <w:pPr>
        <w:spacing w:after="0" w:line="254" w:lineRule="exact"/>
        <w:rPr>
          <w:rFonts w:ascii="Arial" w:cs="Arial" w:eastAsia="Arial" w:hAnsi="Arial"/>
          <w:sz w:val="20"/>
          <w:szCs w:val="20"/>
          <w:color w:val="auto"/>
        </w:rPr>
      </w:pPr>
    </w:p>
    <w:p>
      <w:pPr>
        <w:jc w:val="both"/>
        <w:ind w:left="1980" w:hanging="366"/>
        <w:spacing w:after="0" w:line="373" w:lineRule="auto"/>
        <w:tabs>
          <w:tab w:leader="none" w:pos="198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the review and approval of the technical and scientific information concerning the PPG Salar contained in the Management’s Discussion &amp; Analysis for the year ended December 31, 202 being filed by the Company as part of the Form 20-F (together with the Technical Report, the “</w:t>
      </w:r>
      <w:r>
        <w:rPr>
          <w:rFonts w:ascii="Arial" w:cs="Arial" w:eastAsia="Arial" w:hAnsi="Arial"/>
          <w:sz w:val="20"/>
          <w:szCs w:val="20"/>
          <w:b w:val="1"/>
          <w:bCs w:val="1"/>
          <w:color w:val="auto"/>
        </w:rPr>
        <w:t>The Pastos Grandes Information</w:t>
      </w:r>
      <w:r>
        <w:rPr>
          <w:rFonts w:ascii="Arial" w:cs="Arial" w:eastAsia="Arial" w:hAnsi="Arial"/>
          <w:sz w:val="20"/>
          <w:szCs w:val="20"/>
          <w:color w:val="auto"/>
        </w:rPr>
        <w:t>”)</w:t>
      </w:r>
    </w:p>
    <w:p>
      <w:pPr>
        <w:spacing w:after="0" w:line="207"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and to references to the Pastos Grandes Information, or portions thereof, included or incorporated b reference in the Form 20-F, which is being filed pursuant to the Securities Exchange Act of 1934, a amended, and to the inclusion or incorporation by reference of the information derived from the Pasto Grandes Information related to the undersigned in the Form 20-F. This consent extends to any amendments to the Form 20-F.</w:t>
      </w:r>
    </w:p>
    <w:p>
      <w:pPr>
        <w:spacing w:after="0" w:line="250"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The undersigned also hereby consents to the use of its name in connection with reference to its involvement in the preparation of the Pastos Grandes Information, to references to the Pastos Grande Information, or portions thereof, and to the inclusion or incorporation by reference of the information derived from the Pastos Grandes Information related to the undersigned in the registration statement (No. 333-238142, No. 333-227816, and No. 333-282163) on Form S-8. This consent extends to an amendments to the Form S-8s, including post-effective amendments, and any new Form S-8 registratio statement filed by the Company incorporating by reference the Form 20-F.</w:t>
      </w:r>
    </w:p>
    <w:p>
      <w:pPr>
        <w:spacing w:after="0" w:line="247"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The undersigned further consents to the filing of the Technical Report as an exhibit to the Form 20-F.</w:t>
      </w:r>
    </w:p>
    <w:p>
      <w:pPr>
        <w:spacing w:after="0" w:line="200" w:lineRule="exact"/>
        <w:rPr>
          <w:sz w:val="20"/>
          <w:szCs w:val="20"/>
          <w:color w:val="auto"/>
        </w:rPr>
      </w:pPr>
    </w:p>
    <w:p>
      <w:pPr>
        <w:spacing w:after="0" w:line="26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Golder Associates (Golder)</w:t>
      </w:r>
    </w:p>
    <w:p>
      <w:pPr>
        <w:spacing w:after="0" w:line="200" w:lineRule="exact"/>
        <w:rPr>
          <w:sz w:val="20"/>
          <w:szCs w:val="20"/>
          <w:color w:val="auto"/>
        </w:rPr>
      </w:pPr>
    </w:p>
    <w:p>
      <w:pPr>
        <w:spacing w:after="0" w:line="234"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/s/James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26035</wp:posOffset>
            </wp:positionV>
            <wp:extent cx="2971800" cy="635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44">
                      <a:extLst>
                        <a:ext uri="{28A0092B-C50C-407E-A947-70E740481C1C}"/>
                      </a:extLst>
                    </a:blip>
                    <a:srcRect/>
                    <a:stretch>
                      <a:fillRect/>
                    </a:stretch>
                  </pic:blipFill>
                  <pic:spPr bwMode="auto">
                    <a:xfrm>
                      <a:off x="0" y="0"/>
                      <a:ext cx="2971800" cy="63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66 / 85</w:t>
      </w:r>
    </w:p>
    <w:p>
      <w:pPr>
        <w:sectPr>
          <w:pgSz w:w="11900" w:h="16838" w:orient="portrait"/>
          <w:cols w:equalWidth="0" w:num="1">
            <w:col w:w="10460"/>
          </w:cols>
          <w:pgMar w:left="1440" w:top="1440" w:right="6" w:bottom="0" w:gutter="0" w:footer="0" w:header="0"/>
          <w:type w:val="continuous"/>
        </w:sectPr>
      </w:pPr>
    </w:p>
    <w:bookmarkStart w:id="593" w:name="page594"/>
    <w:bookmarkEnd w:id="593"/>
    <w:p>
      <w:pPr>
        <w:ind w:left="1260"/>
        <w:spacing w:after="0"/>
        <w:rPr>
          <w:sz w:val="20"/>
          <w:szCs w:val="20"/>
          <w:color w:val="auto"/>
        </w:rPr>
      </w:pPr>
      <w:r>
        <w:rPr>
          <w:rFonts w:ascii="Arial" w:cs="Arial" w:eastAsia="Arial" w:hAnsi="Arial"/>
          <w:sz w:val="20"/>
          <w:szCs w:val="20"/>
          <w:color w:val="auto"/>
        </w:rPr>
        <w:t>Name: James Wang, P.E.</w:t>
      </w:r>
    </w:p>
    <w:p>
      <w:pPr>
        <w:spacing w:after="0" w:line="79"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Title: Director and Executive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1209675</wp:posOffset>
            </wp:positionV>
            <wp:extent cx="6764020" cy="1905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4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026"/>
          </w:cols>
          <w:pgMar w:left="1440" w:top="11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67 / 85</w:t>
      </w:r>
    </w:p>
    <w:p>
      <w:pPr>
        <w:sectPr>
          <w:pgSz w:w="11900" w:h="16838" w:orient="portrait"/>
          <w:cols w:equalWidth="0" w:num="1">
            <w:col w:w="9026"/>
          </w:cols>
          <w:pgMar w:left="1440" w:top="1165" w:right="1440" w:bottom="0" w:gutter="0" w:footer="0" w:header="0"/>
          <w:type w:val="continuous"/>
        </w:sectPr>
      </w:pPr>
    </w:p>
    <w:bookmarkStart w:id="594" w:name="page595"/>
    <w:bookmarkEnd w:id="5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68 / 85</w:t>
      </w:r>
    </w:p>
    <w:p>
      <w:pPr>
        <w:sectPr>
          <w:pgSz w:w="11900" w:h="16838" w:orient="portrait"/>
          <w:cols w:equalWidth="0" w:num="1">
            <w:col w:w="9026"/>
          </w:cols>
          <w:pgMar w:left="1440" w:top="1440" w:right="1440" w:bottom="0" w:gutter="0" w:footer="0" w:header="0"/>
        </w:sectPr>
      </w:pPr>
    </w:p>
    <w:bookmarkStart w:id="595" w:name="page596"/>
    <w:bookmarkEnd w:id="5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19" w:lineRule="exact"/>
        <w:rPr>
          <w:sz w:val="20"/>
          <w:szCs w:val="20"/>
          <w:color w:val="auto"/>
        </w:rPr>
      </w:pPr>
    </w:p>
    <w:p>
      <w:pPr>
        <w:jc w:val="both"/>
        <w:ind w:left="1800"/>
        <w:spacing w:after="0" w:line="282" w:lineRule="exact"/>
        <w:rPr>
          <w:sz w:val="20"/>
          <w:szCs w:val="20"/>
          <w:color w:val="auto"/>
        </w:rPr>
      </w:pPr>
      <w:r>
        <w:rPr>
          <w:rFonts w:ascii="Arial" w:cs="Arial" w:eastAsia="Arial" w:hAnsi="Arial"/>
          <w:sz w:val="20"/>
          <w:szCs w:val="20"/>
          <w:color w:val="auto"/>
        </w:rPr>
        <w:t>We hereby consent to the incorporation by reference in the registration statements on Form S</w:t>
      </w:r>
      <w:r>
        <w:rPr>
          <w:rFonts w:ascii="MS PMincho" w:cs="MS PMincho" w:eastAsia="MS PMincho" w:hAnsi="MS PMincho"/>
          <w:sz w:val="20"/>
          <w:szCs w:val="20"/>
          <w:color w:val="auto"/>
        </w:rPr>
        <w:t>‑</w:t>
      </w:r>
      <w:r>
        <w:rPr>
          <w:rFonts w:ascii="Arial" w:cs="Arial" w:eastAsia="Arial" w:hAnsi="Arial"/>
          <w:sz w:val="20"/>
          <w:szCs w:val="20"/>
          <w:color w:val="auto"/>
        </w:rPr>
        <w:t>8 (N 333-238142, No. 333-227816, No. 333</w:t>
      </w:r>
      <w:r>
        <w:rPr>
          <w:rFonts w:ascii="MS PMincho" w:cs="MS PMincho" w:eastAsia="MS PMincho" w:hAnsi="MS PMincho"/>
          <w:sz w:val="20"/>
          <w:szCs w:val="20"/>
          <w:color w:val="auto"/>
        </w:rPr>
        <w:t>‑</w:t>
      </w:r>
      <w:r>
        <w:rPr>
          <w:rFonts w:ascii="Arial" w:cs="Arial" w:eastAsia="Arial" w:hAnsi="Arial"/>
          <w:sz w:val="20"/>
          <w:szCs w:val="20"/>
          <w:color w:val="auto"/>
        </w:rPr>
        <w:t>282163) of Lithium Argentina AG of our report dated March 2026, relating to the financial statements and the effectiveness of internal control over financial rep of</w:t>
      </w:r>
    </w:p>
    <w:p>
      <w:pPr>
        <w:spacing w:after="0" w:line="74"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Lithium Argentina AG (formerly Lithium Americas (Argentina) Corp.), which appears in this Form 2</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/s/PricewaterhouseCoopers LLP</w:t>
      </w:r>
    </w:p>
    <w:p>
      <w:pPr>
        <w:spacing w:after="0" w:line="200" w:lineRule="exact"/>
        <w:rPr>
          <w:sz w:val="20"/>
          <w:szCs w:val="20"/>
          <w:color w:val="auto"/>
        </w:rPr>
      </w:pPr>
    </w:p>
    <w:p>
      <w:pPr>
        <w:spacing w:after="0" w:line="201"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Chartered Professional Accountants</w:t>
      </w:r>
    </w:p>
    <w:p>
      <w:pPr>
        <w:spacing w:after="0" w:line="86"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Vancouver, Canada</w:t>
      </w:r>
    </w:p>
    <w:p>
      <w:pPr>
        <w:spacing w:after="0" w:line="7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1572895</wp:posOffset>
            </wp:positionV>
            <wp:extent cx="6764020" cy="1905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4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69 / 85</w:t>
      </w:r>
    </w:p>
    <w:p>
      <w:pPr>
        <w:sectPr>
          <w:pgSz w:w="11900" w:h="16838" w:orient="portrait"/>
          <w:cols w:equalWidth="0" w:num="1">
            <w:col w:w="10460"/>
          </w:cols>
          <w:pgMar w:left="1440" w:top="1440" w:right="6" w:bottom="0" w:gutter="0" w:footer="0" w:header="0"/>
          <w:type w:val="continuous"/>
        </w:sectPr>
      </w:pPr>
    </w:p>
    <w:bookmarkStart w:id="596" w:name="page597"/>
    <w:bookmarkEnd w:id="5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70 / 85</w:t>
      </w:r>
    </w:p>
    <w:p>
      <w:pPr>
        <w:sectPr>
          <w:pgSz w:w="11900" w:h="16838" w:orient="portrait"/>
          <w:cols w:equalWidth="0" w:num="1">
            <w:col w:w="9026"/>
          </w:cols>
          <w:pgMar w:left="1440" w:top="1440" w:right="1440" w:bottom="0" w:gutter="0" w:footer="0" w:header="0"/>
        </w:sectPr>
      </w:pPr>
    </w:p>
    <w:bookmarkStart w:id="597" w:name="page598"/>
    <w:bookmarkEnd w:id="5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71 / 85</w:t>
      </w:r>
    </w:p>
    <w:p>
      <w:pPr>
        <w:sectPr>
          <w:pgSz w:w="11900" w:h="16838" w:orient="portrait"/>
          <w:cols w:equalWidth="0" w:num="1">
            <w:col w:w="9026"/>
          </w:cols>
          <w:pgMar w:left="1440" w:top="1440" w:right="1440" w:bottom="0" w:gutter="0" w:footer="0" w:header="0"/>
        </w:sectPr>
      </w:pPr>
    </w:p>
    <w:bookmarkStart w:id="598" w:name="page599"/>
    <w:bookmarkEnd w:id="5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1067435</wp:posOffset>
            </wp:positionH>
            <wp:positionV relativeFrom="page">
              <wp:posOffset>991235</wp:posOffset>
            </wp:positionV>
            <wp:extent cx="1503680" cy="96901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7">
                      <a:clrChange>
                        <a:clrFrom>
                          <a:srgbClr val="FFFFFF"/>
                        </a:clrFrom>
                        <a:clrTo>
                          <a:srgbClr val="FFFFFF">
                            <a:alpha val="0"/>
                          </a:srgbClr>
                        </a:clrTo>
                      </a:clrChange>
                      <a:extLst>
                        <a:ext uri="{28A0092B-C50C-407E-A947-70E740481C1C}"/>
                      </a:extLst>
                    </a:blip>
                    <a:srcRect/>
                    <a:stretch>
                      <a:fillRect/>
                    </a:stretch>
                  </pic:blipFill>
                  <pic:spPr bwMode="auto">
                    <a:xfrm>
                      <a:off x="0" y="0"/>
                      <a:ext cx="150368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CONSENT OF INDEPENDENT AUDITORS</w:t>
      </w:r>
    </w:p>
    <w:p>
      <w:pPr>
        <w:spacing w:after="0" w:line="381" w:lineRule="exact"/>
        <w:rPr>
          <w:sz w:val="20"/>
          <w:szCs w:val="20"/>
          <w:color w:val="auto"/>
        </w:rPr>
      </w:pPr>
    </w:p>
    <w:p>
      <w:pPr>
        <w:jc w:val="both"/>
        <w:ind w:left="680"/>
        <w:spacing w:after="0" w:line="311" w:lineRule="auto"/>
        <w:rPr>
          <w:sz w:val="20"/>
          <w:szCs w:val="20"/>
          <w:color w:val="auto"/>
        </w:rPr>
      </w:pPr>
      <w:r>
        <w:rPr>
          <w:rFonts w:ascii="Arial" w:cs="Arial" w:eastAsia="Arial" w:hAnsi="Arial"/>
          <w:sz w:val="20"/>
          <w:szCs w:val="20"/>
          <w:color w:val="auto"/>
        </w:rPr>
        <w:t>We hereby consent to the incorporation by reference in the Registration Statements on Form S-8 No. 333-227816, No. 333-282163) of Lithium Argentina AG of our report dated March 20, 2026 r statements of Minera Exar S.A., which appears in this Form 20-F.</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80"/>
        <w:spacing w:after="0"/>
        <w:rPr>
          <w:sz w:val="20"/>
          <w:szCs w:val="20"/>
          <w:color w:val="auto"/>
        </w:rPr>
      </w:pPr>
      <w:r>
        <w:rPr>
          <w:rFonts w:ascii="Arial" w:cs="Arial" w:eastAsia="Arial" w:hAnsi="Arial"/>
          <w:sz w:val="20"/>
          <w:szCs w:val="20"/>
          <w:color w:val="auto"/>
        </w:rPr>
        <w:t>/s/ PRICE WATERHOUSE &amp; CO. S.R.L.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80"/>
        <w:spacing w:after="0"/>
        <w:rPr>
          <w:sz w:val="20"/>
          <w:szCs w:val="20"/>
          <w:color w:val="auto"/>
        </w:rPr>
      </w:pPr>
      <w:r>
        <w:rPr>
          <w:rFonts w:ascii="Arial" w:cs="Arial" w:eastAsia="Arial" w:hAnsi="Arial"/>
          <w:sz w:val="20"/>
          <w:szCs w:val="20"/>
          <w:color w:val="auto"/>
        </w:rPr>
        <w:t>------------------------------------------------------------------------</w:t>
      </w:r>
    </w:p>
    <w:p>
      <w:pPr>
        <w:spacing w:after="0" w:line="72" w:lineRule="exact"/>
        <w:rPr>
          <w:sz w:val="20"/>
          <w:szCs w:val="20"/>
          <w:color w:val="auto"/>
        </w:rPr>
      </w:pPr>
    </w:p>
    <w:p>
      <w:pPr>
        <w:ind w:left="680"/>
        <w:spacing w:after="0"/>
        <w:rPr>
          <w:sz w:val="20"/>
          <w:szCs w:val="20"/>
          <w:color w:val="auto"/>
        </w:rPr>
      </w:pPr>
      <w:r>
        <w:rPr>
          <w:rFonts w:ascii="Arial" w:cs="Arial" w:eastAsia="Arial" w:hAnsi="Arial"/>
          <w:sz w:val="20"/>
          <w:szCs w:val="20"/>
          <w:color w:val="auto"/>
        </w:rPr>
        <w:t>/s/ Juan Manuel Gallego Tinto</w:t>
      </w:r>
    </w:p>
    <w:p>
      <w:pPr>
        <w:spacing w:after="0" w:line="72" w:lineRule="exact"/>
        <w:rPr>
          <w:sz w:val="20"/>
          <w:szCs w:val="20"/>
          <w:color w:val="auto"/>
        </w:rPr>
      </w:pPr>
    </w:p>
    <w:p>
      <w:pPr>
        <w:ind w:left="680"/>
        <w:spacing w:after="0"/>
        <w:rPr>
          <w:sz w:val="20"/>
          <w:szCs w:val="20"/>
          <w:color w:val="auto"/>
        </w:rPr>
      </w:pPr>
      <w:r>
        <w:rPr>
          <w:rFonts w:ascii="Arial" w:cs="Arial" w:eastAsia="Arial" w:hAnsi="Arial"/>
          <w:sz w:val="20"/>
          <w:szCs w:val="20"/>
          <w:color w:val="auto"/>
        </w:rPr>
        <w:t>Buenos Aires, Argentina</w:t>
      </w:r>
    </w:p>
    <w:p>
      <w:pPr>
        <w:spacing w:after="0" w:line="72" w:lineRule="exact"/>
        <w:rPr>
          <w:sz w:val="20"/>
          <w:szCs w:val="20"/>
          <w:color w:val="auto"/>
        </w:rPr>
      </w:pPr>
    </w:p>
    <w:p>
      <w:pPr>
        <w:ind w:left="680"/>
        <w:spacing w:after="0"/>
        <w:rPr>
          <w:sz w:val="20"/>
          <w:szCs w:val="20"/>
          <w:color w:val="auto"/>
        </w:rPr>
      </w:pPr>
      <w:r>
        <w:rPr>
          <w:rFonts w:ascii="Arial" w:cs="Arial" w:eastAsia="Arial" w:hAnsi="Arial"/>
          <w:sz w:val="20"/>
          <w:szCs w:val="20"/>
          <w:color w:val="auto"/>
        </w:rPr>
        <w:t>March 23, 2026</w:t>
      </w:r>
    </w:p>
    <w:p>
      <w:pPr>
        <w:spacing w:after="0" w:line="381" w:lineRule="exact"/>
        <w:rPr>
          <w:sz w:val="20"/>
          <w:szCs w:val="20"/>
          <w:color w:val="auto"/>
        </w:rPr>
      </w:pPr>
    </w:p>
    <w:p>
      <w:pPr>
        <w:ind w:left="680" w:right="20"/>
        <w:spacing w:after="0" w:line="307" w:lineRule="auto"/>
        <w:rPr>
          <w:sz w:val="20"/>
          <w:szCs w:val="20"/>
          <w:color w:val="auto"/>
        </w:rPr>
      </w:pPr>
      <w:r>
        <w:rPr>
          <w:rFonts w:ascii="Arial" w:cs="Arial" w:eastAsia="Arial" w:hAnsi="Arial"/>
          <w:sz w:val="20"/>
          <w:szCs w:val="20"/>
          <w:color w:val="auto"/>
        </w:rPr>
        <w:t>Price Waterhouse &amp; Co. S.R.L., Bouchard 557, 8th floor, C1106ABG - Autonomous City of Buen T: +(54.11) 4850.0000, www.pwc.com/ar</w:t>
      </w:r>
    </w:p>
    <w:p>
      <w:pPr>
        <w:spacing w:after="0" w:line="200" w:lineRule="exact"/>
        <w:rPr>
          <w:sz w:val="20"/>
          <w:szCs w:val="20"/>
          <w:color w:val="auto"/>
        </w:rPr>
      </w:pPr>
    </w:p>
    <w:p>
      <w:pPr>
        <w:spacing w:after="0" w:line="390" w:lineRule="exact"/>
        <w:rPr>
          <w:sz w:val="20"/>
          <w:szCs w:val="20"/>
          <w:color w:val="auto"/>
        </w:rPr>
      </w:pPr>
    </w:p>
    <w:p>
      <w:pPr>
        <w:ind w:left="5800"/>
        <w:spacing w:after="0"/>
        <w:rPr>
          <w:sz w:val="20"/>
          <w:szCs w:val="20"/>
          <w:color w:val="auto"/>
        </w:rPr>
      </w:pPr>
      <w:r>
        <w:rPr>
          <w:rFonts w:ascii="Georgia" w:cs="Georgia" w:eastAsia="Georgia" w:hAnsi="Georgia"/>
          <w:sz w:val="15"/>
          <w:szCs w:val="15"/>
          <w:color w:val="auto"/>
        </w:rPr>
        <w:t>Price Waterhouse &amp; Co. S.R.L., Bouchard 557, 8</w:t>
      </w:r>
      <w:r>
        <w:rPr>
          <w:rFonts w:ascii="Georgia" w:cs="Georgia" w:eastAsia="Georgia" w:hAnsi="Georgia"/>
          <w:sz w:val="20"/>
          <w:szCs w:val="20"/>
          <w:color w:val="auto"/>
          <w:vertAlign w:val="superscript"/>
        </w:rPr>
        <w:t>t</w:t>
      </w:r>
    </w:p>
    <w:p>
      <w:pPr>
        <w:ind w:left="820"/>
        <w:spacing w:after="0" w:line="212" w:lineRule="auto"/>
        <w:tabs>
          <w:tab w:leader="none" w:pos="5780" w:val="left"/>
        </w:tabs>
        <w:rPr>
          <w:sz w:val="20"/>
          <w:szCs w:val="20"/>
          <w:color w:val="auto"/>
        </w:rPr>
      </w:pPr>
      <w:r>
        <w:rPr>
          <w:rFonts w:ascii="Georgia" w:cs="Georgia" w:eastAsia="Georgia" w:hAnsi="Georgia"/>
          <w:sz w:val="18"/>
          <w:szCs w:val="18"/>
          <w:b w:val="1"/>
          <w:bCs w:val="1"/>
          <w:color w:val="auto"/>
        </w:rPr>
        <w:t>www.pwc.com.ar</w:t>
      </w:r>
      <w:r>
        <w:rPr>
          <w:sz w:val="20"/>
          <w:szCs w:val="20"/>
          <w:color w:val="auto"/>
        </w:rPr>
        <w:tab/>
      </w:r>
      <w:r>
        <w:rPr>
          <w:rFonts w:ascii="Georgia" w:cs="Georgia" w:eastAsia="Georgia" w:hAnsi="Georgia"/>
          <w:sz w:val="16"/>
          <w:szCs w:val="16"/>
          <w:color w:val="auto"/>
        </w:rPr>
        <w:t>Autonomous City of Buenos Aires, Argentina, T:</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72 / 85</w:t>
      </w:r>
    </w:p>
    <w:p>
      <w:pPr>
        <w:sectPr>
          <w:pgSz w:w="11900" w:h="16838" w:orient="portrait"/>
          <w:cols w:equalWidth="0" w:num="1">
            <w:col w:w="9220"/>
          </w:cols>
          <w:pgMar w:left="1440" w:top="1440" w:right="1246" w:bottom="0" w:gutter="0" w:footer="0" w:header="0"/>
          <w:type w:val="continuous"/>
        </w:sectPr>
      </w:pPr>
    </w:p>
    <w:bookmarkStart w:id="599" w:name="page600"/>
    <w:bookmarkEnd w:id="5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6764020" cy="1905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73 / 85</w:t>
      </w:r>
    </w:p>
    <w:p>
      <w:pPr>
        <w:sectPr>
          <w:pgSz w:w="11900" w:h="16838" w:orient="portrait"/>
          <w:cols w:equalWidth="0" w:num="1">
            <w:col w:w="9026"/>
          </w:cols>
          <w:pgMar w:left="1440" w:top="1440" w:right="1440" w:bottom="0" w:gutter="0" w:footer="0" w:header="0"/>
        </w:sectPr>
      </w:pPr>
    </w:p>
    <w:bookmarkStart w:id="600" w:name="page601"/>
    <w:bookmarkEnd w:id="6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74 / 85</w:t>
      </w:r>
    </w:p>
    <w:p>
      <w:pPr>
        <w:sectPr>
          <w:pgSz w:w="11900" w:h="16838" w:orient="portrait"/>
          <w:cols w:equalWidth="0" w:num="1">
            <w:col w:w="9026"/>
          </w:cols>
          <w:pgMar w:left="1440" w:top="1440" w:right="1440" w:bottom="0" w:gutter="0" w:footer="0" w:header="0"/>
        </w:sectPr>
      </w:pPr>
    </w:p>
    <w:bookmarkStart w:id="601" w:name="page602"/>
    <w:bookmarkEnd w:id="6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181818"/>
        </w:rPr>
        <w:t>Exhibit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180"/>
        <w:spacing w:after="0"/>
        <w:rPr>
          <w:sz w:val="20"/>
          <w:szCs w:val="20"/>
          <w:color w:val="auto"/>
        </w:rPr>
      </w:pPr>
      <w:r>
        <w:rPr>
          <w:rFonts w:ascii="Arial" w:cs="Arial" w:eastAsia="Arial" w:hAnsi="Arial"/>
          <w:sz w:val="28"/>
          <w:szCs w:val="28"/>
          <w:b w:val="1"/>
          <w:bCs w:val="1"/>
          <w:color w:val="auto"/>
        </w:rPr>
        <w:t>Minera Exar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3580"/>
        <w:spacing w:after="0"/>
        <w:rPr>
          <w:sz w:val="20"/>
          <w:szCs w:val="20"/>
          <w:color w:val="auto"/>
        </w:rPr>
      </w:pPr>
      <w:r>
        <w:rPr>
          <w:rFonts w:ascii="Arial" w:cs="Arial" w:eastAsia="Arial" w:hAnsi="Arial"/>
          <w:sz w:val="24"/>
          <w:szCs w:val="24"/>
          <w:b w:val="1"/>
          <w:bCs w:val="1"/>
          <w:color w:val="auto"/>
        </w:rPr>
        <w:t>Annual Financial Statements</w:t>
      </w:r>
    </w:p>
    <w:p>
      <w:pPr>
        <w:spacing w:after="0" w:line="84" w:lineRule="exact"/>
        <w:rPr>
          <w:sz w:val="20"/>
          <w:szCs w:val="20"/>
          <w:color w:val="auto"/>
        </w:rPr>
      </w:pPr>
    </w:p>
    <w:p>
      <w:pPr>
        <w:ind w:left="4200"/>
        <w:spacing w:after="0"/>
        <w:rPr>
          <w:sz w:val="20"/>
          <w:szCs w:val="20"/>
          <w:color w:val="auto"/>
        </w:rPr>
      </w:pPr>
      <w:r>
        <w:rPr>
          <w:rFonts w:ascii="Arial" w:cs="Arial" w:eastAsia="Arial" w:hAnsi="Arial"/>
          <w:sz w:val="24"/>
          <w:szCs w:val="24"/>
          <w:color w:val="auto"/>
        </w:rPr>
        <w:t>For the year ended December 31, 2025</w:t>
      </w:r>
    </w:p>
    <w:p>
      <w:pPr>
        <w:spacing w:after="0" w:line="84" w:lineRule="exact"/>
        <w:rPr>
          <w:sz w:val="20"/>
          <w:szCs w:val="20"/>
          <w:color w:val="auto"/>
        </w:rPr>
      </w:pPr>
    </w:p>
    <w:p>
      <w:pPr>
        <w:ind w:left="4200"/>
        <w:spacing w:after="0"/>
        <w:rPr>
          <w:sz w:val="20"/>
          <w:szCs w:val="20"/>
          <w:color w:val="auto"/>
        </w:rPr>
      </w:pPr>
      <w:r>
        <w:rPr>
          <w:rFonts w:ascii="Arial" w:cs="Arial" w:eastAsia="Arial" w:hAnsi="Arial"/>
          <w:sz w:val="24"/>
          <w:szCs w:val="24"/>
          <w:color w:val="auto"/>
        </w:rPr>
        <w:t>(Expressed in thousands of US Dollars)</w:t>
      </w:r>
    </w:p>
    <w:p>
      <w:pPr>
        <w:sectPr>
          <w:pgSz w:w="11900" w:h="16838" w:orient="portrait"/>
          <w:cols w:equalWidth="0" w:num="1">
            <w:col w:w="10440"/>
          </w:cols>
          <w:pgMar w:left="1440" w:top="1440" w:right="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75 / 85</w:t>
      </w:r>
    </w:p>
    <w:p>
      <w:pPr>
        <w:sectPr>
          <w:pgSz w:w="11900" w:h="16838" w:orient="portrait"/>
          <w:cols w:equalWidth="0" w:num="1">
            <w:col w:w="10440"/>
          </w:cols>
          <w:pgMar w:left="1440" w:top="1440" w:right="26" w:bottom="0" w:gutter="0" w:footer="0" w:header="0"/>
          <w:type w:val="continuous"/>
        </w:sectPr>
      </w:pPr>
    </w:p>
    <w:bookmarkStart w:id="602" w:name="page603"/>
    <w:bookmarkEnd w:id="6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1710690</wp:posOffset>
            </wp:positionV>
            <wp:extent cx="6764020" cy="1905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76 / 85</w:t>
      </w:r>
    </w:p>
    <w:p>
      <w:pPr>
        <w:sectPr>
          <w:pgSz w:w="11900" w:h="16838" w:orient="portrait"/>
          <w:cols w:equalWidth="0" w:num="1">
            <w:col w:w="9026"/>
          </w:cols>
          <w:pgMar w:left="1440" w:top="1440" w:right="1440" w:bottom="0" w:gutter="0" w:footer="0" w:header="0"/>
        </w:sectPr>
      </w:pPr>
    </w:p>
    <w:bookmarkStart w:id="603" w:name="page604"/>
    <w:bookmarkEnd w:id="6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1067435</wp:posOffset>
            </wp:positionH>
            <wp:positionV relativeFrom="page">
              <wp:posOffset>991235</wp:posOffset>
            </wp:positionV>
            <wp:extent cx="1503680" cy="96901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50">
                      <a:clrChange>
                        <a:clrFrom>
                          <a:srgbClr val="FFFFFF"/>
                        </a:clrFrom>
                        <a:clrTo>
                          <a:srgbClr val="FFFFFF">
                            <a:alpha val="0"/>
                          </a:srgbClr>
                        </a:clrTo>
                      </a:clrChange>
                      <a:extLst>
                        <a:ext uri="{28A0092B-C50C-407E-A947-70E740481C1C}"/>
                      </a:extLst>
                    </a:blip>
                    <a:srcRect/>
                    <a:stretch>
                      <a:fillRect/>
                    </a:stretch>
                  </pic:blipFill>
                  <pic:spPr bwMode="auto">
                    <a:xfrm>
                      <a:off x="0" y="0"/>
                      <a:ext cx="150368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Report of Independent Auditors</w:t>
      </w:r>
    </w:p>
    <w:p>
      <w:pPr>
        <w:spacing w:after="0" w:line="37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To the Board of directors of Minera Exar S.A.</w:t>
      </w:r>
    </w:p>
    <w:p>
      <w:pPr>
        <w:spacing w:after="0" w:line="374" w:lineRule="exact"/>
        <w:rPr>
          <w:sz w:val="20"/>
          <w:szCs w:val="20"/>
          <w:color w:val="auto"/>
        </w:rPr>
      </w:pPr>
    </w:p>
    <w:p>
      <w:pPr>
        <w:ind w:left="680"/>
        <w:spacing w:after="0"/>
        <w:rPr>
          <w:sz w:val="20"/>
          <w:szCs w:val="20"/>
          <w:color w:val="auto"/>
        </w:rPr>
      </w:pPr>
      <w:r>
        <w:rPr>
          <w:rFonts w:ascii="Arial" w:cs="Arial" w:eastAsia="Arial" w:hAnsi="Arial"/>
          <w:sz w:val="20"/>
          <w:szCs w:val="20"/>
          <w:b w:val="1"/>
          <w:bCs w:val="1"/>
          <w:i w:val="1"/>
          <w:iCs w:val="1"/>
          <w:color w:val="auto"/>
        </w:rPr>
        <w:t>Opinion</w:t>
      </w:r>
    </w:p>
    <w:p>
      <w:pPr>
        <w:spacing w:after="0" w:line="381" w:lineRule="exact"/>
        <w:rPr>
          <w:sz w:val="20"/>
          <w:szCs w:val="20"/>
          <w:color w:val="auto"/>
        </w:rPr>
      </w:pPr>
    </w:p>
    <w:p>
      <w:pPr>
        <w:jc w:val="both"/>
        <w:ind w:left="680"/>
        <w:spacing w:after="0" w:line="312" w:lineRule="auto"/>
        <w:rPr>
          <w:sz w:val="20"/>
          <w:szCs w:val="20"/>
          <w:color w:val="auto"/>
        </w:rPr>
      </w:pPr>
      <w:r>
        <w:rPr>
          <w:rFonts w:ascii="Arial" w:cs="Arial" w:eastAsia="Arial" w:hAnsi="Arial"/>
          <w:sz w:val="20"/>
          <w:szCs w:val="20"/>
          <w:color w:val="auto"/>
        </w:rPr>
        <w:t>We have audited the accompanying financial statements of Minera Exar S.A. (the “Company”), w statements of financial position as of December 31, 2025 and 2024, and the related statements o (loss)/income, changes in equity and cash flows for each of the three years in the period ended D including the related notes (collectively referred to as the “financial statements”).</w:t>
      </w:r>
    </w:p>
    <w:p>
      <w:pPr>
        <w:spacing w:after="0" w:line="313" w:lineRule="exact"/>
        <w:rPr>
          <w:sz w:val="20"/>
          <w:szCs w:val="20"/>
          <w:color w:val="auto"/>
        </w:rPr>
      </w:pPr>
    </w:p>
    <w:p>
      <w:pPr>
        <w:jc w:val="both"/>
        <w:ind w:left="680"/>
        <w:spacing w:after="0" w:line="312" w:lineRule="auto"/>
        <w:rPr>
          <w:sz w:val="20"/>
          <w:szCs w:val="20"/>
          <w:color w:val="auto"/>
        </w:rPr>
      </w:pPr>
      <w:r>
        <w:rPr>
          <w:rFonts w:ascii="Arial" w:cs="Arial" w:eastAsia="Arial" w:hAnsi="Arial"/>
          <w:sz w:val="20"/>
          <w:szCs w:val="20"/>
          <w:color w:val="auto"/>
        </w:rPr>
        <w:t>In our opinion, the accompanying financial statements present fairly, in all material respects, the Company as of December 31, 2025 and 2024, and the results of its operations and its cash flows years in the period ended December 31, 2025 in accordance with IFRS Accounting Standards as International Accounting Standards Board.</w:t>
      </w:r>
    </w:p>
    <w:p>
      <w:pPr>
        <w:spacing w:after="0" w:line="306" w:lineRule="exact"/>
        <w:rPr>
          <w:sz w:val="20"/>
          <w:szCs w:val="20"/>
          <w:color w:val="auto"/>
        </w:rPr>
      </w:pPr>
    </w:p>
    <w:p>
      <w:pPr>
        <w:ind w:left="680"/>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381" w:lineRule="exact"/>
        <w:rPr>
          <w:sz w:val="20"/>
          <w:szCs w:val="20"/>
          <w:color w:val="auto"/>
        </w:rPr>
      </w:pPr>
    </w:p>
    <w:p>
      <w:pPr>
        <w:ind w:left="680" w:right="40"/>
        <w:spacing w:after="0" w:line="332" w:lineRule="auto"/>
        <w:rPr>
          <w:sz w:val="20"/>
          <w:szCs w:val="20"/>
          <w:color w:val="auto"/>
        </w:rPr>
      </w:pPr>
      <w:r>
        <w:rPr>
          <w:rFonts w:ascii="Arial" w:cs="Arial" w:eastAsia="Arial" w:hAnsi="Arial"/>
          <w:sz w:val="19"/>
          <w:szCs w:val="19"/>
          <w:color w:val="auto"/>
        </w:rPr>
        <w:t xml:space="preserve">We conducted our audit in accordance with auditing standards generally accepted in the United GAAS). </w:t>
      </w:r>
      <w:r>
        <w:rPr>
          <w:rFonts w:ascii="Arial" w:cs="Arial" w:eastAsia="Arial" w:hAnsi="Arial"/>
          <w:sz w:val="19"/>
          <w:szCs w:val="19"/>
          <w:color w:val="2D2D2D"/>
        </w:rPr>
        <w:t>Our responsibilities under those standards are further described in the Auditors’ Respon</w:t>
      </w:r>
      <w:r>
        <w:rPr>
          <w:rFonts w:ascii="Arial" w:cs="Arial" w:eastAsia="Arial" w:hAnsi="Arial"/>
          <w:sz w:val="19"/>
          <w:szCs w:val="19"/>
          <w:color w:val="auto"/>
        </w:rPr>
        <w:t xml:space="preserve"> </w:t>
      </w:r>
      <w:r>
        <w:rPr>
          <w:rFonts w:ascii="Arial" w:cs="Arial" w:eastAsia="Arial" w:hAnsi="Arial"/>
          <w:sz w:val="19"/>
          <w:szCs w:val="19"/>
          <w:color w:val="2D2D2D"/>
        </w:rPr>
        <w:t xml:space="preserve">of the Financial Statements section of our report. We are required to be independent of the Com other ethical responsibilities, in accordance with the relevant ethical requirements relating to our </w:t>
      </w:r>
      <w:r>
        <w:rPr>
          <w:rFonts w:ascii="Arial" w:cs="Arial" w:eastAsia="Arial" w:hAnsi="Arial"/>
          <w:sz w:val="19"/>
          <w:szCs w:val="19"/>
          <w:color w:val="000000"/>
        </w:rPr>
        <w:t>the audit evidence we have obtained is sufficient and appropriate to provide a basis for our audit</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20"/>
          <w:szCs w:val="20"/>
          <w:b w:val="1"/>
          <w:bCs w:val="1"/>
          <w:i w:val="1"/>
          <w:iCs w:val="1"/>
          <w:color w:val="auto"/>
        </w:rPr>
        <w:t>Responsibilities of Management for the Financial Statements</w:t>
      </w:r>
    </w:p>
    <w:p>
      <w:pPr>
        <w:spacing w:after="0" w:line="381" w:lineRule="exact"/>
        <w:rPr>
          <w:sz w:val="20"/>
          <w:szCs w:val="20"/>
          <w:color w:val="auto"/>
        </w:rPr>
      </w:pPr>
    </w:p>
    <w:p>
      <w:pPr>
        <w:jc w:val="both"/>
        <w:ind w:left="680"/>
        <w:spacing w:after="0" w:line="312" w:lineRule="auto"/>
        <w:rPr>
          <w:sz w:val="20"/>
          <w:szCs w:val="20"/>
          <w:color w:val="auto"/>
        </w:rPr>
      </w:pPr>
      <w:r>
        <w:rPr>
          <w:rFonts w:ascii="Arial" w:cs="Arial" w:eastAsia="Arial" w:hAnsi="Arial"/>
          <w:sz w:val="20"/>
          <w:szCs w:val="20"/>
          <w:color w:val="auto"/>
        </w:rPr>
        <w:t>Management is responsible for the preparation and fair presentation of the financial statements i IFRS Accounting Standards as issued by the International Accounting Standards Board, and for implementation, and maintenance of internal control relevant to the preparation and fair presenta statements that are free from material misstatement, whether due to fraud or error.</w:t>
      </w:r>
    </w:p>
    <w:p>
      <w:pPr>
        <w:spacing w:after="0" w:line="313" w:lineRule="exact"/>
        <w:rPr>
          <w:sz w:val="20"/>
          <w:szCs w:val="20"/>
          <w:color w:val="auto"/>
        </w:rPr>
      </w:pPr>
    </w:p>
    <w:p>
      <w:pPr>
        <w:ind w:left="680"/>
        <w:spacing w:after="0" w:line="333" w:lineRule="auto"/>
        <w:rPr>
          <w:sz w:val="20"/>
          <w:szCs w:val="20"/>
          <w:color w:val="auto"/>
        </w:rPr>
      </w:pPr>
      <w:r>
        <w:rPr>
          <w:rFonts w:ascii="Arial" w:cs="Arial" w:eastAsia="Arial" w:hAnsi="Arial"/>
          <w:sz w:val="19"/>
          <w:szCs w:val="19"/>
          <w:color w:val="2D2D2D"/>
        </w:rPr>
        <w:t>In preparing the financial statements, management is responsible for assessing the Company’s a going concern for at least, but not limited to, twelve months from the end of the reporting period, applicable, matters related to going concern and using the going concern basis of accounting unl either intends to liquidate the Company or to cease operations, or has no realistic alternative but</w:t>
      </w:r>
    </w:p>
    <w:p>
      <w:pPr>
        <w:spacing w:after="0" w:line="291" w:lineRule="exact"/>
        <w:rPr>
          <w:sz w:val="20"/>
          <w:szCs w:val="20"/>
          <w:color w:val="auto"/>
        </w:rPr>
      </w:pPr>
    </w:p>
    <w:p>
      <w:pPr>
        <w:ind w:left="5820"/>
        <w:spacing w:after="0"/>
        <w:rPr>
          <w:sz w:val="20"/>
          <w:szCs w:val="20"/>
          <w:color w:val="auto"/>
        </w:rPr>
      </w:pPr>
      <w:r>
        <w:rPr>
          <w:rFonts w:ascii="Georgia" w:cs="Georgia" w:eastAsia="Georgia" w:hAnsi="Georgia"/>
          <w:sz w:val="15"/>
          <w:szCs w:val="15"/>
          <w:color w:val="auto"/>
        </w:rPr>
        <w:t>Price Waterhouse &amp; Co. S.R.L., Bouchard 557, 8</w:t>
      </w:r>
      <w:r>
        <w:rPr>
          <w:rFonts w:ascii="Georgia" w:cs="Georgia" w:eastAsia="Georgia" w:hAnsi="Georgia"/>
          <w:sz w:val="20"/>
          <w:szCs w:val="20"/>
          <w:color w:val="auto"/>
          <w:vertAlign w:val="superscript"/>
        </w:rPr>
        <w:t>t</w:t>
      </w:r>
    </w:p>
    <w:p>
      <w:pPr>
        <w:ind w:left="760"/>
        <w:spacing w:after="0" w:line="229" w:lineRule="auto"/>
        <w:tabs>
          <w:tab w:leader="none" w:pos="5800" w:val="left"/>
        </w:tabs>
        <w:rPr>
          <w:sz w:val="20"/>
          <w:szCs w:val="20"/>
          <w:color w:val="auto"/>
        </w:rPr>
      </w:pPr>
      <w:r>
        <w:rPr>
          <w:rFonts w:ascii="Georgia" w:cs="Georgia" w:eastAsia="Georgia" w:hAnsi="Georgia"/>
          <w:sz w:val="18"/>
          <w:szCs w:val="18"/>
          <w:b w:val="1"/>
          <w:bCs w:val="1"/>
          <w:color w:val="auto"/>
        </w:rPr>
        <w:t>www.pwc.com.ar</w:t>
      </w:r>
      <w:r>
        <w:rPr>
          <w:sz w:val="20"/>
          <w:szCs w:val="20"/>
          <w:color w:val="auto"/>
        </w:rPr>
        <w:tab/>
      </w:r>
      <w:r>
        <w:rPr>
          <w:rFonts w:ascii="Georgia" w:cs="Georgia" w:eastAsia="Georgia" w:hAnsi="Georgia"/>
          <w:sz w:val="16"/>
          <w:szCs w:val="16"/>
          <w:color w:val="auto"/>
        </w:rPr>
        <w:t>Autonomous City of Buenos Aires, Argentina, T:</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77 / 85</w:t>
      </w:r>
    </w:p>
    <w:p>
      <w:pPr>
        <w:sectPr>
          <w:pgSz w:w="11900" w:h="16838" w:orient="portrait"/>
          <w:cols w:equalWidth="0" w:num="1">
            <w:col w:w="9220"/>
          </w:cols>
          <w:pgMar w:left="1440" w:top="1440" w:right="1246" w:bottom="0" w:gutter="0" w:footer="0" w:header="0"/>
          <w:type w:val="continuous"/>
        </w:sectPr>
      </w:pPr>
    </w:p>
    <w:bookmarkStart w:id="604" w:name="page605"/>
    <w:bookmarkEnd w:id="6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6764020" cy="1905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5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78 / 85</w:t>
      </w:r>
    </w:p>
    <w:p>
      <w:pPr>
        <w:sectPr>
          <w:pgSz w:w="11900" w:h="16838" w:orient="portrait"/>
          <w:cols w:equalWidth="0" w:num="1">
            <w:col w:w="9026"/>
          </w:cols>
          <w:pgMar w:left="1440" w:top="1440" w:right="1440" w:bottom="0" w:gutter="0" w:footer="0" w:header="0"/>
        </w:sectPr>
      </w:pPr>
    </w:p>
    <w:bookmarkStart w:id="605" w:name="page606"/>
    <w:bookmarkEnd w:id="6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80"/>
        <w:spacing w:after="0"/>
        <w:rPr>
          <w:sz w:val="20"/>
          <w:szCs w:val="20"/>
          <w:color w:val="auto"/>
        </w:rPr>
      </w:pPr>
      <w:r>
        <w:rPr>
          <w:rFonts w:ascii="Arial" w:cs="Arial" w:eastAsia="Arial" w:hAnsi="Arial"/>
          <w:sz w:val="20"/>
          <w:szCs w:val="20"/>
          <w:b w:val="1"/>
          <w:bCs w:val="1"/>
          <w:i w:val="1"/>
          <w:iCs w:val="1"/>
          <w:color w:val="auto"/>
        </w:rPr>
        <w:t>Auditors’ Responsibilities for the Audit of the Financial Statements</w:t>
      </w:r>
    </w:p>
    <w:p>
      <w:pPr>
        <w:spacing w:after="0" w:line="381" w:lineRule="exact"/>
        <w:rPr>
          <w:sz w:val="20"/>
          <w:szCs w:val="20"/>
          <w:color w:val="auto"/>
        </w:rPr>
      </w:pPr>
    </w:p>
    <w:p>
      <w:pPr>
        <w:jc w:val="both"/>
        <w:ind w:left="680"/>
        <w:spacing w:after="0" w:line="313" w:lineRule="auto"/>
        <w:rPr>
          <w:sz w:val="20"/>
          <w:szCs w:val="20"/>
          <w:color w:val="auto"/>
        </w:rPr>
      </w:pPr>
      <w:r>
        <w:rPr>
          <w:rFonts w:ascii="Arial" w:cs="Arial" w:eastAsia="Arial" w:hAnsi="Arial"/>
          <w:sz w:val="20"/>
          <w:szCs w:val="20"/>
          <w:color w:val="2D2D2D"/>
        </w:rPr>
        <w:t>Our objectives are to obtain reasonable assurance about whether the financial statements as a whole are free material misstatement, whether due to fraud or error, and to issue an auditors’ report that includes our opinion. Reasonable assurance is a high level of assurance but is not absolute assurance and therefore is not a guaran an audit conducted in accordance with US GAAS will always detect a material misstatement when it exists. The not detecting a material misstatement resulting from fraud is higher than for one resulting from error, as fraud m involve collusion, forgery, intentional omissions, misrepresentations, or the override of internal control. Misstate are considered material if there is a substantial likelihood that, individually or in the aggregate, they would influe judgment made by a reasonable user based on the financial statements.</w:t>
      </w:r>
    </w:p>
    <w:p>
      <w:pPr>
        <w:spacing w:after="0" w:line="310" w:lineRule="exact"/>
        <w:rPr>
          <w:sz w:val="20"/>
          <w:szCs w:val="20"/>
          <w:color w:val="auto"/>
        </w:rPr>
      </w:pPr>
    </w:p>
    <w:p>
      <w:pPr>
        <w:ind w:left="680"/>
        <w:spacing w:after="0"/>
        <w:rPr>
          <w:sz w:val="20"/>
          <w:szCs w:val="20"/>
          <w:color w:val="auto"/>
        </w:rPr>
      </w:pPr>
      <w:r>
        <w:rPr>
          <w:rFonts w:ascii="Arial" w:cs="Arial" w:eastAsia="Arial" w:hAnsi="Arial"/>
          <w:sz w:val="20"/>
          <w:szCs w:val="20"/>
          <w:color w:val="2D2D2D"/>
        </w:rPr>
        <w:t>In performing an audit in accordance with US GAAS, we:</w:t>
      </w:r>
    </w:p>
    <w:p>
      <w:pPr>
        <w:spacing w:after="0" w:line="200" w:lineRule="exact"/>
        <w:rPr>
          <w:sz w:val="20"/>
          <w:szCs w:val="20"/>
          <w:color w:val="auto"/>
        </w:rPr>
      </w:pPr>
    </w:p>
    <w:p>
      <w:pPr>
        <w:spacing w:after="0" w:line="217" w:lineRule="exact"/>
        <w:rPr>
          <w:sz w:val="20"/>
          <w:szCs w:val="20"/>
          <w:color w:val="auto"/>
        </w:rPr>
      </w:pPr>
    </w:p>
    <w:p>
      <w:pPr>
        <w:ind w:left="1400" w:hanging="362"/>
        <w:spacing w:after="0"/>
        <w:tabs>
          <w:tab w:leader="none" w:pos="1400" w:val="left"/>
        </w:tabs>
        <w:numPr>
          <w:ilvl w:val="0"/>
          <w:numId w:val="295"/>
        </w:numPr>
        <w:rPr>
          <w:rFonts w:ascii="Arial" w:cs="Arial" w:eastAsia="Arial" w:hAnsi="Arial"/>
          <w:sz w:val="20"/>
          <w:szCs w:val="20"/>
          <w:color w:val="auto"/>
        </w:rPr>
      </w:pPr>
      <w:r>
        <w:rPr>
          <w:rFonts w:ascii="Arial" w:cs="Arial" w:eastAsia="Arial" w:hAnsi="Arial"/>
          <w:sz w:val="20"/>
          <w:szCs w:val="20"/>
          <w:color w:val="auto"/>
        </w:rPr>
        <w:t>Exercise professional judgment and maintain professional skepticism throughout the audit.</w:t>
      </w:r>
    </w:p>
    <w:p>
      <w:pPr>
        <w:spacing w:after="0" w:line="137" w:lineRule="exact"/>
        <w:rPr>
          <w:rFonts w:ascii="Arial" w:cs="Arial" w:eastAsia="Arial" w:hAnsi="Arial"/>
          <w:sz w:val="20"/>
          <w:szCs w:val="20"/>
          <w:color w:val="auto"/>
        </w:rPr>
      </w:pPr>
    </w:p>
    <w:p>
      <w:pPr>
        <w:jc w:val="both"/>
        <w:ind w:left="1400" w:hanging="362"/>
        <w:spacing w:after="0" w:line="395" w:lineRule="auto"/>
        <w:tabs>
          <w:tab w:leader="none" w:pos="1400" w:val="left"/>
        </w:tabs>
        <w:numPr>
          <w:ilvl w:val="0"/>
          <w:numId w:val="295"/>
        </w:numPr>
        <w:rPr>
          <w:rFonts w:ascii="Arial" w:cs="Arial" w:eastAsia="Arial" w:hAnsi="Arial"/>
          <w:sz w:val="19"/>
          <w:szCs w:val="19"/>
          <w:color w:val="auto"/>
        </w:rPr>
      </w:pPr>
      <w:r>
        <w:rPr>
          <w:rFonts w:ascii="Arial" w:cs="Arial" w:eastAsia="Arial" w:hAnsi="Arial"/>
          <w:sz w:val="19"/>
          <w:szCs w:val="19"/>
          <w:color w:val="auto"/>
        </w:rPr>
        <w:t>Identify and assess the risks of material misstatement of the financial statements, whether due to fraud error, and design and perform audit procedures responsive to those risks. Such procedures include ex on a test basis, evidence regarding the amounts and disclosures in the financial statements.</w:t>
      </w:r>
    </w:p>
    <w:p>
      <w:pPr>
        <w:spacing w:after="0" w:line="1" w:lineRule="exact"/>
        <w:rPr>
          <w:rFonts w:ascii="Arial" w:cs="Arial" w:eastAsia="Arial" w:hAnsi="Arial"/>
          <w:sz w:val="19"/>
          <w:szCs w:val="19"/>
          <w:color w:val="auto"/>
        </w:rPr>
      </w:pPr>
    </w:p>
    <w:p>
      <w:pPr>
        <w:jc w:val="both"/>
        <w:ind w:left="1400" w:hanging="362"/>
        <w:spacing w:after="0" w:line="372" w:lineRule="auto"/>
        <w:tabs>
          <w:tab w:leader="none" w:pos="1400" w:val="left"/>
        </w:tabs>
        <w:numPr>
          <w:ilvl w:val="0"/>
          <w:numId w:val="295"/>
        </w:numPr>
        <w:rPr>
          <w:rFonts w:ascii="Arial" w:cs="Arial" w:eastAsia="Arial" w:hAnsi="Arial"/>
          <w:sz w:val="20"/>
          <w:szCs w:val="20"/>
          <w:color w:val="auto"/>
        </w:rPr>
      </w:pPr>
      <w:r>
        <w:rPr>
          <w:rFonts w:ascii="Arial" w:cs="Arial" w:eastAsia="Arial" w:hAnsi="Arial"/>
          <w:sz w:val="20"/>
          <w:szCs w:val="20"/>
          <w:color w:val="auto"/>
        </w:rPr>
        <w:t>Obtain an understanding of internal control relevant to the audit in order to design audit procedures tha appropriate in the circumstances, but not for the purpose of expressing an opinion on the effectiveness Company's internal control. Accordingly, no such opinion is expressed.</w:t>
      </w:r>
    </w:p>
    <w:p>
      <w:pPr>
        <w:spacing w:after="0" w:line="10" w:lineRule="exact"/>
        <w:rPr>
          <w:rFonts w:ascii="Arial" w:cs="Arial" w:eastAsia="Arial" w:hAnsi="Arial"/>
          <w:sz w:val="20"/>
          <w:szCs w:val="20"/>
          <w:color w:val="auto"/>
        </w:rPr>
      </w:pPr>
    </w:p>
    <w:p>
      <w:pPr>
        <w:jc w:val="both"/>
        <w:ind w:left="1400" w:hanging="362"/>
        <w:spacing w:after="0" w:line="395" w:lineRule="auto"/>
        <w:tabs>
          <w:tab w:leader="none" w:pos="1400" w:val="left"/>
        </w:tabs>
        <w:numPr>
          <w:ilvl w:val="0"/>
          <w:numId w:val="295"/>
        </w:numPr>
        <w:rPr>
          <w:rFonts w:ascii="Arial" w:cs="Arial" w:eastAsia="Arial" w:hAnsi="Arial"/>
          <w:sz w:val="19"/>
          <w:szCs w:val="19"/>
          <w:color w:val="auto"/>
        </w:rPr>
      </w:pPr>
      <w:r>
        <w:rPr>
          <w:rFonts w:ascii="Arial" w:cs="Arial" w:eastAsia="Arial" w:hAnsi="Arial"/>
          <w:sz w:val="19"/>
          <w:szCs w:val="19"/>
          <w:color w:val="auto"/>
        </w:rPr>
        <w:t>Evaluate the appropriateness of accounting policies used and the reasonableness of significant accoun estimates made by management, as well as evaluate the overall presentation of the financial statemen</w:t>
      </w:r>
    </w:p>
    <w:p>
      <w:pPr>
        <w:jc w:val="both"/>
        <w:ind w:left="1400" w:hanging="362"/>
        <w:spacing w:after="0" w:line="400" w:lineRule="auto"/>
        <w:tabs>
          <w:tab w:leader="none" w:pos="1400" w:val="left"/>
        </w:tabs>
        <w:numPr>
          <w:ilvl w:val="0"/>
          <w:numId w:val="295"/>
        </w:numPr>
        <w:rPr>
          <w:rFonts w:ascii="Arial" w:cs="Arial" w:eastAsia="Arial" w:hAnsi="Arial"/>
          <w:sz w:val="19"/>
          <w:szCs w:val="19"/>
          <w:color w:val="2D2D2D"/>
        </w:rPr>
      </w:pPr>
      <w:r>
        <w:rPr>
          <w:rFonts w:ascii="Arial" w:cs="Arial" w:eastAsia="Arial" w:hAnsi="Arial"/>
          <w:sz w:val="19"/>
          <w:szCs w:val="19"/>
          <w:color w:val="2D2D2D"/>
        </w:rPr>
        <w:t>Conclude whether, in our judgment, there are conditions or events, considered in the aggregate, that ra substantial doubt about the Company’s ability to continue as a going concern for a reasonable period o</w:t>
      </w:r>
    </w:p>
    <w:p>
      <w:pPr>
        <w:spacing w:after="0" w:line="250" w:lineRule="exact"/>
        <w:rPr>
          <w:sz w:val="20"/>
          <w:szCs w:val="20"/>
          <w:color w:val="auto"/>
        </w:rPr>
      </w:pPr>
    </w:p>
    <w:p>
      <w:pPr>
        <w:jc w:val="both"/>
        <w:ind w:left="680"/>
        <w:spacing w:after="0" w:line="311" w:lineRule="auto"/>
        <w:rPr>
          <w:sz w:val="20"/>
          <w:szCs w:val="20"/>
          <w:color w:val="auto"/>
        </w:rPr>
      </w:pPr>
      <w:r>
        <w:rPr>
          <w:rFonts w:ascii="Arial" w:cs="Arial" w:eastAsia="Arial" w:hAnsi="Arial"/>
          <w:sz w:val="20"/>
          <w:szCs w:val="20"/>
          <w:color w:val="2D2D2D"/>
        </w:rPr>
        <w:t>We are required to communicate with those charged with governance regarding, among other matters, the plan scope and timing of the audit, significant audit findings, and certain internal control-related matters that we iden during the audit.</w:t>
      </w:r>
    </w:p>
    <w:p>
      <w:pPr>
        <w:spacing w:after="0" w:line="306" w:lineRule="exact"/>
        <w:rPr>
          <w:sz w:val="20"/>
          <w:szCs w:val="20"/>
          <w:color w:val="auto"/>
        </w:rPr>
      </w:pPr>
    </w:p>
    <w:p>
      <w:pPr>
        <w:ind w:left="680"/>
        <w:spacing w:after="0"/>
        <w:rPr>
          <w:sz w:val="20"/>
          <w:szCs w:val="20"/>
          <w:color w:val="auto"/>
        </w:rPr>
      </w:pPr>
      <w:r>
        <w:rPr>
          <w:rFonts w:ascii="Arial" w:cs="Arial" w:eastAsia="Arial" w:hAnsi="Arial"/>
          <w:sz w:val="20"/>
          <w:szCs w:val="20"/>
          <w:color w:val="auto"/>
        </w:rPr>
        <w:t>/s/ PRICE WATERHOUSE &amp; CO. S.R.L.</w:t>
      </w:r>
    </w:p>
    <w:p>
      <w:pPr>
        <w:spacing w:after="0" w:line="37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w:t>
      </w:r>
    </w:p>
    <w:p>
      <w:pPr>
        <w:spacing w:after="0" w:line="72" w:lineRule="exact"/>
        <w:rPr>
          <w:sz w:val="20"/>
          <w:szCs w:val="20"/>
          <w:color w:val="auto"/>
        </w:rPr>
      </w:pPr>
    </w:p>
    <w:p>
      <w:pPr>
        <w:ind w:left="680"/>
        <w:spacing w:after="0"/>
        <w:rPr>
          <w:sz w:val="20"/>
          <w:szCs w:val="20"/>
          <w:color w:val="auto"/>
        </w:rPr>
      </w:pPr>
      <w:r>
        <w:rPr>
          <w:rFonts w:ascii="Arial" w:cs="Arial" w:eastAsia="Arial" w:hAnsi="Arial"/>
          <w:sz w:val="20"/>
          <w:szCs w:val="20"/>
          <w:color w:val="auto"/>
        </w:rPr>
        <w:t>/s/ Juan Manuel Gallego Tinto</w:t>
      </w:r>
    </w:p>
    <w:p>
      <w:pPr>
        <w:spacing w:after="0" w:line="72" w:lineRule="exact"/>
        <w:rPr>
          <w:sz w:val="20"/>
          <w:szCs w:val="20"/>
          <w:color w:val="auto"/>
        </w:rPr>
      </w:pPr>
    </w:p>
    <w:p>
      <w:pPr>
        <w:ind w:left="680"/>
        <w:spacing w:after="0"/>
        <w:rPr>
          <w:sz w:val="20"/>
          <w:szCs w:val="20"/>
          <w:color w:val="auto"/>
        </w:rPr>
      </w:pPr>
      <w:r>
        <w:rPr>
          <w:rFonts w:ascii="Arial" w:cs="Arial" w:eastAsia="Arial" w:hAnsi="Arial"/>
          <w:sz w:val="20"/>
          <w:szCs w:val="20"/>
          <w:color w:val="auto"/>
        </w:rPr>
        <w:t>Buenos Aires, Argentina</w:t>
      </w:r>
    </w:p>
    <w:p>
      <w:pPr>
        <w:spacing w:after="0" w:line="72" w:lineRule="exact"/>
        <w:rPr>
          <w:sz w:val="20"/>
          <w:szCs w:val="20"/>
          <w:color w:val="auto"/>
        </w:rPr>
      </w:pPr>
    </w:p>
    <w:p>
      <w:pPr>
        <w:ind w:left="680"/>
        <w:spacing w:after="0"/>
        <w:rPr>
          <w:sz w:val="20"/>
          <w:szCs w:val="20"/>
          <w:color w:val="auto"/>
        </w:rPr>
      </w:pPr>
      <w:r>
        <w:rPr>
          <w:rFonts w:ascii="Arial" w:cs="Arial" w:eastAsia="Arial" w:hAnsi="Arial"/>
          <w:sz w:val="20"/>
          <w:szCs w:val="20"/>
          <w:color w:val="auto"/>
        </w:rPr>
        <w:t>March 20, 2026</w:t>
      </w:r>
    </w:p>
    <w:p>
      <w:pPr>
        <w:spacing w:after="0" w:line="9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79 / 85</w:t>
      </w:r>
    </w:p>
    <w:p>
      <w:pPr>
        <w:sectPr>
          <w:pgSz w:w="11900" w:h="16838" w:orient="portrait"/>
          <w:cols w:equalWidth="0" w:num="1">
            <w:col w:w="10460"/>
          </w:cols>
          <w:pgMar w:left="1440" w:top="1440" w:right="6" w:bottom="0" w:gutter="0" w:footer="0" w:header="0"/>
          <w:type w:val="continuous"/>
        </w:sectPr>
      </w:pPr>
    </w:p>
    <w:bookmarkStart w:id="606" w:name="page607"/>
    <w:bookmarkEnd w:id="6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1362075</wp:posOffset>
            </wp:positionV>
            <wp:extent cx="6764020" cy="1905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5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80 / 85</w:t>
      </w:r>
    </w:p>
    <w:p>
      <w:pPr>
        <w:sectPr>
          <w:pgSz w:w="11900" w:h="16838" w:orient="portrait"/>
          <w:cols w:equalWidth="0" w:num="1">
            <w:col w:w="9026"/>
          </w:cols>
          <w:pgMar w:left="1440" w:top="1440" w:right="1440" w:bottom="0" w:gutter="0" w:footer="0" w:header="0"/>
        </w:sectPr>
      </w:pPr>
    </w:p>
    <w:bookmarkStart w:id="607" w:name="page608"/>
    <w:bookmarkEnd w:id="607"/>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Arial" w:cs="Arial" w:eastAsia="Arial" w:hAnsi="Arial"/>
          <w:sz w:val="24"/>
          <w:szCs w:val="24"/>
          <w:b w:val="1"/>
          <w:bCs w:val="1"/>
          <w:color w:val="auto"/>
        </w:rPr>
        <w:t>MINERA EXAR S.A.</w:t>
      </w:r>
    </w:p>
    <w:p>
      <w:pPr>
        <w:spacing w:after="0" w:line="7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STATEMENTS OF FINANCIAL POSITION</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12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As at December 31,</w:t>
            </w:r>
          </w:p>
        </w:tc>
      </w:tr>
      <w:tr>
        <w:trPr>
          <w:trHeight w:val="56"/>
        </w:trPr>
        <w:tc>
          <w:tcPr>
            <w:tcW w:w="44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600" w:type="dxa"/>
            <w:vAlign w:val="bottom"/>
          </w:tcPr>
          <w:p>
            <w:pPr>
              <w:spacing w:after="0"/>
              <w:rPr>
                <w:sz w:val="4"/>
                <w:szCs w:val="4"/>
                <w:color w:val="auto"/>
              </w:rPr>
            </w:pPr>
          </w:p>
        </w:tc>
      </w:tr>
      <w:tr>
        <w:trPr>
          <w:trHeight w:val="235"/>
        </w:trPr>
        <w:tc>
          <w:tcPr>
            <w:tcW w:w="4440" w:type="dxa"/>
            <w:vAlign w:val="bottom"/>
          </w:tcPr>
          <w:p>
            <w:pPr>
              <w:spacing w:after="0"/>
              <w:rPr>
                <w:sz w:val="20"/>
                <w:szCs w:val="20"/>
                <w:color w:val="auto"/>
              </w:rPr>
            </w:pPr>
          </w:p>
        </w:tc>
        <w:tc>
          <w:tcPr>
            <w:tcW w:w="1540" w:type="dxa"/>
            <w:vAlign w:val="bottom"/>
          </w:tcPr>
          <w:p>
            <w:pPr>
              <w:ind w:left="940"/>
              <w:spacing w:after="0"/>
              <w:rPr>
                <w:sz w:val="20"/>
                <w:szCs w:val="20"/>
                <w:color w:val="auto"/>
              </w:rPr>
            </w:pPr>
            <w:r>
              <w:rPr>
                <w:rFonts w:ascii="Arial" w:cs="Arial" w:eastAsia="Arial" w:hAnsi="Arial"/>
                <w:sz w:val="18"/>
                <w:szCs w:val="18"/>
                <w:b w:val="1"/>
                <w:bCs w:val="1"/>
                <w:color w:val="auto"/>
              </w:rPr>
              <w:t>Note</w:t>
            </w: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r>
      <w:tr>
        <w:trPr>
          <w:trHeight w:val="306"/>
        </w:trPr>
        <w:tc>
          <w:tcPr>
            <w:tcW w:w="44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540" w:type="dxa"/>
            <w:vAlign w:val="bottom"/>
          </w:tcPr>
          <w:p>
            <w:pPr>
              <w:spacing w:after="0"/>
              <w:rPr>
                <w:sz w:val="24"/>
                <w:szCs w:val="24"/>
                <w:color w:val="auto"/>
              </w:rPr>
            </w:pPr>
          </w:p>
        </w:tc>
        <w:tc>
          <w:tcPr>
            <w:tcW w:w="1520" w:type="dxa"/>
            <w:vAlign w:val="bottom"/>
            <w:shd w:val="clear" w:color="auto" w:fill="DAE9F8"/>
          </w:tcPr>
          <w:p>
            <w:pPr>
              <w:spacing w:after="0"/>
              <w:rPr>
                <w:sz w:val="24"/>
                <w:szCs w:val="24"/>
                <w:color w:val="auto"/>
              </w:rPr>
            </w:pPr>
          </w:p>
        </w:tc>
        <w:tc>
          <w:tcPr>
            <w:tcW w:w="1600" w:type="dxa"/>
            <w:vAlign w:val="bottom"/>
          </w:tcPr>
          <w:p>
            <w:pPr>
              <w:spacing w:after="0"/>
              <w:rPr>
                <w:sz w:val="24"/>
                <w:szCs w:val="24"/>
                <w:color w:val="auto"/>
              </w:rPr>
            </w:pPr>
          </w:p>
        </w:tc>
      </w:tr>
      <w:tr>
        <w:trPr>
          <w:trHeight w:val="286"/>
        </w:trPr>
        <w:tc>
          <w:tcPr>
            <w:tcW w:w="44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540" w:type="dxa"/>
            <w:vAlign w:val="bottom"/>
          </w:tcPr>
          <w:p>
            <w:pPr>
              <w:jc w:val="center"/>
              <w:ind w:left="670"/>
              <w:spacing w:after="0"/>
              <w:rPr>
                <w:sz w:val="20"/>
                <w:szCs w:val="20"/>
                <w:color w:val="auto"/>
              </w:rPr>
            </w:pPr>
            <w:r>
              <w:rPr>
                <w:rFonts w:ascii="Arial" w:cs="Arial" w:eastAsia="Arial" w:hAnsi="Arial"/>
                <w:sz w:val="18"/>
                <w:szCs w:val="18"/>
                <w:color w:val="auto"/>
                <w:w w:val="99"/>
              </w:rPr>
              <w:t>7</w:t>
            </w: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70,799</w:t>
            </w:r>
          </w:p>
        </w:tc>
        <w:tc>
          <w:tcPr>
            <w:tcW w:w="1600" w:type="dxa"/>
            <w:vAlign w:val="bottom"/>
          </w:tcPr>
          <w:p>
            <w:pPr>
              <w:jc w:val="right"/>
              <w:spacing w:after="0"/>
              <w:rPr>
                <w:sz w:val="20"/>
                <w:szCs w:val="20"/>
                <w:color w:val="auto"/>
              </w:rPr>
            </w:pPr>
            <w:r>
              <w:rPr>
                <w:rFonts w:ascii="Arial" w:cs="Arial" w:eastAsia="Arial" w:hAnsi="Arial"/>
                <w:sz w:val="18"/>
                <w:szCs w:val="18"/>
                <w:color w:val="auto"/>
              </w:rPr>
              <w:t>11,190</w:t>
            </w:r>
          </w:p>
        </w:tc>
      </w:tr>
      <w:tr>
        <w:trPr>
          <w:trHeight w:val="272"/>
        </w:trPr>
        <w:tc>
          <w:tcPr>
            <w:tcW w:w="444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1540" w:type="dxa"/>
            <w:vAlign w:val="bottom"/>
          </w:tcPr>
          <w:p>
            <w:pPr>
              <w:jc w:val="center"/>
              <w:ind w:left="650"/>
              <w:spacing w:after="0"/>
              <w:rPr>
                <w:sz w:val="20"/>
                <w:szCs w:val="20"/>
                <w:color w:val="auto"/>
              </w:rPr>
            </w:pPr>
            <w:r>
              <w:rPr>
                <w:rFonts w:ascii="Arial" w:cs="Arial" w:eastAsia="Arial" w:hAnsi="Arial"/>
                <w:sz w:val="18"/>
                <w:szCs w:val="18"/>
                <w:color w:val="auto"/>
                <w:w w:val="99"/>
              </w:rPr>
              <w:t>23</w:t>
            </w: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16,083</w:t>
            </w:r>
          </w:p>
        </w:tc>
        <w:tc>
          <w:tcPr>
            <w:tcW w:w="1600" w:type="dxa"/>
            <w:vAlign w:val="bottom"/>
          </w:tcPr>
          <w:p>
            <w:pPr>
              <w:spacing w:after="0"/>
              <w:rPr>
                <w:sz w:val="23"/>
                <w:szCs w:val="23"/>
                <w:color w:val="auto"/>
              </w:rPr>
            </w:pPr>
          </w:p>
        </w:tc>
      </w:tr>
      <w:tr>
        <w:trPr>
          <w:trHeight w:val="272"/>
        </w:trPr>
        <w:tc>
          <w:tcPr>
            <w:tcW w:w="44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540" w:type="dxa"/>
            <w:vAlign w:val="bottom"/>
          </w:tcPr>
          <w:p>
            <w:pPr>
              <w:jc w:val="center"/>
              <w:ind w:left="650"/>
              <w:spacing w:after="0"/>
              <w:rPr>
                <w:sz w:val="20"/>
                <w:szCs w:val="20"/>
                <w:color w:val="auto"/>
              </w:rPr>
            </w:pPr>
            <w:r>
              <w:rPr>
                <w:rFonts w:ascii="Arial" w:cs="Arial" w:eastAsia="Arial" w:hAnsi="Arial"/>
                <w:sz w:val="18"/>
                <w:szCs w:val="18"/>
                <w:color w:val="auto"/>
                <w:w w:val="99"/>
              </w:rPr>
              <w:t>6, 17</w:t>
            </w: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50,830</w:t>
            </w:r>
          </w:p>
        </w:tc>
        <w:tc>
          <w:tcPr>
            <w:tcW w:w="1600" w:type="dxa"/>
            <w:vAlign w:val="bottom"/>
          </w:tcPr>
          <w:p>
            <w:pPr>
              <w:jc w:val="right"/>
              <w:spacing w:after="0"/>
              <w:rPr>
                <w:sz w:val="20"/>
                <w:szCs w:val="20"/>
                <w:color w:val="auto"/>
              </w:rPr>
            </w:pPr>
            <w:r>
              <w:rPr>
                <w:rFonts w:ascii="Arial" w:cs="Arial" w:eastAsia="Arial" w:hAnsi="Arial"/>
                <w:sz w:val="18"/>
                <w:szCs w:val="18"/>
                <w:color w:val="auto"/>
              </w:rPr>
              <w:t>40,459</w:t>
            </w:r>
          </w:p>
        </w:tc>
      </w:tr>
      <w:tr>
        <w:trPr>
          <w:trHeight w:val="272"/>
        </w:trPr>
        <w:tc>
          <w:tcPr>
            <w:tcW w:w="4440" w:type="dxa"/>
            <w:vAlign w:val="bottom"/>
          </w:tcPr>
          <w:p>
            <w:pPr>
              <w:ind w:left="360"/>
              <w:spacing w:after="0"/>
              <w:rPr>
                <w:sz w:val="20"/>
                <w:szCs w:val="20"/>
                <w:color w:val="auto"/>
              </w:rPr>
            </w:pPr>
            <w:r>
              <w:rPr>
                <w:rFonts w:ascii="Arial" w:cs="Arial" w:eastAsia="Arial" w:hAnsi="Arial"/>
                <w:sz w:val="18"/>
                <w:szCs w:val="18"/>
                <w:color w:val="auto"/>
              </w:rPr>
              <w:t>Other receivables and prepayments</w:t>
            </w:r>
          </w:p>
        </w:tc>
        <w:tc>
          <w:tcPr>
            <w:tcW w:w="1540" w:type="dxa"/>
            <w:vAlign w:val="bottom"/>
          </w:tcPr>
          <w:p>
            <w:pPr>
              <w:jc w:val="center"/>
              <w:ind w:left="670"/>
              <w:spacing w:after="0"/>
              <w:rPr>
                <w:sz w:val="20"/>
                <w:szCs w:val="20"/>
                <w:color w:val="auto"/>
              </w:rPr>
            </w:pPr>
            <w:r>
              <w:rPr>
                <w:rFonts w:ascii="Arial" w:cs="Arial" w:eastAsia="Arial" w:hAnsi="Arial"/>
                <w:sz w:val="18"/>
                <w:szCs w:val="18"/>
                <w:color w:val="auto"/>
                <w:w w:val="99"/>
              </w:rPr>
              <w:t>8</w:t>
            </w: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44,281</w:t>
            </w:r>
          </w:p>
        </w:tc>
        <w:tc>
          <w:tcPr>
            <w:tcW w:w="1600" w:type="dxa"/>
            <w:vAlign w:val="bottom"/>
          </w:tcPr>
          <w:p>
            <w:pPr>
              <w:jc w:val="right"/>
              <w:spacing w:after="0"/>
              <w:rPr>
                <w:sz w:val="20"/>
                <w:szCs w:val="20"/>
                <w:color w:val="auto"/>
              </w:rPr>
            </w:pPr>
            <w:r>
              <w:rPr>
                <w:rFonts w:ascii="Arial" w:cs="Arial" w:eastAsia="Arial" w:hAnsi="Arial"/>
                <w:sz w:val="18"/>
                <w:szCs w:val="18"/>
                <w:color w:val="auto"/>
              </w:rPr>
              <w:t>19,188</w:t>
            </w:r>
          </w:p>
        </w:tc>
      </w:tr>
      <w:tr>
        <w:trPr>
          <w:trHeight w:val="277"/>
        </w:trPr>
        <w:tc>
          <w:tcPr>
            <w:tcW w:w="444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1540" w:type="dxa"/>
            <w:vAlign w:val="bottom"/>
          </w:tcPr>
          <w:p>
            <w:pPr>
              <w:jc w:val="center"/>
              <w:ind w:left="670"/>
              <w:spacing w:after="0"/>
              <w:rPr>
                <w:sz w:val="20"/>
                <w:szCs w:val="20"/>
                <w:color w:val="auto"/>
              </w:rPr>
            </w:pPr>
            <w:r>
              <w:rPr>
                <w:rFonts w:ascii="Arial" w:cs="Arial" w:eastAsia="Arial" w:hAnsi="Arial"/>
                <w:sz w:val="18"/>
                <w:szCs w:val="18"/>
                <w:color w:val="auto"/>
                <w:w w:val="99"/>
              </w:rPr>
              <w:t>9</w:t>
            </w: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249,372</w:t>
            </w:r>
          </w:p>
        </w:tc>
        <w:tc>
          <w:tcPr>
            <w:tcW w:w="1600" w:type="dxa"/>
            <w:vAlign w:val="bottom"/>
          </w:tcPr>
          <w:p>
            <w:pPr>
              <w:jc w:val="right"/>
              <w:spacing w:after="0"/>
              <w:rPr>
                <w:sz w:val="20"/>
                <w:szCs w:val="20"/>
                <w:color w:val="auto"/>
              </w:rPr>
            </w:pPr>
            <w:r>
              <w:rPr>
                <w:rFonts w:ascii="Arial" w:cs="Arial" w:eastAsia="Arial" w:hAnsi="Arial"/>
                <w:sz w:val="18"/>
                <w:szCs w:val="18"/>
                <w:color w:val="auto"/>
              </w:rPr>
              <w:t>241,587</w:t>
            </w:r>
          </w:p>
        </w:tc>
      </w:tr>
      <w:tr>
        <w:trPr>
          <w:trHeight w:val="286"/>
        </w:trPr>
        <w:tc>
          <w:tcPr>
            <w:tcW w:w="4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431,365</w:t>
            </w:r>
          </w:p>
        </w:tc>
        <w:tc>
          <w:tcPr>
            <w:tcW w:w="1600" w:type="dxa"/>
            <w:vAlign w:val="bottom"/>
          </w:tcPr>
          <w:p>
            <w:pPr>
              <w:jc w:val="right"/>
              <w:spacing w:after="0"/>
              <w:rPr>
                <w:sz w:val="20"/>
                <w:szCs w:val="20"/>
                <w:color w:val="auto"/>
              </w:rPr>
            </w:pPr>
            <w:r>
              <w:rPr>
                <w:rFonts w:ascii="Arial" w:cs="Arial" w:eastAsia="Arial" w:hAnsi="Arial"/>
                <w:sz w:val="18"/>
                <w:szCs w:val="18"/>
                <w:color w:val="auto"/>
              </w:rPr>
              <w:t>312,424</w:t>
            </w:r>
          </w:p>
        </w:tc>
      </w:tr>
      <w:tr>
        <w:trPr>
          <w:trHeight w:val="305"/>
        </w:trPr>
        <w:tc>
          <w:tcPr>
            <w:tcW w:w="44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540" w:type="dxa"/>
            <w:vAlign w:val="bottom"/>
          </w:tcPr>
          <w:p>
            <w:pPr>
              <w:spacing w:after="0"/>
              <w:rPr>
                <w:sz w:val="24"/>
                <w:szCs w:val="24"/>
                <w:color w:val="auto"/>
              </w:rPr>
            </w:pPr>
          </w:p>
        </w:tc>
        <w:tc>
          <w:tcPr>
            <w:tcW w:w="1520" w:type="dxa"/>
            <w:vAlign w:val="bottom"/>
            <w:shd w:val="clear" w:color="auto" w:fill="DAE9F8"/>
          </w:tcPr>
          <w:p>
            <w:pPr>
              <w:spacing w:after="0"/>
              <w:rPr>
                <w:sz w:val="24"/>
                <w:szCs w:val="24"/>
                <w:color w:val="auto"/>
              </w:rPr>
            </w:pPr>
          </w:p>
        </w:tc>
        <w:tc>
          <w:tcPr>
            <w:tcW w:w="1600" w:type="dxa"/>
            <w:vAlign w:val="bottom"/>
          </w:tcPr>
          <w:p>
            <w:pPr>
              <w:spacing w:after="0"/>
              <w:rPr>
                <w:sz w:val="24"/>
                <w:szCs w:val="24"/>
                <w:color w:val="auto"/>
              </w:rPr>
            </w:pPr>
          </w:p>
        </w:tc>
      </w:tr>
      <w:tr>
        <w:trPr>
          <w:trHeight w:val="286"/>
        </w:trPr>
        <w:tc>
          <w:tcPr>
            <w:tcW w:w="4440" w:type="dxa"/>
            <w:vAlign w:val="bottom"/>
          </w:tcPr>
          <w:p>
            <w:pPr>
              <w:ind w:left="360"/>
              <w:spacing w:after="0"/>
              <w:rPr>
                <w:sz w:val="20"/>
                <w:szCs w:val="20"/>
                <w:color w:val="auto"/>
              </w:rPr>
            </w:pPr>
            <w:r>
              <w:rPr>
                <w:rFonts w:ascii="Arial" w:cs="Arial" w:eastAsia="Arial" w:hAnsi="Arial"/>
                <w:sz w:val="18"/>
                <w:szCs w:val="18"/>
                <w:color w:val="auto"/>
              </w:rPr>
              <w:t>Other receivables and prepaids</w:t>
            </w:r>
          </w:p>
        </w:tc>
        <w:tc>
          <w:tcPr>
            <w:tcW w:w="1540" w:type="dxa"/>
            <w:vAlign w:val="bottom"/>
          </w:tcPr>
          <w:p>
            <w:pPr>
              <w:jc w:val="center"/>
              <w:ind w:left="670"/>
              <w:spacing w:after="0"/>
              <w:rPr>
                <w:sz w:val="20"/>
                <w:szCs w:val="20"/>
                <w:color w:val="auto"/>
              </w:rPr>
            </w:pPr>
            <w:r>
              <w:rPr>
                <w:rFonts w:ascii="Arial" w:cs="Arial" w:eastAsia="Arial" w:hAnsi="Arial"/>
                <w:sz w:val="18"/>
                <w:szCs w:val="18"/>
                <w:color w:val="auto"/>
                <w:w w:val="99"/>
              </w:rPr>
              <w:t>8</w:t>
            </w: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9,584</w:t>
            </w:r>
          </w:p>
        </w:tc>
        <w:tc>
          <w:tcPr>
            <w:tcW w:w="1600" w:type="dxa"/>
            <w:vAlign w:val="bottom"/>
          </w:tcPr>
          <w:p>
            <w:pPr>
              <w:jc w:val="right"/>
              <w:spacing w:after="0"/>
              <w:rPr>
                <w:sz w:val="20"/>
                <w:szCs w:val="20"/>
                <w:color w:val="auto"/>
              </w:rPr>
            </w:pPr>
            <w:r>
              <w:rPr>
                <w:rFonts w:ascii="Arial" w:cs="Arial" w:eastAsia="Arial" w:hAnsi="Arial"/>
                <w:sz w:val="18"/>
                <w:szCs w:val="18"/>
                <w:color w:val="auto"/>
              </w:rPr>
              <w:t>18,182</w:t>
            </w:r>
          </w:p>
        </w:tc>
      </w:tr>
      <w:tr>
        <w:trPr>
          <w:trHeight w:val="272"/>
        </w:trPr>
        <w:tc>
          <w:tcPr>
            <w:tcW w:w="4440" w:type="dxa"/>
            <w:vAlign w:val="bottom"/>
          </w:tcPr>
          <w:p>
            <w:pPr>
              <w:ind w:left="360"/>
              <w:spacing w:after="0"/>
              <w:rPr>
                <w:sz w:val="20"/>
                <w:szCs w:val="20"/>
                <w:color w:val="auto"/>
              </w:rPr>
            </w:pPr>
            <w:r>
              <w:rPr>
                <w:rFonts w:ascii="Arial" w:cs="Arial" w:eastAsia="Arial" w:hAnsi="Arial"/>
                <w:sz w:val="18"/>
                <w:szCs w:val="18"/>
                <w:color w:val="auto"/>
              </w:rPr>
              <w:t>Mineral properties</w:t>
            </w:r>
          </w:p>
        </w:tc>
        <w:tc>
          <w:tcPr>
            <w:tcW w:w="1540" w:type="dxa"/>
            <w:vAlign w:val="bottom"/>
          </w:tcPr>
          <w:p>
            <w:pPr>
              <w:jc w:val="center"/>
              <w:ind w:left="650"/>
              <w:spacing w:after="0"/>
              <w:rPr>
                <w:sz w:val="20"/>
                <w:szCs w:val="20"/>
                <w:color w:val="auto"/>
              </w:rPr>
            </w:pPr>
            <w:r>
              <w:rPr>
                <w:rFonts w:ascii="Arial" w:cs="Arial" w:eastAsia="Arial" w:hAnsi="Arial"/>
                <w:sz w:val="18"/>
                <w:szCs w:val="18"/>
                <w:color w:val="auto"/>
                <w:w w:val="99"/>
              </w:rPr>
              <w:t>10</w:t>
            </w: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202,374</w:t>
            </w:r>
          </w:p>
        </w:tc>
        <w:tc>
          <w:tcPr>
            <w:tcW w:w="1600" w:type="dxa"/>
            <w:vAlign w:val="bottom"/>
          </w:tcPr>
          <w:p>
            <w:pPr>
              <w:jc w:val="right"/>
              <w:spacing w:after="0"/>
              <w:rPr>
                <w:sz w:val="20"/>
                <w:szCs w:val="20"/>
                <w:color w:val="auto"/>
              </w:rPr>
            </w:pPr>
            <w:r>
              <w:rPr>
                <w:rFonts w:ascii="Arial" w:cs="Arial" w:eastAsia="Arial" w:hAnsi="Arial"/>
                <w:sz w:val="18"/>
                <w:szCs w:val="18"/>
                <w:color w:val="auto"/>
              </w:rPr>
              <w:t>202,832</w:t>
            </w:r>
          </w:p>
        </w:tc>
      </w:tr>
      <w:tr>
        <w:trPr>
          <w:trHeight w:val="36"/>
        </w:trPr>
        <w:tc>
          <w:tcPr>
            <w:tcW w:w="44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520" w:type="dxa"/>
            <w:vAlign w:val="bottom"/>
            <w:shd w:val="clear" w:color="auto" w:fill="DAE9F8"/>
          </w:tcPr>
          <w:p>
            <w:pPr>
              <w:spacing w:after="0"/>
              <w:rPr>
                <w:sz w:val="3"/>
                <w:szCs w:val="3"/>
                <w:color w:val="auto"/>
              </w:rPr>
            </w:pPr>
          </w:p>
        </w:tc>
        <w:tc>
          <w:tcPr>
            <w:tcW w:w="1600" w:type="dxa"/>
            <w:vAlign w:val="bottom"/>
          </w:tcPr>
          <w:p>
            <w:pPr>
              <w:spacing w:after="0"/>
              <w:rPr>
                <w:sz w:val="3"/>
                <w:szCs w:val="3"/>
                <w:color w:val="auto"/>
              </w:rPr>
            </w:pPr>
          </w:p>
        </w:tc>
      </w:tr>
      <w:tr>
        <w:trPr>
          <w:trHeight w:val="235"/>
        </w:trPr>
        <w:tc>
          <w:tcPr>
            <w:tcW w:w="4440" w:type="dxa"/>
            <w:vAlign w:val="bottom"/>
          </w:tcPr>
          <w:p>
            <w:pPr>
              <w:ind w:left="360"/>
              <w:spacing w:after="0"/>
              <w:rPr>
                <w:sz w:val="20"/>
                <w:szCs w:val="20"/>
                <w:color w:val="auto"/>
              </w:rPr>
            </w:pPr>
            <w:r>
              <w:rPr>
                <w:rFonts w:ascii="Arial" w:cs="Arial" w:eastAsia="Arial" w:hAnsi="Arial"/>
                <w:sz w:val="18"/>
                <w:szCs w:val="18"/>
                <w:color w:val="auto"/>
              </w:rPr>
              <w:t>Property, plant and equipment</w:t>
            </w:r>
          </w:p>
        </w:tc>
        <w:tc>
          <w:tcPr>
            <w:tcW w:w="1540" w:type="dxa"/>
            <w:vAlign w:val="bottom"/>
          </w:tcPr>
          <w:p>
            <w:pPr>
              <w:jc w:val="center"/>
              <w:ind w:left="650"/>
              <w:spacing w:after="0"/>
              <w:rPr>
                <w:sz w:val="20"/>
                <w:szCs w:val="20"/>
                <w:color w:val="auto"/>
              </w:rPr>
            </w:pPr>
            <w:r>
              <w:rPr>
                <w:rFonts w:ascii="Arial" w:cs="Arial" w:eastAsia="Arial" w:hAnsi="Arial"/>
                <w:sz w:val="18"/>
                <w:szCs w:val="18"/>
                <w:color w:val="auto"/>
                <w:w w:val="99"/>
              </w:rPr>
              <w:t>11</w:t>
            </w: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1,179,607</w:t>
            </w:r>
          </w:p>
        </w:tc>
        <w:tc>
          <w:tcPr>
            <w:tcW w:w="1600" w:type="dxa"/>
            <w:vAlign w:val="bottom"/>
          </w:tcPr>
          <w:p>
            <w:pPr>
              <w:jc w:val="right"/>
              <w:spacing w:after="0"/>
              <w:rPr>
                <w:sz w:val="20"/>
                <w:szCs w:val="20"/>
                <w:color w:val="auto"/>
              </w:rPr>
            </w:pPr>
            <w:r>
              <w:rPr>
                <w:rFonts w:ascii="Arial" w:cs="Arial" w:eastAsia="Arial" w:hAnsi="Arial"/>
                <w:sz w:val="18"/>
                <w:szCs w:val="18"/>
                <w:color w:val="auto"/>
              </w:rPr>
              <w:t>1,254,809</w:t>
            </w:r>
          </w:p>
        </w:tc>
      </w:tr>
      <w:tr>
        <w:trPr>
          <w:trHeight w:val="36"/>
        </w:trPr>
        <w:tc>
          <w:tcPr>
            <w:tcW w:w="44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520" w:type="dxa"/>
            <w:vAlign w:val="bottom"/>
            <w:shd w:val="clear" w:color="auto" w:fill="DAE9F8"/>
          </w:tcPr>
          <w:p>
            <w:pPr>
              <w:spacing w:after="0"/>
              <w:rPr>
                <w:sz w:val="3"/>
                <w:szCs w:val="3"/>
                <w:color w:val="auto"/>
              </w:rPr>
            </w:pPr>
          </w:p>
        </w:tc>
        <w:tc>
          <w:tcPr>
            <w:tcW w:w="1600" w:type="dxa"/>
            <w:vAlign w:val="bottom"/>
          </w:tcPr>
          <w:p>
            <w:pPr>
              <w:spacing w:after="0"/>
              <w:rPr>
                <w:sz w:val="3"/>
                <w:szCs w:val="3"/>
                <w:color w:val="auto"/>
              </w:rPr>
            </w:pPr>
          </w:p>
        </w:tc>
      </w:tr>
      <w:tr>
        <w:trPr>
          <w:trHeight w:val="250"/>
        </w:trPr>
        <w:tc>
          <w:tcPr>
            <w:tcW w:w="4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1,391,565</w:t>
            </w:r>
          </w:p>
        </w:tc>
        <w:tc>
          <w:tcPr>
            <w:tcW w:w="1600" w:type="dxa"/>
            <w:vAlign w:val="bottom"/>
          </w:tcPr>
          <w:p>
            <w:pPr>
              <w:jc w:val="right"/>
              <w:spacing w:after="0"/>
              <w:rPr>
                <w:sz w:val="20"/>
                <w:szCs w:val="20"/>
                <w:color w:val="auto"/>
              </w:rPr>
            </w:pPr>
            <w:r>
              <w:rPr>
                <w:rFonts w:ascii="Arial" w:cs="Arial" w:eastAsia="Arial" w:hAnsi="Arial"/>
                <w:sz w:val="18"/>
                <w:szCs w:val="18"/>
                <w:color w:val="auto"/>
              </w:rPr>
              <w:t>1,475,823</w:t>
            </w:r>
          </w:p>
        </w:tc>
      </w:tr>
      <w:tr>
        <w:trPr>
          <w:trHeight w:val="50"/>
        </w:trPr>
        <w:tc>
          <w:tcPr>
            <w:tcW w:w="44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520" w:type="dxa"/>
            <w:vAlign w:val="bottom"/>
            <w:shd w:val="clear" w:color="auto" w:fill="DAE9F8"/>
          </w:tcPr>
          <w:p>
            <w:pPr>
              <w:spacing w:after="0"/>
              <w:rPr>
                <w:sz w:val="4"/>
                <w:szCs w:val="4"/>
                <w:color w:val="auto"/>
              </w:rPr>
            </w:pPr>
          </w:p>
        </w:tc>
        <w:tc>
          <w:tcPr>
            <w:tcW w:w="1600" w:type="dxa"/>
            <w:vAlign w:val="bottom"/>
          </w:tcPr>
          <w:p>
            <w:pPr>
              <w:spacing w:after="0"/>
              <w:rPr>
                <w:sz w:val="4"/>
                <w:szCs w:val="4"/>
                <w:color w:val="auto"/>
              </w:rPr>
            </w:pPr>
          </w:p>
        </w:tc>
      </w:tr>
      <w:tr>
        <w:trPr>
          <w:trHeight w:val="250"/>
        </w:trPr>
        <w:tc>
          <w:tcPr>
            <w:tcW w:w="44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540" w:type="dxa"/>
            <w:vAlign w:val="bottom"/>
          </w:tcPr>
          <w:p>
            <w:pPr>
              <w:spacing w:after="0"/>
              <w:rPr>
                <w:sz w:val="21"/>
                <w:szCs w:val="21"/>
                <w:color w:val="auto"/>
              </w:rPr>
            </w:pP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1,822,930</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1,788,247</w:t>
            </w:r>
          </w:p>
        </w:tc>
      </w:tr>
      <w:tr>
        <w:trPr>
          <w:trHeight w:val="600"/>
        </w:trPr>
        <w:tc>
          <w:tcPr>
            <w:tcW w:w="44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540" w:type="dxa"/>
            <w:vAlign w:val="bottom"/>
          </w:tcPr>
          <w:p>
            <w:pPr>
              <w:spacing w:after="0"/>
              <w:rPr>
                <w:sz w:val="24"/>
                <w:szCs w:val="24"/>
                <w:color w:val="auto"/>
              </w:rPr>
            </w:pPr>
          </w:p>
        </w:tc>
        <w:tc>
          <w:tcPr>
            <w:tcW w:w="1520" w:type="dxa"/>
            <w:vAlign w:val="bottom"/>
            <w:shd w:val="clear" w:color="auto" w:fill="DAE9F8"/>
          </w:tcPr>
          <w:p>
            <w:pPr>
              <w:spacing w:after="0"/>
              <w:rPr>
                <w:sz w:val="24"/>
                <w:szCs w:val="24"/>
                <w:color w:val="auto"/>
              </w:rPr>
            </w:pPr>
          </w:p>
        </w:tc>
        <w:tc>
          <w:tcPr>
            <w:tcW w:w="1600" w:type="dxa"/>
            <w:vAlign w:val="bottom"/>
          </w:tcPr>
          <w:p>
            <w:pPr>
              <w:spacing w:after="0"/>
              <w:rPr>
                <w:sz w:val="24"/>
                <w:szCs w:val="24"/>
                <w:color w:val="auto"/>
              </w:rPr>
            </w:pPr>
          </w:p>
        </w:tc>
      </w:tr>
      <w:tr>
        <w:trPr>
          <w:trHeight w:val="286"/>
        </w:trPr>
        <w:tc>
          <w:tcPr>
            <w:tcW w:w="4440" w:type="dxa"/>
            <w:vAlign w:val="bottom"/>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1540" w:type="dxa"/>
            <w:vAlign w:val="bottom"/>
          </w:tcPr>
          <w:p>
            <w:pPr>
              <w:spacing w:after="0"/>
              <w:rPr>
                <w:sz w:val="24"/>
                <w:szCs w:val="24"/>
                <w:color w:val="auto"/>
              </w:rPr>
            </w:pP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56,846</w:t>
            </w:r>
          </w:p>
        </w:tc>
        <w:tc>
          <w:tcPr>
            <w:tcW w:w="1600" w:type="dxa"/>
            <w:vAlign w:val="bottom"/>
          </w:tcPr>
          <w:p>
            <w:pPr>
              <w:jc w:val="right"/>
              <w:spacing w:after="0"/>
              <w:rPr>
                <w:sz w:val="20"/>
                <w:szCs w:val="20"/>
                <w:color w:val="auto"/>
              </w:rPr>
            </w:pPr>
            <w:r>
              <w:rPr>
                <w:rFonts w:ascii="Arial" w:cs="Arial" w:eastAsia="Arial" w:hAnsi="Arial"/>
                <w:sz w:val="18"/>
                <w:szCs w:val="18"/>
                <w:color w:val="auto"/>
              </w:rPr>
              <w:t>65,821</w:t>
            </w:r>
          </w:p>
        </w:tc>
      </w:tr>
      <w:tr>
        <w:trPr>
          <w:trHeight w:val="272"/>
        </w:trPr>
        <w:tc>
          <w:tcPr>
            <w:tcW w:w="4440" w:type="dxa"/>
            <w:vAlign w:val="bottom"/>
          </w:tcPr>
          <w:p>
            <w:pPr>
              <w:ind w:left="360"/>
              <w:spacing w:after="0"/>
              <w:rPr>
                <w:sz w:val="20"/>
                <w:szCs w:val="20"/>
                <w:color w:val="auto"/>
              </w:rPr>
            </w:pPr>
            <w:r>
              <w:rPr>
                <w:rFonts w:ascii="Arial" w:cs="Arial" w:eastAsia="Arial" w:hAnsi="Arial"/>
                <w:sz w:val="18"/>
                <w:szCs w:val="18"/>
                <w:color w:val="auto"/>
              </w:rPr>
              <w:t>Other taxes payable</w:t>
            </w:r>
          </w:p>
        </w:tc>
        <w:tc>
          <w:tcPr>
            <w:tcW w:w="1540" w:type="dxa"/>
            <w:vAlign w:val="bottom"/>
          </w:tcPr>
          <w:p>
            <w:pPr>
              <w:spacing w:after="0"/>
              <w:rPr>
                <w:sz w:val="23"/>
                <w:szCs w:val="23"/>
                <w:color w:val="auto"/>
              </w:rPr>
            </w:pP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4,751</w:t>
            </w:r>
          </w:p>
        </w:tc>
        <w:tc>
          <w:tcPr>
            <w:tcW w:w="1600" w:type="dxa"/>
            <w:vAlign w:val="bottom"/>
          </w:tcPr>
          <w:p>
            <w:pPr>
              <w:jc w:val="right"/>
              <w:spacing w:after="0"/>
              <w:rPr>
                <w:sz w:val="20"/>
                <w:szCs w:val="20"/>
                <w:color w:val="auto"/>
              </w:rPr>
            </w:pPr>
            <w:r>
              <w:rPr>
                <w:rFonts w:ascii="Arial" w:cs="Arial" w:eastAsia="Arial" w:hAnsi="Arial"/>
                <w:sz w:val="18"/>
                <w:szCs w:val="18"/>
                <w:color w:val="auto"/>
              </w:rPr>
              <w:t>6,236</w:t>
            </w:r>
          </w:p>
        </w:tc>
      </w:tr>
      <w:tr>
        <w:trPr>
          <w:trHeight w:val="272"/>
        </w:trPr>
        <w:tc>
          <w:tcPr>
            <w:tcW w:w="4440" w:type="dxa"/>
            <w:vAlign w:val="bottom"/>
          </w:tcPr>
          <w:p>
            <w:pPr>
              <w:ind w:left="360"/>
              <w:spacing w:after="0"/>
              <w:rPr>
                <w:sz w:val="20"/>
                <w:szCs w:val="20"/>
                <w:color w:val="auto"/>
              </w:rPr>
            </w:pPr>
            <w:r>
              <w:rPr>
                <w:rFonts w:ascii="Arial" w:cs="Arial" w:eastAsia="Arial" w:hAnsi="Arial"/>
                <w:sz w:val="18"/>
                <w:szCs w:val="18"/>
                <w:color w:val="auto"/>
              </w:rPr>
              <w:t>Loans and borrowings</w:t>
            </w:r>
          </w:p>
        </w:tc>
        <w:tc>
          <w:tcPr>
            <w:tcW w:w="1540" w:type="dxa"/>
            <w:vAlign w:val="bottom"/>
          </w:tcPr>
          <w:p>
            <w:pPr>
              <w:jc w:val="center"/>
              <w:ind w:left="650"/>
              <w:spacing w:after="0"/>
              <w:rPr>
                <w:sz w:val="20"/>
                <w:szCs w:val="20"/>
                <w:color w:val="auto"/>
              </w:rPr>
            </w:pPr>
            <w:r>
              <w:rPr>
                <w:rFonts w:ascii="Arial" w:cs="Arial" w:eastAsia="Arial" w:hAnsi="Arial"/>
                <w:sz w:val="18"/>
                <w:szCs w:val="18"/>
                <w:color w:val="auto"/>
                <w:w w:val="99"/>
              </w:rPr>
              <w:t>12</w:t>
            </w: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242,910</w:t>
            </w:r>
          </w:p>
        </w:tc>
        <w:tc>
          <w:tcPr>
            <w:tcW w:w="1600" w:type="dxa"/>
            <w:vAlign w:val="bottom"/>
          </w:tcPr>
          <w:p>
            <w:pPr>
              <w:jc w:val="right"/>
              <w:spacing w:after="0"/>
              <w:rPr>
                <w:sz w:val="20"/>
                <w:szCs w:val="20"/>
                <w:color w:val="auto"/>
              </w:rPr>
            </w:pPr>
            <w:r>
              <w:rPr>
                <w:rFonts w:ascii="Arial" w:cs="Arial" w:eastAsia="Arial" w:hAnsi="Arial"/>
                <w:sz w:val="18"/>
                <w:szCs w:val="18"/>
                <w:color w:val="auto"/>
              </w:rPr>
              <w:t>799,150</w:t>
            </w:r>
          </w:p>
        </w:tc>
      </w:tr>
      <w:tr>
        <w:trPr>
          <w:trHeight w:val="272"/>
        </w:trPr>
        <w:tc>
          <w:tcPr>
            <w:tcW w:w="4440" w:type="dxa"/>
            <w:vAlign w:val="bottom"/>
          </w:tcPr>
          <w:p>
            <w:pPr>
              <w:ind w:left="360"/>
              <w:spacing w:after="0"/>
              <w:rPr>
                <w:sz w:val="20"/>
                <w:szCs w:val="20"/>
                <w:color w:val="auto"/>
              </w:rPr>
            </w:pPr>
            <w:r>
              <w:rPr>
                <w:rFonts w:ascii="Arial" w:cs="Arial" w:eastAsia="Arial" w:hAnsi="Arial"/>
                <w:sz w:val="18"/>
                <w:szCs w:val="18"/>
                <w:color w:val="auto"/>
              </w:rPr>
              <w:t>Provisions</w:t>
            </w:r>
          </w:p>
        </w:tc>
        <w:tc>
          <w:tcPr>
            <w:tcW w:w="1540" w:type="dxa"/>
            <w:vAlign w:val="bottom"/>
          </w:tcPr>
          <w:p>
            <w:pPr>
              <w:spacing w:after="0"/>
              <w:rPr>
                <w:sz w:val="23"/>
                <w:szCs w:val="23"/>
                <w:color w:val="auto"/>
              </w:rPr>
            </w:pP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2</w:t>
            </w:r>
          </w:p>
        </w:tc>
        <w:tc>
          <w:tcPr>
            <w:tcW w:w="16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86"/>
        </w:trPr>
        <w:tc>
          <w:tcPr>
            <w:tcW w:w="4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304,509</w:t>
            </w:r>
          </w:p>
        </w:tc>
        <w:tc>
          <w:tcPr>
            <w:tcW w:w="1600" w:type="dxa"/>
            <w:vAlign w:val="bottom"/>
          </w:tcPr>
          <w:p>
            <w:pPr>
              <w:jc w:val="right"/>
              <w:spacing w:after="0"/>
              <w:rPr>
                <w:sz w:val="20"/>
                <w:szCs w:val="20"/>
                <w:color w:val="auto"/>
              </w:rPr>
            </w:pPr>
            <w:r>
              <w:rPr>
                <w:rFonts w:ascii="Arial" w:cs="Arial" w:eastAsia="Arial" w:hAnsi="Arial"/>
                <w:sz w:val="18"/>
                <w:szCs w:val="18"/>
                <w:color w:val="auto"/>
              </w:rPr>
              <w:t>871,339</w:t>
            </w:r>
          </w:p>
        </w:tc>
      </w:tr>
      <w:tr>
        <w:trPr>
          <w:trHeight w:val="300"/>
        </w:trPr>
        <w:tc>
          <w:tcPr>
            <w:tcW w:w="444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540" w:type="dxa"/>
            <w:vAlign w:val="bottom"/>
          </w:tcPr>
          <w:p>
            <w:pPr>
              <w:spacing w:after="0"/>
              <w:rPr>
                <w:sz w:val="24"/>
                <w:szCs w:val="24"/>
                <w:color w:val="auto"/>
              </w:rPr>
            </w:pPr>
          </w:p>
        </w:tc>
        <w:tc>
          <w:tcPr>
            <w:tcW w:w="1520" w:type="dxa"/>
            <w:vAlign w:val="bottom"/>
            <w:shd w:val="clear" w:color="auto" w:fill="DAE9F8"/>
          </w:tcPr>
          <w:p>
            <w:pPr>
              <w:spacing w:after="0"/>
              <w:rPr>
                <w:sz w:val="24"/>
                <w:szCs w:val="24"/>
                <w:color w:val="auto"/>
              </w:rPr>
            </w:pPr>
          </w:p>
        </w:tc>
        <w:tc>
          <w:tcPr>
            <w:tcW w:w="1600" w:type="dxa"/>
            <w:vAlign w:val="bottom"/>
          </w:tcPr>
          <w:p>
            <w:pPr>
              <w:spacing w:after="0"/>
              <w:rPr>
                <w:sz w:val="24"/>
                <w:szCs w:val="24"/>
                <w:color w:val="auto"/>
              </w:rPr>
            </w:pPr>
          </w:p>
        </w:tc>
      </w:tr>
      <w:tr>
        <w:trPr>
          <w:trHeight w:val="286"/>
        </w:trPr>
        <w:tc>
          <w:tcPr>
            <w:tcW w:w="444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540" w:type="dxa"/>
            <w:vAlign w:val="bottom"/>
          </w:tcPr>
          <w:p>
            <w:pPr>
              <w:spacing w:after="0"/>
              <w:rPr>
                <w:sz w:val="24"/>
                <w:szCs w:val="24"/>
                <w:color w:val="auto"/>
              </w:rPr>
            </w:pP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4,773</w:t>
            </w:r>
          </w:p>
        </w:tc>
        <w:tc>
          <w:tcPr>
            <w:tcW w:w="1600" w:type="dxa"/>
            <w:vAlign w:val="bottom"/>
          </w:tcPr>
          <w:p>
            <w:pPr>
              <w:jc w:val="right"/>
              <w:spacing w:after="0"/>
              <w:rPr>
                <w:sz w:val="20"/>
                <w:szCs w:val="20"/>
                <w:color w:val="auto"/>
              </w:rPr>
            </w:pPr>
            <w:r>
              <w:rPr>
                <w:rFonts w:ascii="Arial" w:cs="Arial" w:eastAsia="Arial" w:hAnsi="Arial"/>
                <w:sz w:val="18"/>
                <w:szCs w:val="18"/>
                <w:color w:val="auto"/>
              </w:rPr>
              <w:t>4,572</w:t>
            </w:r>
          </w:p>
        </w:tc>
      </w:tr>
      <w:tr>
        <w:trPr>
          <w:trHeight w:val="272"/>
        </w:trPr>
        <w:tc>
          <w:tcPr>
            <w:tcW w:w="4440" w:type="dxa"/>
            <w:vAlign w:val="bottom"/>
          </w:tcPr>
          <w:p>
            <w:pPr>
              <w:ind w:left="360"/>
              <w:spacing w:after="0"/>
              <w:rPr>
                <w:sz w:val="20"/>
                <w:szCs w:val="20"/>
                <w:color w:val="auto"/>
              </w:rPr>
            </w:pPr>
            <w:r>
              <w:rPr>
                <w:rFonts w:ascii="Arial" w:cs="Arial" w:eastAsia="Arial" w:hAnsi="Arial"/>
                <w:sz w:val="18"/>
                <w:szCs w:val="18"/>
                <w:color w:val="auto"/>
              </w:rPr>
              <w:t>Loans and borrowings</w:t>
            </w:r>
          </w:p>
        </w:tc>
        <w:tc>
          <w:tcPr>
            <w:tcW w:w="1540" w:type="dxa"/>
            <w:vAlign w:val="bottom"/>
          </w:tcPr>
          <w:p>
            <w:pPr>
              <w:jc w:val="center"/>
              <w:ind w:left="670"/>
              <w:spacing w:after="0"/>
              <w:rPr>
                <w:sz w:val="20"/>
                <w:szCs w:val="20"/>
                <w:color w:val="auto"/>
              </w:rPr>
            </w:pPr>
            <w:r>
              <w:rPr>
                <w:rFonts w:ascii="Arial" w:cs="Arial" w:eastAsia="Arial" w:hAnsi="Arial"/>
                <w:sz w:val="18"/>
                <w:szCs w:val="18"/>
                <w:color w:val="auto"/>
                <w:w w:val="99"/>
              </w:rPr>
              <w:t>12, 18</w:t>
            </w: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1,043,270</w:t>
            </w:r>
          </w:p>
        </w:tc>
        <w:tc>
          <w:tcPr>
            <w:tcW w:w="1600" w:type="dxa"/>
            <w:vAlign w:val="bottom"/>
          </w:tcPr>
          <w:p>
            <w:pPr>
              <w:jc w:val="right"/>
              <w:spacing w:after="0"/>
              <w:rPr>
                <w:sz w:val="20"/>
                <w:szCs w:val="20"/>
                <w:color w:val="auto"/>
              </w:rPr>
            </w:pPr>
            <w:r>
              <w:rPr>
                <w:rFonts w:ascii="Arial" w:cs="Arial" w:eastAsia="Arial" w:hAnsi="Arial"/>
                <w:sz w:val="18"/>
                <w:szCs w:val="18"/>
                <w:color w:val="auto"/>
              </w:rPr>
              <w:t>620,066</w:t>
            </w:r>
          </w:p>
        </w:tc>
      </w:tr>
      <w:tr>
        <w:trPr>
          <w:trHeight w:val="272"/>
        </w:trPr>
        <w:tc>
          <w:tcPr>
            <w:tcW w:w="4440" w:type="dxa"/>
            <w:vAlign w:val="bottom"/>
          </w:tcPr>
          <w:p>
            <w:pPr>
              <w:ind w:left="360"/>
              <w:spacing w:after="0"/>
              <w:rPr>
                <w:sz w:val="20"/>
                <w:szCs w:val="20"/>
                <w:color w:val="auto"/>
              </w:rPr>
            </w:pPr>
            <w:r>
              <w:rPr>
                <w:rFonts w:ascii="Arial" w:cs="Arial" w:eastAsia="Arial" w:hAnsi="Arial"/>
                <w:sz w:val="18"/>
                <w:szCs w:val="18"/>
                <w:color w:val="auto"/>
              </w:rPr>
              <w:t>Provisions</w:t>
            </w:r>
          </w:p>
        </w:tc>
        <w:tc>
          <w:tcPr>
            <w:tcW w:w="1540" w:type="dxa"/>
            <w:vAlign w:val="bottom"/>
          </w:tcPr>
          <w:p>
            <w:pPr>
              <w:spacing w:after="0"/>
              <w:rPr>
                <w:sz w:val="23"/>
                <w:szCs w:val="23"/>
                <w:color w:val="auto"/>
              </w:rPr>
            </w:pP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2,171</w:t>
            </w:r>
          </w:p>
        </w:tc>
        <w:tc>
          <w:tcPr>
            <w:tcW w:w="1600" w:type="dxa"/>
            <w:vAlign w:val="bottom"/>
          </w:tcPr>
          <w:p>
            <w:pPr>
              <w:jc w:val="right"/>
              <w:spacing w:after="0"/>
              <w:rPr>
                <w:sz w:val="20"/>
                <w:szCs w:val="20"/>
                <w:color w:val="auto"/>
              </w:rPr>
            </w:pPr>
            <w:r>
              <w:rPr>
                <w:rFonts w:ascii="Arial" w:cs="Arial" w:eastAsia="Arial" w:hAnsi="Arial"/>
                <w:sz w:val="18"/>
                <w:szCs w:val="18"/>
                <w:color w:val="auto"/>
              </w:rPr>
              <w:t>1,399</w:t>
            </w:r>
          </w:p>
        </w:tc>
      </w:tr>
      <w:tr>
        <w:trPr>
          <w:trHeight w:val="272"/>
        </w:trPr>
        <w:tc>
          <w:tcPr>
            <w:tcW w:w="4440" w:type="dxa"/>
            <w:vAlign w:val="bottom"/>
          </w:tcPr>
          <w:p>
            <w:pPr>
              <w:ind w:left="360"/>
              <w:spacing w:after="0"/>
              <w:rPr>
                <w:sz w:val="20"/>
                <w:szCs w:val="20"/>
                <w:color w:val="auto"/>
              </w:rPr>
            </w:pPr>
            <w:r>
              <w:rPr>
                <w:rFonts w:ascii="Arial" w:cs="Arial" w:eastAsia="Arial" w:hAnsi="Arial"/>
                <w:sz w:val="18"/>
                <w:szCs w:val="18"/>
                <w:color w:val="auto"/>
              </w:rPr>
              <w:t>Deferred income taxes liability</w:t>
            </w:r>
          </w:p>
        </w:tc>
        <w:tc>
          <w:tcPr>
            <w:tcW w:w="1540" w:type="dxa"/>
            <w:vAlign w:val="bottom"/>
          </w:tcPr>
          <w:p>
            <w:pPr>
              <w:jc w:val="center"/>
              <w:ind w:left="650"/>
              <w:spacing w:after="0"/>
              <w:rPr>
                <w:sz w:val="20"/>
                <w:szCs w:val="20"/>
                <w:color w:val="auto"/>
              </w:rPr>
            </w:pPr>
            <w:r>
              <w:rPr>
                <w:rFonts w:ascii="Arial" w:cs="Arial" w:eastAsia="Arial" w:hAnsi="Arial"/>
                <w:sz w:val="18"/>
                <w:szCs w:val="18"/>
                <w:color w:val="auto"/>
                <w:w w:val="99"/>
              </w:rPr>
              <w:t>21</w:t>
            </w: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83,689</w:t>
            </w:r>
          </w:p>
        </w:tc>
        <w:tc>
          <w:tcPr>
            <w:tcW w:w="1600" w:type="dxa"/>
            <w:vAlign w:val="bottom"/>
          </w:tcPr>
          <w:p>
            <w:pPr>
              <w:jc w:val="right"/>
              <w:spacing w:after="0"/>
              <w:rPr>
                <w:sz w:val="20"/>
                <w:szCs w:val="20"/>
                <w:color w:val="auto"/>
              </w:rPr>
            </w:pPr>
            <w:r>
              <w:rPr>
                <w:rFonts w:ascii="Arial" w:cs="Arial" w:eastAsia="Arial" w:hAnsi="Arial"/>
                <w:sz w:val="18"/>
                <w:szCs w:val="18"/>
                <w:color w:val="auto"/>
              </w:rPr>
              <w:t>98,302</w:t>
            </w:r>
          </w:p>
        </w:tc>
      </w:tr>
      <w:tr>
        <w:trPr>
          <w:trHeight w:val="286"/>
        </w:trPr>
        <w:tc>
          <w:tcPr>
            <w:tcW w:w="4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1,133,903</w:t>
            </w:r>
          </w:p>
        </w:tc>
        <w:tc>
          <w:tcPr>
            <w:tcW w:w="1600" w:type="dxa"/>
            <w:vAlign w:val="bottom"/>
          </w:tcPr>
          <w:p>
            <w:pPr>
              <w:jc w:val="right"/>
              <w:spacing w:after="0"/>
              <w:rPr>
                <w:sz w:val="20"/>
                <w:szCs w:val="20"/>
                <w:color w:val="auto"/>
              </w:rPr>
            </w:pPr>
            <w:r>
              <w:rPr>
                <w:rFonts w:ascii="Arial" w:cs="Arial" w:eastAsia="Arial" w:hAnsi="Arial"/>
                <w:sz w:val="18"/>
                <w:szCs w:val="18"/>
                <w:color w:val="auto"/>
              </w:rPr>
              <w:t>724,339</w:t>
            </w:r>
          </w:p>
        </w:tc>
      </w:tr>
      <w:tr>
        <w:trPr>
          <w:trHeight w:val="300"/>
        </w:trPr>
        <w:tc>
          <w:tcPr>
            <w:tcW w:w="44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540" w:type="dxa"/>
            <w:vAlign w:val="bottom"/>
          </w:tcPr>
          <w:p>
            <w:pPr>
              <w:spacing w:after="0"/>
              <w:rPr>
                <w:sz w:val="24"/>
                <w:szCs w:val="24"/>
                <w:color w:val="auto"/>
              </w:rPr>
            </w:pP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1,438,412</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1,595,678</w:t>
            </w:r>
          </w:p>
        </w:tc>
      </w:tr>
      <w:tr>
        <w:trPr>
          <w:trHeight w:val="600"/>
        </w:trPr>
        <w:tc>
          <w:tcPr>
            <w:tcW w:w="44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540" w:type="dxa"/>
            <w:vAlign w:val="bottom"/>
          </w:tcPr>
          <w:p>
            <w:pPr>
              <w:spacing w:after="0"/>
              <w:rPr>
                <w:sz w:val="24"/>
                <w:szCs w:val="24"/>
                <w:color w:val="auto"/>
              </w:rPr>
            </w:pPr>
          </w:p>
        </w:tc>
        <w:tc>
          <w:tcPr>
            <w:tcW w:w="1520" w:type="dxa"/>
            <w:vAlign w:val="bottom"/>
            <w:shd w:val="clear" w:color="auto" w:fill="DAE9F8"/>
          </w:tcPr>
          <w:p>
            <w:pPr>
              <w:spacing w:after="0"/>
              <w:rPr>
                <w:sz w:val="24"/>
                <w:szCs w:val="24"/>
                <w:color w:val="auto"/>
              </w:rPr>
            </w:pPr>
          </w:p>
        </w:tc>
        <w:tc>
          <w:tcPr>
            <w:tcW w:w="1600" w:type="dxa"/>
            <w:vAlign w:val="bottom"/>
          </w:tcPr>
          <w:p>
            <w:pPr>
              <w:spacing w:after="0"/>
              <w:rPr>
                <w:sz w:val="24"/>
                <w:szCs w:val="24"/>
                <w:color w:val="auto"/>
              </w:rPr>
            </w:pPr>
          </w:p>
        </w:tc>
      </w:tr>
      <w:tr>
        <w:trPr>
          <w:trHeight w:val="286"/>
        </w:trPr>
        <w:tc>
          <w:tcPr>
            <w:tcW w:w="4440" w:type="dxa"/>
            <w:vAlign w:val="bottom"/>
          </w:tcPr>
          <w:p>
            <w:pPr>
              <w:ind w:left="360"/>
              <w:spacing w:after="0"/>
              <w:rPr>
                <w:sz w:val="20"/>
                <w:szCs w:val="20"/>
                <w:color w:val="auto"/>
              </w:rPr>
            </w:pPr>
            <w:r>
              <w:rPr>
                <w:rFonts w:ascii="Arial" w:cs="Arial" w:eastAsia="Arial" w:hAnsi="Arial"/>
                <w:sz w:val="18"/>
                <w:szCs w:val="18"/>
                <w:color w:val="auto"/>
              </w:rPr>
              <w:t>Share capital</w:t>
            </w:r>
          </w:p>
        </w:tc>
        <w:tc>
          <w:tcPr>
            <w:tcW w:w="1540" w:type="dxa"/>
            <w:vAlign w:val="bottom"/>
          </w:tcPr>
          <w:p>
            <w:pPr>
              <w:jc w:val="center"/>
              <w:ind w:left="650"/>
              <w:spacing w:after="0"/>
              <w:rPr>
                <w:sz w:val="20"/>
                <w:szCs w:val="20"/>
                <w:color w:val="auto"/>
              </w:rPr>
            </w:pPr>
            <w:r>
              <w:rPr>
                <w:rFonts w:ascii="Arial" w:cs="Arial" w:eastAsia="Arial" w:hAnsi="Arial"/>
                <w:sz w:val="18"/>
                <w:szCs w:val="18"/>
                <w:color w:val="auto"/>
                <w:w w:val="99"/>
              </w:rPr>
              <w:t>13</w:t>
            </w: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37,661</w:t>
            </w:r>
          </w:p>
        </w:tc>
        <w:tc>
          <w:tcPr>
            <w:tcW w:w="1600" w:type="dxa"/>
            <w:vAlign w:val="bottom"/>
          </w:tcPr>
          <w:p>
            <w:pPr>
              <w:jc w:val="right"/>
              <w:spacing w:after="0"/>
              <w:rPr>
                <w:sz w:val="20"/>
                <w:szCs w:val="20"/>
                <w:color w:val="auto"/>
              </w:rPr>
            </w:pPr>
            <w:r>
              <w:rPr>
                <w:rFonts w:ascii="Arial" w:cs="Arial" w:eastAsia="Arial" w:hAnsi="Arial"/>
                <w:sz w:val="18"/>
                <w:szCs w:val="18"/>
                <w:color w:val="auto"/>
              </w:rPr>
              <w:t>37,514</w:t>
            </w:r>
          </w:p>
        </w:tc>
      </w:tr>
      <w:tr>
        <w:trPr>
          <w:trHeight w:val="286"/>
        </w:trPr>
        <w:tc>
          <w:tcPr>
            <w:tcW w:w="4440" w:type="dxa"/>
            <w:vAlign w:val="bottom"/>
          </w:tcPr>
          <w:p>
            <w:pPr>
              <w:ind w:left="360"/>
              <w:spacing w:after="0"/>
              <w:rPr>
                <w:sz w:val="20"/>
                <w:szCs w:val="20"/>
                <w:color w:val="auto"/>
              </w:rPr>
            </w:pPr>
            <w:r>
              <w:rPr>
                <w:rFonts w:ascii="Arial" w:cs="Arial" w:eastAsia="Arial" w:hAnsi="Arial"/>
                <w:sz w:val="18"/>
                <w:szCs w:val="18"/>
                <w:color w:val="auto"/>
              </w:rPr>
              <w:t>Contributed surplus</w:t>
            </w:r>
          </w:p>
        </w:tc>
        <w:tc>
          <w:tcPr>
            <w:tcW w:w="1540" w:type="dxa"/>
            <w:vAlign w:val="bottom"/>
          </w:tcPr>
          <w:p>
            <w:pPr>
              <w:spacing w:after="0"/>
              <w:rPr>
                <w:sz w:val="24"/>
                <w:szCs w:val="24"/>
                <w:color w:val="auto"/>
              </w:rPr>
            </w:pP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404,774</w:t>
            </w:r>
          </w:p>
        </w:tc>
        <w:tc>
          <w:tcPr>
            <w:tcW w:w="1600" w:type="dxa"/>
            <w:vAlign w:val="bottom"/>
          </w:tcPr>
          <w:p>
            <w:pPr>
              <w:jc w:val="right"/>
              <w:spacing w:after="0"/>
              <w:rPr>
                <w:sz w:val="20"/>
                <w:szCs w:val="20"/>
                <w:color w:val="auto"/>
              </w:rPr>
            </w:pPr>
            <w:r>
              <w:rPr>
                <w:rFonts w:ascii="Arial" w:cs="Arial" w:eastAsia="Arial" w:hAnsi="Arial"/>
                <w:sz w:val="18"/>
                <w:szCs w:val="18"/>
                <w:color w:val="auto"/>
              </w:rPr>
              <w:t>206,333</w:t>
            </w:r>
          </w:p>
        </w:tc>
      </w:tr>
      <w:tr>
        <w:trPr>
          <w:trHeight w:val="286"/>
        </w:trPr>
        <w:tc>
          <w:tcPr>
            <w:tcW w:w="4440" w:type="dxa"/>
            <w:vAlign w:val="bottom"/>
          </w:tcPr>
          <w:p>
            <w:pPr>
              <w:ind w:left="360"/>
              <w:spacing w:after="0"/>
              <w:rPr>
                <w:sz w:val="20"/>
                <w:szCs w:val="20"/>
                <w:color w:val="auto"/>
              </w:rPr>
            </w:pPr>
            <w:r>
              <w:rPr>
                <w:rFonts w:ascii="Arial" w:cs="Arial" w:eastAsia="Arial" w:hAnsi="Arial"/>
                <w:sz w:val="18"/>
                <w:szCs w:val="18"/>
                <w:color w:val="auto"/>
              </w:rPr>
              <w:t>Other reserves</w:t>
            </w:r>
          </w:p>
        </w:tc>
        <w:tc>
          <w:tcPr>
            <w:tcW w:w="1540" w:type="dxa"/>
            <w:vAlign w:val="bottom"/>
          </w:tcPr>
          <w:p>
            <w:pPr>
              <w:ind w:left="980"/>
              <w:spacing w:after="0"/>
              <w:rPr>
                <w:sz w:val="20"/>
                <w:szCs w:val="20"/>
                <w:color w:val="auto"/>
              </w:rPr>
            </w:pPr>
            <w:r>
              <w:rPr>
                <w:rFonts w:ascii="Arial" w:cs="Arial" w:eastAsia="Arial" w:hAnsi="Arial"/>
                <w:sz w:val="18"/>
                <w:szCs w:val="18"/>
                <w:color w:val="auto"/>
              </w:rPr>
              <w:t>17c</w:t>
            </w: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32,122</w:t>
            </w:r>
          </w:p>
        </w:tc>
        <w:tc>
          <w:tcPr>
            <w:tcW w:w="1600" w:type="dxa"/>
            <w:vAlign w:val="bottom"/>
          </w:tcPr>
          <w:p>
            <w:pPr>
              <w:spacing w:after="0"/>
              <w:rPr>
                <w:sz w:val="24"/>
                <w:szCs w:val="24"/>
                <w:color w:val="auto"/>
              </w:rPr>
            </w:pPr>
          </w:p>
        </w:tc>
      </w:tr>
      <w:tr>
        <w:trPr>
          <w:trHeight w:val="286"/>
        </w:trPr>
        <w:tc>
          <w:tcPr>
            <w:tcW w:w="4440" w:type="dxa"/>
            <w:vAlign w:val="bottom"/>
          </w:tcPr>
          <w:p>
            <w:pPr>
              <w:ind w:left="360"/>
              <w:spacing w:after="0"/>
              <w:rPr>
                <w:sz w:val="20"/>
                <w:szCs w:val="20"/>
                <w:color w:val="auto"/>
              </w:rPr>
            </w:pPr>
            <w:r>
              <w:rPr>
                <w:rFonts w:ascii="Arial" w:cs="Arial" w:eastAsia="Arial" w:hAnsi="Arial"/>
                <w:sz w:val="18"/>
                <w:szCs w:val="18"/>
                <w:color w:val="auto"/>
              </w:rPr>
              <w:t>Deficit</w:t>
            </w:r>
          </w:p>
        </w:tc>
        <w:tc>
          <w:tcPr>
            <w:tcW w:w="1540" w:type="dxa"/>
            <w:vAlign w:val="bottom"/>
          </w:tcPr>
          <w:p>
            <w:pPr>
              <w:spacing w:after="0"/>
              <w:rPr>
                <w:sz w:val="24"/>
                <w:szCs w:val="24"/>
                <w:color w:val="auto"/>
              </w:rPr>
            </w:pP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(90,039)</w:t>
            </w:r>
          </w:p>
        </w:tc>
        <w:tc>
          <w:tcPr>
            <w:tcW w:w="1600" w:type="dxa"/>
            <w:vAlign w:val="bottom"/>
          </w:tcPr>
          <w:p>
            <w:pPr>
              <w:jc w:val="right"/>
              <w:spacing w:after="0"/>
              <w:rPr>
                <w:sz w:val="20"/>
                <w:szCs w:val="20"/>
                <w:color w:val="auto"/>
              </w:rPr>
            </w:pPr>
            <w:r>
              <w:rPr>
                <w:rFonts w:ascii="Arial" w:cs="Arial" w:eastAsia="Arial" w:hAnsi="Arial"/>
                <w:sz w:val="18"/>
                <w:szCs w:val="18"/>
                <w:color w:val="auto"/>
              </w:rPr>
              <w:t>(51,278</w:t>
            </w:r>
          </w:p>
        </w:tc>
      </w:tr>
      <w:tr>
        <w:trPr>
          <w:trHeight w:val="300"/>
        </w:trPr>
        <w:tc>
          <w:tcPr>
            <w:tcW w:w="444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1540" w:type="dxa"/>
            <w:vAlign w:val="bottom"/>
          </w:tcPr>
          <w:p>
            <w:pPr>
              <w:spacing w:after="0"/>
              <w:rPr>
                <w:sz w:val="24"/>
                <w:szCs w:val="24"/>
                <w:color w:val="auto"/>
              </w:rPr>
            </w:pP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384,518</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192,569</w:t>
            </w:r>
          </w:p>
        </w:tc>
      </w:tr>
      <w:tr>
        <w:trPr>
          <w:trHeight w:val="286"/>
        </w:trPr>
        <w:tc>
          <w:tcPr>
            <w:tcW w:w="444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1540" w:type="dxa"/>
            <w:vAlign w:val="bottom"/>
          </w:tcPr>
          <w:p>
            <w:pPr>
              <w:spacing w:after="0"/>
              <w:rPr>
                <w:sz w:val="24"/>
                <w:szCs w:val="24"/>
                <w:color w:val="auto"/>
              </w:rPr>
            </w:pPr>
          </w:p>
        </w:tc>
        <w:tc>
          <w:tcPr>
            <w:tcW w:w="1520" w:type="dxa"/>
            <w:vAlign w:val="bottom"/>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1,822,930</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1,788,247</w:t>
            </w:r>
          </w:p>
        </w:tc>
      </w:tr>
      <w:tr>
        <w:trPr>
          <w:trHeight w:val="36"/>
        </w:trPr>
        <w:tc>
          <w:tcPr>
            <w:tcW w:w="44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520" w:type="dxa"/>
            <w:vAlign w:val="bottom"/>
            <w:shd w:val="clear" w:color="auto" w:fill="DAE9F8"/>
          </w:tcPr>
          <w:p>
            <w:pPr>
              <w:spacing w:after="0"/>
              <w:rPr>
                <w:sz w:val="3"/>
                <w:szCs w:val="3"/>
                <w:color w:val="auto"/>
              </w:rPr>
            </w:pPr>
          </w:p>
        </w:tc>
        <w:tc>
          <w:tcPr>
            <w:tcW w:w="16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4662805</wp:posOffset>
            </wp:positionH>
            <wp:positionV relativeFrom="paragraph">
              <wp:posOffset>-6529070</wp:posOffset>
            </wp:positionV>
            <wp:extent cx="1982470" cy="1270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53">
                      <a:extLst>
                        <a:ext uri="{28A0092B-C50C-407E-A947-70E740481C1C}"/>
                      </a:extLst>
                    </a:blip>
                    <a:srcRect/>
                    <a:stretch>
                      <a:fillRect/>
                    </a:stretch>
                  </pic:blipFill>
                  <pic:spPr bwMode="auto">
                    <a:xfrm>
                      <a:off x="0" y="0"/>
                      <a:ext cx="1982470"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-6344285</wp:posOffset>
            </wp:positionV>
            <wp:extent cx="5849620" cy="1270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54">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-5278120</wp:posOffset>
            </wp:positionV>
            <wp:extent cx="1982470" cy="635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55">
                      <a:extLst>
                        <a:ext uri="{28A0092B-C50C-407E-A947-70E740481C1C}"/>
                      </a:extLst>
                    </a:blip>
                    <a:srcRect/>
                    <a:stretch>
                      <a:fillRect/>
                    </a:stretch>
                  </pic:blipFill>
                  <pic:spPr bwMode="auto">
                    <a:xfrm>
                      <a:off x="0" y="0"/>
                      <a:ext cx="1982470" cy="6350"/>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-5087620</wp:posOffset>
            </wp:positionV>
            <wp:extent cx="1982470" cy="635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56">
                      <a:extLst>
                        <a:ext uri="{28A0092B-C50C-407E-A947-70E740481C1C}"/>
                      </a:extLst>
                    </a:blip>
                    <a:srcRect/>
                    <a:stretch>
                      <a:fillRect/>
                    </a:stretch>
                  </pic:blipFill>
                  <pic:spPr bwMode="auto">
                    <a:xfrm>
                      <a:off x="0" y="0"/>
                      <a:ext cx="1982470" cy="6350"/>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-4373245</wp:posOffset>
            </wp:positionV>
            <wp:extent cx="1982470" cy="19050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7">
                      <a:extLst>
                        <a:ext uri="{28A0092B-C50C-407E-A947-70E740481C1C}"/>
                      </a:extLst>
                    </a:blip>
                    <a:srcRect/>
                    <a:stretch>
                      <a:fillRect/>
                    </a:stretch>
                  </pic:blipFill>
                  <pic:spPr bwMode="auto">
                    <a:xfrm>
                      <a:off x="0" y="0"/>
                      <a:ext cx="1982470" cy="190500"/>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-3998595</wp:posOffset>
            </wp:positionV>
            <wp:extent cx="1982470" cy="635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8">
                      <a:extLst>
                        <a:ext uri="{28A0092B-C50C-407E-A947-70E740481C1C}"/>
                      </a:extLst>
                    </a:blip>
                    <a:srcRect/>
                    <a:stretch>
                      <a:fillRect/>
                    </a:stretch>
                  </pic:blipFill>
                  <pic:spPr bwMode="auto">
                    <a:xfrm>
                      <a:off x="0" y="0"/>
                      <a:ext cx="1982470" cy="6350"/>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-2921635</wp:posOffset>
            </wp:positionV>
            <wp:extent cx="1982470" cy="19050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9">
                      <a:extLst>
                        <a:ext uri="{28A0092B-C50C-407E-A947-70E740481C1C}"/>
                      </a:extLst>
                    </a:blip>
                    <a:srcRect/>
                    <a:stretch>
                      <a:fillRect/>
                    </a:stretch>
                  </pic:blipFill>
                  <pic:spPr bwMode="auto">
                    <a:xfrm>
                      <a:off x="0" y="0"/>
                      <a:ext cx="1982470" cy="190500"/>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-1850390</wp:posOffset>
            </wp:positionV>
            <wp:extent cx="1982470" cy="19050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60">
                      <a:extLst>
                        <a:ext uri="{28A0092B-C50C-407E-A947-70E740481C1C}"/>
                      </a:extLst>
                    </a:blip>
                    <a:srcRect/>
                    <a:stretch>
                      <a:fillRect/>
                    </a:stretch>
                  </pic:blipFill>
                  <pic:spPr bwMode="auto">
                    <a:xfrm>
                      <a:off x="0" y="0"/>
                      <a:ext cx="1982470" cy="190500"/>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-1475740</wp:posOffset>
            </wp:positionV>
            <wp:extent cx="1982470" cy="635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61">
                      <a:extLst>
                        <a:ext uri="{28A0092B-C50C-407E-A947-70E740481C1C}"/>
                      </a:extLst>
                    </a:blip>
                    <a:srcRect/>
                    <a:stretch>
                      <a:fillRect/>
                    </a:stretch>
                  </pic:blipFill>
                  <pic:spPr bwMode="auto">
                    <a:xfrm>
                      <a:off x="0" y="0"/>
                      <a:ext cx="1982470" cy="6350"/>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-362585</wp:posOffset>
            </wp:positionV>
            <wp:extent cx="1982470" cy="19050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62">
                      <a:extLst>
                        <a:ext uri="{28A0092B-C50C-407E-A947-70E740481C1C}"/>
                      </a:extLst>
                    </a:blip>
                    <a:srcRect/>
                    <a:stretch>
                      <a:fillRect/>
                    </a:stretch>
                  </pic:blipFill>
                  <pic:spPr bwMode="auto">
                    <a:xfrm>
                      <a:off x="0" y="0"/>
                      <a:ext cx="1982470" cy="19050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81 / 85</w:t>
      </w:r>
    </w:p>
    <w:p>
      <w:pPr>
        <w:sectPr>
          <w:pgSz w:w="11900" w:h="16838" w:orient="portrait"/>
          <w:cols w:equalWidth="0" w:num="1">
            <w:col w:w="10460"/>
          </w:cols>
          <w:pgMar w:left="1440" w:top="1440" w:right="6" w:bottom="0" w:gutter="0" w:footer="0" w:header="0"/>
          <w:type w:val="continuous"/>
        </w:sectPr>
      </w:pPr>
    </w:p>
    <w:bookmarkStart w:id="608" w:name="page609"/>
    <w:bookmarkEnd w:id="6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1710690</wp:posOffset>
            </wp:positionV>
            <wp:extent cx="6764020" cy="1905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6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82 / 85</w:t>
      </w:r>
    </w:p>
    <w:p>
      <w:pPr>
        <w:sectPr>
          <w:pgSz w:w="11900" w:h="16838" w:orient="portrait"/>
          <w:cols w:equalWidth="0" w:num="1">
            <w:col w:w="9026"/>
          </w:cols>
          <w:pgMar w:left="1440" w:top="1440" w:right="1440" w:bottom="0" w:gutter="0" w:footer="0" w:header="0"/>
        </w:sectPr>
      </w:pPr>
    </w:p>
    <w:bookmarkStart w:id="609" w:name="page610"/>
    <w:bookmarkEnd w:id="609"/>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Arial" w:cs="Arial" w:eastAsia="Arial" w:hAnsi="Arial"/>
          <w:sz w:val="24"/>
          <w:szCs w:val="24"/>
          <w:b w:val="1"/>
          <w:bCs w:val="1"/>
          <w:color w:val="auto"/>
        </w:rPr>
        <w:t>MINERA EXAR S.A.</w:t>
      </w:r>
    </w:p>
    <w:p>
      <w:pPr>
        <w:spacing w:after="0" w:line="7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STATEMENTS OF COMPREHENSIVE (LOSS)/INCOME</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and thousands of shares,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38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820" w:type="dxa"/>
            <w:vAlign w:val="bottom"/>
          </w:tcPr>
          <w:p>
            <w:pPr>
              <w:spacing w:after="0"/>
              <w:rPr>
                <w:sz w:val="20"/>
                <w:szCs w:val="20"/>
                <w:color w:val="auto"/>
              </w:rPr>
            </w:pPr>
          </w:p>
        </w:tc>
        <w:tc>
          <w:tcPr>
            <w:tcW w:w="1100" w:type="dxa"/>
            <w:vAlign w:val="bottom"/>
          </w:tcPr>
          <w:p>
            <w:pPr>
              <w:ind w:left="180"/>
              <w:spacing w:after="0"/>
              <w:rPr>
                <w:sz w:val="20"/>
                <w:szCs w:val="20"/>
                <w:color w:val="auto"/>
              </w:rPr>
            </w:pPr>
            <w:r>
              <w:rPr>
                <w:rFonts w:ascii="Arial" w:cs="Arial" w:eastAsia="Arial" w:hAnsi="Arial"/>
                <w:sz w:val="18"/>
                <w:szCs w:val="18"/>
                <w:b w:val="1"/>
                <w:bCs w:val="1"/>
                <w:color w:val="auto"/>
              </w:rPr>
              <w:t>Note</w:t>
            </w:r>
          </w:p>
        </w:tc>
        <w:tc>
          <w:tcPr>
            <w:tcW w:w="1700" w:type="dxa"/>
            <w:vAlign w:val="bottom"/>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563"/>
        </w:trPr>
        <w:tc>
          <w:tcPr>
            <w:tcW w:w="3820" w:type="dxa"/>
            <w:vAlign w:val="bottom"/>
          </w:tcPr>
          <w:p>
            <w:pPr>
              <w:spacing w:after="0"/>
              <w:rPr>
                <w:sz w:val="20"/>
                <w:szCs w:val="20"/>
                <w:color w:val="auto"/>
              </w:rPr>
            </w:pPr>
            <w:r>
              <w:rPr>
                <w:rFonts w:ascii="Arial" w:cs="Arial" w:eastAsia="Arial" w:hAnsi="Arial"/>
                <w:sz w:val="18"/>
                <w:szCs w:val="18"/>
                <w:color w:val="auto"/>
              </w:rPr>
              <w:t>Revenue</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70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271,467</w:t>
            </w:r>
          </w:p>
        </w:tc>
        <w:tc>
          <w:tcPr>
            <w:tcW w:w="1680" w:type="dxa"/>
            <w:vAlign w:val="bottom"/>
          </w:tcPr>
          <w:p>
            <w:pPr>
              <w:jc w:val="right"/>
              <w:ind w:right="290"/>
              <w:spacing w:after="0"/>
              <w:rPr>
                <w:sz w:val="20"/>
                <w:szCs w:val="20"/>
                <w:color w:val="auto"/>
              </w:rPr>
            </w:pPr>
            <w:r>
              <w:rPr>
                <w:rFonts w:ascii="Arial" w:cs="Arial" w:eastAsia="Arial" w:hAnsi="Arial"/>
                <w:sz w:val="18"/>
                <w:szCs w:val="18"/>
                <w:color w:val="auto"/>
              </w:rPr>
              <w:t>197,685</w:t>
            </w:r>
          </w:p>
        </w:tc>
        <w:tc>
          <w:tcPr>
            <w:tcW w:w="800" w:type="dxa"/>
            <w:vAlign w:val="bottom"/>
          </w:tcPr>
          <w:p>
            <w:pPr>
              <w:jc w:val="right"/>
              <w:spacing w:after="0"/>
              <w:rPr>
                <w:sz w:val="20"/>
                <w:szCs w:val="20"/>
                <w:color w:val="auto"/>
              </w:rPr>
            </w:pPr>
            <w:r>
              <w:rPr>
                <w:rFonts w:ascii="Arial" w:cs="Arial" w:eastAsia="Arial" w:hAnsi="Arial"/>
                <w:sz w:val="18"/>
                <w:szCs w:val="18"/>
                <w:color w:val="auto"/>
              </w:rPr>
              <w:t>34,521</w:t>
            </w:r>
          </w:p>
        </w:tc>
        <w:tc>
          <w:tcPr>
            <w:tcW w:w="0" w:type="dxa"/>
            <w:vAlign w:val="bottom"/>
          </w:tcPr>
          <w:p>
            <w:pPr>
              <w:spacing w:after="0"/>
              <w:rPr>
                <w:sz w:val="1"/>
                <w:szCs w:val="1"/>
                <w:color w:val="auto"/>
              </w:rPr>
            </w:pPr>
          </w:p>
        </w:tc>
      </w:tr>
      <w:tr>
        <w:trPr>
          <w:trHeight w:val="277"/>
        </w:trPr>
        <w:tc>
          <w:tcPr>
            <w:tcW w:w="3820" w:type="dxa"/>
            <w:vAlign w:val="bottom"/>
          </w:tcPr>
          <w:p>
            <w:pPr>
              <w:spacing w:after="0"/>
              <w:rPr>
                <w:sz w:val="20"/>
                <w:szCs w:val="20"/>
                <w:color w:val="auto"/>
              </w:rPr>
            </w:pPr>
            <w:r>
              <w:rPr>
                <w:rFonts w:ascii="Arial" w:cs="Arial" w:eastAsia="Arial" w:hAnsi="Arial"/>
                <w:sz w:val="18"/>
                <w:szCs w:val="18"/>
                <w:color w:val="auto"/>
              </w:rPr>
              <w:t>Cost of sales</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14</w:t>
            </w:r>
          </w:p>
        </w:tc>
        <w:tc>
          <w:tcPr>
            <w:tcW w:w="170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(238,513)</w:t>
            </w:r>
          </w:p>
        </w:tc>
        <w:tc>
          <w:tcPr>
            <w:tcW w:w="1680" w:type="dxa"/>
            <w:vAlign w:val="bottom"/>
          </w:tcPr>
          <w:p>
            <w:pPr>
              <w:jc w:val="right"/>
              <w:ind w:right="290"/>
              <w:spacing w:after="0"/>
              <w:rPr>
                <w:sz w:val="20"/>
                <w:szCs w:val="20"/>
                <w:color w:val="auto"/>
              </w:rPr>
            </w:pPr>
            <w:r>
              <w:rPr>
                <w:rFonts w:ascii="Arial" w:cs="Arial" w:eastAsia="Arial" w:hAnsi="Arial"/>
                <w:sz w:val="18"/>
                <w:szCs w:val="18"/>
                <w:color w:val="auto"/>
              </w:rPr>
              <w:t>(177,980)</w:t>
            </w:r>
          </w:p>
        </w:tc>
        <w:tc>
          <w:tcPr>
            <w:tcW w:w="800" w:type="dxa"/>
            <w:vAlign w:val="bottom"/>
          </w:tcPr>
          <w:p>
            <w:pPr>
              <w:jc w:val="right"/>
              <w:spacing w:after="0"/>
              <w:rPr>
                <w:sz w:val="20"/>
                <w:szCs w:val="20"/>
                <w:color w:val="auto"/>
              </w:rPr>
            </w:pPr>
            <w:r>
              <w:rPr>
                <w:rFonts w:ascii="Arial" w:cs="Arial" w:eastAsia="Arial" w:hAnsi="Arial"/>
                <w:sz w:val="18"/>
                <w:szCs w:val="18"/>
                <w:color w:val="auto"/>
              </w:rPr>
              <w:t>(27,799</w:t>
            </w:r>
          </w:p>
        </w:tc>
        <w:tc>
          <w:tcPr>
            <w:tcW w:w="0" w:type="dxa"/>
            <w:vAlign w:val="bottom"/>
          </w:tcPr>
          <w:p>
            <w:pPr>
              <w:spacing w:after="0"/>
              <w:rPr>
                <w:sz w:val="1"/>
                <w:szCs w:val="1"/>
                <w:color w:val="auto"/>
              </w:rPr>
            </w:pPr>
          </w:p>
        </w:tc>
      </w:tr>
      <w:tr>
        <w:trPr>
          <w:trHeight w:val="277"/>
        </w:trPr>
        <w:tc>
          <w:tcPr>
            <w:tcW w:w="382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100" w:type="dxa"/>
            <w:vAlign w:val="bottom"/>
          </w:tcPr>
          <w:p>
            <w:pPr>
              <w:spacing w:after="0"/>
              <w:rPr>
                <w:sz w:val="24"/>
                <w:szCs w:val="24"/>
                <w:color w:val="auto"/>
              </w:rPr>
            </w:pPr>
          </w:p>
        </w:tc>
        <w:tc>
          <w:tcPr>
            <w:tcW w:w="1700" w:type="dxa"/>
            <w:vAlign w:val="bottom"/>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32,954</w:t>
            </w: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19,705</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6,722</w:t>
            </w:r>
          </w:p>
        </w:tc>
        <w:tc>
          <w:tcPr>
            <w:tcW w:w="0" w:type="dxa"/>
            <w:vAlign w:val="bottom"/>
          </w:tcPr>
          <w:p>
            <w:pPr>
              <w:spacing w:after="0"/>
              <w:rPr>
                <w:sz w:val="1"/>
                <w:szCs w:val="1"/>
                <w:color w:val="auto"/>
              </w:rPr>
            </w:pPr>
          </w:p>
        </w:tc>
      </w:tr>
      <w:tr>
        <w:trPr>
          <w:trHeight w:val="543"/>
        </w:trPr>
        <w:tc>
          <w:tcPr>
            <w:tcW w:w="3820" w:type="dxa"/>
            <w:vAlign w:val="bottom"/>
          </w:tcPr>
          <w:p>
            <w:pPr>
              <w:spacing w:after="0"/>
              <w:rPr>
                <w:sz w:val="20"/>
                <w:szCs w:val="20"/>
                <w:color w:val="auto"/>
              </w:rPr>
            </w:pPr>
            <w:r>
              <w:rPr>
                <w:rFonts w:ascii="Arial" w:cs="Arial" w:eastAsia="Arial" w:hAnsi="Arial"/>
                <w:sz w:val="18"/>
                <w:szCs w:val="18"/>
                <w:color w:val="auto"/>
              </w:rPr>
              <w:t>Selling expenses</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15a</w:t>
            </w:r>
          </w:p>
        </w:tc>
        <w:tc>
          <w:tcPr>
            <w:tcW w:w="170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(20,575)</w:t>
            </w:r>
          </w:p>
        </w:tc>
        <w:tc>
          <w:tcPr>
            <w:tcW w:w="1680" w:type="dxa"/>
            <w:vAlign w:val="bottom"/>
          </w:tcPr>
          <w:p>
            <w:pPr>
              <w:jc w:val="right"/>
              <w:ind w:right="290"/>
              <w:spacing w:after="0"/>
              <w:rPr>
                <w:sz w:val="20"/>
                <w:szCs w:val="20"/>
                <w:color w:val="auto"/>
              </w:rPr>
            </w:pPr>
            <w:r>
              <w:rPr>
                <w:rFonts w:ascii="Arial" w:cs="Arial" w:eastAsia="Arial" w:hAnsi="Arial"/>
                <w:sz w:val="18"/>
                <w:szCs w:val="18"/>
                <w:color w:val="auto"/>
              </w:rPr>
              <w:t>(13,500)</w:t>
            </w:r>
          </w:p>
        </w:tc>
        <w:tc>
          <w:tcPr>
            <w:tcW w:w="800" w:type="dxa"/>
            <w:vAlign w:val="bottom"/>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72"/>
        </w:trPr>
        <w:tc>
          <w:tcPr>
            <w:tcW w:w="38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15b</w:t>
            </w:r>
          </w:p>
        </w:tc>
        <w:tc>
          <w:tcPr>
            <w:tcW w:w="170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(13,871)</w:t>
            </w:r>
          </w:p>
        </w:tc>
        <w:tc>
          <w:tcPr>
            <w:tcW w:w="1680" w:type="dxa"/>
            <w:vAlign w:val="bottom"/>
          </w:tcPr>
          <w:p>
            <w:pPr>
              <w:jc w:val="right"/>
              <w:ind w:right="290"/>
              <w:spacing w:after="0"/>
              <w:rPr>
                <w:sz w:val="20"/>
                <w:szCs w:val="20"/>
                <w:color w:val="auto"/>
              </w:rPr>
            </w:pPr>
            <w:r>
              <w:rPr>
                <w:rFonts w:ascii="Arial" w:cs="Arial" w:eastAsia="Arial" w:hAnsi="Arial"/>
                <w:sz w:val="18"/>
                <w:szCs w:val="18"/>
                <w:color w:val="auto"/>
              </w:rPr>
              <w:t>(10,756)</w:t>
            </w:r>
          </w:p>
        </w:tc>
        <w:tc>
          <w:tcPr>
            <w:tcW w:w="800" w:type="dxa"/>
            <w:vAlign w:val="bottom"/>
          </w:tcPr>
          <w:p>
            <w:pPr>
              <w:jc w:val="right"/>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77"/>
        </w:trPr>
        <w:tc>
          <w:tcPr>
            <w:tcW w:w="3820" w:type="dxa"/>
            <w:vAlign w:val="bottom"/>
          </w:tcPr>
          <w:p>
            <w:pPr>
              <w:spacing w:after="0"/>
              <w:rPr>
                <w:sz w:val="20"/>
                <w:szCs w:val="20"/>
                <w:color w:val="auto"/>
              </w:rPr>
            </w:pPr>
            <w:r>
              <w:rPr>
                <w:rFonts w:ascii="Arial" w:cs="Arial" w:eastAsia="Arial" w:hAnsi="Arial"/>
                <w:sz w:val="18"/>
                <w:szCs w:val="18"/>
                <w:color w:val="auto"/>
              </w:rPr>
              <w:t>Other income/(expenses)</w:t>
            </w:r>
          </w:p>
        </w:tc>
        <w:tc>
          <w:tcPr>
            <w:tcW w:w="1100" w:type="dxa"/>
            <w:vAlign w:val="bottom"/>
          </w:tcPr>
          <w:p>
            <w:pPr>
              <w:jc w:val="center"/>
              <w:spacing w:after="0"/>
              <w:rPr>
                <w:sz w:val="20"/>
                <w:szCs w:val="20"/>
                <w:color w:val="auto"/>
              </w:rPr>
            </w:pPr>
            <w:r>
              <w:rPr>
                <w:rFonts w:ascii="Arial" w:cs="Arial" w:eastAsia="Arial" w:hAnsi="Arial"/>
                <w:sz w:val="18"/>
                <w:szCs w:val="18"/>
                <w:color w:val="auto"/>
              </w:rPr>
              <w:t>15c</w:t>
            </w:r>
          </w:p>
        </w:tc>
        <w:tc>
          <w:tcPr>
            <w:tcW w:w="170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3,024</w:t>
            </w:r>
          </w:p>
        </w:tc>
        <w:tc>
          <w:tcPr>
            <w:tcW w:w="1680" w:type="dxa"/>
            <w:vAlign w:val="bottom"/>
          </w:tcPr>
          <w:p>
            <w:pPr>
              <w:jc w:val="right"/>
              <w:ind w:right="290"/>
              <w:spacing w:after="0"/>
              <w:rPr>
                <w:sz w:val="20"/>
                <w:szCs w:val="20"/>
                <w:color w:val="auto"/>
              </w:rPr>
            </w:pPr>
            <w:r>
              <w:rPr>
                <w:rFonts w:ascii="Arial" w:cs="Arial" w:eastAsia="Arial" w:hAnsi="Arial"/>
                <w:sz w:val="18"/>
                <w:szCs w:val="18"/>
                <w:color w:val="auto"/>
              </w:rPr>
              <w:t>2,496</w:t>
            </w:r>
          </w:p>
        </w:tc>
        <w:tc>
          <w:tcPr>
            <w:tcW w:w="800" w:type="dxa"/>
            <w:vAlign w:val="bottom"/>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77"/>
        </w:trPr>
        <w:tc>
          <w:tcPr>
            <w:tcW w:w="3820" w:type="dxa"/>
            <w:vAlign w:val="bottom"/>
          </w:tcPr>
          <w:p>
            <w:pPr>
              <w:spacing w:after="0"/>
              <w:rPr>
                <w:sz w:val="20"/>
                <w:szCs w:val="20"/>
                <w:color w:val="auto"/>
              </w:rPr>
            </w:pPr>
            <w:r>
              <w:rPr>
                <w:rFonts w:ascii="Arial" w:cs="Arial" w:eastAsia="Arial" w:hAnsi="Arial"/>
                <w:sz w:val="18"/>
                <w:szCs w:val="18"/>
                <w:b w:val="1"/>
                <w:bCs w:val="1"/>
                <w:color w:val="auto"/>
              </w:rPr>
              <w:t>Income/(loss) from operations</w:t>
            </w:r>
          </w:p>
        </w:tc>
        <w:tc>
          <w:tcPr>
            <w:tcW w:w="1100" w:type="dxa"/>
            <w:vAlign w:val="bottom"/>
          </w:tcPr>
          <w:p>
            <w:pPr>
              <w:spacing w:after="0"/>
              <w:rPr>
                <w:sz w:val="24"/>
                <w:szCs w:val="24"/>
                <w:color w:val="auto"/>
              </w:rPr>
            </w:pPr>
          </w:p>
        </w:tc>
        <w:tc>
          <w:tcPr>
            <w:tcW w:w="1700" w:type="dxa"/>
            <w:vAlign w:val="bottom"/>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1,532</w:t>
            </w: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(2,055)</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(369</w:t>
            </w:r>
          </w:p>
        </w:tc>
        <w:tc>
          <w:tcPr>
            <w:tcW w:w="0" w:type="dxa"/>
            <w:vAlign w:val="bottom"/>
          </w:tcPr>
          <w:p>
            <w:pPr>
              <w:spacing w:after="0"/>
              <w:rPr>
                <w:sz w:val="1"/>
                <w:szCs w:val="1"/>
                <w:color w:val="auto"/>
              </w:rPr>
            </w:pPr>
          </w:p>
        </w:tc>
      </w:tr>
      <w:tr>
        <w:trPr>
          <w:trHeight w:val="36"/>
        </w:trPr>
        <w:tc>
          <w:tcPr>
            <w:tcW w:w="3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700" w:type="dxa"/>
            <w:vAlign w:val="bottom"/>
            <w:shd w:val="clear" w:color="auto" w:fill="DAE9F8"/>
          </w:tcPr>
          <w:p>
            <w:pPr>
              <w:spacing w:after="0"/>
              <w:rPr>
                <w:sz w:val="3"/>
                <w:szCs w:val="3"/>
                <w:color w:val="auto"/>
              </w:rPr>
            </w:pPr>
          </w:p>
        </w:tc>
        <w:tc>
          <w:tcPr>
            <w:tcW w:w="1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38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700" w:type="dxa"/>
            <w:vAlign w:val="bottom"/>
            <w:shd w:val="clear" w:color="auto" w:fill="DAE9F8"/>
          </w:tcPr>
          <w:p>
            <w:pPr>
              <w:spacing w:after="0"/>
              <w:rPr>
                <w:sz w:val="23"/>
                <w:szCs w:val="23"/>
                <w:color w:val="auto"/>
              </w:rPr>
            </w:pPr>
          </w:p>
        </w:tc>
        <w:tc>
          <w:tcPr>
            <w:tcW w:w="1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3820" w:type="dxa"/>
            <w:vAlign w:val="bottom"/>
          </w:tcPr>
          <w:p>
            <w:pPr>
              <w:spacing w:after="0"/>
              <w:rPr>
                <w:sz w:val="20"/>
                <w:szCs w:val="20"/>
                <w:color w:val="auto"/>
              </w:rPr>
            </w:pPr>
            <w:r>
              <w:rPr>
                <w:rFonts w:ascii="Arial" w:cs="Arial" w:eastAsia="Arial" w:hAnsi="Arial"/>
                <w:sz w:val="18"/>
                <w:szCs w:val="18"/>
                <w:color w:val="auto"/>
              </w:rPr>
              <w:t>Finance income</w:t>
            </w:r>
          </w:p>
        </w:tc>
        <w:tc>
          <w:tcPr>
            <w:tcW w:w="1100" w:type="dxa"/>
            <w:vAlign w:val="bottom"/>
          </w:tcPr>
          <w:p>
            <w:pPr>
              <w:spacing w:after="0"/>
              <w:rPr>
                <w:sz w:val="20"/>
                <w:szCs w:val="20"/>
                <w:color w:val="auto"/>
              </w:rPr>
            </w:pPr>
          </w:p>
        </w:tc>
        <w:tc>
          <w:tcPr>
            <w:tcW w:w="170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2,084</w:t>
            </w:r>
          </w:p>
        </w:tc>
        <w:tc>
          <w:tcPr>
            <w:tcW w:w="1680" w:type="dxa"/>
            <w:vAlign w:val="bottom"/>
          </w:tcPr>
          <w:p>
            <w:pPr>
              <w:jc w:val="right"/>
              <w:ind w:right="290"/>
              <w:spacing w:after="0"/>
              <w:rPr>
                <w:sz w:val="20"/>
                <w:szCs w:val="20"/>
                <w:color w:val="auto"/>
              </w:rPr>
            </w:pPr>
            <w:r>
              <w:rPr>
                <w:rFonts w:ascii="Arial" w:cs="Arial" w:eastAsia="Arial" w:hAnsi="Arial"/>
                <w:sz w:val="18"/>
                <w:szCs w:val="18"/>
                <w:color w:val="auto"/>
              </w:rPr>
              <w:t>201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3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700" w:type="dxa"/>
            <w:vAlign w:val="bottom"/>
            <w:shd w:val="clear" w:color="auto" w:fill="DAE9F8"/>
          </w:tcPr>
          <w:p>
            <w:pPr>
              <w:spacing w:after="0"/>
              <w:rPr>
                <w:sz w:val="3"/>
                <w:szCs w:val="3"/>
                <w:color w:val="auto"/>
              </w:rPr>
            </w:pPr>
          </w:p>
        </w:tc>
        <w:tc>
          <w:tcPr>
            <w:tcW w:w="1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3820" w:type="dxa"/>
            <w:vAlign w:val="bottom"/>
          </w:tcPr>
          <w:p>
            <w:pPr>
              <w:spacing w:after="0"/>
              <w:rPr>
                <w:sz w:val="20"/>
                <w:szCs w:val="20"/>
                <w:color w:val="auto"/>
              </w:rPr>
            </w:pPr>
            <w:r>
              <w:rPr>
                <w:rFonts w:ascii="Arial" w:cs="Arial" w:eastAsia="Arial" w:hAnsi="Arial"/>
                <w:sz w:val="18"/>
                <w:szCs w:val="18"/>
                <w:color w:val="auto"/>
              </w:rPr>
              <w:t>Finance costs</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15d</w:t>
            </w:r>
          </w:p>
        </w:tc>
        <w:tc>
          <w:tcPr>
            <w:tcW w:w="170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(140,833)</w:t>
            </w:r>
          </w:p>
        </w:tc>
        <w:tc>
          <w:tcPr>
            <w:tcW w:w="1680" w:type="dxa"/>
            <w:vAlign w:val="bottom"/>
          </w:tcPr>
          <w:p>
            <w:pPr>
              <w:jc w:val="right"/>
              <w:ind w:right="290"/>
              <w:spacing w:after="0"/>
              <w:rPr>
                <w:sz w:val="20"/>
                <w:szCs w:val="20"/>
                <w:color w:val="auto"/>
              </w:rPr>
            </w:pPr>
            <w:r>
              <w:rPr>
                <w:rFonts w:ascii="Arial" w:cs="Arial" w:eastAsia="Arial" w:hAnsi="Arial"/>
                <w:sz w:val="18"/>
                <w:szCs w:val="18"/>
                <w:color w:val="auto"/>
              </w:rPr>
              <w:t>(36,459)</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3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700" w:type="dxa"/>
            <w:vAlign w:val="bottom"/>
            <w:shd w:val="clear" w:color="auto" w:fill="DAE9F8"/>
          </w:tcPr>
          <w:p>
            <w:pPr>
              <w:spacing w:after="0"/>
              <w:rPr>
                <w:sz w:val="3"/>
                <w:szCs w:val="3"/>
                <w:color w:val="auto"/>
              </w:rPr>
            </w:pPr>
          </w:p>
        </w:tc>
        <w:tc>
          <w:tcPr>
            <w:tcW w:w="1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3820" w:type="dxa"/>
            <w:vAlign w:val="bottom"/>
          </w:tcPr>
          <w:p>
            <w:pPr>
              <w:spacing w:after="0"/>
              <w:rPr>
                <w:sz w:val="20"/>
                <w:szCs w:val="20"/>
                <w:color w:val="auto"/>
              </w:rPr>
            </w:pPr>
            <w:r>
              <w:rPr>
                <w:rFonts w:ascii="Arial" w:cs="Arial" w:eastAsia="Arial" w:hAnsi="Arial"/>
                <w:sz w:val="18"/>
                <w:szCs w:val="18"/>
                <w:color w:val="auto"/>
              </w:rPr>
              <w:t>Foreign exchange (loss)/gain</w:t>
            </w:r>
          </w:p>
        </w:tc>
        <w:tc>
          <w:tcPr>
            <w:tcW w:w="1100" w:type="dxa"/>
            <w:vAlign w:val="bottom"/>
          </w:tcPr>
          <w:p>
            <w:pPr>
              <w:spacing w:after="0"/>
              <w:rPr>
                <w:sz w:val="20"/>
                <w:szCs w:val="20"/>
                <w:color w:val="auto"/>
              </w:rPr>
            </w:pPr>
          </w:p>
        </w:tc>
        <w:tc>
          <w:tcPr>
            <w:tcW w:w="170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(9,700)</w:t>
            </w:r>
          </w:p>
        </w:tc>
        <w:tc>
          <w:tcPr>
            <w:tcW w:w="1680" w:type="dxa"/>
            <w:vAlign w:val="bottom"/>
          </w:tcPr>
          <w:p>
            <w:pPr>
              <w:jc w:val="right"/>
              <w:ind w:right="290"/>
              <w:spacing w:after="0"/>
              <w:rPr>
                <w:sz w:val="20"/>
                <w:szCs w:val="20"/>
                <w:color w:val="auto"/>
              </w:rPr>
            </w:pPr>
            <w:r>
              <w:rPr>
                <w:rFonts w:ascii="Arial" w:cs="Arial" w:eastAsia="Arial" w:hAnsi="Arial"/>
                <w:sz w:val="18"/>
                <w:szCs w:val="18"/>
                <w:color w:val="auto"/>
              </w:rPr>
              <w:t>85,889</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3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700" w:type="dxa"/>
            <w:vAlign w:val="bottom"/>
            <w:shd w:val="clear" w:color="auto" w:fill="DAE9F8"/>
          </w:tcPr>
          <w:p>
            <w:pPr>
              <w:spacing w:after="0"/>
              <w:rPr>
                <w:sz w:val="3"/>
                <w:szCs w:val="3"/>
                <w:color w:val="auto"/>
              </w:rPr>
            </w:pPr>
          </w:p>
        </w:tc>
        <w:tc>
          <w:tcPr>
            <w:tcW w:w="1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3820" w:type="dxa"/>
            <w:vAlign w:val="bottom"/>
          </w:tcPr>
          <w:p>
            <w:pPr>
              <w:spacing w:after="0"/>
              <w:rPr>
                <w:sz w:val="20"/>
                <w:szCs w:val="20"/>
                <w:color w:val="auto"/>
              </w:rPr>
            </w:pPr>
            <w:r>
              <w:rPr>
                <w:rFonts w:ascii="Arial" w:cs="Arial" w:eastAsia="Arial" w:hAnsi="Arial"/>
                <w:sz w:val="18"/>
                <w:szCs w:val="18"/>
                <w:color w:val="auto"/>
              </w:rPr>
              <w:t>Derivative gain/(loss)</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170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89,949</w:t>
            </w:r>
          </w:p>
        </w:tc>
        <w:tc>
          <w:tcPr>
            <w:tcW w:w="1680" w:type="dxa"/>
            <w:vAlign w:val="bottom"/>
          </w:tcPr>
          <w:p>
            <w:pPr>
              <w:jc w:val="right"/>
              <w:ind w:right="290"/>
              <w:spacing w:after="0"/>
              <w:rPr>
                <w:sz w:val="20"/>
                <w:szCs w:val="20"/>
                <w:color w:val="auto"/>
              </w:rPr>
            </w:pPr>
            <w:r>
              <w:rPr>
                <w:rFonts w:ascii="Arial" w:cs="Arial" w:eastAsia="Arial" w:hAnsi="Arial"/>
                <w:sz w:val="18"/>
                <w:szCs w:val="18"/>
                <w:color w:val="auto"/>
              </w:rPr>
              <w:t>(3,713)</w:t>
            </w:r>
          </w:p>
        </w:tc>
        <w:tc>
          <w:tcPr>
            <w:tcW w:w="800" w:type="dxa"/>
            <w:vAlign w:val="bottom"/>
          </w:tcPr>
          <w:p>
            <w:pPr>
              <w:jc w:val="right"/>
              <w:spacing w:after="0"/>
              <w:rPr>
                <w:sz w:val="20"/>
                <w:szCs w:val="20"/>
                <w:color w:val="auto"/>
              </w:rPr>
            </w:pPr>
            <w:r>
              <w:rPr>
                <w:rFonts w:ascii="Arial" w:cs="Arial" w:eastAsia="Arial" w:hAnsi="Arial"/>
                <w:sz w:val="18"/>
                <w:szCs w:val="18"/>
                <w:color w:val="auto"/>
              </w:rPr>
              <w:t>254,498</w:t>
            </w:r>
          </w:p>
        </w:tc>
        <w:tc>
          <w:tcPr>
            <w:tcW w:w="0" w:type="dxa"/>
            <w:vAlign w:val="bottom"/>
          </w:tcPr>
          <w:p>
            <w:pPr>
              <w:spacing w:after="0"/>
              <w:rPr>
                <w:sz w:val="1"/>
                <w:szCs w:val="1"/>
                <w:color w:val="auto"/>
              </w:rPr>
            </w:pPr>
          </w:p>
        </w:tc>
      </w:tr>
      <w:tr>
        <w:trPr>
          <w:trHeight w:val="36"/>
        </w:trPr>
        <w:tc>
          <w:tcPr>
            <w:tcW w:w="3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700" w:type="dxa"/>
            <w:vAlign w:val="bottom"/>
            <w:shd w:val="clear" w:color="auto" w:fill="DAE9F8"/>
          </w:tcPr>
          <w:p>
            <w:pPr>
              <w:spacing w:after="0"/>
              <w:rPr>
                <w:sz w:val="3"/>
                <w:szCs w:val="3"/>
                <w:color w:val="auto"/>
              </w:rPr>
            </w:pPr>
          </w:p>
        </w:tc>
        <w:tc>
          <w:tcPr>
            <w:tcW w:w="1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3820" w:type="dxa"/>
            <w:vAlign w:val="bottom"/>
          </w:tcPr>
          <w:p>
            <w:pPr>
              <w:spacing w:after="0"/>
              <w:rPr>
                <w:sz w:val="20"/>
                <w:szCs w:val="20"/>
                <w:color w:val="auto"/>
              </w:rPr>
            </w:pPr>
            <w:r>
              <w:rPr>
                <w:rFonts w:ascii="Arial" w:cs="Arial" w:eastAsia="Arial" w:hAnsi="Arial"/>
                <w:sz w:val="18"/>
                <w:szCs w:val="18"/>
                <w:color w:val="auto"/>
              </w:rPr>
              <w:t>Other income/(loss)</w:t>
            </w:r>
          </w:p>
        </w:tc>
        <w:tc>
          <w:tcPr>
            <w:tcW w:w="1100" w:type="dxa"/>
            <w:vAlign w:val="bottom"/>
          </w:tcPr>
          <w:p>
            <w:pPr>
              <w:spacing w:after="0"/>
              <w:rPr>
                <w:sz w:val="20"/>
                <w:szCs w:val="20"/>
                <w:color w:val="auto"/>
              </w:rPr>
            </w:pPr>
          </w:p>
        </w:tc>
        <w:tc>
          <w:tcPr>
            <w:tcW w:w="170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3,593</w:t>
            </w:r>
          </w:p>
        </w:tc>
        <w:tc>
          <w:tcPr>
            <w:tcW w:w="1680" w:type="dxa"/>
            <w:vAlign w:val="bottom"/>
          </w:tcPr>
          <w:p>
            <w:pPr>
              <w:jc w:val="right"/>
              <w:ind w:right="290"/>
              <w:spacing w:after="0"/>
              <w:rPr>
                <w:sz w:val="20"/>
                <w:szCs w:val="20"/>
                <w:color w:val="auto"/>
              </w:rPr>
            </w:pPr>
            <w:r>
              <w:rPr>
                <w:rFonts w:ascii="Arial" w:cs="Arial" w:eastAsia="Arial" w:hAnsi="Arial"/>
                <w:sz w:val="18"/>
                <w:szCs w:val="18"/>
                <w:color w:val="auto"/>
              </w:rPr>
              <w:t>(3,865)</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8"/>
        </w:trPr>
        <w:tc>
          <w:tcPr>
            <w:tcW w:w="3820" w:type="dxa"/>
            <w:vAlign w:val="bottom"/>
          </w:tcPr>
          <w:p>
            <w:pPr>
              <w:spacing w:after="0"/>
              <w:rPr>
                <w:sz w:val="20"/>
                <w:szCs w:val="20"/>
                <w:color w:val="auto"/>
              </w:rPr>
            </w:pPr>
            <w:r>
              <w:rPr>
                <w:rFonts w:ascii="Arial" w:cs="Arial" w:eastAsia="Arial" w:hAnsi="Arial"/>
                <w:sz w:val="18"/>
                <w:szCs w:val="18"/>
                <w:b w:val="1"/>
                <w:bCs w:val="1"/>
                <w:color w:val="auto"/>
              </w:rPr>
              <w:t>(Loss)/income before income taxes</w:t>
            </w:r>
          </w:p>
        </w:tc>
        <w:tc>
          <w:tcPr>
            <w:tcW w:w="1100" w:type="dxa"/>
            <w:vAlign w:val="bottom"/>
          </w:tcPr>
          <w:p>
            <w:pPr>
              <w:spacing w:after="0"/>
              <w:rPr>
                <w:sz w:val="24"/>
                <w:szCs w:val="24"/>
                <w:color w:val="auto"/>
              </w:rPr>
            </w:pPr>
          </w:p>
        </w:tc>
        <w:tc>
          <w:tcPr>
            <w:tcW w:w="170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(53,375)</w:t>
            </w:r>
          </w:p>
        </w:tc>
        <w:tc>
          <w:tcPr>
            <w:tcW w:w="1680" w:type="dxa"/>
            <w:vAlign w:val="bottom"/>
          </w:tcPr>
          <w:p>
            <w:pPr>
              <w:jc w:val="right"/>
              <w:ind w:right="290"/>
              <w:spacing w:after="0"/>
              <w:rPr>
                <w:sz w:val="20"/>
                <w:szCs w:val="20"/>
                <w:color w:val="auto"/>
              </w:rPr>
            </w:pPr>
            <w:r>
              <w:rPr>
                <w:rFonts w:ascii="Arial" w:cs="Arial" w:eastAsia="Arial" w:hAnsi="Arial"/>
                <w:sz w:val="18"/>
                <w:szCs w:val="18"/>
                <w:color w:val="auto"/>
              </w:rPr>
              <w:t>39,998</w:t>
            </w:r>
          </w:p>
        </w:tc>
        <w:tc>
          <w:tcPr>
            <w:tcW w:w="800" w:type="dxa"/>
            <w:vAlign w:val="bottom"/>
          </w:tcPr>
          <w:p>
            <w:pPr>
              <w:jc w:val="right"/>
              <w:spacing w:after="0"/>
              <w:rPr>
                <w:sz w:val="20"/>
                <w:szCs w:val="20"/>
                <w:color w:val="auto"/>
              </w:rPr>
            </w:pPr>
            <w:r>
              <w:rPr>
                <w:rFonts w:ascii="Arial" w:cs="Arial" w:eastAsia="Arial" w:hAnsi="Arial"/>
                <w:sz w:val="18"/>
                <w:szCs w:val="18"/>
                <w:color w:val="auto"/>
              </w:rPr>
              <w:t>254,129</w:t>
            </w:r>
          </w:p>
        </w:tc>
        <w:tc>
          <w:tcPr>
            <w:tcW w:w="0" w:type="dxa"/>
            <w:vAlign w:val="bottom"/>
          </w:tcPr>
          <w:p>
            <w:pPr>
              <w:spacing w:after="0"/>
              <w:rPr>
                <w:sz w:val="1"/>
                <w:szCs w:val="1"/>
                <w:color w:val="auto"/>
              </w:rPr>
            </w:pPr>
          </w:p>
        </w:tc>
      </w:tr>
      <w:tr>
        <w:trPr>
          <w:trHeight w:val="277"/>
        </w:trPr>
        <w:tc>
          <w:tcPr>
            <w:tcW w:w="3820" w:type="dxa"/>
            <w:vAlign w:val="bottom"/>
          </w:tcPr>
          <w:p>
            <w:pPr>
              <w:spacing w:after="0"/>
              <w:rPr>
                <w:sz w:val="20"/>
                <w:szCs w:val="20"/>
                <w:color w:val="auto"/>
              </w:rPr>
            </w:pPr>
            <w:r>
              <w:rPr>
                <w:rFonts w:ascii="Arial" w:cs="Arial" w:eastAsia="Arial" w:hAnsi="Arial"/>
                <w:sz w:val="18"/>
                <w:szCs w:val="18"/>
                <w:color w:val="auto"/>
              </w:rPr>
              <w:t>Deferred tax recovery/(expenses)</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170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14,614</w:t>
            </w:r>
          </w:p>
        </w:tc>
        <w:tc>
          <w:tcPr>
            <w:tcW w:w="1680" w:type="dxa"/>
            <w:vAlign w:val="bottom"/>
          </w:tcPr>
          <w:p>
            <w:pPr>
              <w:jc w:val="right"/>
              <w:ind w:right="290"/>
              <w:spacing w:after="0"/>
              <w:rPr>
                <w:sz w:val="20"/>
                <w:szCs w:val="20"/>
                <w:color w:val="auto"/>
              </w:rPr>
            </w:pPr>
            <w:r>
              <w:rPr>
                <w:rFonts w:ascii="Arial" w:cs="Arial" w:eastAsia="Arial" w:hAnsi="Arial"/>
                <w:sz w:val="18"/>
                <w:szCs w:val="18"/>
                <w:color w:val="auto"/>
              </w:rPr>
              <w:t>(72,833)</w:t>
            </w:r>
          </w:p>
        </w:tc>
        <w:tc>
          <w:tcPr>
            <w:tcW w:w="800" w:type="dxa"/>
            <w:vAlign w:val="bottom"/>
          </w:tcPr>
          <w:p>
            <w:pPr>
              <w:jc w:val="right"/>
              <w:spacing w:after="0"/>
              <w:rPr>
                <w:sz w:val="20"/>
                <w:szCs w:val="20"/>
                <w:color w:val="auto"/>
              </w:rPr>
            </w:pPr>
            <w:r>
              <w:rPr>
                <w:rFonts w:ascii="Arial" w:cs="Arial" w:eastAsia="Arial" w:hAnsi="Arial"/>
                <w:sz w:val="18"/>
                <w:szCs w:val="18"/>
                <w:color w:val="auto"/>
              </w:rPr>
              <w:t>(124,586</w:t>
            </w:r>
          </w:p>
        </w:tc>
        <w:tc>
          <w:tcPr>
            <w:tcW w:w="0" w:type="dxa"/>
            <w:vAlign w:val="bottom"/>
          </w:tcPr>
          <w:p>
            <w:pPr>
              <w:spacing w:after="0"/>
              <w:rPr>
                <w:sz w:val="1"/>
                <w:szCs w:val="1"/>
                <w:color w:val="auto"/>
              </w:rPr>
            </w:pPr>
          </w:p>
        </w:tc>
      </w:tr>
      <w:tr>
        <w:trPr>
          <w:trHeight w:val="277"/>
        </w:trPr>
        <w:tc>
          <w:tcPr>
            <w:tcW w:w="3820" w:type="dxa"/>
            <w:vAlign w:val="bottom"/>
          </w:tcPr>
          <w:p>
            <w:pPr>
              <w:spacing w:after="0"/>
              <w:rPr>
                <w:sz w:val="20"/>
                <w:szCs w:val="20"/>
                <w:color w:val="auto"/>
              </w:rPr>
            </w:pPr>
            <w:r>
              <w:rPr>
                <w:rFonts w:ascii="Arial" w:cs="Arial" w:eastAsia="Arial" w:hAnsi="Arial"/>
                <w:sz w:val="18"/>
                <w:szCs w:val="18"/>
                <w:b w:val="1"/>
                <w:bCs w:val="1"/>
                <w:color w:val="auto"/>
              </w:rPr>
              <w:t>Net (loss)/income</w:t>
            </w:r>
          </w:p>
        </w:tc>
        <w:tc>
          <w:tcPr>
            <w:tcW w:w="1100" w:type="dxa"/>
            <w:vAlign w:val="bottom"/>
          </w:tcPr>
          <w:p>
            <w:pPr>
              <w:spacing w:after="0"/>
              <w:rPr>
                <w:sz w:val="24"/>
                <w:szCs w:val="24"/>
                <w:color w:val="auto"/>
              </w:rPr>
            </w:pPr>
          </w:p>
        </w:tc>
        <w:tc>
          <w:tcPr>
            <w:tcW w:w="1700" w:type="dxa"/>
            <w:vAlign w:val="bottom"/>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(38,761)</w:t>
            </w: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(32,835)</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129,543</w:t>
            </w:r>
          </w:p>
        </w:tc>
        <w:tc>
          <w:tcPr>
            <w:tcW w:w="0" w:type="dxa"/>
            <w:vAlign w:val="bottom"/>
          </w:tcPr>
          <w:p>
            <w:pPr>
              <w:spacing w:after="0"/>
              <w:rPr>
                <w:sz w:val="1"/>
                <w:szCs w:val="1"/>
                <w:color w:val="auto"/>
              </w:rPr>
            </w:pPr>
          </w:p>
        </w:tc>
      </w:tr>
      <w:tr>
        <w:trPr>
          <w:trHeight w:val="548"/>
        </w:trPr>
        <w:tc>
          <w:tcPr>
            <w:tcW w:w="3820" w:type="dxa"/>
            <w:vAlign w:val="bottom"/>
          </w:tcPr>
          <w:p>
            <w:pPr>
              <w:spacing w:after="0"/>
              <w:rPr>
                <w:sz w:val="20"/>
                <w:szCs w:val="20"/>
                <w:color w:val="auto"/>
              </w:rPr>
            </w:pPr>
            <w:r>
              <w:rPr>
                <w:rFonts w:ascii="Arial" w:cs="Arial" w:eastAsia="Arial" w:hAnsi="Arial"/>
                <w:sz w:val="18"/>
                <w:szCs w:val="18"/>
                <w:b w:val="1"/>
                <w:bCs w:val="1"/>
                <w:color w:val="auto"/>
              </w:rPr>
              <w:t>Net (loss)/income</w:t>
            </w:r>
          </w:p>
        </w:tc>
        <w:tc>
          <w:tcPr>
            <w:tcW w:w="1100" w:type="dxa"/>
            <w:vAlign w:val="bottom"/>
          </w:tcPr>
          <w:p>
            <w:pPr>
              <w:spacing w:after="0"/>
              <w:rPr>
                <w:sz w:val="24"/>
                <w:szCs w:val="24"/>
                <w:color w:val="auto"/>
              </w:rPr>
            </w:pPr>
          </w:p>
        </w:tc>
        <w:tc>
          <w:tcPr>
            <w:tcW w:w="1700" w:type="dxa"/>
            <w:vAlign w:val="bottom"/>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(38,761)</w:t>
            </w: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(32,835)</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129,543</w:t>
            </w:r>
          </w:p>
        </w:tc>
        <w:tc>
          <w:tcPr>
            <w:tcW w:w="0" w:type="dxa"/>
            <w:vAlign w:val="bottom"/>
          </w:tcPr>
          <w:p>
            <w:pPr>
              <w:spacing w:after="0"/>
              <w:rPr>
                <w:sz w:val="1"/>
                <w:szCs w:val="1"/>
                <w:color w:val="auto"/>
              </w:rPr>
            </w:pPr>
          </w:p>
        </w:tc>
      </w:tr>
      <w:tr>
        <w:trPr>
          <w:trHeight w:val="41"/>
        </w:trPr>
        <w:tc>
          <w:tcPr>
            <w:tcW w:w="3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700" w:type="dxa"/>
            <w:vAlign w:val="bottom"/>
            <w:shd w:val="clear" w:color="auto" w:fill="DAE9F8"/>
          </w:tcPr>
          <w:p>
            <w:pPr>
              <w:spacing w:after="0"/>
              <w:rPr>
                <w:sz w:val="3"/>
                <w:szCs w:val="3"/>
                <w:color w:val="auto"/>
              </w:rPr>
            </w:pPr>
          </w:p>
        </w:tc>
        <w:tc>
          <w:tcPr>
            <w:tcW w:w="1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820" w:type="dxa"/>
            <w:vAlign w:val="bottom"/>
          </w:tcPr>
          <w:p>
            <w:pPr>
              <w:spacing w:after="0"/>
              <w:rPr>
                <w:sz w:val="20"/>
                <w:szCs w:val="20"/>
                <w:color w:val="auto"/>
              </w:rPr>
            </w:pPr>
            <w:r>
              <w:rPr>
                <w:rFonts w:ascii="Arial" w:cs="Arial" w:eastAsia="Arial" w:hAnsi="Arial"/>
                <w:sz w:val="18"/>
                <w:szCs w:val="18"/>
                <w:color w:val="auto"/>
              </w:rPr>
              <w:t>(Loss)/income per share, basic and diluted</w:t>
            </w:r>
          </w:p>
        </w:tc>
        <w:tc>
          <w:tcPr>
            <w:tcW w:w="1100" w:type="dxa"/>
            <w:vAlign w:val="bottom"/>
          </w:tcPr>
          <w:p>
            <w:pPr>
              <w:spacing w:after="0"/>
              <w:rPr>
                <w:sz w:val="20"/>
                <w:szCs w:val="20"/>
                <w:color w:val="auto"/>
              </w:rPr>
            </w:pPr>
          </w:p>
        </w:tc>
        <w:tc>
          <w:tcPr>
            <w:tcW w:w="170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(0.04)</w:t>
            </w:r>
          </w:p>
        </w:tc>
        <w:tc>
          <w:tcPr>
            <w:tcW w:w="1680" w:type="dxa"/>
            <w:vAlign w:val="bottom"/>
          </w:tcPr>
          <w:p>
            <w:pPr>
              <w:jc w:val="right"/>
              <w:ind w:right="290"/>
              <w:spacing w:after="0"/>
              <w:rPr>
                <w:sz w:val="20"/>
                <w:szCs w:val="20"/>
                <w:color w:val="auto"/>
              </w:rPr>
            </w:pPr>
            <w:r>
              <w:rPr>
                <w:rFonts w:ascii="Arial" w:cs="Arial" w:eastAsia="Arial" w:hAnsi="Arial"/>
                <w:sz w:val="18"/>
                <w:szCs w:val="18"/>
                <w:color w:val="auto"/>
              </w:rPr>
              <w:t>(0.05)</w:t>
            </w:r>
          </w:p>
        </w:tc>
        <w:tc>
          <w:tcPr>
            <w:tcW w:w="80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36"/>
        </w:trPr>
        <w:tc>
          <w:tcPr>
            <w:tcW w:w="382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w:t>
            </w:r>
          </w:p>
        </w:tc>
        <w:tc>
          <w:tcPr>
            <w:tcW w:w="1100" w:type="dxa"/>
            <w:vAlign w:val="bottom"/>
          </w:tcPr>
          <w:p>
            <w:pPr>
              <w:spacing w:after="0"/>
              <w:rPr>
                <w:sz w:val="3"/>
                <w:szCs w:val="3"/>
                <w:color w:val="auto"/>
              </w:rPr>
            </w:pPr>
          </w:p>
        </w:tc>
        <w:tc>
          <w:tcPr>
            <w:tcW w:w="1700" w:type="dxa"/>
            <w:vAlign w:val="bottom"/>
            <w:shd w:val="clear" w:color="auto" w:fill="DAE9F8"/>
          </w:tcPr>
          <w:p>
            <w:pPr>
              <w:spacing w:after="0"/>
              <w:rPr>
                <w:sz w:val="3"/>
                <w:szCs w:val="3"/>
                <w:color w:val="auto"/>
              </w:rPr>
            </w:pPr>
          </w:p>
        </w:tc>
        <w:tc>
          <w:tcPr>
            <w:tcW w:w="1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382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1700" w:type="dxa"/>
            <w:vAlign w:val="bottom"/>
            <w:vMerge w:val="restart"/>
            <w:shd w:val="clear" w:color="auto" w:fill="DAE9F8"/>
          </w:tcPr>
          <w:p>
            <w:pPr>
              <w:jc w:val="right"/>
              <w:ind w:right="10"/>
              <w:spacing w:after="0"/>
              <w:rPr>
                <w:sz w:val="20"/>
                <w:szCs w:val="20"/>
                <w:color w:val="auto"/>
              </w:rPr>
            </w:pPr>
            <w:r>
              <w:rPr>
                <w:rFonts w:ascii="Arial" w:cs="Arial" w:eastAsia="Arial" w:hAnsi="Arial"/>
                <w:sz w:val="18"/>
                <w:szCs w:val="18"/>
                <w:color w:val="auto"/>
              </w:rPr>
              <w:t>918,062</w:t>
            </w:r>
          </w:p>
        </w:tc>
        <w:tc>
          <w:tcPr>
            <w:tcW w:w="1680" w:type="dxa"/>
            <w:vAlign w:val="bottom"/>
            <w:vMerge w:val="restart"/>
          </w:tcPr>
          <w:p>
            <w:pPr>
              <w:jc w:val="right"/>
              <w:ind w:right="290"/>
              <w:spacing w:after="0"/>
              <w:rPr>
                <w:sz w:val="20"/>
                <w:szCs w:val="20"/>
                <w:color w:val="auto"/>
              </w:rPr>
            </w:pPr>
            <w:r>
              <w:rPr>
                <w:rFonts w:ascii="Arial" w:cs="Arial" w:eastAsia="Arial" w:hAnsi="Arial"/>
                <w:sz w:val="18"/>
                <w:szCs w:val="18"/>
                <w:color w:val="auto"/>
              </w:rPr>
              <w:t>719,474</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719,474</w:t>
            </w:r>
          </w:p>
        </w:tc>
        <w:tc>
          <w:tcPr>
            <w:tcW w:w="0" w:type="dxa"/>
            <w:vAlign w:val="bottom"/>
          </w:tcPr>
          <w:p>
            <w:pPr>
              <w:spacing w:after="0"/>
              <w:rPr>
                <w:sz w:val="1"/>
                <w:szCs w:val="1"/>
                <w:color w:val="auto"/>
              </w:rPr>
            </w:pPr>
          </w:p>
        </w:tc>
      </w:tr>
      <w:tr>
        <w:trPr>
          <w:trHeight w:val="136"/>
        </w:trPr>
        <w:tc>
          <w:tcPr>
            <w:tcW w:w="3820" w:type="dxa"/>
            <w:vAlign w:val="bottom"/>
            <w:vMerge w:val="restart"/>
          </w:tcPr>
          <w:p>
            <w:pPr>
              <w:spacing w:after="0"/>
              <w:rPr>
                <w:sz w:val="20"/>
                <w:szCs w:val="20"/>
                <w:color w:val="auto"/>
              </w:rPr>
            </w:pPr>
            <w:r>
              <w:rPr>
                <w:rFonts w:ascii="Arial" w:cs="Arial" w:eastAsia="Arial" w:hAnsi="Arial"/>
                <w:sz w:val="18"/>
                <w:szCs w:val="18"/>
                <w:color w:val="auto"/>
              </w:rPr>
              <w:t>outstanding – basic and diluted</w:t>
            </w:r>
          </w:p>
        </w:tc>
        <w:tc>
          <w:tcPr>
            <w:tcW w:w="1100" w:type="dxa"/>
            <w:vAlign w:val="bottom"/>
          </w:tcPr>
          <w:p>
            <w:pPr>
              <w:spacing w:after="0"/>
              <w:rPr>
                <w:sz w:val="11"/>
                <w:szCs w:val="11"/>
                <w:color w:val="auto"/>
              </w:rPr>
            </w:pPr>
          </w:p>
        </w:tc>
        <w:tc>
          <w:tcPr>
            <w:tcW w:w="1700" w:type="dxa"/>
            <w:vAlign w:val="bottom"/>
            <w:vMerge w:val="continue"/>
            <w:shd w:val="clear" w:color="auto" w:fill="DAE9F8"/>
          </w:tcPr>
          <w:p>
            <w:pPr>
              <w:spacing w:after="0"/>
              <w:rPr>
                <w:sz w:val="11"/>
                <w:szCs w:val="11"/>
                <w:color w:val="auto"/>
              </w:rPr>
            </w:pPr>
          </w:p>
        </w:tc>
        <w:tc>
          <w:tcPr>
            <w:tcW w:w="16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82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shd w:val="clear" w:color="auto" w:fill="DAE9F8"/>
          </w:tcPr>
          <w:p>
            <w:pPr>
              <w:spacing w:after="0"/>
              <w:rPr>
                <w:sz w:val="11"/>
                <w:szCs w:val="11"/>
                <w:color w:val="auto"/>
              </w:rPr>
            </w:pPr>
          </w:p>
        </w:tc>
        <w:tc>
          <w:tcPr>
            <w:tcW w:w="1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3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700" w:type="dxa"/>
            <w:vAlign w:val="bottom"/>
            <w:shd w:val="clear" w:color="auto" w:fill="DAE9F8"/>
          </w:tcPr>
          <w:p>
            <w:pPr>
              <w:spacing w:after="0"/>
              <w:rPr>
                <w:sz w:val="4"/>
                <w:szCs w:val="4"/>
                <w:color w:val="auto"/>
              </w:rPr>
            </w:pPr>
          </w:p>
        </w:tc>
        <w:tc>
          <w:tcPr>
            <w:tcW w:w="1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3987800</wp:posOffset>
            </wp:positionH>
            <wp:positionV relativeFrom="paragraph">
              <wp:posOffset>-4382135</wp:posOffset>
            </wp:positionV>
            <wp:extent cx="2657475" cy="1270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64">
                      <a:extLst>
                        <a:ext uri="{28A0092B-C50C-407E-A947-70E740481C1C}"/>
                      </a:extLst>
                    </a:blip>
                    <a:srcRect/>
                    <a:stretch>
                      <a:fillRect/>
                    </a:stretch>
                  </pic:blipFill>
                  <pic:spPr bwMode="auto">
                    <a:xfrm>
                      <a:off x="0" y="0"/>
                      <a:ext cx="2657475"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-4196715</wp:posOffset>
            </wp:positionV>
            <wp:extent cx="5849620" cy="1270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65">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-3666490</wp:posOffset>
            </wp:positionV>
            <wp:extent cx="2657475" cy="635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66">
                      <a:extLst>
                        <a:ext uri="{28A0092B-C50C-407E-A947-70E740481C1C}"/>
                      </a:extLst>
                    </a:blip>
                    <a:srcRect/>
                    <a:stretch>
                      <a:fillRect/>
                    </a:stretch>
                  </pic:blipFill>
                  <pic:spPr bwMode="auto">
                    <a:xfrm>
                      <a:off x="0" y="0"/>
                      <a:ext cx="2657475" cy="635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-2797810</wp:posOffset>
            </wp:positionV>
            <wp:extent cx="2657475" cy="635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7">
                      <a:extLst>
                        <a:ext uri="{28A0092B-C50C-407E-A947-70E740481C1C}"/>
                      </a:extLst>
                    </a:blip>
                    <a:srcRect/>
                    <a:stretch>
                      <a:fillRect/>
                    </a:stretch>
                  </pic:blipFill>
                  <pic:spPr bwMode="auto">
                    <a:xfrm>
                      <a:off x="0" y="0"/>
                      <a:ext cx="2657475" cy="635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-1583690</wp:posOffset>
            </wp:positionV>
            <wp:extent cx="2657475" cy="635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8">
                      <a:extLst>
                        <a:ext uri="{28A0092B-C50C-407E-A947-70E740481C1C}"/>
                      </a:extLst>
                    </a:blip>
                    <a:srcRect/>
                    <a:stretch>
                      <a:fillRect/>
                    </a:stretch>
                  </pic:blipFill>
                  <pic:spPr bwMode="auto">
                    <a:xfrm>
                      <a:off x="0" y="0"/>
                      <a:ext cx="2657475" cy="635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-1059815</wp:posOffset>
            </wp:positionV>
            <wp:extent cx="2657475" cy="635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9">
                      <a:extLst>
                        <a:ext uri="{28A0092B-C50C-407E-A947-70E740481C1C}"/>
                      </a:extLst>
                    </a:blip>
                    <a:srcRect/>
                    <a:stretch>
                      <a:fillRect/>
                    </a:stretch>
                  </pic:blipFill>
                  <pic:spPr bwMode="auto">
                    <a:xfrm>
                      <a:off x="0" y="0"/>
                      <a:ext cx="2657475" cy="635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-535940</wp:posOffset>
            </wp:positionV>
            <wp:extent cx="2657475" cy="635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70">
                      <a:extLst>
                        <a:ext uri="{28A0092B-C50C-407E-A947-70E740481C1C}"/>
                      </a:extLst>
                    </a:blip>
                    <a:srcRect/>
                    <a:stretch>
                      <a:fillRect/>
                    </a:stretch>
                  </pic:blipFill>
                  <pic:spPr bwMode="auto">
                    <a:xfrm>
                      <a:off x="0" y="0"/>
                      <a:ext cx="2657475"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-12065</wp:posOffset>
            </wp:positionV>
            <wp:extent cx="5849620" cy="1270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71">
                      <a:extLst>
                        <a:ext uri="{28A0092B-C50C-407E-A947-70E740481C1C}"/>
                      </a:extLst>
                    </a:blip>
                    <a:srcRect/>
                    <a:stretch>
                      <a:fillRect/>
                    </a:stretch>
                  </pic:blipFill>
                  <pic:spPr bwMode="auto">
                    <a:xfrm>
                      <a:off x="0" y="0"/>
                      <a:ext cx="584962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7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83 / 85</w:t>
      </w:r>
    </w:p>
    <w:p>
      <w:pPr>
        <w:sectPr>
          <w:pgSz w:w="11900" w:h="16838" w:orient="portrait"/>
          <w:cols w:equalWidth="0" w:num="1">
            <w:col w:w="10460"/>
          </w:cols>
          <w:pgMar w:left="1440" w:top="1440" w:right="6" w:bottom="0" w:gutter="0" w:footer="0" w:header="0"/>
          <w:type w:val="continuous"/>
        </w:sectPr>
      </w:pPr>
    </w:p>
    <w:bookmarkStart w:id="610" w:name="page611"/>
    <w:bookmarkEnd w:id="610"/>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Arial" w:cs="Arial" w:eastAsia="Arial" w:hAnsi="Arial"/>
          <w:sz w:val="24"/>
          <w:szCs w:val="24"/>
          <w:b w:val="1"/>
          <w:bCs w:val="1"/>
          <w:color w:val="auto"/>
        </w:rPr>
        <w:t>MINERA EXAR S.A.</w:t>
      </w:r>
    </w:p>
    <w:p>
      <w:pPr>
        <w:spacing w:after="0" w:line="7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STATEMENTS OF CHANGES IN EQUITY</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shares in thousands)</w:t>
      </w:r>
    </w:p>
    <w:p>
      <w:pPr>
        <w:spacing w:after="0" w:line="200" w:lineRule="exact"/>
        <w:rPr>
          <w:sz w:val="20"/>
          <w:szCs w:val="20"/>
          <w:color w:val="auto"/>
        </w:rPr>
      </w:pPr>
    </w:p>
    <w:p>
      <w:pPr>
        <w:spacing w:after="0" w:line="213"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6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Share capital</w:t>
            </w: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96"/>
        </w:trPr>
        <w:tc>
          <w:tcPr>
            <w:tcW w:w="26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9"/>
              </w:rPr>
              <w:t>Number</w:t>
            </w:r>
          </w:p>
        </w:tc>
        <w:tc>
          <w:tcPr>
            <w:tcW w:w="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2"/>
        </w:trPr>
        <w:tc>
          <w:tcPr>
            <w:tcW w:w="26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of</w:t>
            </w:r>
          </w:p>
        </w:tc>
        <w:tc>
          <w:tcPr>
            <w:tcW w:w="9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2"/>
        </w:trPr>
        <w:tc>
          <w:tcPr>
            <w:tcW w:w="26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9"/>
              </w:rPr>
              <w:t>shares</w:t>
            </w:r>
          </w:p>
        </w:tc>
        <w:tc>
          <w:tcPr>
            <w:tcW w:w="980" w:type="dxa"/>
            <w:vAlign w:val="bottom"/>
          </w:tcPr>
          <w:p>
            <w:pPr>
              <w:spacing w:after="0"/>
              <w:rPr>
                <w:sz w:val="23"/>
                <w:szCs w:val="23"/>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Contributed</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w:t>
            </w:r>
          </w:p>
        </w:tc>
        <w:tc>
          <w:tcPr>
            <w:tcW w:w="10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Tota</w:t>
            </w:r>
          </w:p>
        </w:tc>
      </w:tr>
      <w:tr>
        <w:trPr>
          <w:trHeight w:val="272"/>
        </w:trPr>
        <w:tc>
          <w:tcPr>
            <w:tcW w:w="26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8"/>
              </w:rPr>
              <w:t>(Note 13)</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surplus</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reserves</w:t>
            </w: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Deficit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equity</w:t>
            </w:r>
          </w:p>
        </w:tc>
      </w:tr>
      <w:tr>
        <w:trPr>
          <w:trHeight w:val="292"/>
        </w:trPr>
        <w:tc>
          <w:tcPr>
            <w:tcW w:w="2660" w:type="dxa"/>
            <w:vAlign w:val="bottom"/>
          </w:tcPr>
          <w:p>
            <w:pPr>
              <w:ind w:left="100"/>
              <w:spacing w:after="0"/>
              <w:rPr>
                <w:sz w:val="20"/>
                <w:szCs w:val="20"/>
                <w:color w:val="auto"/>
              </w:rPr>
            </w:pPr>
            <w:r>
              <w:rPr>
                <w:rFonts w:ascii="Arial" w:cs="Arial" w:eastAsia="Arial" w:hAnsi="Arial"/>
                <w:sz w:val="18"/>
                <w:szCs w:val="18"/>
                <w:color w:val="auto"/>
              </w:rPr>
              <w:t>Balance, December 31, 2022</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719,474</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37,514</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206,333</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(147,986)</w:t>
            </w:r>
          </w:p>
        </w:tc>
        <w:tc>
          <w:tcPr>
            <w:tcW w:w="780" w:type="dxa"/>
            <w:vAlign w:val="bottom"/>
          </w:tcPr>
          <w:p>
            <w:pPr>
              <w:jc w:val="right"/>
              <w:spacing w:after="0"/>
              <w:rPr>
                <w:sz w:val="20"/>
                <w:szCs w:val="20"/>
                <w:color w:val="auto"/>
              </w:rPr>
            </w:pPr>
            <w:r>
              <w:rPr>
                <w:rFonts w:ascii="Arial" w:cs="Arial" w:eastAsia="Arial" w:hAnsi="Arial"/>
                <w:sz w:val="18"/>
                <w:szCs w:val="18"/>
                <w:color w:val="auto"/>
              </w:rPr>
              <w:t>95,861</w:t>
            </w:r>
          </w:p>
        </w:tc>
      </w:tr>
      <w:tr>
        <w:trPr>
          <w:trHeight w:val="282"/>
        </w:trPr>
        <w:tc>
          <w:tcPr>
            <w:tcW w:w="266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129,543</w:t>
            </w:r>
          </w:p>
        </w:tc>
        <w:tc>
          <w:tcPr>
            <w:tcW w:w="780" w:type="dxa"/>
            <w:vAlign w:val="bottom"/>
          </w:tcPr>
          <w:p>
            <w:pPr>
              <w:jc w:val="right"/>
              <w:spacing w:after="0"/>
              <w:rPr>
                <w:sz w:val="20"/>
                <w:szCs w:val="20"/>
                <w:color w:val="auto"/>
              </w:rPr>
            </w:pPr>
            <w:r>
              <w:rPr>
                <w:rFonts w:ascii="Arial" w:cs="Arial" w:eastAsia="Arial" w:hAnsi="Arial"/>
                <w:sz w:val="18"/>
                <w:szCs w:val="18"/>
                <w:color w:val="auto"/>
              </w:rPr>
              <w:t>129,543</w:t>
            </w:r>
          </w:p>
        </w:tc>
      </w:tr>
      <w:tr>
        <w:trPr>
          <w:trHeight w:val="272"/>
        </w:trPr>
        <w:tc>
          <w:tcPr>
            <w:tcW w:w="2660" w:type="dxa"/>
            <w:vAlign w:val="bottom"/>
          </w:tcPr>
          <w:p>
            <w:pPr>
              <w:ind w:left="100"/>
              <w:spacing w:after="0"/>
              <w:rPr>
                <w:sz w:val="20"/>
                <w:szCs w:val="20"/>
                <w:color w:val="auto"/>
              </w:rPr>
            </w:pPr>
            <w:r>
              <w:rPr>
                <w:rFonts w:ascii="Arial" w:cs="Arial" w:eastAsia="Arial" w:hAnsi="Arial"/>
                <w:sz w:val="18"/>
                <w:szCs w:val="18"/>
                <w:color w:val="auto"/>
              </w:rPr>
              <w:t>Balance, December 31, 2023</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719,474</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37,514</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206,333</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(18,443)</w:t>
            </w:r>
          </w:p>
        </w:tc>
        <w:tc>
          <w:tcPr>
            <w:tcW w:w="780" w:type="dxa"/>
            <w:vAlign w:val="bottom"/>
          </w:tcPr>
          <w:p>
            <w:pPr>
              <w:jc w:val="right"/>
              <w:spacing w:after="0"/>
              <w:rPr>
                <w:sz w:val="20"/>
                <w:szCs w:val="20"/>
                <w:color w:val="auto"/>
              </w:rPr>
            </w:pPr>
            <w:r>
              <w:rPr>
                <w:rFonts w:ascii="Arial" w:cs="Arial" w:eastAsia="Arial" w:hAnsi="Arial"/>
                <w:sz w:val="18"/>
                <w:szCs w:val="18"/>
                <w:color w:val="auto"/>
              </w:rPr>
              <w:t>225,404</w:t>
            </w:r>
          </w:p>
        </w:tc>
      </w:tr>
      <w:tr>
        <w:trPr>
          <w:trHeight w:val="282"/>
        </w:trPr>
        <w:tc>
          <w:tcPr>
            <w:tcW w:w="266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(32,835)</w:t>
            </w:r>
          </w:p>
        </w:tc>
        <w:tc>
          <w:tcPr>
            <w:tcW w:w="780" w:type="dxa"/>
            <w:vAlign w:val="bottom"/>
          </w:tcPr>
          <w:p>
            <w:pPr>
              <w:jc w:val="right"/>
              <w:spacing w:after="0"/>
              <w:rPr>
                <w:sz w:val="20"/>
                <w:szCs w:val="20"/>
                <w:color w:val="auto"/>
              </w:rPr>
            </w:pPr>
            <w:r>
              <w:rPr>
                <w:rFonts w:ascii="Arial" w:cs="Arial" w:eastAsia="Arial" w:hAnsi="Arial"/>
                <w:sz w:val="18"/>
                <w:szCs w:val="18"/>
                <w:color w:val="auto"/>
              </w:rPr>
              <w:t>(32,835</w:t>
            </w:r>
          </w:p>
        </w:tc>
      </w:tr>
      <w:tr>
        <w:trPr>
          <w:trHeight w:val="272"/>
        </w:trPr>
        <w:tc>
          <w:tcPr>
            <w:tcW w:w="2660" w:type="dxa"/>
            <w:vAlign w:val="bottom"/>
          </w:tcPr>
          <w:p>
            <w:pPr>
              <w:ind w:left="100"/>
              <w:spacing w:after="0"/>
              <w:rPr>
                <w:sz w:val="20"/>
                <w:szCs w:val="20"/>
                <w:color w:val="auto"/>
              </w:rPr>
            </w:pPr>
            <w:r>
              <w:rPr>
                <w:rFonts w:ascii="Arial" w:cs="Arial" w:eastAsia="Arial" w:hAnsi="Arial"/>
                <w:sz w:val="18"/>
                <w:szCs w:val="18"/>
                <w:color w:val="auto"/>
              </w:rPr>
              <w:t>Balance, December 31, 2024</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719,474</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37,514</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206,333</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(51,278)</w:t>
            </w:r>
          </w:p>
        </w:tc>
        <w:tc>
          <w:tcPr>
            <w:tcW w:w="780" w:type="dxa"/>
            <w:vAlign w:val="bottom"/>
          </w:tcPr>
          <w:p>
            <w:pPr>
              <w:jc w:val="right"/>
              <w:spacing w:after="0"/>
              <w:rPr>
                <w:sz w:val="20"/>
                <w:szCs w:val="20"/>
                <w:color w:val="auto"/>
              </w:rPr>
            </w:pPr>
            <w:r>
              <w:rPr>
                <w:rFonts w:ascii="Arial" w:cs="Arial" w:eastAsia="Arial" w:hAnsi="Arial"/>
                <w:sz w:val="18"/>
                <w:szCs w:val="18"/>
                <w:color w:val="auto"/>
              </w:rPr>
              <w:t>192,569</w:t>
            </w:r>
          </w:p>
        </w:tc>
      </w:tr>
      <w:tr>
        <w:trPr>
          <w:trHeight w:val="46"/>
        </w:trPr>
        <w:tc>
          <w:tcPr>
            <w:tcW w:w="26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35"/>
        </w:trPr>
        <w:tc>
          <w:tcPr>
            <w:tcW w:w="2660" w:type="dxa"/>
            <w:vAlign w:val="bottom"/>
            <w:shd w:val="clear" w:color="auto" w:fill="DAE9F8"/>
          </w:tcPr>
          <w:p>
            <w:pPr>
              <w:ind w:left="100"/>
              <w:spacing w:after="0"/>
              <w:rPr>
                <w:sz w:val="20"/>
                <w:szCs w:val="20"/>
                <w:color w:val="auto"/>
              </w:rPr>
            </w:pPr>
            <w:r>
              <w:rPr>
                <w:rFonts w:ascii="Arial" w:cs="Arial" w:eastAsia="Arial" w:hAnsi="Arial"/>
                <w:sz w:val="18"/>
                <w:szCs w:val="18"/>
                <w:color w:val="auto"/>
              </w:rPr>
              <w:t>Debt restructuring (Note 17c)</w:t>
            </w:r>
          </w:p>
        </w:tc>
        <w:tc>
          <w:tcPr>
            <w:tcW w:w="1060" w:type="dxa"/>
            <w:vAlign w:val="bottom"/>
            <w:shd w:val="clear" w:color="auto" w:fill="DAE9F8"/>
          </w:tcPr>
          <w:p>
            <w:pPr>
              <w:jc w:val="right"/>
              <w:ind w:right="50"/>
              <w:spacing w:after="0"/>
              <w:rPr>
                <w:sz w:val="20"/>
                <w:szCs w:val="20"/>
                <w:color w:val="auto"/>
              </w:rPr>
            </w:pPr>
            <w:r>
              <w:rPr>
                <w:rFonts w:ascii="Arial" w:cs="Arial" w:eastAsia="Arial" w:hAnsi="Arial"/>
                <w:sz w:val="18"/>
                <w:szCs w:val="18"/>
                <w:color w:val="auto"/>
              </w:rPr>
              <w:t>198,588</w:t>
            </w:r>
          </w:p>
        </w:tc>
        <w:tc>
          <w:tcPr>
            <w:tcW w:w="980" w:type="dxa"/>
            <w:vAlign w:val="bottom"/>
            <w:shd w:val="clear" w:color="auto" w:fill="DAE9F8"/>
          </w:tcPr>
          <w:p>
            <w:pPr>
              <w:jc w:val="right"/>
              <w:ind w:right="50"/>
              <w:spacing w:after="0"/>
              <w:rPr>
                <w:sz w:val="20"/>
                <w:szCs w:val="20"/>
                <w:color w:val="auto"/>
              </w:rPr>
            </w:pPr>
            <w:r>
              <w:rPr>
                <w:rFonts w:ascii="Arial" w:cs="Arial" w:eastAsia="Arial" w:hAnsi="Arial"/>
                <w:sz w:val="18"/>
                <w:szCs w:val="18"/>
                <w:color w:val="auto"/>
              </w:rPr>
              <w:t>147</w:t>
            </w:r>
          </w:p>
        </w:tc>
        <w:tc>
          <w:tcPr>
            <w:tcW w:w="1480" w:type="dxa"/>
            <w:vAlign w:val="bottom"/>
            <w:shd w:val="clear" w:color="auto" w:fill="DAE9F8"/>
          </w:tcPr>
          <w:p>
            <w:pPr>
              <w:jc w:val="right"/>
              <w:ind w:right="250"/>
              <w:spacing w:after="0"/>
              <w:rPr>
                <w:sz w:val="20"/>
                <w:szCs w:val="20"/>
                <w:color w:val="auto"/>
              </w:rPr>
            </w:pPr>
            <w:r>
              <w:rPr>
                <w:rFonts w:ascii="Arial" w:cs="Arial" w:eastAsia="Arial" w:hAnsi="Arial"/>
                <w:sz w:val="18"/>
                <w:szCs w:val="18"/>
                <w:color w:val="auto"/>
              </w:rPr>
              <w:t>198,441</w:t>
            </w:r>
          </w:p>
        </w:tc>
        <w:tc>
          <w:tcPr>
            <w:tcW w:w="118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32,122</w:t>
            </w:r>
          </w:p>
        </w:tc>
        <w:tc>
          <w:tcPr>
            <w:tcW w:w="1060" w:type="dxa"/>
            <w:vAlign w:val="bottom"/>
            <w:shd w:val="clear" w:color="auto" w:fill="DAE9F8"/>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DAE9F8"/>
          </w:tcPr>
          <w:p>
            <w:pPr>
              <w:jc w:val="right"/>
              <w:spacing w:after="0"/>
              <w:rPr>
                <w:sz w:val="20"/>
                <w:szCs w:val="20"/>
                <w:color w:val="auto"/>
              </w:rPr>
            </w:pPr>
            <w:r>
              <w:rPr>
                <w:rFonts w:ascii="Arial" w:cs="Arial" w:eastAsia="Arial" w:hAnsi="Arial"/>
                <w:sz w:val="18"/>
                <w:szCs w:val="18"/>
                <w:color w:val="auto"/>
              </w:rPr>
              <w:t>230,710</w:t>
            </w:r>
          </w:p>
        </w:tc>
      </w:tr>
      <w:tr>
        <w:trPr>
          <w:trHeight w:val="272"/>
        </w:trPr>
        <w:tc>
          <w:tcPr>
            <w:tcW w:w="2660" w:type="dxa"/>
            <w:vAlign w:val="bottom"/>
            <w:shd w:val="clear" w:color="auto" w:fill="DAE9F8"/>
          </w:tcPr>
          <w:p>
            <w:pPr>
              <w:ind w:left="100"/>
              <w:spacing w:after="0"/>
              <w:rPr>
                <w:sz w:val="20"/>
                <w:szCs w:val="20"/>
                <w:color w:val="auto"/>
              </w:rPr>
            </w:pPr>
            <w:r>
              <w:rPr>
                <w:rFonts w:ascii="Arial" w:cs="Arial" w:eastAsia="Arial" w:hAnsi="Arial"/>
                <w:sz w:val="18"/>
                <w:szCs w:val="18"/>
                <w:color w:val="auto"/>
              </w:rPr>
              <w:t>Net loss</w:t>
            </w:r>
          </w:p>
        </w:tc>
        <w:tc>
          <w:tcPr>
            <w:tcW w:w="1060" w:type="dxa"/>
            <w:vAlign w:val="bottom"/>
            <w:shd w:val="clear" w:color="auto" w:fill="DAE9F8"/>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DAE9F8"/>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DAE9F8"/>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AE9F8"/>
          </w:tcPr>
          <w:p>
            <w:pPr>
              <w:jc w:val="right"/>
              <w:ind w:right="90"/>
              <w:spacing w:after="0"/>
              <w:rPr>
                <w:sz w:val="20"/>
                <w:szCs w:val="20"/>
                <w:color w:val="auto"/>
              </w:rPr>
            </w:pPr>
            <w:r>
              <w:rPr>
                <w:rFonts w:ascii="Arial" w:cs="Arial" w:eastAsia="Arial" w:hAnsi="Arial"/>
                <w:sz w:val="18"/>
                <w:szCs w:val="18"/>
                <w:color w:val="auto"/>
              </w:rPr>
              <w:t>(38,761)</w:t>
            </w:r>
          </w:p>
        </w:tc>
        <w:tc>
          <w:tcPr>
            <w:tcW w:w="780" w:type="dxa"/>
            <w:vAlign w:val="bottom"/>
            <w:shd w:val="clear" w:color="auto" w:fill="DAE9F8"/>
          </w:tcPr>
          <w:p>
            <w:pPr>
              <w:jc w:val="right"/>
              <w:spacing w:after="0"/>
              <w:rPr>
                <w:sz w:val="20"/>
                <w:szCs w:val="20"/>
                <w:color w:val="auto"/>
              </w:rPr>
            </w:pPr>
            <w:r>
              <w:rPr>
                <w:rFonts w:ascii="Arial" w:cs="Arial" w:eastAsia="Arial" w:hAnsi="Arial"/>
                <w:sz w:val="18"/>
                <w:szCs w:val="18"/>
                <w:color w:val="auto"/>
              </w:rPr>
              <w:t>(38,761</w:t>
            </w:r>
          </w:p>
        </w:tc>
      </w:tr>
      <w:tr>
        <w:trPr>
          <w:trHeight w:val="272"/>
        </w:trPr>
        <w:tc>
          <w:tcPr>
            <w:tcW w:w="2660" w:type="dxa"/>
            <w:vAlign w:val="bottom"/>
            <w:shd w:val="clear" w:color="auto" w:fill="DAE9F8"/>
          </w:tcPr>
          <w:p>
            <w:pPr>
              <w:ind w:left="100"/>
              <w:spacing w:after="0"/>
              <w:rPr>
                <w:sz w:val="20"/>
                <w:szCs w:val="20"/>
                <w:color w:val="auto"/>
              </w:rPr>
            </w:pPr>
            <w:r>
              <w:rPr>
                <w:rFonts w:ascii="Arial" w:cs="Arial" w:eastAsia="Arial" w:hAnsi="Arial"/>
                <w:sz w:val="18"/>
                <w:szCs w:val="18"/>
                <w:b w:val="1"/>
                <w:bCs w:val="1"/>
                <w:color w:val="auto"/>
              </w:rPr>
              <w:t>Balance, December 31, 2025</w:t>
            </w:r>
          </w:p>
        </w:tc>
        <w:tc>
          <w:tcPr>
            <w:tcW w:w="1060" w:type="dxa"/>
            <w:vAlign w:val="bottom"/>
            <w:shd w:val="clear" w:color="auto" w:fill="DAE9F8"/>
          </w:tcPr>
          <w:p>
            <w:pPr>
              <w:jc w:val="right"/>
              <w:ind w:right="50"/>
              <w:spacing w:after="0"/>
              <w:rPr>
                <w:sz w:val="20"/>
                <w:szCs w:val="20"/>
                <w:color w:val="auto"/>
              </w:rPr>
            </w:pPr>
            <w:r>
              <w:rPr>
                <w:rFonts w:ascii="Arial" w:cs="Arial" w:eastAsia="Arial" w:hAnsi="Arial"/>
                <w:sz w:val="18"/>
                <w:szCs w:val="18"/>
                <w:b w:val="1"/>
                <w:bCs w:val="1"/>
                <w:color w:val="auto"/>
              </w:rPr>
              <w:t>918,062</w:t>
            </w:r>
          </w:p>
        </w:tc>
        <w:tc>
          <w:tcPr>
            <w:tcW w:w="980" w:type="dxa"/>
            <w:vAlign w:val="bottom"/>
            <w:shd w:val="clear" w:color="auto" w:fill="DAE9F8"/>
          </w:tcPr>
          <w:p>
            <w:pPr>
              <w:jc w:val="right"/>
              <w:ind w:right="50"/>
              <w:spacing w:after="0"/>
              <w:rPr>
                <w:sz w:val="20"/>
                <w:szCs w:val="20"/>
                <w:color w:val="auto"/>
              </w:rPr>
            </w:pPr>
            <w:r>
              <w:rPr>
                <w:rFonts w:ascii="Arial" w:cs="Arial" w:eastAsia="Arial" w:hAnsi="Arial"/>
                <w:sz w:val="18"/>
                <w:szCs w:val="18"/>
                <w:b w:val="1"/>
                <w:bCs w:val="1"/>
                <w:color w:val="auto"/>
              </w:rPr>
              <w:t>37,661</w:t>
            </w:r>
          </w:p>
        </w:tc>
        <w:tc>
          <w:tcPr>
            <w:tcW w:w="1480" w:type="dxa"/>
            <w:vAlign w:val="bottom"/>
            <w:shd w:val="clear" w:color="auto" w:fill="DAE9F8"/>
          </w:tcPr>
          <w:p>
            <w:pPr>
              <w:jc w:val="right"/>
              <w:ind w:right="250"/>
              <w:spacing w:after="0"/>
              <w:rPr>
                <w:sz w:val="20"/>
                <w:szCs w:val="20"/>
                <w:color w:val="auto"/>
              </w:rPr>
            </w:pPr>
            <w:r>
              <w:rPr>
                <w:rFonts w:ascii="Arial" w:cs="Arial" w:eastAsia="Arial" w:hAnsi="Arial"/>
                <w:sz w:val="18"/>
                <w:szCs w:val="18"/>
                <w:b w:val="1"/>
                <w:bCs w:val="1"/>
                <w:color w:val="auto"/>
              </w:rPr>
              <w:t>404,774</w:t>
            </w:r>
          </w:p>
        </w:tc>
        <w:tc>
          <w:tcPr>
            <w:tcW w:w="1180" w:type="dxa"/>
            <w:vAlign w:val="bottom"/>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32,122</w:t>
            </w:r>
          </w:p>
        </w:tc>
        <w:tc>
          <w:tcPr>
            <w:tcW w:w="1060" w:type="dxa"/>
            <w:vAlign w:val="bottom"/>
            <w:shd w:val="clear" w:color="auto" w:fill="DAE9F8"/>
          </w:tcPr>
          <w:p>
            <w:pPr>
              <w:jc w:val="right"/>
              <w:ind w:right="90"/>
              <w:spacing w:after="0"/>
              <w:rPr>
                <w:sz w:val="20"/>
                <w:szCs w:val="20"/>
                <w:color w:val="auto"/>
              </w:rPr>
            </w:pPr>
            <w:r>
              <w:rPr>
                <w:rFonts w:ascii="Arial" w:cs="Arial" w:eastAsia="Arial" w:hAnsi="Arial"/>
                <w:sz w:val="18"/>
                <w:szCs w:val="18"/>
                <w:b w:val="1"/>
                <w:bCs w:val="1"/>
                <w:color w:val="auto"/>
              </w:rPr>
              <w:t>(90,039)</w:t>
            </w:r>
          </w:p>
        </w:tc>
        <w:tc>
          <w:tcPr>
            <w:tcW w:w="780" w:type="dxa"/>
            <w:vAlign w:val="bottom"/>
            <w:shd w:val="clear" w:color="auto" w:fill="DAE9F8"/>
          </w:tcPr>
          <w:p>
            <w:pPr>
              <w:jc w:val="right"/>
              <w:spacing w:after="0"/>
              <w:rPr>
                <w:sz w:val="20"/>
                <w:szCs w:val="20"/>
                <w:color w:val="auto"/>
              </w:rPr>
            </w:pPr>
            <w:r>
              <w:rPr>
                <w:rFonts w:ascii="Arial" w:cs="Arial" w:eastAsia="Arial" w:hAnsi="Arial"/>
                <w:sz w:val="18"/>
                <w:szCs w:val="18"/>
                <w:b w:val="1"/>
                <w:bCs w:val="1"/>
                <w:color w:val="auto"/>
              </w:rPr>
              <w:t>384,518</w:t>
            </w:r>
          </w:p>
        </w:tc>
      </w:tr>
      <w:tr>
        <w:trPr>
          <w:trHeight w:val="56"/>
        </w:trPr>
        <w:tc>
          <w:tcPr>
            <w:tcW w:w="2660" w:type="dxa"/>
            <w:vAlign w:val="bottom"/>
            <w:shd w:val="clear" w:color="auto" w:fill="DAE9F8"/>
          </w:tcPr>
          <w:p>
            <w:pPr>
              <w:spacing w:after="0"/>
              <w:rPr>
                <w:sz w:val="4"/>
                <w:szCs w:val="4"/>
                <w:color w:val="auto"/>
              </w:rPr>
            </w:pPr>
          </w:p>
        </w:tc>
        <w:tc>
          <w:tcPr>
            <w:tcW w:w="1060" w:type="dxa"/>
            <w:vAlign w:val="bottom"/>
            <w:shd w:val="clear" w:color="auto" w:fill="DAE9F8"/>
          </w:tcPr>
          <w:p>
            <w:pPr>
              <w:spacing w:after="0"/>
              <w:rPr>
                <w:sz w:val="4"/>
                <w:szCs w:val="4"/>
                <w:color w:val="auto"/>
              </w:rPr>
            </w:pPr>
          </w:p>
        </w:tc>
        <w:tc>
          <w:tcPr>
            <w:tcW w:w="980" w:type="dxa"/>
            <w:vAlign w:val="bottom"/>
            <w:shd w:val="clear" w:color="auto" w:fill="DAE9F8"/>
          </w:tcPr>
          <w:p>
            <w:pPr>
              <w:spacing w:after="0"/>
              <w:rPr>
                <w:sz w:val="4"/>
                <w:szCs w:val="4"/>
                <w:color w:val="auto"/>
              </w:rPr>
            </w:pPr>
          </w:p>
        </w:tc>
        <w:tc>
          <w:tcPr>
            <w:tcW w:w="1480" w:type="dxa"/>
            <w:vAlign w:val="bottom"/>
            <w:shd w:val="clear" w:color="auto" w:fill="DAE9F8"/>
          </w:tcPr>
          <w:p>
            <w:pPr>
              <w:spacing w:after="0"/>
              <w:rPr>
                <w:sz w:val="4"/>
                <w:szCs w:val="4"/>
                <w:color w:val="auto"/>
              </w:rPr>
            </w:pPr>
          </w:p>
        </w:tc>
        <w:tc>
          <w:tcPr>
            <w:tcW w:w="1180" w:type="dxa"/>
            <w:vAlign w:val="bottom"/>
            <w:shd w:val="clear" w:color="auto" w:fill="DAE9F8"/>
          </w:tcPr>
          <w:p>
            <w:pPr>
              <w:spacing w:after="0"/>
              <w:rPr>
                <w:sz w:val="4"/>
                <w:szCs w:val="4"/>
                <w:color w:val="auto"/>
              </w:rPr>
            </w:pPr>
          </w:p>
        </w:tc>
        <w:tc>
          <w:tcPr>
            <w:tcW w:w="1060" w:type="dxa"/>
            <w:vAlign w:val="bottom"/>
            <w:shd w:val="clear" w:color="auto" w:fill="DAE9F8"/>
          </w:tcPr>
          <w:p>
            <w:pPr>
              <w:spacing w:after="0"/>
              <w:rPr>
                <w:sz w:val="4"/>
                <w:szCs w:val="4"/>
                <w:color w:val="auto"/>
              </w:rPr>
            </w:pPr>
          </w:p>
        </w:tc>
        <w:tc>
          <w:tcPr>
            <w:tcW w:w="780" w:type="dxa"/>
            <w:vAlign w:val="bottom"/>
            <w:shd w:val="clear" w:color="auto" w:fill="DAE9F8"/>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-2120265</wp:posOffset>
            </wp:positionV>
            <wp:extent cx="5849620" cy="635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73">
                      <a:extLst>
                        <a:ext uri="{28A0092B-C50C-407E-A947-70E740481C1C}"/>
                      </a:extLst>
                    </a:blip>
                    <a:srcRect/>
                    <a:stretch>
                      <a:fillRect/>
                    </a:stretch>
                  </pic:blipFill>
                  <pic:spPr bwMode="auto">
                    <a:xfrm>
                      <a:off x="0" y="0"/>
                      <a:ext cx="5849620"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-1423670</wp:posOffset>
            </wp:positionV>
            <wp:extent cx="5849620" cy="1270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74">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-1238885</wp:posOffset>
            </wp:positionV>
            <wp:extent cx="5849620" cy="635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75">
                      <a:extLst>
                        <a:ext uri="{28A0092B-C50C-407E-A947-70E740481C1C}"/>
                      </a:extLst>
                    </a:blip>
                    <a:srcRect/>
                    <a:stretch>
                      <a:fillRect/>
                    </a:stretch>
                  </pic:blipFill>
                  <pic:spPr bwMode="auto">
                    <a:xfrm>
                      <a:off x="0" y="0"/>
                      <a:ext cx="5849620"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-887095</wp:posOffset>
            </wp:positionV>
            <wp:extent cx="5849620" cy="635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76">
                      <a:extLst>
                        <a:ext uri="{28A0092B-C50C-407E-A947-70E740481C1C}"/>
                      </a:extLst>
                    </a:blip>
                    <a:srcRect/>
                    <a:stretch>
                      <a:fillRect/>
                    </a:stretch>
                  </pic:blipFill>
                  <pic:spPr bwMode="auto">
                    <a:xfrm>
                      <a:off x="0" y="0"/>
                      <a:ext cx="5849620"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-535940</wp:posOffset>
            </wp:positionV>
            <wp:extent cx="5849620" cy="635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7">
                      <a:extLst>
                        <a:ext uri="{28A0092B-C50C-407E-A947-70E740481C1C}"/>
                      </a:extLst>
                    </a:blip>
                    <a:srcRect/>
                    <a:stretch>
                      <a:fillRect/>
                    </a:stretch>
                  </pic:blipFill>
                  <pic:spPr bwMode="auto">
                    <a:xfrm>
                      <a:off x="0" y="0"/>
                      <a:ext cx="5849620"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-12065</wp:posOffset>
            </wp:positionV>
            <wp:extent cx="5849620" cy="1270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8">
                      <a:extLst>
                        <a:ext uri="{28A0092B-C50C-407E-A947-70E740481C1C}"/>
                      </a:extLst>
                    </a:blip>
                    <a:srcRect/>
                    <a:stretch>
                      <a:fillRect/>
                    </a:stretch>
                  </pic:blipFill>
                  <pic:spPr bwMode="auto">
                    <a:xfrm>
                      <a:off x="0" y="0"/>
                      <a:ext cx="5849620" cy="1270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84 / 85</w:t>
      </w:r>
    </w:p>
    <w:p>
      <w:pPr>
        <w:sectPr>
          <w:pgSz w:w="11900" w:h="16838" w:orient="portrait"/>
          <w:cols w:equalWidth="0" w:num="1">
            <w:col w:w="10460"/>
          </w:cols>
          <w:pgMar w:left="1440" w:top="1440" w:right="6" w:bottom="0" w:gutter="0" w:footer="0" w:header="0"/>
          <w:type w:val="continuous"/>
        </w:sectPr>
      </w:pPr>
    </w:p>
    <w:bookmarkStart w:id="611" w:name="page612"/>
    <w:bookmarkEnd w:id="611"/>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60"/>
        <w:spacing w:after="0"/>
        <w:rPr>
          <w:sz w:val="20"/>
          <w:szCs w:val="20"/>
          <w:color w:val="auto"/>
        </w:rPr>
      </w:pPr>
      <w:r>
        <w:rPr>
          <w:rFonts w:ascii="Arial" w:cs="Arial" w:eastAsia="Arial" w:hAnsi="Arial"/>
          <w:sz w:val="24"/>
          <w:szCs w:val="24"/>
          <w:b w:val="1"/>
          <w:bCs w:val="1"/>
          <w:color w:val="auto"/>
        </w:rPr>
        <w:t>MINERA EXAR S.A.</w:t>
      </w:r>
    </w:p>
    <w:p>
      <w:pPr>
        <w:spacing w:after="0" w:line="7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STATEMENTS OF CASHFLOWS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330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0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5040" w:type="dxa"/>
            <w:vAlign w:val="bottom"/>
          </w:tcPr>
          <w:p>
            <w:pPr>
              <w:spacing w:after="0"/>
              <w:rPr>
                <w:sz w:val="20"/>
                <w:szCs w:val="20"/>
                <w:color w:val="auto"/>
              </w:rPr>
            </w:pPr>
          </w:p>
        </w:tc>
        <w:tc>
          <w:tcPr>
            <w:tcW w:w="1540" w:type="dxa"/>
            <w:vAlign w:val="bottom"/>
            <w:shd w:val="clear" w:color="auto" w:fill="DAE9F8"/>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17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06"/>
        </w:trPr>
        <w:tc>
          <w:tcPr>
            <w:tcW w:w="504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540" w:type="dxa"/>
            <w:vAlign w:val="bottom"/>
            <w:shd w:val="clear" w:color="auto" w:fill="DAE9F8"/>
          </w:tcPr>
          <w:p>
            <w:pPr>
              <w:spacing w:after="0"/>
              <w:rPr>
                <w:sz w:val="24"/>
                <w:szCs w:val="24"/>
                <w:color w:val="auto"/>
              </w:rPr>
            </w:pP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040" w:type="dxa"/>
            <w:vAlign w:val="bottom"/>
          </w:tcPr>
          <w:p>
            <w:pPr>
              <w:spacing w:after="0"/>
              <w:rPr>
                <w:sz w:val="20"/>
                <w:szCs w:val="20"/>
                <w:color w:val="auto"/>
              </w:rPr>
            </w:pPr>
            <w:r>
              <w:rPr>
                <w:rFonts w:ascii="Arial" w:cs="Arial" w:eastAsia="Arial" w:hAnsi="Arial"/>
                <w:sz w:val="18"/>
                <w:szCs w:val="18"/>
                <w:color w:val="auto"/>
              </w:rPr>
              <w:t>Net (loss)/income</w:t>
            </w:r>
          </w:p>
        </w:tc>
        <w:tc>
          <w:tcPr>
            <w:tcW w:w="154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(38,761)</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(32,835)</w:t>
            </w:r>
          </w:p>
        </w:tc>
        <w:tc>
          <w:tcPr>
            <w:tcW w:w="760" w:type="dxa"/>
            <w:vAlign w:val="bottom"/>
          </w:tcPr>
          <w:p>
            <w:pPr>
              <w:jc w:val="right"/>
              <w:spacing w:after="0"/>
              <w:rPr>
                <w:sz w:val="20"/>
                <w:szCs w:val="20"/>
                <w:color w:val="auto"/>
              </w:rPr>
            </w:pPr>
            <w:r>
              <w:rPr>
                <w:rFonts w:ascii="Arial" w:cs="Arial" w:eastAsia="Arial" w:hAnsi="Arial"/>
                <w:sz w:val="18"/>
                <w:szCs w:val="18"/>
                <w:color w:val="auto"/>
              </w:rPr>
              <w:t>129,543</w:t>
            </w:r>
          </w:p>
        </w:tc>
        <w:tc>
          <w:tcPr>
            <w:tcW w:w="0" w:type="dxa"/>
            <w:vAlign w:val="bottom"/>
          </w:tcPr>
          <w:p>
            <w:pPr>
              <w:spacing w:after="0"/>
              <w:rPr>
                <w:sz w:val="1"/>
                <w:szCs w:val="1"/>
                <w:color w:val="auto"/>
              </w:rPr>
            </w:pPr>
          </w:p>
        </w:tc>
      </w:tr>
      <w:tr>
        <w:trPr>
          <w:trHeight w:val="586"/>
        </w:trPr>
        <w:tc>
          <w:tcPr>
            <w:tcW w:w="5040" w:type="dxa"/>
            <w:vAlign w:val="bottom"/>
          </w:tcPr>
          <w:p>
            <w:pPr>
              <w:spacing w:after="0"/>
              <w:rPr>
                <w:sz w:val="20"/>
                <w:szCs w:val="20"/>
                <w:color w:val="auto"/>
              </w:rPr>
            </w:pPr>
            <w:r>
              <w:rPr>
                <w:rFonts w:ascii="Arial" w:cs="Arial" w:eastAsia="Arial" w:hAnsi="Arial"/>
                <w:sz w:val="18"/>
                <w:szCs w:val="18"/>
                <w:color w:val="auto"/>
              </w:rPr>
              <w:t>Items not affecting cash and other items:</w:t>
            </w:r>
          </w:p>
        </w:tc>
        <w:tc>
          <w:tcPr>
            <w:tcW w:w="1540" w:type="dxa"/>
            <w:vAlign w:val="bottom"/>
            <w:shd w:val="clear" w:color="auto" w:fill="DAE9F8"/>
          </w:tcPr>
          <w:p>
            <w:pPr>
              <w:spacing w:after="0"/>
              <w:rPr>
                <w:sz w:val="24"/>
                <w:szCs w:val="24"/>
                <w:color w:val="auto"/>
              </w:rPr>
            </w:pP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040" w:type="dxa"/>
            <w:vAlign w:val="bottom"/>
          </w:tcPr>
          <w:p>
            <w:pPr>
              <w:spacing w:after="0"/>
              <w:rPr>
                <w:sz w:val="20"/>
                <w:szCs w:val="20"/>
                <w:color w:val="auto"/>
              </w:rPr>
            </w:pPr>
            <w:r>
              <w:rPr>
                <w:rFonts w:ascii="Arial" w:cs="Arial" w:eastAsia="Arial" w:hAnsi="Arial"/>
                <w:sz w:val="18"/>
                <w:szCs w:val="18"/>
                <w:color w:val="auto"/>
              </w:rPr>
              <w:t>Deferred tax (recovery)/expenses</w:t>
            </w:r>
          </w:p>
        </w:tc>
        <w:tc>
          <w:tcPr>
            <w:tcW w:w="154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(14,614)</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72,833</w:t>
            </w:r>
          </w:p>
        </w:tc>
        <w:tc>
          <w:tcPr>
            <w:tcW w:w="760" w:type="dxa"/>
            <w:vAlign w:val="bottom"/>
          </w:tcPr>
          <w:p>
            <w:pPr>
              <w:jc w:val="right"/>
              <w:spacing w:after="0"/>
              <w:rPr>
                <w:sz w:val="20"/>
                <w:szCs w:val="20"/>
                <w:color w:val="auto"/>
              </w:rPr>
            </w:pPr>
            <w:r>
              <w:rPr>
                <w:rFonts w:ascii="Arial" w:cs="Arial" w:eastAsia="Arial" w:hAnsi="Arial"/>
                <w:sz w:val="18"/>
                <w:szCs w:val="18"/>
                <w:color w:val="auto"/>
              </w:rPr>
              <w:t>124,586</w:t>
            </w:r>
          </w:p>
        </w:tc>
        <w:tc>
          <w:tcPr>
            <w:tcW w:w="0" w:type="dxa"/>
            <w:vAlign w:val="bottom"/>
          </w:tcPr>
          <w:p>
            <w:pPr>
              <w:spacing w:after="0"/>
              <w:rPr>
                <w:sz w:val="1"/>
                <w:szCs w:val="1"/>
                <w:color w:val="auto"/>
              </w:rPr>
            </w:pPr>
          </w:p>
        </w:tc>
      </w:tr>
      <w:tr>
        <w:trPr>
          <w:trHeight w:val="272"/>
        </w:trPr>
        <w:tc>
          <w:tcPr>
            <w:tcW w:w="5040" w:type="dxa"/>
            <w:vAlign w:val="bottom"/>
          </w:tcPr>
          <w:p>
            <w:pPr>
              <w:spacing w:after="0"/>
              <w:rPr>
                <w:sz w:val="20"/>
                <w:szCs w:val="20"/>
                <w:color w:val="auto"/>
              </w:rPr>
            </w:pPr>
            <w:r>
              <w:rPr>
                <w:rFonts w:ascii="Arial" w:cs="Arial" w:eastAsia="Arial" w:hAnsi="Arial"/>
                <w:sz w:val="18"/>
                <w:szCs w:val="18"/>
                <w:color w:val="auto"/>
              </w:rPr>
              <w:t>Inventory write-down/(reversal)</w:t>
            </w:r>
          </w:p>
        </w:tc>
        <w:tc>
          <w:tcPr>
            <w:tcW w:w="154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(1,013)</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(4,127)</w:t>
            </w:r>
          </w:p>
        </w:tc>
        <w:tc>
          <w:tcPr>
            <w:tcW w:w="760" w:type="dxa"/>
            <w:vAlign w:val="bottom"/>
          </w:tcPr>
          <w:p>
            <w:pPr>
              <w:jc w:val="right"/>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72"/>
        </w:trPr>
        <w:tc>
          <w:tcPr>
            <w:tcW w:w="5040" w:type="dxa"/>
            <w:vAlign w:val="bottom"/>
          </w:tcPr>
          <w:p>
            <w:pPr>
              <w:spacing w:after="0"/>
              <w:rPr>
                <w:sz w:val="20"/>
                <w:szCs w:val="20"/>
                <w:color w:val="auto"/>
              </w:rPr>
            </w:pPr>
            <w:r>
              <w:rPr>
                <w:rFonts w:ascii="Arial" w:cs="Arial" w:eastAsia="Arial" w:hAnsi="Arial"/>
                <w:sz w:val="18"/>
                <w:szCs w:val="18"/>
                <w:color w:val="auto"/>
              </w:rPr>
              <w:t>Derivative (gain)/loss</w:t>
            </w:r>
          </w:p>
        </w:tc>
        <w:tc>
          <w:tcPr>
            <w:tcW w:w="154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(89,949)</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(78,085)</w:t>
            </w:r>
          </w:p>
        </w:tc>
        <w:tc>
          <w:tcPr>
            <w:tcW w:w="760" w:type="dxa"/>
            <w:vAlign w:val="bottom"/>
          </w:tcPr>
          <w:p>
            <w:pPr>
              <w:jc w:val="right"/>
              <w:spacing w:after="0"/>
              <w:rPr>
                <w:sz w:val="20"/>
                <w:szCs w:val="20"/>
                <w:color w:val="auto"/>
              </w:rPr>
            </w:pPr>
            <w:r>
              <w:rPr>
                <w:rFonts w:ascii="Arial" w:cs="Arial" w:eastAsia="Arial" w:hAnsi="Arial"/>
                <w:sz w:val="18"/>
                <w:szCs w:val="18"/>
                <w:color w:val="auto"/>
              </w:rPr>
              <w:t>(276,040</w:t>
            </w:r>
          </w:p>
        </w:tc>
        <w:tc>
          <w:tcPr>
            <w:tcW w:w="0" w:type="dxa"/>
            <w:vAlign w:val="bottom"/>
          </w:tcPr>
          <w:p>
            <w:pPr>
              <w:spacing w:after="0"/>
              <w:rPr>
                <w:sz w:val="1"/>
                <w:szCs w:val="1"/>
                <w:color w:val="auto"/>
              </w:rPr>
            </w:pPr>
          </w:p>
        </w:tc>
      </w:tr>
      <w:tr>
        <w:trPr>
          <w:trHeight w:val="272"/>
        </w:trPr>
        <w:tc>
          <w:tcPr>
            <w:tcW w:w="504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154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9,700</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040" w:type="dxa"/>
            <w:vAlign w:val="bottom"/>
          </w:tcPr>
          <w:p>
            <w:pPr>
              <w:spacing w:after="0"/>
              <w:rPr>
                <w:sz w:val="20"/>
                <w:szCs w:val="20"/>
                <w:color w:val="auto"/>
              </w:rPr>
            </w:pPr>
            <w:r>
              <w:rPr>
                <w:rFonts w:ascii="Arial" w:cs="Arial" w:eastAsia="Arial" w:hAnsi="Arial"/>
                <w:sz w:val="18"/>
                <w:szCs w:val="18"/>
                <w:color w:val="auto"/>
              </w:rPr>
              <w:t>Depreciation</w:t>
            </w:r>
          </w:p>
        </w:tc>
        <w:tc>
          <w:tcPr>
            <w:tcW w:w="154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54,252</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20,196</w:t>
            </w:r>
          </w:p>
        </w:tc>
        <w:tc>
          <w:tcPr>
            <w:tcW w:w="760" w:type="dxa"/>
            <w:vAlign w:val="bottom"/>
          </w:tcPr>
          <w:p>
            <w:pPr>
              <w:jc w:val="right"/>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72"/>
        </w:trPr>
        <w:tc>
          <w:tcPr>
            <w:tcW w:w="5040" w:type="dxa"/>
            <w:vAlign w:val="bottom"/>
          </w:tcPr>
          <w:p>
            <w:pPr>
              <w:spacing w:after="0"/>
              <w:rPr>
                <w:sz w:val="20"/>
                <w:szCs w:val="20"/>
                <w:color w:val="auto"/>
              </w:rPr>
            </w:pPr>
            <w:r>
              <w:rPr>
                <w:rFonts w:ascii="Arial" w:cs="Arial" w:eastAsia="Arial" w:hAnsi="Arial"/>
                <w:sz w:val="18"/>
                <w:szCs w:val="18"/>
                <w:color w:val="auto"/>
              </w:rPr>
              <w:t>Provisions</w:t>
            </w:r>
          </w:p>
        </w:tc>
        <w:tc>
          <w:tcPr>
            <w:tcW w:w="154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2,163</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040" w:type="dxa"/>
            <w:vAlign w:val="bottom"/>
          </w:tcPr>
          <w:p>
            <w:pPr>
              <w:spacing w:after="0"/>
              <w:rPr>
                <w:sz w:val="20"/>
                <w:szCs w:val="20"/>
                <w:color w:val="auto"/>
              </w:rPr>
            </w:pPr>
            <w:r>
              <w:rPr>
                <w:rFonts w:ascii="Arial" w:cs="Arial" w:eastAsia="Arial" w:hAnsi="Arial"/>
                <w:sz w:val="18"/>
                <w:szCs w:val="18"/>
                <w:color w:val="auto"/>
              </w:rPr>
              <w:t>Financing costs</w:t>
            </w:r>
          </w:p>
        </w:tc>
        <w:tc>
          <w:tcPr>
            <w:tcW w:w="154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133,320</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35,154</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2"/>
        </w:trPr>
        <w:tc>
          <w:tcPr>
            <w:tcW w:w="5040" w:type="dxa"/>
            <w:vAlign w:val="bottom"/>
          </w:tcPr>
          <w:p>
            <w:pPr>
              <w:spacing w:after="0"/>
              <w:rPr>
                <w:sz w:val="20"/>
                <w:szCs w:val="20"/>
                <w:color w:val="auto"/>
              </w:rPr>
            </w:pPr>
            <w:r>
              <w:rPr>
                <w:rFonts w:ascii="Arial" w:cs="Arial" w:eastAsia="Arial" w:hAnsi="Arial"/>
                <w:sz w:val="18"/>
                <w:szCs w:val="18"/>
                <w:color w:val="auto"/>
              </w:rPr>
              <w:t>Other income/loss</w:t>
            </w:r>
          </w:p>
        </w:tc>
        <w:tc>
          <w:tcPr>
            <w:tcW w:w="154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(59)</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5040" w:type="dxa"/>
            <w:vAlign w:val="bottom"/>
            <w:vMerge w:val="restart"/>
          </w:tcPr>
          <w:p>
            <w:pPr>
              <w:spacing w:after="0"/>
              <w:rPr>
                <w:sz w:val="20"/>
                <w:szCs w:val="20"/>
                <w:color w:val="auto"/>
              </w:rPr>
            </w:pPr>
            <w:r>
              <w:rPr>
                <w:rFonts w:ascii="Arial" w:cs="Arial" w:eastAsia="Arial" w:hAnsi="Arial"/>
                <w:sz w:val="18"/>
                <w:szCs w:val="18"/>
                <w:i w:val="1"/>
                <w:iCs w:val="1"/>
                <w:color w:val="auto"/>
              </w:rPr>
              <w:t>Changes in non-cash working capital items:</w:t>
            </w:r>
          </w:p>
        </w:tc>
        <w:tc>
          <w:tcPr>
            <w:tcW w:w="1540" w:type="dxa"/>
            <w:vAlign w:val="bottom"/>
            <w:shd w:val="clear" w:color="auto" w:fill="DAE9F8"/>
          </w:tcPr>
          <w:p>
            <w:pPr>
              <w:spacing w:after="0"/>
              <w:rPr>
                <w:sz w:val="3"/>
                <w:szCs w:val="3"/>
                <w:color w:val="auto"/>
              </w:rPr>
            </w:pPr>
          </w:p>
        </w:tc>
        <w:tc>
          <w:tcPr>
            <w:tcW w:w="1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vMerge w:val="continue"/>
          </w:tcPr>
          <w:p>
            <w:pPr>
              <w:spacing w:after="0"/>
              <w:rPr>
                <w:sz w:val="21"/>
                <w:szCs w:val="21"/>
                <w:color w:val="auto"/>
              </w:rPr>
            </w:pPr>
          </w:p>
        </w:tc>
        <w:tc>
          <w:tcPr>
            <w:tcW w:w="1540" w:type="dxa"/>
            <w:vAlign w:val="bottom"/>
            <w:shd w:val="clear" w:color="auto" w:fill="DAE9F8"/>
          </w:tcPr>
          <w:p>
            <w:pPr>
              <w:spacing w:after="0"/>
              <w:rPr>
                <w:sz w:val="21"/>
                <w:szCs w:val="21"/>
                <w:color w:val="auto"/>
              </w:rPr>
            </w:pPr>
          </w:p>
        </w:tc>
        <w:tc>
          <w:tcPr>
            <w:tcW w:w="1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5040" w:type="dxa"/>
            <w:vAlign w:val="bottom"/>
          </w:tcPr>
          <w:p>
            <w:pPr>
              <w:spacing w:after="0"/>
              <w:rPr>
                <w:sz w:val="4"/>
                <w:szCs w:val="4"/>
                <w:color w:val="auto"/>
              </w:rPr>
            </w:pPr>
          </w:p>
        </w:tc>
        <w:tc>
          <w:tcPr>
            <w:tcW w:w="1540" w:type="dxa"/>
            <w:vAlign w:val="bottom"/>
            <w:shd w:val="clear" w:color="auto" w:fill="DAE9F8"/>
          </w:tcPr>
          <w:p>
            <w:pPr>
              <w:spacing w:after="0"/>
              <w:rPr>
                <w:sz w:val="4"/>
                <w:szCs w:val="4"/>
                <w:color w:val="auto"/>
              </w:rPr>
            </w:pPr>
          </w:p>
        </w:tc>
        <w:tc>
          <w:tcPr>
            <w:tcW w:w="1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5040" w:type="dxa"/>
            <w:vAlign w:val="bottom"/>
          </w:tcPr>
          <w:p>
            <w:pPr>
              <w:spacing w:after="0"/>
              <w:rPr>
                <w:sz w:val="20"/>
                <w:szCs w:val="20"/>
                <w:color w:val="auto"/>
              </w:rPr>
            </w:pPr>
            <w:r>
              <w:rPr>
                <w:rFonts w:ascii="Arial" w:cs="Arial" w:eastAsia="Arial" w:hAnsi="Arial"/>
                <w:sz w:val="18"/>
                <w:szCs w:val="18"/>
                <w:color w:val="auto"/>
              </w:rPr>
              <w:t>Increase in accounts receivable</w:t>
            </w:r>
          </w:p>
        </w:tc>
        <w:tc>
          <w:tcPr>
            <w:tcW w:w="154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(9,779)</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(40,459)</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5040" w:type="dxa"/>
            <w:vAlign w:val="bottom"/>
          </w:tcPr>
          <w:p>
            <w:pPr>
              <w:spacing w:after="0"/>
              <w:rPr>
                <w:sz w:val="3"/>
                <w:szCs w:val="3"/>
                <w:color w:val="auto"/>
              </w:rPr>
            </w:pPr>
          </w:p>
        </w:tc>
        <w:tc>
          <w:tcPr>
            <w:tcW w:w="1540" w:type="dxa"/>
            <w:vAlign w:val="bottom"/>
            <w:shd w:val="clear" w:color="auto" w:fill="DAE9F8"/>
          </w:tcPr>
          <w:p>
            <w:pPr>
              <w:spacing w:after="0"/>
              <w:rPr>
                <w:sz w:val="3"/>
                <w:szCs w:val="3"/>
                <w:color w:val="auto"/>
              </w:rPr>
            </w:pPr>
          </w:p>
        </w:tc>
        <w:tc>
          <w:tcPr>
            <w:tcW w:w="1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5040" w:type="dxa"/>
            <w:vAlign w:val="bottom"/>
          </w:tcPr>
          <w:p>
            <w:pPr>
              <w:spacing w:after="0"/>
              <w:rPr>
                <w:sz w:val="20"/>
                <w:szCs w:val="20"/>
                <w:color w:val="auto"/>
              </w:rPr>
            </w:pPr>
            <w:r>
              <w:rPr>
                <w:rFonts w:ascii="Arial" w:cs="Arial" w:eastAsia="Arial" w:hAnsi="Arial"/>
                <w:sz w:val="18"/>
                <w:szCs w:val="18"/>
                <w:color w:val="auto"/>
              </w:rPr>
              <w:t>Increase (decrease) in other receivable, prepaids and</w:t>
            </w:r>
          </w:p>
        </w:tc>
        <w:tc>
          <w:tcPr>
            <w:tcW w:w="154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(27,680)</w:t>
            </w:r>
          </w:p>
        </w:tc>
        <w:tc>
          <w:tcPr>
            <w:tcW w:w="1760" w:type="dxa"/>
            <w:vAlign w:val="bottom"/>
            <w:vMerge w:val="restart"/>
          </w:tcPr>
          <w:p>
            <w:pPr>
              <w:jc w:val="right"/>
              <w:ind w:right="450"/>
              <w:spacing w:after="0"/>
              <w:rPr>
                <w:sz w:val="20"/>
                <w:szCs w:val="20"/>
                <w:color w:val="auto"/>
              </w:rPr>
            </w:pPr>
            <w:r>
              <w:rPr>
                <w:rFonts w:ascii="Arial" w:cs="Arial" w:eastAsia="Arial" w:hAnsi="Arial"/>
                <w:sz w:val="18"/>
                <w:szCs w:val="18"/>
                <w:color w:val="auto"/>
              </w:rPr>
              <w:t>(18,850)</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136"/>
        </w:trPr>
        <w:tc>
          <w:tcPr>
            <w:tcW w:w="5040" w:type="dxa"/>
            <w:vAlign w:val="bottom"/>
            <w:vMerge w:val="restart"/>
          </w:tcPr>
          <w:p>
            <w:pPr>
              <w:spacing w:after="0"/>
              <w:rPr>
                <w:sz w:val="20"/>
                <w:szCs w:val="20"/>
                <w:color w:val="auto"/>
              </w:rPr>
            </w:pPr>
            <w:r>
              <w:rPr>
                <w:rFonts w:ascii="Arial" w:cs="Arial" w:eastAsia="Arial" w:hAnsi="Arial"/>
                <w:sz w:val="18"/>
                <w:szCs w:val="18"/>
                <w:color w:val="auto"/>
              </w:rPr>
              <w:t>deposits</w:t>
            </w:r>
          </w:p>
        </w:tc>
        <w:tc>
          <w:tcPr>
            <w:tcW w:w="1540" w:type="dxa"/>
            <w:vAlign w:val="bottom"/>
            <w:shd w:val="clear" w:color="auto" w:fill="DAE9F8"/>
          </w:tcPr>
          <w:p>
            <w:pPr>
              <w:spacing w:after="0"/>
              <w:rPr>
                <w:sz w:val="11"/>
                <w:szCs w:val="11"/>
                <w:color w:val="auto"/>
              </w:rPr>
            </w:pPr>
          </w:p>
        </w:tc>
        <w:tc>
          <w:tcPr>
            <w:tcW w:w="1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040" w:type="dxa"/>
            <w:vAlign w:val="bottom"/>
            <w:vMerge w:val="continue"/>
          </w:tcPr>
          <w:p>
            <w:pPr>
              <w:spacing w:after="0"/>
              <w:rPr>
                <w:sz w:val="11"/>
                <w:szCs w:val="11"/>
                <w:color w:val="auto"/>
              </w:rPr>
            </w:pPr>
          </w:p>
        </w:tc>
        <w:tc>
          <w:tcPr>
            <w:tcW w:w="1540" w:type="dxa"/>
            <w:vAlign w:val="bottom"/>
            <w:shd w:val="clear" w:color="auto" w:fill="DAE9F8"/>
          </w:tcPr>
          <w:p>
            <w:pPr>
              <w:spacing w:after="0"/>
              <w:rPr>
                <w:sz w:val="11"/>
                <w:szCs w:val="11"/>
                <w:color w:val="auto"/>
              </w:rPr>
            </w:pPr>
          </w:p>
        </w:tc>
        <w:tc>
          <w:tcPr>
            <w:tcW w:w="1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5040" w:type="dxa"/>
            <w:vAlign w:val="bottom"/>
          </w:tcPr>
          <w:p>
            <w:pPr>
              <w:spacing w:after="0"/>
              <w:rPr>
                <w:sz w:val="3"/>
                <w:szCs w:val="3"/>
                <w:color w:val="auto"/>
              </w:rPr>
            </w:pPr>
          </w:p>
        </w:tc>
        <w:tc>
          <w:tcPr>
            <w:tcW w:w="1540" w:type="dxa"/>
            <w:vAlign w:val="bottom"/>
            <w:shd w:val="clear" w:color="auto" w:fill="DAE9F8"/>
          </w:tcPr>
          <w:p>
            <w:pPr>
              <w:spacing w:after="0"/>
              <w:rPr>
                <w:sz w:val="3"/>
                <w:szCs w:val="3"/>
                <w:color w:val="auto"/>
              </w:rPr>
            </w:pPr>
          </w:p>
        </w:tc>
        <w:tc>
          <w:tcPr>
            <w:tcW w:w="1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5040" w:type="dxa"/>
            <w:vAlign w:val="bottom"/>
          </w:tcPr>
          <w:p>
            <w:pPr>
              <w:spacing w:after="0"/>
              <w:rPr>
                <w:sz w:val="20"/>
                <w:szCs w:val="20"/>
                <w:color w:val="auto"/>
              </w:rPr>
            </w:pPr>
            <w:r>
              <w:rPr>
                <w:rFonts w:ascii="Arial" w:cs="Arial" w:eastAsia="Arial" w:hAnsi="Arial"/>
                <w:sz w:val="18"/>
                <w:szCs w:val="18"/>
                <w:color w:val="auto"/>
              </w:rPr>
              <w:t>Changes in inventories</w:t>
            </w:r>
          </w:p>
        </w:tc>
        <w:tc>
          <w:tcPr>
            <w:tcW w:w="154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(1,519)</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(38,779)</w:t>
            </w:r>
          </w:p>
        </w:tc>
        <w:tc>
          <w:tcPr>
            <w:tcW w:w="760" w:type="dxa"/>
            <w:vAlign w:val="bottom"/>
          </w:tcPr>
          <w:p>
            <w:pPr>
              <w:jc w:val="right"/>
              <w:spacing w:after="0"/>
              <w:rPr>
                <w:sz w:val="20"/>
                <w:szCs w:val="20"/>
                <w:color w:val="auto"/>
              </w:rPr>
            </w:pPr>
            <w:r>
              <w:rPr>
                <w:rFonts w:ascii="Arial" w:cs="Arial" w:eastAsia="Arial" w:hAnsi="Arial"/>
                <w:sz w:val="18"/>
                <w:szCs w:val="18"/>
                <w:color w:val="auto"/>
              </w:rPr>
              <w:t>(125,858</w:t>
            </w:r>
          </w:p>
        </w:tc>
        <w:tc>
          <w:tcPr>
            <w:tcW w:w="0" w:type="dxa"/>
            <w:vAlign w:val="bottom"/>
          </w:tcPr>
          <w:p>
            <w:pPr>
              <w:spacing w:after="0"/>
              <w:rPr>
                <w:sz w:val="1"/>
                <w:szCs w:val="1"/>
                <w:color w:val="auto"/>
              </w:rPr>
            </w:pPr>
          </w:p>
        </w:tc>
      </w:tr>
      <w:tr>
        <w:trPr>
          <w:trHeight w:val="36"/>
        </w:trPr>
        <w:tc>
          <w:tcPr>
            <w:tcW w:w="5040" w:type="dxa"/>
            <w:vAlign w:val="bottom"/>
          </w:tcPr>
          <w:p>
            <w:pPr>
              <w:spacing w:after="0"/>
              <w:rPr>
                <w:sz w:val="3"/>
                <w:szCs w:val="3"/>
                <w:color w:val="auto"/>
              </w:rPr>
            </w:pPr>
          </w:p>
        </w:tc>
        <w:tc>
          <w:tcPr>
            <w:tcW w:w="1540" w:type="dxa"/>
            <w:vAlign w:val="bottom"/>
            <w:shd w:val="clear" w:color="auto" w:fill="DAE9F8"/>
          </w:tcPr>
          <w:p>
            <w:pPr>
              <w:spacing w:after="0"/>
              <w:rPr>
                <w:sz w:val="3"/>
                <w:szCs w:val="3"/>
                <w:color w:val="auto"/>
              </w:rPr>
            </w:pPr>
          </w:p>
        </w:tc>
        <w:tc>
          <w:tcPr>
            <w:tcW w:w="1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5040" w:type="dxa"/>
            <w:vAlign w:val="bottom"/>
          </w:tcPr>
          <w:p>
            <w:pPr>
              <w:spacing w:after="0"/>
              <w:rPr>
                <w:sz w:val="20"/>
                <w:szCs w:val="20"/>
                <w:color w:val="auto"/>
              </w:rPr>
            </w:pPr>
            <w:r>
              <w:rPr>
                <w:rFonts w:ascii="Arial" w:cs="Arial" w:eastAsia="Arial" w:hAnsi="Arial"/>
                <w:sz w:val="18"/>
                <w:szCs w:val="18"/>
                <w:color w:val="auto"/>
              </w:rPr>
              <w:t>Changes in accounts payable and accrued liabilities</w:t>
            </w:r>
          </w:p>
        </w:tc>
        <w:tc>
          <w:tcPr>
            <w:tcW w:w="154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(5,290)</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15,033</w:t>
            </w:r>
          </w:p>
        </w:tc>
        <w:tc>
          <w:tcPr>
            <w:tcW w:w="760" w:type="dxa"/>
            <w:vAlign w:val="bottom"/>
          </w:tcPr>
          <w:p>
            <w:pPr>
              <w:jc w:val="right"/>
              <w:spacing w:after="0"/>
              <w:rPr>
                <w:sz w:val="20"/>
                <w:szCs w:val="20"/>
                <w:color w:val="auto"/>
              </w:rPr>
            </w:pPr>
            <w:r>
              <w:rPr>
                <w:rFonts w:ascii="Arial" w:cs="Arial" w:eastAsia="Arial" w:hAnsi="Arial"/>
                <w:sz w:val="18"/>
                <w:szCs w:val="18"/>
                <w:color w:val="auto"/>
              </w:rPr>
              <w:t>7,064</w:t>
            </w:r>
          </w:p>
        </w:tc>
        <w:tc>
          <w:tcPr>
            <w:tcW w:w="0" w:type="dxa"/>
            <w:vAlign w:val="bottom"/>
          </w:tcPr>
          <w:p>
            <w:pPr>
              <w:spacing w:after="0"/>
              <w:rPr>
                <w:sz w:val="1"/>
                <w:szCs w:val="1"/>
                <w:color w:val="auto"/>
              </w:rPr>
            </w:pPr>
          </w:p>
        </w:tc>
      </w:tr>
      <w:tr>
        <w:trPr>
          <w:trHeight w:val="36"/>
        </w:trPr>
        <w:tc>
          <w:tcPr>
            <w:tcW w:w="5040" w:type="dxa"/>
            <w:vAlign w:val="bottom"/>
          </w:tcPr>
          <w:p>
            <w:pPr>
              <w:spacing w:after="0"/>
              <w:rPr>
                <w:sz w:val="3"/>
                <w:szCs w:val="3"/>
                <w:color w:val="auto"/>
              </w:rPr>
            </w:pPr>
          </w:p>
        </w:tc>
        <w:tc>
          <w:tcPr>
            <w:tcW w:w="1540" w:type="dxa"/>
            <w:vAlign w:val="bottom"/>
            <w:shd w:val="clear" w:color="auto" w:fill="DAE9F8"/>
          </w:tcPr>
          <w:p>
            <w:pPr>
              <w:spacing w:after="0"/>
              <w:rPr>
                <w:sz w:val="3"/>
                <w:szCs w:val="3"/>
                <w:color w:val="auto"/>
              </w:rPr>
            </w:pPr>
          </w:p>
        </w:tc>
        <w:tc>
          <w:tcPr>
            <w:tcW w:w="1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040" w:type="dxa"/>
            <w:vAlign w:val="bottom"/>
          </w:tcPr>
          <w:p>
            <w:pPr>
              <w:spacing w:after="0"/>
              <w:rPr>
                <w:sz w:val="20"/>
                <w:szCs w:val="20"/>
                <w:color w:val="auto"/>
              </w:rPr>
            </w:pPr>
            <w:r>
              <w:rPr>
                <w:rFonts w:ascii="Arial" w:cs="Arial" w:eastAsia="Arial" w:hAnsi="Arial"/>
                <w:sz w:val="18"/>
                <w:szCs w:val="18"/>
                <w:color w:val="auto"/>
              </w:rPr>
              <w:t>Changes in customer advances</w:t>
            </w:r>
          </w:p>
        </w:tc>
        <w:tc>
          <w:tcPr>
            <w:tcW w:w="1540" w:type="dxa"/>
            <w:vAlign w:val="bottom"/>
            <w:tcBorders>
              <w:bottom w:val="single" w:sz="8" w:color="DAE9F8"/>
            </w:tcBorders>
            <w:shd w:val="clear" w:color="auto" w:fill="DAE9F8"/>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(9,879)</w:t>
            </w:r>
          </w:p>
        </w:tc>
        <w:tc>
          <w:tcPr>
            <w:tcW w:w="760" w:type="dxa"/>
            <w:vAlign w:val="bottom"/>
          </w:tcPr>
          <w:p>
            <w:pPr>
              <w:jc w:val="right"/>
              <w:spacing w:after="0"/>
              <w:rPr>
                <w:sz w:val="20"/>
                <w:szCs w:val="20"/>
                <w:color w:val="auto"/>
              </w:rPr>
            </w:pPr>
            <w:r>
              <w:rPr>
                <w:rFonts w:ascii="Arial" w:cs="Arial" w:eastAsia="Arial" w:hAnsi="Arial"/>
                <w:sz w:val="18"/>
                <w:szCs w:val="18"/>
                <w:color w:val="auto"/>
              </w:rPr>
              <w:t>9,879</w:t>
            </w:r>
          </w:p>
        </w:tc>
        <w:tc>
          <w:tcPr>
            <w:tcW w:w="0" w:type="dxa"/>
            <w:vAlign w:val="bottom"/>
          </w:tcPr>
          <w:p>
            <w:pPr>
              <w:spacing w:after="0"/>
              <w:rPr>
                <w:sz w:val="1"/>
                <w:szCs w:val="1"/>
                <w:color w:val="auto"/>
              </w:rPr>
            </w:pPr>
          </w:p>
        </w:tc>
      </w:tr>
      <w:tr>
        <w:trPr>
          <w:trHeight w:val="245"/>
        </w:trPr>
        <w:tc>
          <w:tcPr>
            <w:tcW w:w="5040" w:type="dxa"/>
            <w:vAlign w:val="bottom"/>
          </w:tcPr>
          <w:p>
            <w:pPr>
              <w:spacing w:after="0"/>
              <w:rPr>
                <w:sz w:val="20"/>
                <w:szCs w:val="20"/>
                <w:color w:val="auto"/>
              </w:rPr>
            </w:pPr>
            <w:r>
              <w:rPr>
                <w:rFonts w:ascii="Arial" w:cs="Arial" w:eastAsia="Arial" w:hAnsi="Arial"/>
                <w:sz w:val="18"/>
                <w:szCs w:val="18"/>
                <w:b w:val="1"/>
                <w:bCs w:val="1"/>
                <w:color w:val="auto"/>
              </w:rPr>
              <w:t>Net cash generated/(used) in operating activities</w:t>
            </w:r>
          </w:p>
        </w:tc>
        <w:tc>
          <w:tcPr>
            <w:tcW w:w="1540" w:type="dxa"/>
            <w:vAlign w:val="bottom"/>
          </w:tcPr>
          <w:p>
            <w:pPr>
              <w:jc w:val="right"/>
              <w:ind w:right="30"/>
              <w:spacing w:after="0"/>
              <w:rPr>
                <w:sz w:val="20"/>
                <w:szCs w:val="20"/>
                <w:color w:val="auto"/>
              </w:rPr>
            </w:pPr>
            <w:r>
              <w:rPr>
                <w:rFonts w:ascii="Arial" w:cs="Arial" w:eastAsia="Arial" w:hAnsi="Arial"/>
                <w:sz w:val="18"/>
                <w:szCs w:val="18"/>
                <w:b w:val="1"/>
                <w:bCs w:val="1"/>
                <w:color w:val="auto"/>
              </w:rPr>
              <w:t>10,771</w:t>
            </w:r>
          </w:p>
        </w:tc>
        <w:tc>
          <w:tcPr>
            <w:tcW w:w="1760" w:type="dxa"/>
            <w:vAlign w:val="bottom"/>
          </w:tcPr>
          <w:p>
            <w:pPr>
              <w:jc w:val="right"/>
              <w:ind w:right="450"/>
              <w:spacing w:after="0"/>
              <w:rPr>
                <w:sz w:val="20"/>
                <w:szCs w:val="20"/>
                <w:color w:val="auto"/>
              </w:rPr>
            </w:pPr>
            <w:r>
              <w:rPr>
                <w:rFonts w:ascii="Arial" w:cs="Arial" w:eastAsia="Arial" w:hAnsi="Arial"/>
                <w:sz w:val="18"/>
                <w:szCs w:val="18"/>
                <w:b w:val="1"/>
                <w:bCs w:val="1"/>
                <w:color w:val="auto"/>
              </w:rPr>
              <w:t>(79,798)</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(121,981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-3702685</wp:posOffset>
            </wp:positionV>
            <wp:extent cx="2581910" cy="1270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80">
                      <a:extLst>
                        <a:ext uri="{28A0092B-C50C-407E-A947-70E740481C1C}"/>
                      </a:extLst>
                    </a:blip>
                    <a:srcRect/>
                    <a:stretch>
                      <a:fillRect/>
                    </a:stretch>
                  </pic:blipFill>
                  <pic:spPr bwMode="auto">
                    <a:xfrm>
                      <a:off x="0" y="0"/>
                      <a:ext cx="2581910"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-3517265</wp:posOffset>
            </wp:positionV>
            <wp:extent cx="5849620" cy="1270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81">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-154940</wp:posOffset>
            </wp:positionV>
            <wp:extent cx="2581910" cy="18542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82">
                      <a:extLst>
                        <a:ext uri="{28A0092B-C50C-407E-A947-70E740481C1C}"/>
                      </a:extLst>
                    </a:blip>
                    <a:srcRect/>
                    <a:stretch>
                      <a:fillRect/>
                    </a:stretch>
                  </pic:blipFill>
                  <pic:spPr bwMode="auto">
                    <a:xfrm>
                      <a:off x="0" y="0"/>
                      <a:ext cx="2581910" cy="185420"/>
                    </a:xfrm>
                    <a:prstGeom prst="rect">
                      <a:avLst/>
                    </a:prstGeom>
                    <a:noFill/>
                  </pic:spPr>
                </pic:pic>
              </a:graphicData>
            </a:graphic>
          </wp:anchor>
        </w:drawing>
      </w:r>
    </w:p>
    <w:p>
      <w:pPr>
        <w:spacing w:after="0" w:line="383"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INVESTING ACTIVITIES</w:t>
      </w:r>
    </w:p>
    <w:p>
      <w:pPr>
        <w:sectPr>
          <w:pgSz w:w="11900" w:h="16838" w:orient="portrait"/>
          <w:cols w:equalWidth="0" w:num="1">
            <w:col w:w="10460"/>
          </w:cols>
          <w:pgMar w:left="1440" w:top="1440" w:right="6" w:bottom="0" w:gutter="0" w:footer="0" w:header="0"/>
        </w:sectPr>
      </w:pPr>
    </w:p>
    <w:p>
      <w:pPr>
        <w:spacing w:after="0" w:line="33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Acquisition of investments</w:t>
      </w:r>
    </w:p>
    <w:p>
      <w:pPr>
        <w:spacing w:after="0" w:line="71" w:lineRule="exact"/>
        <w:rPr>
          <w:sz w:val="20"/>
          <w:szCs w:val="20"/>
          <w:color w:val="auto"/>
        </w:rPr>
      </w:pPr>
    </w:p>
    <w:p>
      <w:pPr>
        <w:ind w:left="1360" w:right="460"/>
        <w:spacing w:after="0" w:line="465" w:lineRule="auto"/>
        <w:rPr>
          <w:sz w:val="20"/>
          <w:szCs w:val="20"/>
          <w:color w:val="auto"/>
        </w:rPr>
      </w:pPr>
      <w:r>
        <w:rPr>
          <w:rFonts w:ascii="Arial" w:cs="Arial" w:eastAsia="Arial" w:hAnsi="Arial"/>
          <w:sz w:val="18"/>
          <w:szCs w:val="18"/>
          <w:color w:val="auto"/>
        </w:rPr>
        <w:t>Net additions to property, plant &amp; equipment Recovery of VAT previously capitalized to PP&amp;E</w:t>
      </w:r>
    </w:p>
    <w:p>
      <w:pPr>
        <w:spacing w:after="0" w:line="149" w:lineRule="exact"/>
        <w:rPr>
          <w:sz w:val="20"/>
          <w:szCs w:val="20"/>
          <w:color w:val="auto"/>
        </w:rPr>
      </w:pPr>
    </w:p>
    <w:p>
      <w:pPr>
        <w:ind w:left="1360" w:right="640"/>
        <w:spacing w:after="0" w:line="385" w:lineRule="auto"/>
        <w:rPr>
          <w:sz w:val="20"/>
          <w:szCs w:val="20"/>
          <w:color w:val="auto"/>
        </w:rPr>
      </w:pPr>
      <w:r>
        <w:rPr>
          <w:rFonts w:ascii="Arial" w:cs="Arial" w:eastAsia="Arial" w:hAnsi="Arial"/>
          <w:sz w:val="18"/>
          <w:szCs w:val="18"/>
          <w:color w:val="auto"/>
        </w:rPr>
        <w:t>Payment of interest capitalized to PP&amp;E Additions to exploration and evaluation assets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jc w:val="right"/>
              <w:ind w:right="30"/>
              <w:spacing w:after="0"/>
              <w:rPr>
                <w:sz w:val="20"/>
                <w:szCs w:val="20"/>
                <w:color w:val="auto"/>
              </w:rPr>
            </w:pPr>
            <w:r>
              <w:rPr>
                <w:rFonts w:ascii="Arial" w:cs="Arial" w:eastAsia="Arial" w:hAnsi="Arial"/>
                <w:sz w:val="18"/>
                <w:szCs w:val="18"/>
                <w:color w:val="auto"/>
              </w:rPr>
              <w:t>(16,172)</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3"/>
        </w:trPr>
        <w:tc>
          <w:tcPr>
            <w:tcW w:w="1540" w:type="dxa"/>
            <w:vAlign w:val="bottom"/>
          </w:tcPr>
          <w:p>
            <w:pPr>
              <w:jc w:val="right"/>
              <w:ind w:right="30"/>
              <w:spacing w:after="0"/>
              <w:rPr>
                <w:sz w:val="20"/>
                <w:szCs w:val="20"/>
                <w:color w:val="auto"/>
              </w:rPr>
            </w:pPr>
            <w:r>
              <w:rPr>
                <w:rFonts w:ascii="Arial" w:cs="Arial" w:eastAsia="Arial" w:hAnsi="Arial"/>
                <w:sz w:val="18"/>
                <w:szCs w:val="18"/>
                <w:color w:val="auto"/>
              </w:rPr>
              <w:t>(10,158)</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24,510</w:t>
            </w:r>
          </w:p>
        </w:tc>
        <w:tc>
          <w:tcPr>
            <w:tcW w:w="1000" w:type="dxa"/>
            <w:vAlign w:val="bottom"/>
          </w:tcPr>
          <w:p>
            <w:pPr>
              <w:jc w:val="right"/>
              <w:spacing w:after="0"/>
              <w:rPr>
                <w:sz w:val="20"/>
                <w:szCs w:val="20"/>
                <w:color w:val="auto"/>
              </w:rPr>
            </w:pPr>
            <w:r>
              <w:rPr>
                <w:rFonts w:ascii="Arial" w:cs="Arial" w:eastAsia="Arial" w:hAnsi="Arial"/>
                <w:sz w:val="18"/>
                <w:szCs w:val="18"/>
                <w:color w:val="auto"/>
              </w:rPr>
              <w:t>(163,793</w:t>
            </w:r>
          </w:p>
        </w:tc>
        <w:tc>
          <w:tcPr>
            <w:tcW w:w="0" w:type="dxa"/>
            <w:vAlign w:val="bottom"/>
          </w:tcPr>
          <w:p>
            <w:pPr>
              <w:spacing w:after="0"/>
              <w:rPr>
                <w:sz w:val="1"/>
                <w:szCs w:val="1"/>
                <w:color w:val="auto"/>
              </w:rPr>
            </w:pPr>
          </w:p>
        </w:tc>
      </w:tr>
      <w:tr>
        <w:trPr>
          <w:trHeight w:val="272"/>
        </w:trPr>
        <w:tc>
          <w:tcPr>
            <w:tcW w:w="1540" w:type="dxa"/>
            <w:vAlign w:val="bottom"/>
          </w:tcPr>
          <w:p>
            <w:pPr>
              <w:jc w:val="right"/>
              <w:ind w:right="30"/>
              <w:spacing w:after="0"/>
              <w:rPr>
                <w:sz w:val="20"/>
                <w:szCs w:val="20"/>
                <w:color w:val="auto"/>
              </w:rPr>
            </w:pPr>
            <w:r>
              <w:rPr>
                <w:rFonts w:ascii="Arial" w:cs="Arial" w:eastAsia="Arial" w:hAnsi="Arial"/>
                <w:sz w:val="18"/>
                <w:szCs w:val="18"/>
                <w:color w:val="auto"/>
              </w:rPr>
              <w:t>21,873</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54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(14,994)</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(23,639</w:t>
            </w:r>
          </w:p>
        </w:tc>
        <w:tc>
          <w:tcPr>
            <w:tcW w:w="0" w:type="dxa"/>
            <w:vAlign w:val="bottom"/>
          </w:tcPr>
          <w:p>
            <w:pPr>
              <w:spacing w:after="0"/>
              <w:rPr>
                <w:sz w:val="1"/>
                <w:szCs w:val="1"/>
                <w:color w:val="auto"/>
              </w:rPr>
            </w:pPr>
          </w:p>
        </w:tc>
      </w:tr>
      <w:tr>
        <w:trPr>
          <w:trHeight w:val="136"/>
        </w:trPr>
        <w:tc>
          <w:tcPr>
            <w:tcW w:w="1540" w:type="dxa"/>
            <w:vAlign w:val="bottom"/>
            <w:shd w:val="clear" w:color="auto" w:fill="DAE9F8"/>
          </w:tcPr>
          <w:p>
            <w:pPr>
              <w:spacing w:after="0"/>
              <w:rPr>
                <w:sz w:val="11"/>
                <w:szCs w:val="11"/>
                <w:color w:val="auto"/>
              </w:rPr>
            </w:pPr>
          </w:p>
        </w:tc>
        <w:tc>
          <w:tcPr>
            <w:tcW w:w="15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540" w:type="dxa"/>
            <w:vAlign w:val="bottom"/>
            <w:shd w:val="clear" w:color="auto" w:fill="DAE9F8"/>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54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(3,027)</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(16,425)</w:t>
            </w:r>
          </w:p>
        </w:tc>
        <w:tc>
          <w:tcPr>
            <w:tcW w:w="1000" w:type="dxa"/>
            <w:vAlign w:val="bottom"/>
          </w:tcPr>
          <w:p>
            <w:pPr>
              <w:jc w:val="right"/>
              <w:spacing w:after="0"/>
              <w:rPr>
                <w:sz w:val="20"/>
                <w:szCs w:val="20"/>
                <w:color w:val="auto"/>
              </w:rPr>
            </w:pPr>
            <w:r>
              <w:rPr>
                <w:rFonts w:ascii="Arial" w:cs="Arial" w:eastAsia="Arial" w:hAnsi="Arial"/>
                <w:sz w:val="18"/>
                <w:szCs w:val="18"/>
                <w:color w:val="auto"/>
              </w:rPr>
              <w:t>(37,904</w:t>
            </w:r>
          </w:p>
        </w:tc>
        <w:tc>
          <w:tcPr>
            <w:tcW w:w="0" w:type="dxa"/>
            <w:vAlign w:val="bottom"/>
          </w:tcPr>
          <w:p>
            <w:pPr>
              <w:spacing w:after="0"/>
              <w:rPr>
                <w:sz w:val="1"/>
                <w:szCs w:val="1"/>
                <w:color w:val="auto"/>
              </w:rPr>
            </w:pPr>
          </w:p>
        </w:tc>
      </w:tr>
      <w:tr>
        <w:trPr>
          <w:trHeight w:val="36"/>
        </w:trPr>
        <w:tc>
          <w:tcPr>
            <w:tcW w:w="1540" w:type="dxa"/>
            <w:vAlign w:val="bottom"/>
            <w:shd w:val="clear" w:color="auto" w:fill="DAE9F8"/>
          </w:tcPr>
          <w:p>
            <w:pPr>
              <w:spacing w:after="0"/>
              <w:rPr>
                <w:sz w:val="3"/>
                <w:szCs w:val="3"/>
                <w:color w:val="auto"/>
              </w:rPr>
            </w:pPr>
          </w:p>
        </w:tc>
        <w:tc>
          <w:tcPr>
            <w:tcW w:w="1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-861695</wp:posOffset>
            </wp:positionV>
            <wp:extent cx="978535" cy="34480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83">
                      <a:extLst>
                        <a:ext uri="{28A0092B-C50C-407E-A947-70E740481C1C}"/>
                      </a:extLst>
                    </a:blip>
                    <a:srcRect/>
                    <a:stretch>
                      <a:fillRect/>
                    </a:stretch>
                  </pic:blipFill>
                  <pic:spPr bwMode="auto">
                    <a:xfrm>
                      <a:off x="0" y="0"/>
                      <a:ext cx="978535" cy="3448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0</wp:posOffset>
            </wp:positionV>
            <wp:extent cx="2581910" cy="635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84">
                      <a:extLst>
                        <a:ext uri="{28A0092B-C50C-407E-A947-70E740481C1C}"/>
                      </a:extLst>
                    </a:blip>
                    <a:srcRect/>
                    <a:stretch>
                      <a:fillRect/>
                    </a:stretch>
                  </pic:blipFill>
                  <pic:spPr bwMode="auto">
                    <a:xfrm>
                      <a:off x="0" y="0"/>
                      <a:ext cx="2581910" cy="63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680" w:space="720"/>
            <w:col w:w="4060"/>
          </w:cols>
          <w:pgMar w:left="1440" w:top="1440" w:right="6" w:bottom="0" w:gutter="0" w:footer="0" w:header="0"/>
          <w:type w:val="continuous"/>
        </w:sectPr>
      </w:pPr>
    </w:p>
    <w:tbl>
      <w:tblPr>
        <w:tblLayout w:type="fixed"/>
        <w:tblInd w:w="1360" w:type="dxa"/>
        <w:tblCellMar>
          <w:top w:w="0" w:type="dxa"/>
          <w:left w:w="0" w:type="dxa"/>
          <w:bottom w:w="0" w:type="dxa"/>
          <w:right w:w="0" w:type="dxa"/>
        </w:tblCellMar>
      </w:tblPr>
      <w:tr>
        <w:trPr>
          <w:trHeight w:val="225"/>
        </w:trPr>
        <w:tc>
          <w:tcPr>
            <w:tcW w:w="5040" w:type="dxa"/>
            <w:vAlign w:val="bottom"/>
          </w:tcPr>
          <w:p>
            <w:pPr>
              <w:spacing w:after="0"/>
              <w:rPr>
                <w:sz w:val="20"/>
                <w:szCs w:val="20"/>
                <w:color w:val="auto"/>
              </w:rPr>
            </w:pPr>
            <w:r>
              <w:rPr>
                <w:rFonts w:ascii="Arial" w:cs="Arial" w:eastAsia="Arial" w:hAnsi="Arial"/>
                <w:sz w:val="18"/>
                <w:szCs w:val="18"/>
                <w:b w:val="1"/>
                <w:bCs w:val="1"/>
                <w:color w:val="auto"/>
              </w:rPr>
              <w:t>Net cash (used)/provided in investing activities</w:t>
            </w:r>
          </w:p>
        </w:tc>
        <w:tc>
          <w:tcPr>
            <w:tcW w:w="1540" w:type="dxa"/>
            <w:vAlign w:val="bottom"/>
            <w:shd w:val="clear" w:color="auto" w:fill="DAE9F8"/>
          </w:tcPr>
          <w:p>
            <w:pPr>
              <w:jc w:val="right"/>
              <w:ind w:right="30"/>
              <w:spacing w:after="0"/>
              <w:rPr>
                <w:sz w:val="20"/>
                <w:szCs w:val="20"/>
                <w:color w:val="auto"/>
              </w:rPr>
            </w:pPr>
            <w:r>
              <w:rPr>
                <w:rFonts w:ascii="Arial" w:cs="Arial" w:eastAsia="Arial" w:hAnsi="Arial"/>
                <w:sz w:val="18"/>
                <w:szCs w:val="18"/>
                <w:b w:val="1"/>
                <w:bCs w:val="1"/>
                <w:color w:val="auto"/>
              </w:rPr>
              <w:t>(22,478)</w:t>
            </w: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8,085</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(225,336</w:t>
            </w:r>
          </w:p>
        </w:tc>
      </w:tr>
      <w:tr>
        <w:trPr>
          <w:trHeight w:val="346"/>
        </w:trPr>
        <w:tc>
          <w:tcPr>
            <w:tcW w:w="5040" w:type="dxa"/>
            <w:vAlign w:val="bottom"/>
          </w:tcPr>
          <w:p>
            <w:pPr>
              <w:spacing w:after="0"/>
              <w:rPr>
                <w:sz w:val="24"/>
                <w:szCs w:val="24"/>
                <w:color w:val="auto"/>
              </w:rPr>
            </w:pPr>
          </w:p>
        </w:tc>
        <w:tc>
          <w:tcPr>
            <w:tcW w:w="1540" w:type="dxa"/>
            <w:vAlign w:val="bottom"/>
            <w:shd w:val="clear" w:color="auto" w:fill="DAE9F8"/>
          </w:tcPr>
          <w:p>
            <w:pPr>
              <w:spacing w:after="0"/>
              <w:rPr>
                <w:sz w:val="24"/>
                <w:szCs w:val="24"/>
                <w:color w:val="auto"/>
              </w:rPr>
            </w:pP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-196215</wp:posOffset>
            </wp:positionV>
            <wp:extent cx="2581910" cy="635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85">
                      <a:extLst>
                        <a:ext uri="{28A0092B-C50C-407E-A947-70E740481C1C}"/>
                      </a:extLst>
                    </a:blip>
                    <a:srcRect/>
                    <a:stretch>
                      <a:fillRect/>
                    </a:stretch>
                  </pic:blipFill>
                  <pic:spPr bwMode="auto">
                    <a:xfrm>
                      <a:off x="0" y="0"/>
                      <a:ext cx="2581910" cy="6350"/>
                    </a:xfrm>
                    <a:prstGeom prst="rect">
                      <a:avLst/>
                    </a:prstGeom>
                    <a:noFill/>
                  </pic:spPr>
                </pic:pic>
              </a:graphicData>
            </a:graphic>
          </wp:anchor>
        </w:drawing>
      </w:r>
    </w:p>
    <w:p>
      <w:pPr>
        <w:spacing w:after="0" w:line="8"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FINANCING ACTIVITIES</w:t>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85 / 85</w:t>
      </w:r>
    </w:p>
    <w:p>
      <w:pPr>
        <w:sectPr>
          <w:pgSz w:w="11900" w:h="16838" w:orient="portrait"/>
          <w:cols w:equalWidth="0" w:num="1">
            <w:col w:w="10460"/>
          </w:cols>
          <w:pgMar w:left="1440" w:top="1440" w:right="6" w:bottom="0" w:gutter="0" w:footer="0" w:header="0"/>
          <w:type w:val="continuous"/>
        </w:sectPr>
      </w:pPr>
    </w:p>
    <w:bookmarkStart w:id="612" w:name="page613"/>
    <w:bookmarkEnd w:id="612"/>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Proceeds from loans</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216,330</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471,878</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344,291</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Repayment of loans</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(130,938)</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(389,036)</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Payment of interest and financing costs</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(10,220)</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75,172</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82,842</w:t>
      </w:r>
    </w:p>
    <w:p>
      <w:pPr>
        <w:spacing w:after="0" w:line="65"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344,291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foreign exchange on cash</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(3,856)</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cash and cash equivalents</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59,609</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11,141</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(3,026)</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 beginning of the year</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11,190</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49</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3,075</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 end of the year</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70,799</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11,190</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49</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See Note 20 – Supplemental Cash Flow Information.</w:t>
      </w:r>
    </w:p>
    <w:p>
      <w:pPr>
        <w:spacing w:after="0" w:line="208"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740410</wp:posOffset>
            </wp:positionV>
            <wp:extent cx="6764020" cy="1905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8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58</w:t>
      </w:r>
    </w:p>
    <w:p>
      <w:pPr>
        <w:sectPr>
          <w:pgSz w:w="11900" w:h="16838" w:orient="portrait"/>
          <w:cols w:equalWidth="0" w:num="1">
            <w:col w:w="9400"/>
          </w:cols>
          <w:pgMar w:left="1260" w:top="1440" w:right="1246" w:bottom="0" w:gutter="0" w:footer="0" w:header="0"/>
          <w:type w:val="continuous"/>
        </w:sectPr>
      </w:pPr>
    </w:p>
    <w:bookmarkStart w:id="613" w:name="page614"/>
    <w:bookmarkEnd w:id="613"/>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1. NATURE OF OPERATIONS</w:t>
      </w:r>
    </w:p>
    <w:p>
      <w:pPr>
        <w:spacing w:after="0" w:line="319" w:lineRule="exact"/>
        <w:rPr>
          <w:sz w:val="20"/>
          <w:szCs w:val="20"/>
          <w:color w:val="auto"/>
        </w:rPr>
      </w:pPr>
    </w:p>
    <w:p>
      <w:pPr>
        <w:jc w:val="both"/>
        <w:ind w:left="1260"/>
        <w:spacing w:after="0" w:line="312" w:lineRule="auto"/>
        <w:rPr>
          <w:sz w:val="20"/>
          <w:szCs w:val="20"/>
          <w:color w:val="auto"/>
        </w:rPr>
      </w:pPr>
      <w:r>
        <w:rPr>
          <w:rFonts w:ascii="Arial" w:cs="Arial" w:eastAsia="Arial" w:hAnsi="Arial"/>
          <w:sz w:val="20"/>
          <w:szCs w:val="20"/>
          <w:color w:val="auto"/>
        </w:rPr>
        <w:t>Minera Exar Sociedad Anónima (hereinafter “Minera Exar S.A.”, “Exar”, or the “Company”) is a corporation that was legally incorporated and registered in the Province of Mendoza, Argentina, in 2006 and subsequently registered in the Province of Jujuy, Argentina, in 2017 under Folio 374, Entry 367, Boo I S.A.</w:t>
      </w:r>
    </w:p>
    <w:p>
      <w:pPr>
        <w:spacing w:after="0" w:line="252" w:lineRule="exact"/>
        <w:rPr>
          <w:sz w:val="20"/>
          <w:szCs w:val="20"/>
          <w:color w:val="auto"/>
        </w:rPr>
      </w:pPr>
    </w:p>
    <w:p>
      <w:pPr>
        <w:jc w:val="both"/>
        <w:ind w:left="1260"/>
        <w:spacing w:after="0" w:line="311" w:lineRule="auto"/>
        <w:rPr>
          <w:sz w:val="20"/>
          <w:szCs w:val="20"/>
          <w:color w:val="auto"/>
        </w:rPr>
      </w:pPr>
      <w:r>
        <w:rPr>
          <w:rFonts w:ascii="Arial" w:cs="Arial" w:eastAsia="Arial" w:hAnsi="Arial"/>
          <w:sz w:val="20"/>
          <w:szCs w:val="20"/>
          <w:color w:val="auto"/>
        </w:rPr>
        <w:t>The Company's principal activities are the exploration of mineral properties, the extraction and processin of minerals, and the marketing of its products. The Company holds the rights to the Cauchari-Olaro Project, a lithium project located in Jujuy, Argentina.</w:t>
      </w:r>
    </w:p>
    <w:p>
      <w:pPr>
        <w:spacing w:after="0" w:line="252" w:lineRule="exact"/>
        <w:rPr>
          <w:sz w:val="20"/>
          <w:szCs w:val="20"/>
          <w:color w:val="auto"/>
        </w:rPr>
      </w:pPr>
    </w:p>
    <w:p>
      <w:pPr>
        <w:jc w:val="both"/>
        <w:ind w:left="1260"/>
        <w:spacing w:after="0" w:line="307" w:lineRule="auto"/>
        <w:rPr>
          <w:sz w:val="20"/>
          <w:szCs w:val="20"/>
          <w:color w:val="auto"/>
        </w:rPr>
      </w:pPr>
      <w:r>
        <w:rPr>
          <w:rFonts w:ascii="Arial" w:cs="Arial" w:eastAsia="Arial" w:hAnsi="Arial"/>
          <w:sz w:val="20"/>
          <w:szCs w:val="20"/>
          <w:color w:val="auto"/>
        </w:rPr>
        <w:t>The Company commenced production at the Cauchari-Olaroz Project in June 2023 and achieved commercial production on October 1, 2024.</w:t>
      </w:r>
    </w:p>
    <w:p>
      <w:pPr>
        <w:spacing w:after="0" w:line="255"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As at December 31, 2025, the Company is controlled by Ganfeng Lithium Netherlands Co. B.V (“Ganfeng”), which holds 46.67% of the Company's shares. Lithium Argentina AG (formerly Lithium Americas (Argentina) Corp.) (“Lithium Argentina” or “LAR”) holds 43.43%, Jujuy Energía y Minería Sociedad del Estado (“JEMSE”), a mining investment company owned by the provincial government o Jujuy holds 8.5%, and 2265866 Ontario Holdings B.V. (“Ontario”) holds the remaining 1.4%.</w:t>
      </w:r>
    </w:p>
    <w:p>
      <w:pPr>
        <w:spacing w:after="0" w:line="250"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For financing purposes, Exar receives loans from Exar Capital B.V. (“Exar Capital”, or “ECBV”), a Netherlands-based company owned 51% by Ganfeng and 49% by LAR. Exar Capital, in turn, receive funding from both Ganfeng and LAR. In addition, Proyecto Pastos Grandes S.A. (“PGCo”, “PPG”, o “Pastos Grandes”), an Argentina-based company owned 85.1% by LAR and 14.9% by Ganfeng, provide a $65,000 loan in 2024. These loans were used to finance the construction of the Cauchari-Olaro Project, refinance existing debt, and support working capital needs (Note 17).</w:t>
      </w:r>
    </w:p>
    <w:p>
      <w:pPr>
        <w:spacing w:after="0" w:line="252" w:lineRule="exact"/>
        <w:rPr>
          <w:sz w:val="20"/>
          <w:szCs w:val="20"/>
          <w:color w:val="auto"/>
        </w:rPr>
      </w:pPr>
    </w:p>
    <w:p>
      <w:pPr>
        <w:jc w:val="both"/>
        <w:ind w:left="1260"/>
        <w:spacing w:after="0" w:line="311" w:lineRule="auto"/>
        <w:rPr>
          <w:sz w:val="20"/>
          <w:szCs w:val="20"/>
          <w:color w:val="auto"/>
        </w:rPr>
      </w:pPr>
      <w:r>
        <w:rPr>
          <w:rFonts w:ascii="Arial" w:cs="Arial" w:eastAsia="Arial" w:hAnsi="Arial"/>
          <w:sz w:val="20"/>
          <w:szCs w:val="20"/>
          <w:color w:val="auto"/>
        </w:rPr>
        <w:t>On October 9, 2025, the Company established a dedicated branch in Argentina to participate in the Larg Investment Incentive Scheme (RIGI, Régmen de Incentivo para Grandes Inversiones), established unde Argentina Law No. 27,742. The dedicated branch did not have operations in 2025.</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2. BASIS OF PREPARATION AND PRESENTATION</w:t>
      </w:r>
    </w:p>
    <w:p>
      <w:pPr>
        <w:spacing w:after="0" w:line="319" w:lineRule="exact"/>
        <w:rPr>
          <w:sz w:val="20"/>
          <w:szCs w:val="20"/>
          <w:color w:val="auto"/>
        </w:rPr>
      </w:pPr>
    </w:p>
    <w:p>
      <w:pPr>
        <w:jc w:val="both"/>
        <w:ind w:left="1260" w:right="40"/>
        <w:spacing w:after="0" w:line="311" w:lineRule="auto"/>
        <w:rPr>
          <w:sz w:val="20"/>
          <w:szCs w:val="20"/>
          <w:color w:val="auto"/>
        </w:rPr>
      </w:pPr>
      <w:r>
        <w:rPr>
          <w:rFonts w:ascii="Arial" w:cs="Arial" w:eastAsia="Arial" w:hAnsi="Arial"/>
          <w:sz w:val="20"/>
          <w:szCs w:val="20"/>
          <w:color w:val="auto"/>
        </w:rPr>
        <w:t>These financial statements have been prepared pursuant to Rule 3-09 of SEC Regulation S-X and i alignment with the accounting policies of Lithium Argentina, for inclusion in LAR’s Form 20-F, as th Company is an equity investee of LAR.</w:t>
      </w:r>
    </w:p>
    <w:p>
      <w:pPr>
        <w:spacing w:after="0" w:line="252" w:lineRule="exact"/>
        <w:rPr>
          <w:sz w:val="20"/>
          <w:szCs w:val="20"/>
          <w:color w:val="auto"/>
        </w:rPr>
      </w:pPr>
    </w:p>
    <w:p>
      <w:pPr>
        <w:jc w:val="both"/>
        <w:ind w:left="1260"/>
        <w:spacing w:after="0" w:line="311" w:lineRule="auto"/>
        <w:rPr>
          <w:sz w:val="20"/>
          <w:szCs w:val="20"/>
          <w:color w:val="auto"/>
        </w:rPr>
      </w:pPr>
      <w:r>
        <w:rPr>
          <w:rFonts w:ascii="Arial" w:cs="Arial" w:eastAsia="Arial" w:hAnsi="Arial"/>
          <w:sz w:val="20"/>
          <w:szCs w:val="20"/>
          <w:color w:val="auto"/>
        </w:rPr>
        <w:t>In addition, these financial statements have been prepared in accordance with IFRS Accounting Standards as issued by the International Accounting Standards Board (IASB) (IFRS Accounting Standards) and were approved by the Board of Directors on March 20, 2026.</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 / 58</w:t>
      </w:r>
    </w:p>
    <w:p>
      <w:pPr>
        <w:sectPr>
          <w:pgSz w:w="11900" w:h="16838" w:orient="portrait"/>
          <w:cols w:equalWidth="0" w:num="1">
            <w:col w:w="10460"/>
          </w:cols>
          <w:pgMar w:left="1440" w:top="1440" w:right="6" w:bottom="0" w:gutter="0" w:footer="0" w:header="0"/>
          <w:type w:val="continuous"/>
        </w:sectPr>
      </w:pPr>
    </w:p>
    <w:bookmarkStart w:id="614" w:name="page615"/>
    <w:bookmarkEnd w:id="614"/>
    <w:p>
      <w:pPr>
        <w:jc w:val="both"/>
        <w:ind w:left="1260"/>
        <w:spacing w:after="0" w:line="311" w:lineRule="auto"/>
        <w:rPr>
          <w:sz w:val="20"/>
          <w:szCs w:val="20"/>
          <w:color w:val="auto"/>
        </w:rPr>
      </w:pPr>
      <w:r>
        <w:rPr>
          <w:rFonts w:ascii="Arial" w:cs="Arial" w:eastAsia="Arial" w:hAnsi="Arial"/>
          <w:sz w:val="20"/>
          <w:szCs w:val="20"/>
          <w:color w:val="auto"/>
        </w:rPr>
        <w:t>All amounts are presented in thousands of United States dollars (“US$” or “US dollars”), unless otherwis indicated. The accounting policies set forth in Note 3 have been applied consistently to all periods presented in these financial statements, unless otherwise stated.</w:t>
      </w:r>
    </w:p>
    <w:p>
      <w:pPr>
        <w:spacing w:after="0" w:line="252"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The preparation of the financial statements, in accordance with IFRS, requires the Company's management to make certain estimates that may affect the recorded amounts of assets and liabilities, th disclosure of contingent assets and liabilities, and the income and expense figures for the reported periods. Actual results may differ from these estimates. The areas involving a higher degree of judgeme or complexity, or areas where assumptions and estimates are significant to the financial statements ar disclosed in Note 5.</w:t>
      </w:r>
    </w:p>
    <w:p>
      <w:pPr>
        <w:spacing w:after="0" w:line="137"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 / 58</w:t>
      </w:r>
    </w:p>
    <w:p>
      <w:pPr>
        <w:sectPr>
          <w:pgSz w:w="11900" w:h="16838" w:orient="portrait"/>
          <w:cols w:equalWidth="0" w:num="1">
            <w:col w:w="10460"/>
          </w:cols>
          <w:pgMar w:left="1440" w:top="1172" w:right="6" w:bottom="0" w:gutter="0" w:footer="0" w:header="0"/>
          <w:type w:val="continuous"/>
        </w:sectPr>
      </w:pPr>
    </w:p>
    <w:bookmarkStart w:id="615" w:name="page616"/>
    <w:bookmarkEnd w:id="615"/>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2. BASIS OF PREPARATION AND PRESENTATION </w:t>
      </w:r>
      <w:r>
        <w:rPr>
          <w:rFonts w:ascii="Arial" w:cs="Arial" w:eastAsia="Arial" w:hAnsi="Arial"/>
          <w:sz w:val="20"/>
          <w:szCs w:val="20"/>
          <w:i w:val="1"/>
          <w:iCs w:val="1"/>
          <w:color w:val="auto"/>
        </w:rPr>
        <w:t>(continued)</w:t>
      </w:r>
    </w:p>
    <w:p>
      <w:pPr>
        <w:spacing w:after="0" w:line="319"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The ability to do this relies on the Company generating operating cash flows and the availability of cred facilities provided by financial institutions. Based on the Company's forecasted cash flows, curren working capital, access to undrawn credit facilities, and the restructuring of related party loans (Note 17c the Company estimates that it will have sufficient liquidity to meet its obligations and operating requirements for at least the next twelve months and accordingly these financial statements have bee prepared on a going concern basis.</w:t>
      </w:r>
    </w:p>
    <w:p>
      <w:pPr>
        <w:spacing w:after="0" w:line="252" w:lineRule="exact"/>
        <w:rPr>
          <w:sz w:val="20"/>
          <w:szCs w:val="20"/>
          <w:color w:val="auto"/>
        </w:rPr>
      </w:pPr>
    </w:p>
    <w:p>
      <w:pPr>
        <w:ind w:left="1260" w:right="4120" w:hanging="6"/>
        <w:spacing w:after="0" w:line="558" w:lineRule="auto"/>
        <w:tabs>
          <w:tab w:leader="none" w:pos="1482" w:val="left"/>
        </w:tabs>
        <w:numPr>
          <w:ilvl w:val="0"/>
          <w:numId w:val="296"/>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MATERIAL ACCOUNTING POLICIES Foreign currency translation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Functional and Presentation Currency</w:t>
      </w:r>
    </w:p>
    <w:p>
      <w:pPr>
        <w:spacing w:after="0" w:line="319" w:lineRule="exact"/>
        <w:rPr>
          <w:sz w:val="20"/>
          <w:szCs w:val="20"/>
          <w:color w:val="auto"/>
        </w:rPr>
      </w:pPr>
    </w:p>
    <w:p>
      <w:pPr>
        <w:jc w:val="both"/>
        <w:ind w:left="1260"/>
        <w:spacing w:after="0" w:line="311" w:lineRule="auto"/>
        <w:rPr>
          <w:sz w:val="20"/>
          <w:szCs w:val="20"/>
          <w:color w:val="auto"/>
        </w:rPr>
      </w:pPr>
      <w:r>
        <w:rPr>
          <w:rFonts w:ascii="Arial" w:cs="Arial" w:eastAsia="Arial" w:hAnsi="Arial"/>
          <w:sz w:val="20"/>
          <w:szCs w:val="20"/>
          <w:color w:val="auto"/>
        </w:rPr>
        <w:t>Items included in the financial statements of the Company are measured using the currency of the primary economic environment in which the entity operates (the functional currency). The functional an presentation currency of the Company is US dollars (“US$”, or “USD”).</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Transactions and Balances</w:t>
      </w:r>
    </w:p>
    <w:p>
      <w:pPr>
        <w:spacing w:after="0" w:line="319" w:lineRule="exact"/>
        <w:rPr>
          <w:sz w:val="20"/>
          <w:szCs w:val="20"/>
          <w:color w:val="auto"/>
        </w:rPr>
      </w:pPr>
    </w:p>
    <w:p>
      <w:pPr>
        <w:ind w:left="1260" w:right="20"/>
        <w:spacing w:after="0" w:line="307" w:lineRule="auto"/>
        <w:rPr>
          <w:sz w:val="20"/>
          <w:szCs w:val="20"/>
          <w:color w:val="auto"/>
        </w:rPr>
      </w:pPr>
      <w:r>
        <w:rPr>
          <w:rFonts w:ascii="Arial" w:cs="Arial" w:eastAsia="Arial" w:hAnsi="Arial"/>
          <w:sz w:val="20"/>
          <w:szCs w:val="20"/>
          <w:color w:val="auto"/>
        </w:rPr>
        <w:t>Transactions denominated in currencies other than the functional currency are recorded at the exchang rates prevailing at the dates of the transactions.</w:t>
      </w:r>
    </w:p>
    <w:p>
      <w:pPr>
        <w:spacing w:after="0" w:line="175" w:lineRule="exact"/>
        <w:rPr>
          <w:sz w:val="20"/>
          <w:szCs w:val="20"/>
          <w:color w:val="auto"/>
        </w:rPr>
      </w:pPr>
    </w:p>
    <w:p>
      <w:pPr>
        <w:jc w:val="both"/>
        <w:ind w:left="1260"/>
        <w:spacing w:after="0" w:line="312" w:lineRule="auto"/>
        <w:rPr>
          <w:sz w:val="20"/>
          <w:szCs w:val="20"/>
          <w:color w:val="auto"/>
        </w:rPr>
      </w:pPr>
      <w:r>
        <w:rPr>
          <w:rFonts w:ascii="Arial" w:cs="Arial" w:eastAsia="Arial" w:hAnsi="Arial"/>
          <w:sz w:val="20"/>
          <w:szCs w:val="20"/>
          <w:color w:val="auto"/>
        </w:rPr>
        <w:t>Monetary assets and liabilities denominated in foreign currencies are translated into USD using the closing exchange rate at the reporting date. Exchange differences arising on the settlement or translatio of monetary items are recognized in profit or loss from the commencement of the commercial productio phase.</w:t>
      </w:r>
    </w:p>
    <w:p>
      <w:pPr>
        <w:spacing w:after="0" w:line="172" w:lineRule="exact"/>
        <w:rPr>
          <w:sz w:val="20"/>
          <w:szCs w:val="20"/>
          <w:color w:val="auto"/>
        </w:rPr>
      </w:pPr>
    </w:p>
    <w:p>
      <w:pPr>
        <w:ind w:left="1260" w:right="40"/>
        <w:spacing w:after="0" w:line="334" w:lineRule="auto"/>
        <w:rPr>
          <w:sz w:val="20"/>
          <w:szCs w:val="20"/>
          <w:color w:val="auto"/>
        </w:rPr>
      </w:pPr>
      <w:r>
        <w:rPr>
          <w:rFonts w:ascii="Arial" w:cs="Arial" w:eastAsia="Arial" w:hAnsi="Arial"/>
          <w:sz w:val="19"/>
          <w:szCs w:val="19"/>
          <w:color w:val="auto"/>
        </w:rPr>
        <w:t>Non-monetary items that are measured at historical cost in a foreign currency are translated using th exchange rate at the date of the original transaction. Non-monetary items measured at fair value in foreign currency are translated using the exchange rate at the date when the fair value was determined.</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Financial instruments</w:t>
      </w:r>
    </w:p>
    <w:p>
      <w:pPr>
        <w:spacing w:after="0" w:line="319" w:lineRule="exact"/>
        <w:rPr>
          <w:sz w:val="20"/>
          <w:szCs w:val="20"/>
          <w:color w:val="auto"/>
        </w:rPr>
      </w:pPr>
    </w:p>
    <w:p>
      <w:pPr>
        <w:ind w:left="1260"/>
        <w:spacing w:after="0" w:line="307" w:lineRule="auto"/>
        <w:rPr>
          <w:sz w:val="20"/>
          <w:szCs w:val="20"/>
          <w:color w:val="auto"/>
        </w:rPr>
      </w:pPr>
      <w:r>
        <w:rPr>
          <w:rFonts w:ascii="Arial" w:cs="Arial" w:eastAsia="Arial" w:hAnsi="Arial"/>
          <w:sz w:val="20"/>
          <w:szCs w:val="20"/>
          <w:color w:val="auto"/>
        </w:rPr>
        <w:t>Financial assets and liabilities are recognized when the Company becomes a party to the contractua provisions of the instrument.</w:t>
      </w:r>
    </w:p>
    <w:p>
      <w:pPr>
        <w:spacing w:after="0" w:line="255" w:lineRule="exact"/>
        <w:rPr>
          <w:sz w:val="20"/>
          <w:szCs w:val="20"/>
          <w:color w:val="auto"/>
        </w:rPr>
      </w:pPr>
    </w:p>
    <w:p>
      <w:pPr>
        <w:jc w:val="both"/>
        <w:ind w:left="1260" w:right="40"/>
        <w:spacing w:after="0" w:line="311" w:lineRule="auto"/>
        <w:rPr>
          <w:sz w:val="20"/>
          <w:szCs w:val="20"/>
          <w:color w:val="auto"/>
        </w:rPr>
      </w:pPr>
      <w:r>
        <w:rPr>
          <w:rFonts w:ascii="Arial" w:cs="Arial" w:eastAsia="Arial" w:hAnsi="Arial"/>
          <w:sz w:val="20"/>
          <w:szCs w:val="20"/>
          <w:color w:val="auto"/>
        </w:rPr>
        <w:t>On initial recognition, financial assets are classified and measured either at amortized cost, at fair valu through profit or loss (“FVTPL”), or fair value through other comprehensive income (“FVOCI”) based o the contractual cash flow characteristics and the business model in which they are held.</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 / 58</w:t>
      </w:r>
    </w:p>
    <w:p>
      <w:pPr>
        <w:sectPr>
          <w:pgSz w:w="11900" w:h="16838" w:orient="portrait"/>
          <w:cols w:equalWidth="0" w:num="1">
            <w:col w:w="10460"/>
          </w:cols>
          <w:pgMar w:left="1440" w:top="1440" w:right="6" w:bottom="0" w:gutter="0" w:footer="0" w:header="0"/>
          <w:type w:val="continuous"/>
        </w:sectPr>
      </w:pPr>
    </w:p>
    <w:bookmarkStart w:id="616" w:name="page617"/>
    <w:bookmarkEnd w:id="616"/>
    <w:p>
      <w:pPr>
        <w:jc w:val="both"/>
        <w:ind w:left="1260"/>
        <w:spacing w:after="0" w:line="313" w:lineRule="auto"/>
        <w:rPr>
          <w:sz w:val="20"/>
          <w:szCs w:val="20"/>
          <w:color w:val="auto"/>
        </w:rPr>
      </w:pPr>
      <w:r>
        <w:rPr>
          <w:rFonts w:ascii="Arial" w:cs="Arial" w:eastAsia="Arial" w:hAnsi="Arial"/>
          <w:sz w:val="20"/>
          <w:szCs w:val="20"/>
          <w:color w:val="auto"/>
        </w:rPr>
        <w:t>Financial assets are measured at amortized cost if they are held for the collection of contractual cash flows, where those cash flows solely represent payments of principal and interest, and if the Company’ intent is to hold these financial assets to collect those cash flows. Financial liabilities are measured a amortized cost unless they are required to be measured at FVTPL or such measurement is an election o the Company.</w:t>
      </w:r>
    </w:p>
    <w:p>
      <w:pPr>
        <w:spacing w:after="0" w:line="250" w:lineRule="exact"/>
        <w:rPr>
          <w:sz w:val="20"/>
          <w:szCs w:val="20"/>
          <w:color w:val="auto"/>
        </w:rPr>
      </w:pPr>
    </w:p>
    <w:p>
      <w:pPr>
        <w:ind w:left="1260" w:right="40"/>
        <w:spacing w:after="0" w:line="307" w:lineRule="auto"/>
        <w:rPr>
          <w:sz w:val="20"/>
          <w:szCs w:val="20"/>
          <w:color w:val="auto"/>
        </w:rPr>
      </w:pPr>
      <w:r>
        <w:rPr>
          <w:rFonts w:ascii="Arial" w:cs="Arial" w:eastAsia="Arial" w:hAnsi="Arial"/>
          <w:sz w:val="20"/>
          <w:szCs w:val="20"/>
          <w:color w:val="auto"/>
        </w:rPr>
        <w:t>Financial assets are derecognized when the rights to receive cash flows from the assets expire, or whe the Company transfers substantially all the risks and rewards of ownership.</w:t>
      </w:r>
    </w:p>
    <w:p>
      <w:pPr>
        <w:spacing w:after="0" w:line="141"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 / 58</w:t>
      </w:r>
    </w:p>
    <w:p>
      <w:pPr>
        <w:sectPr>
          <w:pgSz w:w="11900" w:h="16838" w:orient="portrait"/>
          <w:cols w:equalWidth="0" w:num="1">
            <w:col w:w="10460"/>
          </w:cols>
          <w:pgMar w:left="1440" w:top="1172" w:right="6" w:bottom="0" w:gutter="0" w:footer="0" w:header="0"/>
          <w:type w:val="continuous"/>
        </w:sectPr>
      </w:pPr>
    </w:p>
    <w:bookmarkStart w:id="617" w:name="page618"/>
    <w:bookmarkEnd w:id="617"/>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3. SUMMARY OF MATERIAL ACCOUNTING POLICIES </w:t>
      </w:r>
      <w:r>
        <w:rPr>
          <w:rFonts w:ascii="Arial" w:cs="Arial" w:eastAsia="Arial" w:hAnsi="Arial"/>
          <w:sz w:val="20"/>
          <w:szCs w:val="20"/>
          <w:i w:val="1"/>
          <w:iCs w:val="1"/>
          <w:color w:val="auto"/>
        </w:rPr>
        <w:t>(continued)</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Cash and cash equivalents</w:t>
      </w:r>
    </w:p>
    <w:p>
      <w:pPr>
        <w:spacing w:after="0" w:line="319" w:lineRule="exact"/>
        <w:rPr>
          <w:sz w:val="20"/>
          <w:szCs w:val="20"/>
          <w:color w:val="auto"/>
        </w:rPr>
      </w:pPr>
    </w:p>
    <w:p>
      <w:pPr>
        <w:jc w:val="both"/>
        <w:ind w:left="1260" w:right="20"/>
        <w:spacing w:after="0" w:line="311" w:lineRule="auto"/>
        <w:rPr>
          <w:sz w:val="20"/>
          <w:szCs w:val="20"/>
          <w:color w:val="auto"/>
        </w:rPr>
      </w:pPr>
      <w:r>
        <w:rPr>
          <w:rFonts w:ascii="Arial" w:cs="Arial" w:eastAsia="Arial" w:hAnsi="Arial"/>
          <w:sz w:val="20"/>
          <w:szCs w:val="20"/>
          <w:color w:val="auto"/>
        </w:rPr>
        <w:t>Cash and cash equivalents include cash on hand, cash held with banks, and other short-term, highl liquid investments with original maturities of 90 days or less, all of which are subject to insignificant risk of changes in value.</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Accounts receivable, other receivables and prepayments</w:t>
      </w:r>
    </w:p>
    <w:p>
      <w:pPr>
        <w:spacing w:after="0" w:line="319" w:lineRule="exact"/>
        <w:rPr>
          <w:sz w:val="20"/>
          <w:szCs w:val="20"/>
          <w:color w:val="auto"/>
        </w:rPr>
      </w:pPr>
    </w:p>
    <w:p>
      <w:pPr>
        <w:jc w:val="both"/>
        <w:ind w:left="1260" w:right="20"/>
        <w:spacing w:after="0" w:line="307" w:lineRule="auto"/>
        <w:rPr>
          <w:sz w:val="20"/>
          <w:szCs w:val="20"/>
          <w:color w:val="auto"/>
        </w:rPr>
      </w:pPr>
      <w:r>
        <w:rPr>
          <w:rFonts w:ascii="Arial" w:cs="Arial" w:eastAsia="Arial" w:hAnsi="Arial"/>
          <w:sz w:val="20"/>
          <w:szCs w:val="20"/>
          <w:color w:val="auto"/>
        </w:rPr>
        <w:t>Trade receivables and other receivables are initially recognized at fair value and subsequently a amortized cost, net of any allowance for expected credit losses.</w:t>
      </w:r>
    </w:p>
    <w:p>
      <w:pPr>
        <w:spacing w:after="0" w:line="2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Accounts payable, accrued liabilities and other liabilities</w:t>
      </w:r>
    </w:p>
    <w:p>
      <w:pPr>
        <w:spacing w:after="0" w:line="319" w:lineRule="exact"/>
        <w:rPr>
          <w:sz w:val="20"/>
          <w:szCs w:val="20"/>
          <w:color w:val="auto"/>
        </w:rPr>
      </w:pPr>
    </w:p>
    <w:p>
      <w:pPr>
        <w:jc w:val="both"/>
        <w:ind w:left="1260" w:right="20"/>
        <w:spacing w:after="0" w:line="311" w:lineRule="auto"/>
        <w:rPr>
          <w:sz w:val="20"/>
          <w:szCs w:val="20"/>
          <w:color w:val="auto"/>
        </w:rPr>
      </w:pPr>
      <w:r>
        <w:rPr>
          <w:rFonts w:ascii="Arial" w:cs="Arial" w:eastAsia="Arial" w:hAnsi="Arial"/>
          <w:sz w:val="20"/>
          <w:szCs w:val="20"/>
          <w:color w:val="auto"/>
        </w:rPr>
        <w:t>Accounts payable, accrued liabilities and other liabilities represent obligations for goods and service received or expenses incurred in the ordinary course of business and are initially recognized at fair valu and subsequently measured at amortized cost.</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Derivative instruments</w:t>
      </w:r>
    </w:p>
    <w:p>
      <w:pPr>
        <w:spacing w:after="0" w:line="319"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Derivative instruments, including embedded derivatives in executory contracts or financial liability contracts, are classified as FVTPL and are recorded on the balance sheet at fair value, with unrealize gains and losses recognized in profit or loss. Fair values are determined using inputs that reflect curren market conditions as of the balance sheet date or the settlement date of the derivative. Embedded derivatives in non-derivative contracts are recognized separately unless they are closely related to the host contract.</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Property, plant and equipment</w:t>
      </w:r>
    </w:p>
    <w:p>
      <w:pPr>
        <w:spacing w:after="0" w:line="319" w:lineRule="exact"/>
        <w:rPr>
          <w:sz w:val="20"/>
          <w:szCs w:val="20"/>
          <w:color w:val="auto"/>
        </w:rPr>
      </w:pPr>
    </w:p>
    <w:p>
      <w:pPr>
        <w:jc w:val="both"/>
        <w:ind w:left="1260"/>
        <w:spacing w:after="0" w:line="312" w:lineRule="auto"/>
        <w:rPr>
          <w:sz w:val="20"/>
          <w:szCs w:val="20"/>
          <w:color w:val="auto"/>
        </w:rPr>
      </w:pPr>
      <w:r>
        <w:rPr>
          <w:rFonts w:ascii="Arial" w:cs="Arial" w:eastAsia="Arial" w:hAnsi="Arial"/>
          <w:sz w:val="20"/>
          <w:szCs w:val="20"/>
          <w:color w:val="auto"/>
        </w:rPr>
        <w:t>Property, plant and equipment (“PPE”) are initially recorded at cost and subsequently measured at cos less accumulated depreciation and impairment losses. Cost includes expenditures that are directly attributable to bringing an asset to the location and condition necessary for it to operate as intended b management.</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Depreciation</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 / 58</w:t>
      </w:r>
    </w:p>
    <w:p>
      <w:pPr>
        <w:sectPr>
          <w:pgSz w:w="11900" w:h="16838" w:orient="portrait"/>
          <w:cols w:equalWidth="0" w:num="1">
            <w:col w:w="10460"/>
          </w:cols>
          <w:pgMar w:left="1440" w:top="1440" w:right="6" w:bottom="0" w:gutter="0" w:footer="0" w:header="0"/>
          <w:type w:val="continuous"/>
        </w:sectPr>
      </w:pPr>
    </w:p>
    <w:bookmarkStart w:id="618" w:name="page619"/>
    <w:bookmarkEnd w:id="618"/>
    <w:p>
      <w:pPr>
        <w:jc w:val="both"/>
        <w:ind w:left="1260"/>
        <w:spacing w:after="0" w:line="312" w:lineRule="auto"/>
        <w:rPr>
          <w:sz w:val="20"/>
          <w:szCs w:val="20"/>
          <w:color w:val="auto"/>
        </w:rPr>
      </w:pPr>
      <w:r>
        <w:rPr>
          <w:rFonts w:ascii="Arial" w:cs="Arial" w:eastAsia="Arial" w:hAnsi="Arial"/>
          <w:sz w:val="20"/>
          <w:szCs w:val="20"/>
          <w:color w:val="auto"/>
        </w:rPr>
        <w:t>Depreciation is recorded on a straight-line basis over the estimated useful lives of the assets, beginnin when the asset is available for use in the manner intended by management. Useful lives, residual values and depreciation methods are reviewed at least annually and adjusted prospectively when appropriate Gains and losses arising on the disposal of PPE are recognized in profit or loss.</w:t>
      </w:r>
    </w:p>
    <w:p>
      <w:pPr>
        <w:spacing w:after="0" w:line="137"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 / 58</w:t>
      </w:r>
    </w:p>
    <w:p>
      <w:pPr>
        <w:sectPr>
          <w:pgSz w:w="11900" w:h="16838" w:orient="portrait"/>
          <w:cols w:equalWidth="0" w:num="1">
            <w:col w:w="10460"/>
          </w:cols>
          <w:pgMar w:left="1440" w:top="1172" w:right="6" w:bottom="0" w:gutter="0" w:footer="0" w:header="0"/>
          <w:type w:val="continuous"/>
        </w:sectPr>
      </w:pPr>
    </w:p>
    <w:bookmarkStart w:id="619" w:name="page620"/>
    <w:bookmarkEnd w:id="619"/>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3. SUMMARY OF MATERIAL ACCOUNTING POLICIES </w:t>
      </w:r>
      <w:r>
        <w:rPr>
          <w:rFonts w:ascii="Arial" w:cs="Arial" w:eastAsia="Arial" w:hAnsi="Arial"/>
          <w:sz w:val="20"/>
          <w:szCs w:val="20"/>
          <w:i w:val="1"/>
          <w:iCs w:val="1"/>
          <w:color w:val="auto"/>
        </w:rPr>
        <w:t>(continued)</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The estimated useful lives of major asset categories are as follows:</w:t>
      </w:r>
    </w:p>
    <w:p>
      <w:pPr>
        <w:spacing w:after="0" w:line="200" w:lineRule="exact"/>
        <w:rPr>
          <w:sz w:val="20"/>
          <w:szCs w:val="20"/>
          <w:color w:val="auto"/>
        </w:rPr>
      </w:pPr>
    </w:p>
    <w:p>
      <w:pPr>
        <w:spacing w:after="0" w:line="276" w:lineRule="exact"/>
        <w:rPr>
          <w:sz w:val="20"/>
          <w:szCs w:val="20"/>
          <w:color w:val="auto"/>
        </w:rPr>
      </w:pPr>
    </w:p>
    <w:p>
      <w:pPr>
        <w:ind w:left="2300"/>
        <w:spacing w:after="0"/>
        <w:tabs>
          <w:tab w:leader="none" w:pos="7020" w:val="left"/>
        </w:tabs>
        <w:rPr>
          <w:sz w:val="20"/>
          <w:szCs w:val="20"/>
          <w:color w:val="auto"/>
        </w:rPr>
      </w:pPr>
      <w:r>
        <w:rPr>
          <w:rFonts w:ascii="Arial" w:cs="Arial" w:eastAsia="Arial" w:hAnsi="Arial"/>
          <w:sz w:val="20"/>
          <w:szCs w:val="20"/>
          <w:b w:val="1"/>
          <w:bCs w:val="1"/>
          <w:color w:val="auto"/>
        </w:rPr>
        <w:t>Asset Category</w:t>
      </w:r>
      <w:r>
        <w:rPr>
          <w:sz w:val="20"/>
          <w:szCs w:val="20"/>
          <w:color w:val="auto"/>
        </w:rPr>
        <w:tab/>
      </w:r>
      <w:r>
        <w:rPr>
          <w:rFonts w:ascii="Arial" w:cs="Arial" w:eastAsia="Arial" w:hAnsi="Arial"/>
          <w:sz w:val="19"/>
          <w:szCs w:val="19"/>
          <w:b w:val="1"/>
          <w:bCs w:val="1"/>
          <w:color w:val="auto"/>
        </w:rPr>
        <w:t>Useful Life</w:t>
      </w:r>
    </w:p>
    <w:p>
      <w:pPr>
        <w:spacing w:after="0" w:line="101" w:lineRule="exact"/>
        <w:rPr>
          <w:sz w:val="20"/>
          <w:szCs w:val="20"/>
          <w:color w:val="auto"/>
        </w:rPr>
      </w:pPr>
    </w:p>
    <w:p>
      <w:pPr>
        <w:ind w:left="2300"/>
        <w:spacing w:after="0"/>
        <w:tabs>
          <w:tab w:leader="none" w:pos="7020" w:val="left"/>
        </w:tabs>
        <w:rPr>
          <w:sz w:val="20"/>
          <w:szCs w:val="20"/>
          <w:color w:val="auto"/>
        </w:rPr>
      </w:pPr>
      <w:r>
        <w:rPr>
          <w:rFonts w:ascii="Arial" w:cs="Arial" w:eastAsia="Arial" w:hAnsi="Arial"/>
          <w:sz w:val="20"/>
          <w:szCs w:val="20"/>
          <w:color w:val="auto"/>
        </w:rPr>
        <w:t>Field, plant and laboratory equipment</w:t>
      </w:r>
      <w:r>
        <w:rPr>
          <w:sz w:val="20"/>
          <w:szCs w:val="20"/>
          <w:color w:val="auto"/>
        </w:rPr>
        <w:tab/>
      </w:r>
      <w:r>
        <w:rPr>
          <w:rFonts w:ascii="Arial" w:cs="Arial" w:eastAsia="Arial" w:hAnsi="Arial"/>
          <w:sz w:val="19"/>
          <w:szCs w:val="19"/>
          <w:color w:val="auto"/>
        </w:rPr>
        <w:t>3–15 years</w:t>
      </w:r>
    </w:p>
    <w:p>
      <w:pPr>
        <w:spacing w:after="0" w:line="101" w:lineRule="exact"/>
        <w:rPr>
          <w:sz w:val="20"/>
          <w:szCs w:val="20"/>
          <w:color w:val="auto"/>
        </w:rPr>
      </w:pPr>
    </w:p>
    <w:p>
      <w:pPr>
        <w:ind w:left="2300"/>
        <w:spacing w:after="0"/>
        <w:tabs>
          <w:tab w:leader="none" w:pos="7020" w:val="left"/>
        </w:tabs>
        <w:rPr>
          <w:sz w:val="20"/>
          <w:szCs w:val="20"/>
          <w:color w:val="auto"/>
        </w:rPr>
      </w:pPr>
      <w:r>
        <w:rPr>
          <w:rFonts w:ascii="Arial" w:cs="Arial" w:eastAsia="Arial" w:hAnsi="Arial"/>
          <w:sz w:val="20"/>
          <w:szCs w:val="20"/>
          <w:color w:val="auto"/>
        </w:rPr>
        <w:t>Pools, wells and related equipment</w:t>
      </w:r>
      <w:r>
        <w:rPr>
          <w:sz w:val="20"/>
          <w:szCs w:val="20"/>
          <w:color w:val="auto"/>
        </w:rPr>
        <w:tab/>
      </w:r>
      <w:r>
        <w:rPr>
          <w:rFonts w:ascii="Arial" w:cs="Arial" w:eastAsia="Arial" w:hAnsi="Arial"/>
          <w:sz w:val="19"/>
          <w:szCs w:val="19"/>
          <w:color w:val="auto"/>
        </w:rPr>
        <w:t>20–40 years</w:t>
      </w:r>
    </w:p>
    <w:p>
      <w:pPr>
        <w:spacing w:after="0" w:line="101" w:lineRule="exact"/>
        <w:rPr>
          <w:sz w:val="20"/>
          <w:szCs w:val="20"/>
          <w:color w:val="auto"/>
        </w:rPr>
      </w:pPr>
    </w:p>
    <w:p>
      <w:pPr>
        <w:ind w:left="2300"/>
        <w:spacing w:after="0"/>
        <w:tabs>
          <w:tab w:leader="none" w:pos="7020" w:val="left"/>
        </w:tabs>
        <w:rPr>
          <w:sz w:val="20"/>
          <w:szCs w:val="20"/>
          <w:color w:val="auto"/>
        </w:rPr>
      </w:pPr>
      <w:r>
        <w:rPr>
          <w:rFonts w:ascii="Arial" w:cs="Arial" w:eastAsia="Arial" w:hAnsi="Arial"/>
          <w:sz w:val="20"/>
          <w:szCs w:val="20"/>
          <w:color w:val="auto"/>
        </w:rPr>
        <w:t>Containers, modules and similar assets</w:t>
      </w:r>
      <w:r>
        <w:rPr>
          <w:sz w:val="20"/>
          <w:szCs w:val="20"/>
          <w:color w:val="auto"/>
        </w:rPr>
        <w:tab/>
      </w:r>
      <w:r>
        <w:rPr>
          <w:rFonts w:ascii="Arial" w:cs="Arial" w:eastAsia="Arial" w:hAnsi="Arial"/>
          <w:sz w:val="19"/>
          <w:szCs w:val="19"/>
          <w:color w:val="auto"/>
        </w:rPr>
        <w:t>3–10 years</w:t>
      </w:r>
    </w:p>
    <w:p>
      <w:pPr>
        <w:spacing w:after="0" w:line="101" w:lineRule="exact"/>
        <w:rPr>
          <w:sz w:val="20"/>
          <w:szCs w:val="20"/>
          <w:color w:val="auto"/>
        </w:rPr>
      </w:pPr>
    </w:p>
    <w:p>
      <w:pPr>
        <w:ind w:left="2300"/>
        <w:spacing w:after="0"/>
        <w:tabs>
          <w:tab w:leader="none" w:pos="7020" w:val="left"/>
        </w:tabs>
        <w:rPr>
          <w:sz w:val="20"/>
          <w:szCs w:val="20"/>
          <w:color w:val="auto"/>
        </w:rPr>
      </w:pPr>
      <w:r>
        <w:rPr>
          <w:rFonts w:ascii="Arial" w:cs="Arial" w:eastAsia="Arial" w:hAnsi="Arial"/>
          <w:sz w:val="20"/>
          <w:szCs w:val="20"/>
          <w:color w:val="auto"/>
        </w:rPr>
        <w:t>Furniture, fixtures, electronic equipment</w:t>
      </w:r>
      <w:r>
        <w:rPr>
          <w:sz w:val="20"/>
          <w:szCs w:val="20"/>
          <w:color w:val="auto"/>
        </w:rPr>
        <w:tab/>
      </w:r>
      <w:r>
        <w:rPr>
          <w:rFonts w:ascii="Arial" w:cs="Arial" w:eastAsia="Arial" w:hAnsi="Arial"/>
          <w:sz w:val="19"/>
          <w:szCs w:val="19"/>
          <w:color w:val="auto"/>
        </w:rPr>
        <w:t>3–10 years</w:t>
      </w:r>
    </w:p>
    <w:p>
      <w:pPr>
        <w:spacing w:after="0" w:line="101" w:lineRule="exact"/>
        <w:rPr>
          <w:sz w:val="20"/>
          <w:szCs w:val="20"/>
          <w:color w:val="auto"/>
        </w:rPr>
      </w:pPr>
    </w:p>
    <w:p>
      <w:pPr>
        <w:ind w:left="2300"/>
        <w:spacing w:after="0"/>
        <w:tabs>
          <w:tab w:leader="none" w:pos="7020" w:val="left"/>
        </w:tabs>
        <w:rPr>
          <w:sz w:val="20"/>
          <w:szCs w:val="20"/>
          <w:color w:val="auto"/>
        </w:rPr>
      </w:pPr>
      <w:r>
        <w:rPr>
          <w:rFonts w:ascii="Arial" w:cs="Arial" w:eastAsia="Arial" w:hAnsi="Arial"/>
          <w:sz w:val="20"/>
          <w:szCs w:val="20"/>
          <w:color w:val="auto"/>
        </w:rPr>
        <w:t>Light vehicles</w:t>
      </w:r>
      <w:r>
        <w:rPr>
          <w:sz w:val="20"/>
          <w:szCs w:val="20"/>
          <w:color w:val="auto"/>
        </w:rPr>
        <w:tab/>
      </w:r>
      <w:r>
        <w:rPr>
          <w:rFonts w:ascii="Arial" w:cs="Arial" w:eastAsia="Arial" w:hAnsi="Arial"/>
          <w:sz w:val="20"/>
          <w:szCs w:val="20"/>
          <w:color w:val="auto"/>
        </w:rPr>
        <w:t>3 years</w:t>
      </w:r>
    </w:p>
    <w:p>
      <w:pPr>
        <w:spacing w:after="0" w:line="101" w:lineRule="exact"/>
        <w:rPr>
          <w:sz w:val="20"/>
          <w:szCs w:val="20"/>
          <w:color w:val="auto"/>
        </w:rPr>
      </w:pPr>
    </w:p>
    <w:p>
      <w:pPr>
        <w:ind w:left="2300"/>
        <w:spacing w:after="0"/>
        <w:tabs>
          <w:tab w:leader="none" w:pos="7020" w:val="left"/>
        </w:tabs>
        <w:rPr>
          <w:sz w:val="20"/>
          <w:szCs w:val="20"/>
          <w:color w:val="auto"/>
        </w:rPr>
      </w:pPr>
      <w:r>
        <w:rPr>
          <w:rFonts w:ascii="Arial" w:cs="Arial" w:eastAsia="Arial" w:hAnsi="Arial"/>
          <w:sz w:val="20"/>
          <w:szCs w:val="20"/>
          <w:color w:val="auto"/>
        </w:rPr>
        <w:t>Lithium carbonate plant</w:t>
      </w:r>
      <w:r>
        <w:rPr>
          <w:sz w:val="20"/>
          <w:szCs w:val="20"/>
          <w:color w:val="auto"/>
        </w:rPr>
        <w:tab/>
      </w:r>
      <w:r>
        <w:rPr>
          <w:rFonts w:ascii="Arial" w:cs="Arial" w:eastAsia="Arial" w:hAnsi="Arial"/>
          <w:sz w:val="19"/>
          <w:szCs w:val="19"/>
          <w:color w:val="auto"/>
        </w:rPr>
        <w:t>10–30 years</w:t>
      </w:r>
    </w:p>
    <w:p>
      <w:pPr>
        <w:spacing w:after="0" w:line="101" w:lineRule="exact"/>
        <w:rPr>
          <w:sz w:val="20"/>
          <w:szCs w:val="20"/>
          <w:color w:val="auto"/>
        </w:rPr>
      </w:pPr>
    </w:p>
    <w:p>
      <w:pPr>
        <w:ind w:left="2300"/>
        <w:spacing w:after="0"/>
        <w:tabs>
          <w:tab w:leader="none" w:pos="7020" w:val="left"/>
        </w:tabs>
        <w:rPr>
          <w:sz w:val="20"/>
          <w:szCs w:val="20"/>
          <w:color w:val="auto"/>
        </w:rPr>
      </w:pPr>
      <w:r>
        <w:rPr>
          <w:rFonts w:ascii="Arial" w:cs="Arial" w:eastAsia="Arial" w:hAnsi="Arial"/>
          <w:sz w:val="20"/>
          <w:szCs w:val="20"/>
          <w:color w:val="auto"/>
        </w:rPr>
        <w:t>Field operations equipment</w:t>
      </w:r>
      <w:r>
        <w:rPr>
          <w:sz w:val="20"/>
          <w:szCs w:val="20"/>
          <w:color w:val="auto"/>
        </w:rPr>
        <w:tab/>
      </w:r>
      <w:r>
        <w:rPr>
          <w:rFonts w:ascii="Arial" w:cs="Arial" w:eastAsia="Arial" w:hAnsi="Arial"/>
          <w:sz w:val="19"/>
          <w:szCs w:val="19"/>
          <w:color w:val="auto"/>
        </w:rPr>
        <w:t>20–40 years</w:t>
      </w:r>
    </w:p>
    <w:p>
      <w:pPr>
        <w:spacing w:after="0" w:line="101" w:lineRule="exact"/>
        <w:rPr>
          <w:sz w:val="20"/>
          <w:szCs w:val="20"/>
          <w:color w:val="auto"/>
        </w:rPr>
      </w:pPr>
    </w:p>
    <w:p>
      <w:pPr>
        <w:ind w:left="2300"/>
        <w:spacing w:after="0"/>
        <w:tabs>
          <w:tab w:leader="none" w:pos="7020" w:val="left"/>
        </w:tabs>
        <w:rPr>
          <w:sz w:val="20"/>
          <w:szCs w:val="20"/>
          <w:color w:val="auto"/>
        </w:rPr>
      </w:pPr>
      <w:r>
        <w:rPr>
          <w:rFonts w:ascii="Arial" w:cs="Arial" w:eastAsia="Arial" w:hAnsi="Arial"/>
          <w:sz w:val="20"/>
          <w:szCs w:val="20"/>
          <w:color w:val="auto"/>
        </w:rPr>
        <w:t>Industrial infrastructure</w:t>
      </w:r>
      <w:r>
        <w:rPr>
          <w:sz w:val="20"/>
          <w:szCs w:val="20"/>
          <w:color w:val="auto"/>
        </w:rPr>
        <w:tab/>
      </w:r>
      <w:r>
        <w:rPr>
          <w:rFonts w:ascii="Arial" w:cs="Arial" w:eastAsia="Arial" w:hAnsi="Arial"/>
          <w:sz w:val="19"/>
          <w:szCs w:val="19"/>
          <w:color w:val="auto"/>
        </w:rPr>
        <w:t>20–30 years</w:t>
      </w:r>
    </w:p>
    <w:p>
      <w:pPr>
        <w:spacing w:after="0" w:line="101" w:lineRule="exact"/>
        <w:rPr>
          <w:sz w:val="20"/>
          <w:szCs w:val="20"/>
          <w:color w:val="auto"/>
        </w:rPr>
      </w:pPr>
    </w:p>
    <w:p>
      <w:pPr>
        <w:ind w:left="2300"/>
        <w:spacing w:after="0"/>
        <w:tabs>
          <w:tab w:leader="none" w:pos="7020" w:val="left"/>
        </w:tabs>
        <w:rPr>
          <w:sz w:val="20"/>
          <w:szCs w:val="20"/>
          <w:color w:val="auto"/>
        </w:rPr>
      </w:pPr>
      <w:r>
        <w:rPr>
          <w:rFonts w:ascii="Arial" w:cs="Arial" w:eastAsia="Arial" w:hAnsi="Arial"/>
          <w:sz w:val="20"/>
          <w:szCs w:val="20"/>
          <w:color w:val="auto"/>
        </w:rPr>
        <w:t>General infrastructure</w:t>
      </w:r>
      <w:r>
        <w:rPr>
          <w:sz w:val="20"/>
          <w:szCs w:val="20"/>
          <w:color w:val="auto"/>
        </w:rPr>
        <w:tab/>
      </w:r>
      <w:r>
        <w:rPr>
          <w:rFonts w:ascii="Arial" w:cs="Arial" w:eastAsia="Arial" w:hAnsi="Arial"/>
          <w:sz w:val="19"/>
          <w:szCs w:val="19"/>
          <w:color w:val="auto"/>
        </w:rPr>
        <w:t>15–25 years</w:t>
      </w:r>
    </w:p>
    <w:p>
      <w:pPr>
        <w:spacing w:after="0" w:line="200" w:lineRule="exact"/>
        <w:rPr>
          <w:sz w:val="20"/>
          <w:szCs w:val="20"/>
          <w:color w:val="auto"/>
        </w:rPr>
      </w:pPr>
    </w:p>
    <w:p>
      <w:pPr>
        <w:spacing w:after="0" w:line="246"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Rehabilitation Costs</w:t>
      </w:r>
    </w:p>
    <w:p>
      <w:pPr>
        <w:spacing w:after="0" w:line="319" w:lineRule="exact"/>
        <w:rPr>
          <w:sz w:val="20"/>
          <w:szCs w:val="20"/>
          <w:color w:val="auto"/>
        </w:rPr>
      </w:pPr>
    </w:p>
    <w:p>
      <w:pPr>
        <w:jc w:val="both"/>
        <w:ind w:left="1260" w:right="20"/>
        <w:spacing w:after="0" w:line="311" w:lineRule="auto"/>
        <w:rPr>
          <w:sz w:val="20"/>
          <w:szCs w:val="20"/>
          <w:color w:val="auto"/>
        </w:rPr>
      </w:pPr>
      <w:r>
        <w:rPr>
          <w:rFonts w:ascii="Arial" w:cs="Arial" w:eastAsia="Arial" w:hAnsi="Arial"/>
          <w:sz w:val="20"/>
          <w:szCs w:val="20"/>
          <w:color w:val="auto"/>
        </w:rPr>
        <w:t>Provisions for site rehabilitation and closure obligations are recognized as part of the cost of the relate asset. The capitalized amount is depreciated over the useful life of the mineral property to which i relates.</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Construction-in-progress</w:t>
      </w:r>
    </w:p>
    <w:p>
      <w:pPr>
        <w:spacing w:after="0" w:line="319" w:lineRule="exact"/>
        <w:rPr>
          <w:sz w:val="20"/>
          <w:szCs w:val="20"/>
          <w:color w:val="auto"/>
        </w:rPr>
      </w:pPr>
    </w:p>
    <w:p>
      <w:pPr>
        <w:jc w:val="both"/>
        <w:ind w:left="1260"/>
        <w:spacing w:after="0" w:line="312" w:lineRule="auto"/>
        <w:rPr>
          <w:sz w:val="20"/>
          <w:szCs w:val="20"/>
          <w:color w:val="auto"/>
        </w:rPr>
      </w:pPr>
      <w:r>
        <w:rPr>
          <w:rFonts w:ascii="Arial" w:cs="Arial" w:eastAsia="Arial" w:hAnsi="Arial"/>
          <w:sz w:val="20"/>
          <w:szCs w:val="20"/>
          <w:color w:val="auto"/>
        </w:rPr>
        <w:t>Construction-in-progress (“CIP”) represents capital expenditures for assets that are not yet ready for thei intended use. CIP is not depreciated. When an asset is substantially complete and available for use in th manner intended by management, the accumulated costs are transferred to the appropriate PPE category. Judgment is applied in determining when an asset is considered available for use.</w:t>
      </w:r>
    </w:p>
    <w:p>
      <w:pPr>
        <w:spacing w:after="0" w:line="252"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Depreciation of assets related to the Cauchari-Olaroz Project commenced on a component-by-compone basis from the date each component was available for its intended use in accordance with IAS 16. Th brine pond infrastructure, assessed as available for use prior to commercial production, commenced depreciating in January 1, 2023. On October 1, 2024, Minera Exar determined that commercia production had been achieved for the project as a whole, and depreciation on all remaining project asset commenced on that date.</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Repairs and maintenance</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 / 58</w:t>
      </w:r>
    </w:p>
    <w:p>
      <w:pPr>
        <w:sectPr>
          <w:pgSz w:w="11900" w:h="16838" w:orient="portrait"/>
          <w:cols w:equalWidth="0" w:num="1">
            <w:col w:w="10460"/>
          </w:cols>
          <w:pgMar w:left="1440" w:top="1440" w:right="6" w:bottom="0" w:gutter="0" w:footer="0" w:header="0"/>
          <w:type w:val="continuous"/>
        </w:sectPr>
      </w:pPr>
    </w:p>
    <w:bookmarkStart w:id="620" w:name="page621"/>
    <w:bookmarkEnd w:id="620"/>
    <w:p>
      <w:pPr>
        <w:jc w:val="both"/>
        <w:ind w:left="1260"/>
        <w:spacing w:after="0" w:line="311" w:lineRule="auto"/>
        <w:rPr>
          <w:sz w:val="20"/>
          <w:szCs w:val="20"/>
          <w:color w:val="auto"/>
        </w:rPr>
      </w:pPr>
      <w:r>
        <w:rPr>
          <w:rFonts w:ascii="Arial" w:cs="Arial" w:eastAsia="Arial" w:hAnsi="Arial"/>
          <w:sz w:val="20"/>
          <w:szCs w:val="20"/>
          <w:color w:val="auto"/>
        </w:rPr>
        <w:t>Repairs and maintenance costs are recorded to expense as incurred, except when these repairs significantly extend the life of an asset or result in a significant operating improvement. In these instance the portion of these repairs relating to the betterment is capitalized as part of plant and equipment.</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Borrowing costs</w:t>
      </w:r>
    </w:p>
    <w:p>
      <w:pPr>
        <w:spacing w:after="0" w:line="319" w:lineRule="exact"/>
        <w:rPr>
          <w:sz w:val="20"/>
          <w:szCs w:val="20"/>
          <w:color w:val="auto"/>
        </w:rPr>
      </w:pPr>
    </w:p>
    <w:p>
      <w:pPr>
        <w:jc w:val="both"/>
        <w:ind w:left="1260"/>
        <w:spacing w:after="0" w:line="311" w:lineRule="auto"/>
        <w:rPr>
          <w:sz w:val="20"/>
          <w:szCs w:val="20"/>
          <w:color w:val="auto"/>
        </w:rPr>
      </w:pPr>
      <w:r>
        <w:rPr>
          <w:rFonts w:ascii="Arial" w:cs="Arial" w:eastAsia="Arial" w:hAnsi="Arial"/>
          <w:sz w:val="20"/>
          <w:szCs w:val="20"/>
          <w:color w:val="auto"/>
        </w:rPr>
        <w:t>Borrowing costs are capitalised at a rate based on the weighted average cost of borrowing or at the rat on project-specific debt, as applicable. Borrowing costs are capitalised as part of the cost of the qualifyin asset to which they relate. All other borrowing costs are expensed as incurred.</w:t>
      </w:r>
    </w:p>
    <w:p>
      <w:pPr>
        <w:spacing w:after="0" w:line="137"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9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9 / 58</w:t>
      </w:r>
    </w:p>
    <w:p>
      <w:pPr>
        <w:sectPr>
          <w:pgSz w:w="11900" w:h="16838" w:orient="portrait"/>
          <w:cols w:equalWidth="0" w:num="1">
            <w:col w:w="10460"/>
          </w:cols>
          <w:pgMar w:left="1440" w:top="1172" w:right="6" w:bottom="0" w:gutter="0" w:footer="0" w:header="0"/>
          <w:type w:val="continuous"/>
        </w:sectPr>
      </w:pPr>
    </w:p>
    <w:bookmarkStart w:id="621" w:name="page622"/>
    <w:bookmarkEnd w:id="621"/>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3. SUMMARY OF MATERIAL ACCOUNTING POLICIES </w:t>
      </w:r>
      <w:r>
        <w:rPr>
          <w:rFonts w:ascii="Arial" w:cs="Arial" w:eastAsia="Arial" w:hAnsi="Arial"/>
          <w:sz w:val="20"/>
          <w:szCs w:val="20"/>
          <w:i w:val="1"/>
          <w:iCs w:val="1"/>
          <w:color w:val="auto"/>
        </w:rPr>
        <w:t>(continued)</w:t>
      </w:r>
    </w:p>
    <w:p>
      <w:pPr>
        <w:spacing w:after="0" w:line="319" w:lineRule="exact"/>
        <w:rPr>
          <w:sz w:val="20"/>
          <w:szCs w:val="20"/>
          <w:color w:val="auto"/>
        </w:rPr>
      </w:pPr>
    </w:p>
    <w:p>
      <w:pPr>
        <w:jc w:val="both"/>
        <w:ind w:left="1260"/>
        <w:spacing w:after="0" w:line="312" w:lineRule="auto"/>
        <w:rPr>
          <w:sz w:val="20"/>
          <w:szCs w:val="20"/>
          <w:color w:val="auto"/>
        </w:rPr>
      </w:pPr>
      <w:r>
        <w:rPr>
          <w:rFonts w:ascii="Arial" w:cs="Arial" w:eastAsia="Arial" w:hAnsi="Arial"/>
          <w:sz w:val="20"/>
          <w:szCs w:val="20"/>
          <w:color w:val="auto"/>
        </w:rPr>
        <w:t>Capitalisation of borrowing costs begins when there are borrowings outstanding, when expenditures o the qualifying asset are being incurred, and when activities necessary to prepare the asset for its intende use are underway. Capitalisation ceases when substantially all activities necessary to prepare the qualifying asset for its intended use are complete.</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Pre-Production Sales</w:t>
      </w:r>
    </w:p>
    <w:p>
      <w:pPr>
        <w:spacing w:after="0" w:line="319" w:lineRule="exact"/>
        <w:rPr>
          <w:sz w:val="20"/>
          <w:szCs w:val="20"/>
          <w:color w:val="auto"/>
        </w:rPr>
      </w:pPr>
    </w:p>
    <w:p>
      <w:pPr>
        <w:jc w:val="both"/>
        <w:ind w:left="1260"/>
        <w:spacing w:after="0" w:line="312" w:lineRule="auto"/>
        <w:rPr>
          <w:sz w:val="20"/>
          <w:szCs w:val="20"/>
          <w:color w:val="auto"/>
        </w:rPr>
      </w:pPr>
      <w:r>
        <w:rPr>
          <w:rFonts w:ascii="Arial" w:cs="Arial" w:eastAsia="Arial" w:hAnsi="Arial"/>
          <w:sz w:val="20"/>
          <w:szCs w:val="20"/>
          <w:color w:val="auto"/>
        </w:rPr>
        <w:t>During the commissioning and pre-production phase of the Cauchari-Olaroz Project, the Company sol certain quantities of lithium carbonate prior to achieving commercial production on October 1, 2024 Revenue from these sales was recognized in profit or loss when control of the product transferred to th customer.</w:t>
      </w:r>
    </w:p>
    <w:p>
      <w:pPr>
        <w:spacing w:after="0" w:line="252" w:lineRule="exact"/>
        <w:rPr>
          <w:sz w:val="20"/>
          <w:szCs w:val="20"/>
          <w:color w:val="auto"/>
        </w:rPr>
      </w:pPr>
    </w:p>
    <w:p>
      <w:pPr>
        <w:jc w:val="both"/>
        <w:ind w:left="1260"/>
        <w:spacing w:after="0" w:line="312" w:lineRule="auto"/>
        <w:rPr>
          <w:sz w:val="20"/>
          <w:szCs w:val="20"/>
          <w:color w:val="auto"/>
        </w:rPr>
      </w:pPr>
      <w:r>
        <w:rPr>
          <w:rFonts w:ascii="Arial" w:cs="Arial" w:eastAsia="Arial" w:hAnsi="Arial"/>
          <w:sz w:val="20"/>
          <w:szCs w:val="20"/>
          <w:color w:val="auto"/>
        </w:rPr>
        <w:t>Related production costs, including depreciation of assets used during commissioning, were recorded a inventory and recognized in cost of sales when the associated inventory was sold. These revenues an costs were not offset against CIP, as they did not represent costs necessary to bring the assets to th condition required for their intended use.</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Mineral properties and exploration and evaluation expenditures</w:t>
      </w:r>
    </w:p>
    <w:p>
      <w:pPr>
        <w:spacing w:after="0" w:line="319" w:lineRule="exact"/>
        <w:rPr>
          <w:sz w:val="20"/>
          <w:szCs w:val="20"/>
          <w:color w:val="auto"/>
        </w:rPr>
      </w:pPr>
    </w:p>
    <w:p>
      <w:pPr>
        <w:jc w:val="both"/>
        <w:ind w:left="1260" w:right="20"/>
        <w:spacing w:after="0" w:line="312" w:lineRule="auto"/>
        <w:rPr>
          <w:sz w:val="20"/>
          <w:szCs w:val="20"/>
          <w:color w:val="auto"/>
        </w:rPr>
      </w:pPr>
      <w:r>
        <w:rPr>
          <w:rFonts w:ascii="Arial" w:cs="Arial" w:eastAsia="Arial" w:hAnsi="Arial"/>
          <w:sz w:val="20"/>
          <w:szCs w:val="20"/>
          <w:color w:val="auto"/>
        </w:rPr>
        <w:t>Exploration and evaluation (“E&amp;E”) expenditures are expensed as incurred until the technical feasibilit and commercial viability of extracting mineral resources have been demonstrated. This assessment i based on factors such as the existence of mineral reserves or resources supported by technical studie and the status of mining rights and required permits.</w:t>
      </w:r>
    </w:p>
    <w:p>
      <w:pPr>
        <w:spacing w:after="0" w:line="252" w:lineRule="exact"/>
        <w:rPr>
          <w:sz w:val="20"/>
          <w:szCs w:val="20"/>
          <w:color w:val="auto"/>
        </w:rPr>
      </w:pPr>
    </w:p>
    <w:p>
      <w:pPr>
        <w:jc w:val="both"/>
        <w:ind w:left="1260" w:right="40"/>
        <w:spacing w:after="0" w:line="307" w:lineRule="auto"/>
        <w:rPr>
          <w:sz w:val="20"/>
          <w:szCs w:val="20"/>
          <w:color w:val="auto"/>
        </w:rPr>
      </w:pPr>
      <w:r>
        <w:rPr>
          <w:rFonts w:ascii="Arial" w:cs="Arial" w:eastAsia="Arial" w:hAnsi="Arial"/>
          <w:sz w:val="20"/>
          <w:szCs w:val="20"/>
          <w:color w:val="auto"/>
        </w:rPr>
        <w:t>Acquisition costs and claim maintenance costs, including option payments and annual fees required t maintain mineral properties in good standing, are capitalized on a property-by-property basis.</w:t>
      </w:r>
    </w:p>
    <w:p>
      <w:pPr>
        <w:spacing w:after="0" w:line="255" w:lineRule="exact"/>
        <w:rPr>
          <w:sz w:val="20"/>
          <w:szCs w:val="20"/>
          <w:color w:val="auto"/>
        </w:rPr>
      </w:pPr>
    </w:p>
    <w:p>
      <w:pPr>
        <w:jc w:val="both"/>
        <w:ind w:left="1260" w:right="40"/>
        <w:spacing w:after="0" w:line="307" w:lineRule="auto"/>
        <w:rPr>
          <w:sz w:val="20"/>
          <w:szCs w:val="20"/>
          <w:color w:val="auto"/>
        </w:rPr>
      </w:pPr>
      <w:r>
        <w:rPr>
          <w:rFonts w:ascii="Arial" w:cs="Arial" w:eastAsia="Arial" w:hAnsi="Arial"/>
          <w:sz w:val="20"/>
          <w:szCs w:val="20"/>
          <w:color w:val="auto"/>
        </w:rPr>
        <w:t>Expenditures incurred in the geological formation of an existing operation (brownfield exploration) ar capitalized when it is expected that they will result in future economic benefits.</w:t>
      </w:r>
    </w:p>
    <w:p>
      <w:pPr>
        <w:spacing w:after="0" w:line="255" w:lineRule="exact"/>
        <w:rPr>
          <w:sz w:val="20"/>
          <w:szCs w:val="20"/>
          <w:color w:val="auto"/>
        </w:rPr>
      </w:pPr>
    </w:p>
    <w:p>
      <w:pPr>
        <w:ind w:left="1260"/>
        <w:spacing w:after="0" w:line="307" w:lineRule="auto"/>
        <w:rPr>
          <w:sz w:val="20"/>
          <w:szCs w:val="20"/>
          <w:color w:val="auto"/>
        </w:rPr>
      </w:pPr>
      <w:r>
        <w:rPr>
          <w:rFonts w:ascii="Arial" w:cs="Arial" w:eastAsia="Arial" w:hAnsi="Arial"/>
          <w:sz w:val="20"/>
          <w:szCs w:val="20"/>
          <w:color w:val="auto"/>
        </w:rPr>
        <w:t>Once technical feasibility and commercial viability are demonstrated, the related E&amp;E assets are reclassified to Mineral Properties costs.</w:t>
      </w:r>
    </w:p>
    <w:p>
      <w:pPr>
        <w:spacing w:after="0" w:line="248"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Development expenditures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10 / 58</w:t>
      </w:r>
    </w:p>
    <w:p>
      <w:pPr>
        <w:sectPr>
          <w:pgSz w:w="11900" w:h="16838" w:orient="portrait"/>
          <w:cols w:equalWidth="0" w:num="1">
            <w:col w:w="10460"/>
          </w:cols>
          <w:pgMar w:left="1440" w:top="1440" w:right="6" w:bottom="0" w:gutter="0" w:footer="0" w:header="0"/>
          <w:type w:val="continuous"/>
        </w:sectPr>
      </w:pPr>
    </w:p>
    <w:bookmarkStart w:id="622" w:name="page623"/>
    <w:bookmarkEnd w:id="622"/>
    <w:p>
      <w:pPr>
        <w:jc w:val="both"/>
        <w:ind w:left="1260"/>
        <w:spacing w:after="0" w:line="312" w:lineRule="auto"/>
        <w:rPr>
          <w:sz w:val="20"/>
          <w:szCs w:val="20"/>
          <w:color w:val="auto"/>
        </w:rPr>
      </w:pPr>
      <w:r>
        <w:rPr>
          <w:rFonts w:ascii="Arial" w:cs="Arial" w:eastAsia="Arial" w:hAnsi="Arial"/>
          <w:sz w:val="20"/>
          <w:szCs w:val="20"/>
          <w:color w:val="auto"/>
        </w:rPr>
        <w:t>Development expenditures include costs that directly contribute to preparing a mining property fo commercial production. These typically include engineering and construction activities, mine and infrastructure development, pre-production operations, commissioning activities, and related directly attributable costs.</w:t>
      </w:r>
    </w:p>
    <w:p>
      <w:pPr>
        <w:spacing w:after="0" w:line="252" w:lineRule="exact"/>
        <w:rPr>
          <w:sz w:val="20"/>
          <w:szCs w:val="20"/>
          <w:color w:val="auto"/>
        </w:rPr>
      </w:pPr>
    </w:p>
    <w:p>
      <w:pPr>
        <w:jc w:val="both"/>
        <w:ind w:left="1260"/>
        <w:spacing w:after="0" w:line="307" w:lineRule="auto"/>
        <w:rPr>
          <w:sz w:val="20"/>
          <w:szCs w:val="20"/>
          <w:color w:val="auto"/>
        </w:rPr>
      </w:pPr>
      <w:r>
        <w:rPr>
          <w:rFonts w:ascii="Arial" w:cs="Arial" w:eastAsia="Arial" w:hAnsi="Arial"/>
          <w:sz w:val="20"/>
          <w:szCs w:val="20"/>
          <w:color w:val="auto"/>
        </w:rPr>
        <w:t>Capitalized development expenditures are not amortized until the relevant area of the operation is available for use, which corresponds to the commencement of commercial production.</w:t>
      </w:r>
    </w:p>
    <w:p>
      <w:pPr>
        <w:spacing w:after="0" w:line="248"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Amortization</w:t>
      </w:r>
    </w:p>
    <w:p>
      <w:pPr>
        <w:spacing w:after="0" w:line="319" w:lineRule="exact"/>
        <w:rPr>
          <w:sz w:val="20"/>
          <w:szCs w:val="20"/>
          <w:color w:val="auto"/>
        </w:rPr>
      </w:pPr>
    </w:p>
    <w:p>
      <w:pPr>
        <w:jc w:val="both"/>
        <w:ind w:left="1260" w:right="20"/>
        <w:spacing w:after="0" w:line="311" w:lineRule="auto"/>
        <w:rPr>
          <w:sz w:val="20"/>
          <w:szCs w:val="20"/>
          <w:color w:val="auto"/>
        </w:rPr>
      </w:pPr>
      <w:r>
        <w:rPr>
          <w:rFonts w:ascii="Arial" w:cs="Arial" w:eastAsia="Arial" w:hAnsi="Arial"/>
          <w:sz w:val="20"/>
          <w:szCs w:val="20"/>
          <w:color w:val="auto"/>
        </w:rPr>
        <w:t>Once an area of interest reaches commercial production, development assets are amortized over th expected useful life of the related mineral reserves or production units, on a systematic basis appropriat to the economic consumption of the underlying resources.</w:t>
      </w:r>
    </w:p>
    <w:p>
      <w:pPr>
        <w:spacing w:after="0" w:line="137"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9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11 / 58</w:t>
      </w:r>
    </w:p>
    <w:p>
      <w:pPr>
        <w:sectPr>
          <w:pgSz w:w="11900" w:h="16838" w:orient="portrait"/>
          <w:cols w:equalWidth="0" w:num="1">
            <w:col w:w="10460"/>
          </w:cols>
          <w:pgMar w:left="1440" w:top="1172" w:right="6" w:bottom="0" w:gutter="0" w:footer="0" w:header="0"/>
          <w:type w:val="continuous"/>
        </w:sectPr>
      </w:pPr>
    </w:p>
    <w:bookmarkStart w:id="623" w:name="page624"/>
    <w:bookmarkEnd w:id="623"/>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3. SUMMARY OF MATERIAL ACCOUNTING POLICIES </w:t>
      </w:r>
      <w:r>
        <w:rPr>
          <w:rFonts w:ascii="Arial" w:cs="Arial" w:eastAsia="Arial" w:hAnsi="Arial"/>
          <w:sz w:val="20"/>
          <w:szCs w:val="20"/>
          <w:i w:val="1"/>
          <w:iCs w:val="1"/>
          <w:color w:val="auto"/>
        </w:rPr>
        <w:t>(continued)</w:t>
      </w:r>
    </w:p>
    <w:p>
      <w:pPr>
        <w:spacing w:after="0" w:line="319" w:lineRule="exact"/>
        <w:rPr>
          <w:sz w:val="20"/>
          <w:szCs w:val="20"/>
          <w:color w:val="auto"/>
        </w:rPr>
      </w:pPr>
    </w:p>
    <w:p>
      <w:pPr>
        <w:jc w:val="both"/>
        <w:ind w:left="1260"/>
        <w:spacing w:after="0" w:line="312" w:lineRule="auto"/>
        <w:rPr>
          <w:sz w:val="20"/>
          <w:szCs w:val="20"/>
          <w:color w:val="auto"/>
        </w:rPr>
      </w:pPr>
      <w:r>
        <w:rPr>
          <w:rFonts w:ascii="Arial" w:cs="Arial" w:eastAsia="Arial" w:hAnsi="Arial"/>
          <w:sz w:val="20"/>
          <w:szCs w:val="20"/>
          <w:color w:val="auto"/>
        </w:rPr>
        <w:t>Upon reaching commercial production, capitalised costs are not reclassified to property, plant and equipment but continue to be presented within mineral properties on the statement of financial position These assets are accounted for in accordance with IAS 16 and depreciated on a units-of-production bas over the expected useful life of the related proven and probable mineral reserves.</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Impairment of Exploration and Evaluation Assets</w:t>
      </w:r>
    </w:p>
    <w:p>
      <w:pPr>
        <w:spacing w:after="0" w:line="319" w:lineRule="exact"/>
        <w:rPr>
          <w:sz w:val="20"/>
          <w:szCs w:val="20"/>
          <w:color w:val="auto"/>
        </w:rPr>
      </w:pPr>
    </w:p>
    <w:p>
      <w:pPr>
        <w:jc w:val="both"/>
        <w:ind w:left="1260"/>
        <w:spacing w:after="0" w:line="307" w:lineRule="auto"/>
        <w:rPr>
          <w:sz w:val="20"/>
          <w:szCs w:val="20"/>
          <w:color w:val="auto"/>
        </w:rPr>
      </w:pPr>
      <w:r>
        <w:rPr>
          <w:rFonts w:ascii="Arial" w:cs="Arial" w:eastAsia="Arial" w:hAnsi="Arial"/>
          <w:sz w:val="20"/>
          <w:szCs w:val="20"/>
          <w:color w:val="auto"/>
        </w:rPr>
        <w:t>E&amp;E assets are assessed for impairment when facts and circumstances suggest that their carrying amount may not be recoverable. Indicators of impairment include, but are not limited to:</w:t>
      </w:r>
    </w:p>
    <w:p>
      <w:pPr>
        <w:spacing w:after="0" w:line="354" w:lineRule="exact"/>
        <w:rPr>
          <w:sz w:val="20"/>
          <w:szCs w:val="20"/>
          <w:color w:val="auto"/>
        </w:rPr>
      </w:pPr>
    </w:p>
    <w:p>
      <w:pPr>
        <w:ind w:left="1980" w:hanging="366"/>
        <w:spacing w:after="0"/>
        <w:tabs>
          <w:tab w:leader="none" w:pos="1980" w:val="left"/>
        </w:tabs>
        <w:numPr>
          <w:ilvl w:val="0"/>
          <w:numId w:val="297"/>
        </w:numPr>
        <w:rPr>
          <w:rFonts w:ascii="Arial" w:cs="Arial" w:eastAsia="Arial" w:hAnsi="Arial"/>
          <w:sz w:val="20"/>
          <w:szCs w:val="20"/>
          <w:color w:val="auto"/>
        </w:rPr>
      </w:pPr>
      <w:r>
        <w:rPr>
          <w:rFonts w:ascii="Arial" w:cs="Arial" w:eastAsia="Arial" w:hAnsi="Arial"/>
          <w:sz w:val="20"/>
          <w:szCs w:val="20"/>
          <w:color w:val="auto"/>
        </w:rPr>
        <w:t>the expiry or expected expiry of exploration rights in a specific area;</w:t>
      </w:r>
    </w:p>
    <w:p>
      <w:pPr>
        <w:spacing w:after="0" w:line="130" w:lineRule="exact"/>
        <w:rPr>
          <w:rFonts w:ascii="Arial" w:cs="Arial" w:eastAsia="Arial" w:hAnsi="Arial"/>
          <w:sz w:val="20"/>
          <w:szCs w:val="20"/>
          <w:color w:val="auto"/>
        </w:rPr>
      </w:pPr>
    </w:p>
    <w:p>
      <w:pPr>
        <w:ind w:left="1980" w:hanging="366"/>
        <w:spacing w:after="0"/>
        <w:tabs>
          <w:tab w:leader="none" w:pos="1980" w:val="left"/>
        </w:tabs>
        <w:numPr>
          <w:ilvl w:val="0"/>
          <w:numId w:val="297"/>
        </w:numPr>
        <w:rPr>
          <w:rFonts w:ascii="Arial" w:cs="Arial" w:eastAsia="Arial" w:hAnsi="Arial"/>
          <w:sz w:val="20"/>
          <w:szCs w:val="20"/>
          <w:color w:val="auto"/>
        </w:rPr>
      </w:pPr>
      <w:r>
        <w:rPr>
          <w:rFonts w:ascii="Arial" w:cs="Arial" w:eastAsia="Arial" w:hAnsi="Arial"/>
          <w:sz w:val="20"/>
          <w:szCs w:val="20"/>
          <w:color w:val="auto"/>
        </w:rPr>
        <w:t>a decision not to budget or conduct further exploration;</w:t>
      </w:r>
    </w:p>
    <w:p>
      <w:pPr>
        <w:spacing w:after="0" w:line="130" w:lineRule="exact"/>
        <w:rPr>
          <w:rFonts w:ascii="Arial" w:cs="Arial" w:eastAsia="Arial" w:hAnsi="Arial"/>
          <w:sz w:val="20"/>
          <w:szCs w:val="20"/>
          <w:color w:val="auto"/>
        </w:rPr>
      </w:pPr>
    </w:p>
    <w:p>
      <w:pPr>
        <w:ind w:left="1980" w:hanging="366"/>
        <w:spacing w:after="0"/>
        <w:tabs>
          <w:tab w:leader="none" w:pos="1980" w:val="left"/>
        </w:tabs>
        <w:numPr>
          <w:ilvl w:val="0"/>
          <w:numId w:val="297"/>
        </w:numPr>
        <w:rPr>
          <w:rFonts w:ascii="Arial" w:cs="Arial" w:eastAsia="Arial" w:hAnsi="Arial"/>
          <w:sz w:val="20"/>
          <w:szCs w:val="20"/>
          <w:color w:val="auto"/>
        </w:rPr>
      </w:pPr>
      <w:r>
        <w:rPr>
          <w:rFonts w:ascii="Arial" w:cs="Arial" w:eastAsia="Arial" w:hAnsi="Arial"/>
          <w:sz w:val="20"/>
          <w:szCs w:val="20"/>
          <w:color w:val="auto"/>
        </w:rPr>
        <w:t>a lack of discovery of commercially viable resources; and</w:t>
      </w:r>
    </w:p>
    <w:p>
      <w:pPr>
        <w:spacing w:after="0" w:line="137" w:lineRule="exact"/>
        <w:rPr>
          <w:rFonts w:ascii="Arial" w:cs="Arial" w:eastAsia="Arial" w:hAnsi="Arial"/>
          <w:sz w:val="20"/>
          <w:szCs w:val="20"/>
          <w:color w:val="auto"/>
        </w:rPr>
      </w:pPr>
    </w:p>
    <w:p>
      <w:pPr>
        <w:ind w:left="1980" w:hanging="366"/>
        <w:spacing w:after="0" w:line="368" w:lineRule="auto"/>
        <w:tabs>
          <w:tab w:leader="none" w:pos="1980" w:val="left"/>
        </w:tabs>
        <w:numPr>
          <w:ilvl w:val="0"/>
          <w:numId w:val="297"/>
        </w:numPr>
        <w:rPr>
          <w:rFonts w:ascii="Arial" w:cs="Arial" w:eastAsia="Arial" w:hAnsi="Arial"/>
          <w:sz w:val="20"/>
          <w:szCs w:val="20"/>
          <w:color w:val="auto"/>
        </w:rPr>
      </w:pPr>
      <w:r>
        <w:rPr>
          <w:rFonts w:ascii="Arial" w:cs="Arial" w:eastAsia="Arial" w:hAnsi="Arial"/>
          <w:sz w:val="20"/>
          <w:szCs w:val="20"/>
          <w:color w:val="auto"/>
        </w:rPr>
        <w:t>information indicating that the carrying amount is unlikely to be recovered from development o sale.</w:t>
      </w:r>
    </w:p>
    <w:p>
      <w:pPr>
        <w:spacing w:after="0" w:line="211" w:lineRule="exact"/>
        <w:rPr>
          <w:sz w:val="20"/>
          <w:szCs w:val="20"/>
          <w:color w:val="auto"/>
        </w:rPr>
      </w:pPr>
    </w:p>
    <w:p>
      <w:pPr>
        <w:ind w:left="1260" w:right="40"/>
        <w:spacing w:after="0" w:line="307" w:lineRule="auto"/>
        <w:rPr>
          <w:sz w:val="20"/>
          <w:szCs w:val="20"/>
          <w:color w:val="auto"/>
        </w:rPr>
      </w:pPr>
      <w:r>
        <w:rPr>
          <w:rFonts w:ascii="Arial" w:cs="Arial" w:eastAsia="Arial" w:hAnsi="Arial"/>
          <w:sz w:val="20"/>
          <w:szCs w:val="20"/>
          <w:color w:val="auto"/>
        </w:rPr>
        <w:t>When an impairment indicator is identified, the affected asset is tested for impairment. If the carryin amount exceeds its recoverable amount, an impairment loss is recognized.</w:t>
      </w:r>
    </w:p>
    <w:p>
      <w:pPr>
        <w:spacing w:after="0" w:line="2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Impairment of non-current non-financial assets</w:t>
      </w:r>
    </w:p>
    <w:p>
      <w:pPr>
        <w:spacing w:after="0" w:line="319" w:lineRule="exact"/>
        <w:rPr>
          <w:sz w:val="20"/>
          <w:szCs w:val="20"/>
          <w:color w:val="auto"/>
        </w:rPr>
      </w:pPr>
    </w:p>
    <w:p>
      <w:pPr>
        <w:jc w:val="both"/>
        <w:ind w:left="1260"/>
        <w:spacing w:after="0" w:line="312" w:lineRule="auto"/>
        <w:rPr>
          <w:sz w:val="20"/>
          <w:szCs w:val="20"/>
          <w:color w:val="auto"/>
        </w:rPr>
      </w:pPr>
      <w:r>
        <w:rPr>
          <w:rFonts w:ascii="Arial" w:cs="Arial" w:eastAsia="Arial" w:hAnsi="Arial"/>
          <w:sz w:val="20"/>
          <w:szCs w:val="20"/>
          <w:color w:val="auto"/>
        </w:rPr>
        <w:t>The Company assesses, at each reporting date, whether there are any indicators that property, plant an equipment, exploration and evaluation assets, or other long-term non-financial assets may be impaired. any such indication exists, or when an impairment test is required, the recoverable amount of the asset o the cash-generating unit (“CGU”) to which it belongs is estimated.</w:t>
      </w:r>
    </w:p>
    <w:p>
      <w:pPr>
        <w:spacing w:after="0" w:line="252" w:lineRule="exact"/>
        <w:rPr>
          <w:sz w:val="20"/>
          <w:szCs w:val="20"/>
          <w:color w:val="auto"/>
        </w:rPr>
      </w:pPr>
    </w:p>
    <w:p>
      <w:pPr>
        <w:jc w:val="both"/>
        <w:ind w:left="1260"/>
        <w:spacing w:after="0" w:line="311" w:lineRule="auto"/>
        <w:rPr>
          <w:sz w:val="20"/>
          <w:szCs w:val="20"/>
          <w:color w:val="auto"/>
        </w:rPr>
      </w:pPr>
      <w:r>
        <w:rPr>
          <w:rFonts w:ascii="Arial" w:cs="Arial" w:eastAsia="Arial" w:hAnsi="Arial"/>
          <w:sz w:val="20"/>
          <w:szCs w:val="20"/>
          <w:color w:val="auto"/>
        </w:rPr>
        <w:t>For the purpose of impairment testing, assets are grouped into CGUs, being the lowest level for whic identifiable cash inflows are largely independent of the cash inflows of other assets or groups of assets The Company has a single project, and therefore only one CGU.</w:t>
      </w:r>
    </w:p>
    <w:p>
      <w:pPr>
        <w:spacing w:after="0" w:line="252" w:lineRule="exact"/>
        <w:rPr>
          <w:sz w:val="20"/>
          <w:szCs w:val="20"/>
          <w:color w:val="auto"/>
        </w:rPr>
      </w:pPr>
    </w:p>
    <w:p>
      <w:pPr>
        <w:jc w:val="both"/>
        <w:ind w:left="1260" w:right="20"/>
        <w:spacing w:after="0" w:line="307" w:lineRule="auto"/>
        <w:rPr>
          <w:sz w:val="20"/>
          <w:szCs w:val="20"/>
          <w:color w:val="auto"/>
        </w:rPr>
      </w:pPr>
      <w:r>
        <w:rPr>
          <w:rFonts w:ascii="Arial" w:cs="Arial" w:eastAsia="Arial" w:hAnsi="Arial"/>
          <w:sz w:val="20"/>
          <w:szCs w:val="20"/>
          <w:color w:val="auto"/>
        </w:rPr>
        <w:t>The recoverable amount of a CGU is the higher of its fair value less costs of disposal (“FVLCD”) and it value in use (“VIU”).</w:t>
      </w:r>
    </w:p>
    <w:p>
      <w:pPr>
        <w:spacing w:after="0" w:line="255" w:lineRule="exact"/>
        <w:rPr>
          <w:sz w:val="20"/>
          <w:szCs w:val="20"/>
          <w:color w:val="auto"/>
        </w:rPr>
      </w:pPr>
    </w:p>
    <w:p>
      <w:pPr>
        <w:jc w:val="both"/>
        <w:ind w:left="1260" w:right="20"/>
        <w:spacing w:after="0" w:line="307" w:lineRule="auto"/>
        <w:rPr>
          <w:sz w:val="20"/>
          <w:szCs w:val="20"/>
          <w:color w:val="auto"/>
        </w:rPr>
      </w:pPr>
      <w:r>
        <w:rPr>
          <w:rFonts w:ascii="Arial" w:cs="Arial" w:eastAsia="Arial" w:hAnsi="Arial"/>
          <w:sz w:val="20"/>
          <w:szCs w:val="20"/>
          <w:color w:val="auto"/>
        </w:rPr>
        <w:t>An impairment loss is recognized when the carrying amount exceeds the recoverable amount. Impairme losses are recognized in profit or loss.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12 / 58</w:t>
      </w:r>
    </w:p>
    <w:p>
      <w:pPr>
        <w:sectPr>
          <w:pgSz w:w="11900" w:h="16838" w:orient="portrait"/>
          <w:cols w:equalWidth="0" w:num="1">
            <w:col w:w="10460"/>
          </w:cols>
          <w:pgMar w:left="1440" w:top="1440" w:right="6" w:bottom="0" w:gutter="0" w:footer="0" w:header="0"/>
          <w:type w:val="continuous"/>
        </w:sectPr>
      </w:pPr>
    </w:p>
    <w:bookmarkStart w:id="624" w:name="page625"/>
    <w:bookmarkEnd w:id="624"/>
    <w:p>
      <w:pPr>
        <w:jc w:val="both"/>
        <w:ind w:left="1260"/>
        <w:spacing w:after="0" w:line="312" w:lineRule="auto"/>
        <w:rPr>
          <w:sz w:val="20"/>
          <w:szCs w:val="20"/>
          <w:color w:val="auto"/>
        </w:rPr>
      </w:pPr>
      <w:r>
        <w:rPr>
          <w:rFonts w:ascii="Arial" w:cs="Arial" w:eastAsia="Arial" w:hAnsi="Arial"/>
          <w:sz w:val="20"/>
          <w:szCs w:val="20"/>
          <w:color w:val="auto"/>
        </w:rPr>
        <w:t>If an impairment loss subsequently reverses, the carrying amount of the asset or CGU is increased to th revised estimate of its recoverable amount. The increased carrying amount may not exceed the amoun that would have been determined had no impairment loss been recognized in prior periods. Reversals o impairment are recognized in profit or loss.</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Inventory</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Inventories are measured at the lower of cost and net realizable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9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13 / 58</w:t>
      </w:r>
    </w:p>
    <w:p>
      <w:pPr>
        <w:sectPr>
          <w:pgSz w:w="11900" w:h="16838" w:orient="portrait"/>
          <w:cols w:equalWidth="0" w:num="1">
            <w:col w:w="10460"/>
          </w:cols>
          <w:pgMar w:left="1440" w:top="1172" w:right="6" w:bottom="0" w:gutter="0" w:footer="0" w:header="0"/>
          <w:type w:val="continuous"/>
        </w:sectPr>
      </w:pPr>
    </w:p>
    <w:bookmarkStart w:id="625" w:name="page626"/>
    <w:bookmarkEnd w:id="625"/>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3. SUMMARY OF MATERIAL ACCOUNTING POLICIES </w:t>
      </w:r>
      <w:r>
        <w:rPr>
          <w:rFonts w:ascii="Arial" w:cs="Arial" w:eastAsia="Arial" w:hAnsi="Arial"/>
          <w:sz w:val="20"/>
          <w:szCs w:val="20"/>
          <w:i w:val="1"/>
          <w:iCs w:val="1"/>
          <w:color w:val="auto"/>
        </w:rPr>
        <w:t>(continued)</w:t>
      </w:r>
    </w:p>
    <w:p>
      <w:pPr>
        <w:spacing w:after="0" w:line="319" w:lineRule="exact"/>
        <w:rPr>
          <w:sz w:val="20"/>
          <w:szCs w:val="20"/>
          <w:color w:val="auto"/>
        </w:rPr>
      </w:pPr>
    </w:p>
    <w:p>
      <w:pPr>
        <w:jc w:val="both"/>
        <w:ind w:left="1260"/>
        <w:spacing w:after="0" w:line="312" w:lineRule="auto"/>
        <w:rPr>
          <w:sz w:val="20"/>
          <w:szCs w:val="20"/>
          <w:color w:val="auto"/>
        </w:rPr>
      </w:pPr>
      <w:r>
        <w:rPr>
          <w:rFonts w:ascii="Arial" w:cs="Arial" w:eastAsia="Arial" w:hAnsi="Arial"/>
          <w:sz w:val="20"/>
          <w:szCs w:val="20"/>
          <w:color w:val="auto"/>
        </w:rPr>
        <w:t>Cost includes the cost of materials, direct labor, and a systematic allocation of fixed and variable production overheads incurred in bringing inventories to their present location and condition. Fixed overheads are allocated to inventory based on normal production capacity. Cost is determined using th weighted average cost method.</w:t>
      </w:r>
    </w:p>
    <w:p>
      <w:pPr>
        <w:spacing w:after="0" w:line="252" w:lineRule="exact"/>
        <w:rPr>
          <w:sz w:val="20"/>
          <w:szCs w:val="20"/>
          <w:color w:val="auto"/>
        </w:rPr>
      </w:pPr>
    </w:p>
    <w:p>
      <w:pPr>
        <w:jc w:val="both"/>
        <w:ind w:left="1260" w:right="20"/>
        <w:spacing w:after="0" w:line="311" w:lineRule="auto"/>
        <w:rPr>
          <w:sz w:val="20"/>
          <w:szCs w:val="20"/>
          <w:color w:val="auto"/>
        </w:rPr>
      </w:pPr>
      <w:r>
        <w:rPr>
          <w:rFonts w:ascii="Arial" w:cs="Arial" w:eastAsia="Arial" w:hAnsi="Arial"/>
          <w:sz w:val="20"/>
          <w:szCs w:val="20"/>
          <w:color w:val="auto"/>
        </w:rPr>
        <w:t>Raw materials and consumables are stated at acquisition cost. Work in progress and finished goods ar stated at production cost, which includes direct costs of extraction and processing, labor, and allocate production overheads such as depreciation of production-related assets and site operating costs.</w:t>
      </w:r>
    </w:p>
    <w:p>
      <w:pPr>
        <w:spacing w:after="0" w:line="252" w:lineRule="exact"/>
        <w:rPr>
          <w:sz w:val="20"/>
          <w:szCs w:val="20"/>
          <w:color w:val="auto"/>
        </w:rPr>
      </w:pPr>
    </w:p>
    <w:p>
      <w:pPr>
        <w:jc w:val="both"/>
        <w:ind w:left="1260" w:right="20"/>
        <w:spacing w:after="0" w:line="311" w:lineRule="auto"/>
        <w:rPr>
          <w:sz w:val="20"/>
          <w:szCs w:val="20"/>
          <w:color w:val="auto"/>
        </w:rPr>
      </w:pPr>
      <w:r>
        <w:rPr>
          <w:rFonts w:ascii="Arial" w:cs="Arial" w:eastAsia="Arial" w:hAnsi="Arial"/>
          <w:sz w:val="20"/>
          <w:szCs w:val="20"/>
          <w:color w:val="auto"/>
        </w:rPr>
        <w:t>Brine inventories include costs associated with extraction, concentration, and handling activities up to th point at which the brine is transferred for processing. These costs include direct operating costs and a appropriate allocation of production overheads.</w:t>
      </w:r>
    </w:p>
    <w:p>
      <w:pPr>
        <w:spacing w:after="0" w:line="252" w:lineRule="exact"/>
        <w:rPr>
          <w:sz w:val="20"/>
          <w:szCs w:val="20"/>
          <w:color w:val="auto"/>
        </w:rPr>
      </w:pPr>
    </w:p>
    <w:p>
      <w:pPr>
        <w:ind w:left="1260"/>
        <w:spacing w:after="0" w:line="312" w:lineRule="auto"/>
        <w:rPr>
          <w:sz w:val="20"/>
          <w:szCs w:val="20"/>
          <w:color w:val="auto"/>
        </w:rPr>
      </w:pPr>
      <w:r>
        <w:rPr>
          <w:rFonts w:ascii="Arial" w:cs="Arial" w:eastAsia="Arial" w:hAnsi="Arial"/>
          <w:sz w:val="20"/>
          <w:szCs w:val="20"/>
          <w:color w:val="auto"/>
        </w:rPr>
        <w:t>Net realizable value is the estimated selling price in the ordinary course of business, less estimated cost of completion and the costs necessary to make the sale. Inventory write-downs to net realizable value ar recognized when the carrying amount exceeds net realizable value. Write-downs may be reversed in subsequent period if the circumstances that caused the write-down no longer exist.</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Provisions</w:t>
      </w:r>
    </w:p>
    <w:p>
      <w:pPr>
        <w:spacing w:after="0" w:line="319"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The Company’s provisions for reclamation and closure represent management’s best estimate of th present value of the future cash outflows required to restore and rehabilitate areas disturbed by th Cauchari-Olaroz brine operation. These estimates incorporate assumptions regarding the scope o rehabilitation activities, timing of cash outflows, inflation, foreign exchange rates, and discount rates tha reflect current market assessments of the time value of money and the risks specific to the obligation.</w:t>
      </w:r>
    </w:p>
    <w:p>
      <w:pPr>
        <w:spacing w:after="0" w:line="250" w:lineRule="exact"/>
        <w:rPr>
          <w:sz w:val="20"/>
          <w:szCs w:val="20"/>
          <w:color w:val="auto"/>
        </w:rPr>
      </w:pPr>
    </w:p>
    <w:p>
      <w:pPr>
        <w:jc w:val="both"/>
        <w:ind w:left="1260"/>
        <w:spacing w:after="0" w:line="312" w:lineRule="auto"/>
        <w:rPr>
          <w:sz w:val="20"/>
          <w:szCs w:val="20"/>
          <w:color w:val="auto"/>
        </w:rPr>
      </w:pPr>
      <w:r>
        <w:rPr>
          <w:rFonts w:ascii="Arial" w:cs="Arial" w:eastAsia="Arial" w:hAnsi="Arial"/>
          <w:sz w:val="20"/>
          <w:szCs w:val="20"/>
          <w:color w:val="auto"/>
        </w:rPr>
        <w:t>Reclamation and closure provisions are reviewed at each reporting date and adjusted to reflect change in estimated future cash flows, timing, and discount rates. Increases or decreases in the provision resulting from changes in estimates or discount rates are recorded as adjustments to the related asset while accretion arising from the passage of time is recognized in finance costs.</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Loans and borrowings</w:t>
      </w:r>
    </w:p>
    <w:p>
      <w:pPr>
        <w:spacing w:after="0" w:line="319" w:lineRule="exact"/>
        <w:rPr>
          <w:sz w:val="20"/>
          <w:szCs w:val="20"/>
          <w:color w:val="auto"/>
        </w:rPr>
      </w:pPr>
    </w:p>
    <w:p>
      <w:pPr>
        <w:jc w:val="both"/>
        <w:ind w:left="1260" w:right="20"/>
        <w:spacing w:after="0" w:line="307" w:lineRule="auto"/>
        <w:rPr>
          <w:sz w:val="20"/>
          <w:szCs w:val="20"/>
          <w:color w:val="auto"/>
        </w:rPr>
      </w:pPr>
      <w:r>
        <w:rPr>
          <w:rFonts w:ascii="Arial" w:cs="Arial" w:eastAsia="Arial" w:hAnsi="Arial"/>
          <w:sz w:val="20"/>
          <w:szCs w:val="20"/>
          <w:color w:val="auto"/>
        </w:rPr>
        <w:t>Loans and borrowings are initially recognized at fair value net of transaction costs and are subsequentl measured at amortized cost using the effective interest method.</w:t>
      </w:r>
    </w:p>
    <w:p>
      <w:pPr>
        <w:spacing w:after="0" w:line="2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Share Capital</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14 / 58</w:t>
      </w:r>
    </w:p>
    <w:p>
      <w:pPr>
        <w:sectPr>
          <w:pgSz w:w="11900" w:h="16838" w:orient="portrait"/>
          <w:cols w:equalWidth="0" w:num="1">
            <w:col w:w="10460"/>
          </w:cols>
          <w:pgMar w:left="1440" w:top="1440" w:right="6" w:bottom="0" w:gutter="0" w:footer="0" w:header="0"/>
          <w:type w:val="continuous"/>
        </w:sectPr>
      </w:pPr>
    </w:p>
    <w:bookmarkStart w:id="626" w:name="page627"/>
    <w:bookmarkEnd w:id="626"/>
    <w:p>
      <w:pPr>
        <w:ind w:left="1260" w:right="20"/>
        <w:spacing w:after="0" w:line="307" w:lineRule="auto"/>
        <w:rPr>
          <w:sz w:val="20"/>
          <w:szCs w:val="20"/>
          <w:color w:val="auto"/>
        </w:rPr>
      </w:pPr>
      <w:r>
        <w:rPr>
          <w:rFonts w:ascii="Arial" w:cs="Arial" w:eastAsia="Arial" w:hAnsi="Arial"/>
          <w:sz w:val="20"/>
          <w:szCs w:val="20"/>
          <w:color w:val="auto"/>
        </w:rPr>
        <w:t>The share capital has been expressed at its historical nominal value, maintaining its balance in Argentin pesos for legal purposes.</w:t>
      </w:r>
    </w:p>
    <w:p>
      <w:pPr>
        <w:spacing w:after="0" w:line="2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Revenue recognition</w:t>
      </w:r>
    </w:p>
    <w:p>
      <w:pPr>
        <w:spacing w:after="0" w:line="319"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Revenue from the sale of lithium carbonate is recognized at a point in time when control of the produc transfers to the customer. Control transfers when the shipment is loaded aboard the vessel arranged o accepted by the customer, or when delivery is made to another location specified in the contract. Ther are no remaining performance obligations that would affect the customer’s ability to accept the produc once control has transferred.</w:t>
      </w:r>
    </w:p>
    <w:p>
      <w:pPr>
        <w:spacing w:after="0" w:line="135"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9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15 / 58</w:t>
      </w:r>
    </w:p>
    <w:p>
      <w:pPr>
        <w:sectPr>
          <w:pgSz w:w="11900" w:h="16838" w:orient="portrait"/>
          <w:cols w:equalWidth="0" w:num="1">
            <w:col w:w="10460"/>
          </w:cols>
          <w:pgMar w:left="1440" w:top="1172" w:right="6" w:bottom="0" w:gutter="0" w:footer="0" w:header="0"/>
          <w:type w:val="continuous"/>
        </w:sectPr>
      </w:pPr>
    </w:p>
    <w:bookmarkStart w:id="627" w:name="page628"/>
    <w:bookmarkEnd w:id="627"/>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3. SUMMARY OF MATERIAL ACCOUNTING POLICIES </w:t>
      </w:r>
      <w:r>
        <w:rPr>
          <w:rFonts w:ascii="Arial" w:cs="Arial" w:eastAsia="Arial" w:hAnsi="Arial"/>
          <w:sz w:val="20"/>
          <w:szCs w:val="20"/>
          <w:i w:val="1"/>
          <w:iCs w:val="1"/>
          <w:color w:val="auto"/>
        </w:rPr>
        <w:t>(continued)</w:t>
      </w:r>
    </w:p>
    <w:p>
      <w:pPr>
        <w:spacing w:after="0" w:line="319" w:lineRule="exact"/>
        <w:rPr>
          <w:sz w:val="20"/>
          <w:szCs w:val="20"/>
          <w:color w:val="auto"/>
        </w:rPr>
      </w:pPr>
    </w:p>
    <w:p>
      <w:pPr>
        <w:jc w:val="both"/>
        <w:ind w:left="1260"/>
        <w:spacing w:after="0" w:line="312" w:lineRule="auto"/>
        <w:rPr>
          <w:sz w:val="20"/>
          <w:szCs w:val="20"/>
          <w:color w:val="auto"/>
        </w:rPr>
      </w:pPr>
      <w:r>
        <w:rPr>
          <w:rFonts w:ascii="Arial" w:cs="Arial" w:eastAsia="Arial" w:hAnsi="Arial"/>
          <w:sz w:val="20"/>
          <w:szCs w:val="20"/>
          <w:color w:val="auto"/>
        </w:rPr>
        <w:t>The transaction price is based on quoted market prices for lithium carbonate of comparable grade, wit the pricing reference date specified contractually prior to export. The price is fixed at the time of shipmen and is not subject to subsequent adjustment for market price movements or other factors. Quality-relate price</w:t>
      </w:r>
    </w:p>
    <w:p>
      <w:pPr>
        <w:spacing w:after="0" w:line="252" w:lineRule="exact"/>
        <w:rPr>
          <w:sz w:val="20"/>
          <w:szCs w:val="20"/>
          <w:color w:val="auto"/>
        </w:rPr>
      </w:pPr>
    </w:p>
    <w:p>
      <w:pPr>
        <w:jc w:val="both"/>
        <w:ind w:left="1260" w:right="20"/>
        <w:spacing w:after="0" w:line="307" w:lineRule="auto"/>
        <w:rPr>
          <w:sz w:val="20"/>
          <w:szCs w:val="20"/>
          <w:color w:val="auto"/>
        </w:rPr>
      </w:pPr>
      <w:r>
        <w:rPr>
          <w:rFonts w:ascii="Arial" w:cs="Arial" w:eastAsia="Arial" w:hAnsi="Arial"/>
          <w:sz w:val="20"/>
          <w:szCs w:val="20"/>
          <w:color w:val="auto"/>
        </w:rPr>
        <w:t>adjustments for product that does not meet contractual specifications are determined and agreed with th customer prior to shipment based on the Company’s testing and notification procedures.</w:t>
      </w:r>
    </w:p>
    <w:p>
      <w:pPr>
        <w:spacing w:after="0" w:line="255" w:lineRule="exact"/>
        <w:rPr>
          <w:sz w:val="20"/>
          <w:szCs w:val="20"/>
          <w:color w:val="auto"/>
        </w:rPr>
      </w:pPr>
    </w:p>
    <w:p>
      <w:pPr>
        <w:jc w:val="both"/>
        <w:ind w:left="1260" w:right="40"/>
        <w:spacing w:after="0" w:line="307" w:lineRule="auto"/>
        <w:rPr>
          <w:sz w:val="20"/>
          <w:szCs w:val="20"/>
          <w:color w:val="auto"/>
        </w:rPr>
      </w:pPr>
      <w:r>
        <w:rPr>
          <w:rFonts w:ascii="Arial" w:cs="Arial" w:eastAsia="Arial" w:hAnsi="Arial"/>
          <w:sz w:val="20"/>
          <w:szCs w:val="20"/>
          <w:color w:val="auto"/>
        </w:rPr>
        <w:t>Payment terms are short-term and consistent with standard commercial terms in the industry, and th Company has assessed that its contracts do not contain a significant financing component.</w:t>
      </w:r>
    </w:p>
    <w:p>
      <w:pPr>
        <w:spacing w:after="0" w:line="255" w:lineRule="exact"/>
        <w:rPr>
          <w:sz w:val="20"/>
          <w:szCs w:val="20"/>
          <w:color w:val="auto"/>
        </w:rPr>
      </w:pPr>
    </w:p>
    <w:p>
      <w:pPr>
        <w:ind w:left="1260"/>
        <w:spacing w:after="0" w:line="307" w:lineRule="auto"/>
        <w:rPr>
          <w:sz w:val="20"/>
          <w:szCs w:val="20"/>
          <w:color w:val="auto"/>
        </w:rPr>
      </w:pPr>
      <w:r>
        <w:rPr>
          <w:rFonts w:ascii="Arial" w:cs="Arial" w:eastAsia="Arial" w:hAnsi="Arial"/>
          <w:sz w:val="20"/>
          <w:szCs w:val="20"/>
          <w:color w:val="auto"/>
        </w:rPr>
        <w:t>Customer advances represent amounts received from customers in advance of the transfer of lithium carbonate and are recognized as revenue when control of the product transfers to the customer.</w:t>
      </w:r>
    </w:p>
    <w:p>
      <w:pPr>
        <w:spacing w:after="0" w:line="2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4. CHANGES IN ACCOUNTING STANDARDS</w:t>
      </w:r>
    </w:p>
    <w:p>
      <w:pPr>
        <w:spacing w:after="0" w:line="319" w:lineRule="exact"/>
        <w:rPr>
          <w:sz w:val="20"/>
          <w:szCs w:val="20"/>
          <w:color w:val="auto"/>
        </w:rPr>
      </w:pPr>
    </w:p>
    <w:p>
      <w:pPr>
        <w:jc w:val="both"/>
        <w:ind w:left="1260" w:right="20"/>
        <w:spacing w:after="0" w:line="307" w:lineRule="auto"/>
        <w:rPr>
          <w:sz w:val="20"/>
          <w:szCs w:val="20"/>
          <w:color w:val="auto"/>
        </w:rPr>
      </w:pPr>
      <w:r>
        <w:rPr>
          <w:rFonts w:ascii="Arial" w:cs="Arial" w:eastAsia="Arial" w:hAnsi="Arial"/>
          <w:sz w:val="20"/>
          <w:szCs w:val="20"/>
          <w:b w:val="1"/>
          <w:bCs w:val="1"/>
          <w:color w:val="auto"/>
        </w:rPr>
        <w:t>New accounting standards, amendments and interpretations issued by the IASB that are effectiv as of December 31, 2025 and have been adopted by the Company</w:t>
      </w:r>
    </w:p>
    <w:p>
      <w:pPr>
        <w:spacing w:after="0" w:line="248"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Amendments to IAS 21 - Lack of exchangeability</w:t>
      </w:r>
    </w:p>
    <w:p>
      <w:pPr>
        <w:spacing w:after="0" w:line="319" w:lineRule="exact"/>
        <w:rPr>
          <w:sz w:val="20"/>
          <w:szCs w:val="20"/>
          <w:color w:val="auto"/>
        </w:rPr>
      </w:pPr>
    </w:p>
    <w:p>
      <w:pPr>
        <w:jc w:val="both"/>
        <w:ind w:left="1260" w:right="20"/>
        <w:spacing w:after="0" w:line="312" w:lineRule="auto"/>
        <w:rPr>
          <w:sz w:val="20"/>
          <w:szCs w:val="20"/>
          <w:color w:val="auto"/>
        </w:rPr>
      </w:pPr>
      <w:r>
        <w:rPr>
          <w:rFonts w:ascii="Arial" w:cs="Arial" w:eastAsia="Arial" w:hAnsi="Arial"/>
          <w:sz w:val="20"/>
          <w:szCs w:val="20"/>
          <w:color w:val="auto"/>
        </w:rPr>
        <w:t>In August 2023, the IASB amended IAS 21 to add requirements to assist entities in determining whether currency is convertible into another currency and the spot exchange rate to use when it is not. Prior t these amendments, IAS 21 established the exchange rate to use when the lack of exchangeability i temporary, but not what to do when the lack of exchangeability is not temporary.</w:t>
      </w:r>
    </w:p>
    <w:p>
      <w:pPr>
        <w:spacing w:after="0" w:line="252" w:lineRule="exact"/>
        <w:rPr>
          <w:sz w:val="20"/>
          <w:szCs w:val="20"/>
          <w:color w:val="auto"/>
        </w:rPr>
      </w:pPr>
    </w:p>
    <w:p>
      <w:pPr>
        <w:jc w:val="both"/>
        <w:ind w:left="1260" w:right="20"/>
        <w:spacing w:after="0" w:line="312" w:lineRule="auto"/>
        <w:rPr>
          <w:sz w:val="20"/>
          <w:szCs w:val="20"/>
          <w:color w:val="auto"/>
        </w:rPr>
      </w:pPr>
      <w:r>
        <w:rPr>
          <w:rFonts w:ascii="Arial" w:cs="Arial" w:eastAsia="Arial" w:hAnsi="Arial"/>
          <w:sz w:val="20"/>
          <w:szCs w:val="20"/>
          <w:color w:val="auto"/>
        </w:rPr>
        <w:t>During fiscal year 2025, the Company applied the amendments to IAS 21 related to the “lack o exchangeability” between currencies, issued by the IASB in August 2023. These amendments provid clearer guidance for assessing whether a functional currency can be converted into another currency an for determining the appropriate spot exchange rate when such convertibility is restricted.</w:t>
      </w:r>
    </w:p>
    <w:p>
      <w:pPr>
        <w:spacing w:after="0" w:line="252" w:lineRule="exact"/>
        <w:rPr>
          <w:sz w:val="20"/>
          <w:szCs w:val="20"/>
          <w:color w:val="auto"/>
        </w:rPr>
      </w:pPr>
    </w:p>
    <w:p>
      <w:pPr>
        <w:ind w:left="1260"/>
        <w:spacing w:after="0" w:line="311" w:lineRule="auto"/>
        <w:rPr>
          <w:sz w:val="20"/>
          <w:szCs w:val="20"/>
          <w:color w:val="auto"/>
        </w:rPr>
      </w:pPr>
      <w:r>
        <w:rPr>
          <w:rFonts w:ascii="Arial" w:cs="Arial" w:eastAsia="Arial" w:hAnsi="Arial"/>
          <w:sz w:val="20"/>
          <w:szCs w:val="20"/>
          <w:color w:val="auto"/>
        </w:rPr>
        <w:t>The adoption of the amended IAS 21 did not result in a change in accounting policy, nor did it have material impact on the Company’s financial position, financial performance, or cash flows for the yea ended December 31, 2025.</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Translation to a Hyperinflationary Presentation Currency (effective 1 January 2027)</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16 / 58</w:t>
      </w:r>
    </w:p>
    <w:p>
      <w:pPr>
        <w:sectPr>
          <w:pgSz w:w="11900" w:h="16838" w:orient="portrait"/>
          <w:cols w:equalWidth="0" w:num="1">
            <w:col w:w="10460"/>
          </w:cols>
          <w:pgMar w:left="1440" w:top="1440" w:right="6" w:bottom="0" w:gutter="0" w:footer="0" w:header="0"/>
          <w:type w:val="continuous"/>
        </w:sectPr>
      </w:pPr>
    </w:p>
    <w:bookmarkStart w:id="628" w:name="page629"/>
    <w:bookmarkEnd w:id="628"/>
    <w:p>
      <w:pPr>
        <w:jc w:val="both"/>
        <w:ind w:left="1260"/>
        <w:spacing w:after="0" w:line="311" w:lineRule="auto"/>
        <w:rPr>
          <w:sz w:val="20"/>
          <w:szCs w:val="20"/>
          <w:color w:val="auto"/>
        </w:rPr>
      </w:pPr>
      <w:r>
        <w:rPr>
          <w:rFonts w:ascii="Arial" w:cs="Arial" w:eastAsia="Arial" w:hAnsi="Arial"/>
          <w:sz w:val="20"/>
          <w:szCs w:val="20"/>
          <w:color w:val="auto"/>
        </w:rPr>
        <w:t>In November 2025, the IASB issued amendments to IAS 21 The Effects of Changes in Foreign Exchang Rates addressing the translation requirements applicable when an entity's presentation currency is that o a hyperinflationary economy. The amendments apply where:</w:t>
      </w:r>
    </w:p>
    <w:p>
      <w:pPr>
        <w:spacing w:after="0" w:line="252" w:lineRule="exact"/>
        <w:rPr>
          <w:sz w:val="20"/>
          <w:szCs w:val="20"/>
          <w:color w:val="auto"/>
        </w:rPr>
      </w:pPr>
    </w:p>
    <w:p>
      <w:pPr>
        <w:ind w:left="1260" w:right="20" w:hanging="6"/>
        <w:spacing w:after="0" w:line="307" w:lineRule="auto"/>
        <w:tabs>
          <w:tab w:leader="none" w:pos="1517" w:val="left"/>
        </w:tabs>
        <w:numPr>
          <w:ilvl w:val="0"/>
          <w:numId w:val="298"/>
        </w:numPr>
        <w:rPr>
          <w:rFonts w:ascii="Arial" w:cs="Arial" w:eastAsia="Arial" w:hAnsi="Arial"/>
          <w:sz w:val="20"/>
          <w:szCs w:val="20"/>
          <w:color w:val="auto"/>
        </w:rPr>
      </w:pPr>
      <w:r>
        <w:rPr>
          <w:rFonts w:ascii="Arial" w:cs="Arial" w:eastAsia="Arial" w:hAnsi="Arial"/>
          <w:sz w:val="20"/>
          <w:szCs w:val="20"/>
          <w:color w:val="auto"/>
        </w:rPr>
        <w:t>the entity's functional currency is that of a non-hyperinflationary economy and it is required to translat its results and financial position into the currency of a hyperinflationary economy; or</w:t>
      </w:r>
    </w:p>
    <w:p>
      <w:pPr>
        <w:spacing w:after="0" w:line="255" w:lineRule="exact"/>
        <w:rPr>
          <w:rFonts w:ascii="Arial" w:cs="Arial" w:eastAsia="Arial" w:hAnsi="Arial"/>
          <w:sz w:val="20"/>
          <w:szCs w:val="20"/>
          <w:color w:val="auto"/>
        </w:rPr>
      </w:pPr>
    </w:p>
    <w:p>
      <w:pPr>
        <w:ind w:left="1260" w:hanging="6"/>
        <w:spacing w:after="0" w:line="307" w:lineRule="auto"/>
        <w:tabs>
          <w:tab w:leader="none" w:pos="1552" w:val="left"/>
        </w:tabs>
        <w:numPr>
          <w:ilvl w:val="0"/>
          <w:numId w:val="298"/>
        </w:numPr>
        <w:rPr>
          <w:rFonts w:ascii="Arial" w:cs="Arial" w:eastAsia="Arial" w:hAnsi="Arial"/>
          <w:sz w:val="20"/>
          <w:szCs w:val="20"/>
          <w:color w:val="auto"/>
        </w:rPr>
      </w:pPr>
      <w:r>
        <w:rPr>
          <w:rFonts w:ascii="Arial" w:cs="Arial" w:eastAsia="Arial" w:hAnsi="Arial"/>
          <w:sz w:val="20"/>
          <w:szCs w:val="20"/>
          <w:color w:val="auto"/>
        </w:rPr>
        <w:t>the entity is translating into the currency of a hyperinflationary economy the results and financia position of a foreign operation whose functional currency is that of a non-hyperinflationary economy.</w:t>
      </w:r>
    </w:p>
    <w:p>
      <w:pPr>
        <w:spacing w:after="0" w:line="141"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9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17 / 58</w:t>
      </w:r>
    </w:p>
    <w:p>
      <w:pPr>
        <w:sectPr>
          <w:pgSz w:w="11900" w:h="16838" w:orient="portrait"/>
          <w:cols w:equalWidth="0" w:num="1">
            <w:col w:w="10460"/>
          </w:cols>
          <w:pgMar w:left="1440" w:top="1172" w:right="6" w:bottom="0" w:gutter="0" w:footer="0" w:header="0"/>
          <w:type w:val="continuous"/>
        </w:sectPr>
      </w:pPr>
    </w:p>
    <w:bookmarkStart w:id="629" w:name="page630"/>
    <w:bookmarkEnd w:id="629"/>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4. CHANGES IN ACCOUNTING STANDARDS </w:t>
      </w:r>
      <w:r>
        <w:rPr>
          <w:rFonts w:ascii="Arial" w:cs="Arial" w:eastAsia="Arial" w:hAnsi="Arial"/>
          <w:sz w:val="20"/>
          <w:szCs w:val="20"/>
          <w:i w:val="1"/>
          <w:iCs w:val="1"/>
          <w:color w:val="auto"/>
        </w:rPr>
        <w:t>(continued)</w:t>
      </w:r>
    </w:p>
    <w:p>
      <w:pPr>
        <w:spacing w:after="0" w:line="319" w:lineRule="exact"/>
        <w:rPr>
          <w:sz w:val="20"/>
          <w:szCs w:val="20"/>
          <w:color w:val="auto"/>
        </w:rPr>
      </w:pPr>
    </w:p>
    <w:p>
      <w:pPr>
        <w:jc w:val="both"/>
        <w:ind w:left="1260" w:right="20"/>
        <w:spacing w:after="0" w:line="311" w:lineRule="auto"/>
        <w:rPr>
          <w:sz w:val="20"/>
          <w:szCs w:val="20"/>
          <w:color w:val="auto"/>
        </w:rPr>
      </w:pPr>
      <w:r>
        <w:rPr>
          <w:rFonts w:ascii="Arial" w:cs="Arial" w:eastAsia="Arial" w:hAnsi="Arial"/>
          <w:sz w:val="20"/>
          <w:szCs w:val="20"/>
          <w:color w:val="auto"/>
        </w:rPr>
        <w:t>The amendments are effective for annual reporting periods beginning on or after 1 January 2027, wit early adoption permitted. The Company is currently assessing the impact of these amendments on it financial statements.</w:t>
      </w:r>
    </w:p>
    <w:p>
      <w:pPr>
        <w:spacing w:after="0" w:line="252" w:lineRule="exact"/>
        <w:rPr>
          <w:sz w:val="20"/>
          <w:szCs w:val="20"/>
          <w:color w:val="auto"/>
        </w:rPr>
      </w:pPr>
    </w:p>
    <w:p>
      <w:pPr>
        <w:jc w:val="both"/>
        <w:ind w:left="1260" w:right="40"/>
        <w:spacing w:after="0" w:line="307" w:lineRule="auto"/>
        <w:rPr>
          <w:sz w:val="20"/>
          <w:szCs w:val="20"/>
          <w:color w:val="auto"/>
        </w:rPr>
      </w:pPr>
      <w:r>
        <w:rPr>
          <w:rFonts w:ascii="Arial" w:cs="Arial" w:eastAsia="Arial" w:hAnsi="Arial"/>
          <w:sz w:val="20"/>
          <w:szCs w:val="20"/>
          <w:b w:val="1"/>
          <w:bCs w:val="1"/>
          <w:color w:val="auto"/>
        </w:rPr>
        <w:t>New published standards, amendments, and interpretations that have not yet entered into forc and have not been adopted early:</w:t>
      </w:r>
    </w:p>
    <w:p>
      <w:pPr>
        <w:spacing w:after="0" w:line="255" w:lineRule="exact"/>
        <w:rPr>
          <w:sz w:val="20"/>
          <w:szCs w:val="20"/>
          <w:color w:val="auto"/>
        </w:rPr>
      </w:pPr>
    </w:p>
    <w:p>
      <w:pPr>
        <w:jc w:val="both"/>
        <w:ind w:left="1260"/>
        <w:spacing w:after="0" w:line="307" w:lineRule="auto"/>
        <w:rPr>
          <w:sz w:val="20"/>
          <w:szCs w:val="20"/>
          <w:color w:val="auto"/>
        </w:rPr>
      </w:pPr>
      <w:r>
        <w:rPr>
          <w:rFonts w:ascii="Arial" w:cs="Arial" w:eastAsia="Arial" w:hAnsi="Arial"/>
          <w:sz w:val="20"/>
          <w:szCs w:val="20"/>
          <w:i w:val="1"/>
          <w:iCs w:val="1"/>
          <w:color w:val="auto"/>
        </w:rPr>
        <w:t>Amendments to IFRS 9 and IFRS 7 – Amendments to the Classification and Measurement of Financia Instruments</w:t>
      </w:r>
    </w:p>
    <w:p>
      <w:pPr>
        <w:spacing w:after="0" w:line="255" w:lineRule="exact"/>
        <w:rPr>
          <w:sz w:val="20"/>
          <w:szCs w:val="20"/>
          <w:color w:val="auto"/>
        </w:rPr>
      </w:pPr>
    </w:p>
    <w:p>
      <w:pPr>
        <w:jc w:val="both"/>
        <w:ind w:left="1260"/>
        <w:spacing w:after="0" w:line="312" w:lineRule="auto"/>
        <w:rPr>
          <w:sz w:val="20"/>
          <w:szCs w:val="20"/>
          <w:color w:val="auto"/>
        </w:rPr>
      </w:pPr>
      <w:r>
        <w:rPr>
          <w:rFonts w:ascii="Arial" w:cs="Arial" w:eastAsia="Arial" w:hAnsi="Arial"/>
          <w:sz w:val="20"/>
          <w:szCs w:val="20"/>
          <w:color w:val="auto"/>
        </w:rPr>
        <w:t>In May 2024, the IASB issued amendments to IFRS 9 and IFRS 7, Amendments to the Classification an Measurement of Financial Instruments. These amendments updated classification and measuremen requirements in IFRS 9 Financial Instruments and related disclosure requirements in IFRS 7 Financia Instruments: Disclosures.</w:t>
      </w:r>
    </w:p>
    <w:p>
      <w:pPr>
        <w:spacing w:after="0" w:line="252"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The IASB clarified the recognition and derecognition date of certain financial assets and liabilities, an amended the requirements related to settling financial liabilities using an electronic payment system. I also clarified how to assess the contractual cash flow characteristics of financial assets in determinin whether they meet the solely payments of principal and interest criterion, including financial assets tha have environmental, social and corporate governance (ESG)-linked features and other similar contingen features. These amendments require additional disclosures for financial instruments with contingen features that do not relate directly to basic lending risks and costs and amended disclosures relating t equity instruments designated at fair value through other comprehensive income.</w:t>
      </w:r>
    </w:p>
    <w:p>
      <w:pPr>
        <w:spacing w:after="0" w:line="255" w:lineRule="exact"/>
        <w:rPr>
          <w:sz w:val="20"/>
          <w:szCs w:val="20"/>
          <w:color w:val="auto"/>
        </w:rPr>
      </w:pPr>
    </w:p>
    <w:p>
      <w:pPr>
        <w:jc w:val="both"/>
        <w:ind w:left="1260"/>
        <w:spacing w:after="0" w:line="311" w:lineRule="auto"/>
        <w:rPr>
          <w:sz w:val="20"/>
          <w:szCs w:val="20"/>
          <w:color w:val="auto"/>
        </w:rPr>
      </w:pPr>
      <w:r>
        <w:rPr>
          <w:rFonts w:ascii="Arial" w:cs="Arial" w:eastAsia="Arial" w:hAnsi="Arial"/>
          <w:sz w:val="20"/>
          <w:szCs w:val="20"/>
          <w:color w:val="auto"/>
        </w:rPr>
        <w:t>The amendments are effective for annual periods beginning on or after January 1, 2026. The Compan has not yet adopted the amendments but does not expect the amendments to have a significant impac on the Financial Statements.</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Amendments to IFRS 9 and IFRS 7 – Contracts Referencing Nature-dependent Electricity</w:t>
      </w:r>
    </w:p>
    <w:p>
      <w:pPr>
        <w:spacing w:after="0" w:line="319"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In December 2024, the IASB issued Contracts Referencing Nature-dependent Electricity – Amendment to IFRS 9 and IFRS 7. These amendments aimed to ensure that nature-dependent electricity contracts where contractual features can expose a company to variability in the underlying amount of electricit because the source of electricity generation depends on uncontrollable natural conditions, are appropriately reflected in the financial statements. The amendments include clarifying the application o the “own use” requirements to these contracts in assessing whether derivative accounting is required</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18 / 58</w:t>
      </w:r>
    </w:p>
    <w:p>
      <w:pPr>
        <w:sectPr>
          <w:pgSz w:w="11900" w:h="16838" w:orient="portrait"/>
          <w:cols w:equalWidth="0" w:num="1">
            <w:col w:w="10460"/>
          </w:cols>
          <w:pgMar w:left="1440" w:top="1440" w:right="6" w:bottom="0" w:gutter="0" w:footer="0" w:header="0"/>
          <w:type w:val="continuous"/>
        </w:sectPr>
      </w:pPr>
    </w:p>
    <w:bookmarkStart w:id="630" w:name="page631"/>
    <w:bookmarkEnd w:id="630"/>
    <w:p>
      <w:pPr>
        <w:jc w:val="both"/>
        <w:ind w:left="1260"/>
        <w:spacing w:after="0" w:line="311" w:lineRule="auto"/>
        <w:rPr>
          <w:sz w:val="20"/>
          <w:szCs w:val="20"/>
          <w:color w:val="auto"/>
        </w:rPr>
      </w:pPr>
      <w:r>
        <w:rPr>
          <w:rFonts w:ascii="Arial" w:cs="Arial" w:eastAsia="Arial" w:hAnsi="Arial"/>
          <w:sz w:val="20"/>
          <w:szCs w:val="20"/>
          <w:color w:val="auto"/>
        </w:rPr>
        <w:t>permitting hedge accounting if these contracts are used as hedging instruments and requiring new disclosures that discuss the effect of these contracts on a company’s financial performance and cas flows.</w:t>
      </w:r>
    </w:p>
    <w:p>
      <w:pPr>
        <w:spacing w:after="0" w:line="252"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The amendments are effective for annual periods beginning on or after January 1, 2026, with earl application permitted. The clarifications regarding the “own use” requirements are applied retrospectively but the guidance permitting hedge accounting is applied prospectively to new hedging relationships designated on or after the date of initial application. Management is currently assessing the effect o these amendments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9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19 / 58</w:t>
      </w:r>
    </w:p>
    <w:p>
      <w:pPr>
        <w:sectPr>
          <w:pgSz w:w="11900" w:h="16838" w:orient="portrait"/>
          <w:cols w:equalWidth="0" w:num="1">
            <w:col w:w="10460"/>
          </w:cols>
          <w:pgMar w:left="1440" w:top="1172" w:right="6" w:bottom="0" w:gutter="0" w:footer="0" w:header="0"/>
          <w:type w:val="continuous"/>
        </w:sectPr>
      </w:pPr>
    </w:p>
    <w:bookmarkStart w:id="631" w:name="page632"/>
    <w:bookmarkEnd w:id="631"/>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80" w:hanging="226"/>
        <w:spacing w:after="0"/>
        <w:tabs>
          <w:tab w:leader="none" w:pos="1480" w:val="left"/>
        </w:tabs>
        <w:numPr>
          <w:ilvl w:val="0"/>
          <w:numId w:val="29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CHANGES IN ACCOUNTING STANDARDS </w:t>
      </w:r>
      <w:r>
        <w:rPr>
          <w:rFonts w:ascii="Arial" w:cs="Arial" w:eastAsia="Arial" w:hAnsi="Arial"/>
          <w:sz w:val="20"/>
          <w:szCs w:val="20"/>
          <w:i w:val="1"/>
          <w:iCs w:val="1"/>
          <w:color w:val="auto"/>
        </w:rPr>
        <w:t>(continued)</w:t>
      </w:r>
    </w:p>
    <w:p>
      <w:pPr>
        <w:spacing w:after="0" w:line="311" w:lineRule="exact"/>
        <w:rPr>
          <w:rFonts w:ascii="Arial" w:cs="Arial" w:eastAsia="Arial" w:hAnsi="Arial"/>
          <w:sz w:val="20"/>
          <w:szCs w:val="20"/>
          <w:b w:val="1"/>
          <w:bCs w:val="1"/>
          <w:color w:val="auto"/>
        </w:rPr>
      </w:pPr>
    </w:p>
    <w:p>
      <w:pPr>
        <w:ind w:left="126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IFRS 18 Presentation and Disclosure in Financial Statements:</w:t>
      </w:r>
    </w:p>
    <w:p>
      <w:pPr>
        <w:spacing w:after="0" w:line="319" w:lineRule="exact"/>
        <w:rPr>
          <w:sz w:val="20"/>
          <w:szCs w:val="20"/>
          <w:color w:val="auto"/>
        </w:rPr>
      </w:pPr>
    </w:p>
    <w:p>
      <w:pPr>
        <w:jc w:val="both"/>
        <w:ind w:left="1260"/>
        <w:spacing w:after="0" w:line="311" w:lineRule="auto"/>
        <w:rPr>
          <w:sz w:val="20"/>
          <w:szCs w:val="20"/>
          <w:color w:val="auto"/>
        </w:rPr>
      </w:pPr>
      <w:r>
        <w:rPr>
          <w:rFonts w:ascii="Arial" w:cs="Arial" w:eastAsia="Arial" w:hAnsi="Arial"/>
          <w:sz w:val="20"/>
          <w:szCs w:val="20"/>
          <w:color w:val="auto"/>
        </w:rPr>
        <w:t>In April 2024, the IASB issued IFRS 18, Presentation and Disclosure in Financial Statements which wi replace IAS 1, Presentation of Financial Statements. IFRS 18 introduces new requirements on presentation within the statement of profit or loss, including specified totals and subtotals.</w:t>
      </w:r>
    </w:p>
    <w:p>
      <w:pPr>
        <w:spacing w:after="0" w:line="252" w:lineRule="exact"/>
        <w:rPr>
          <w:sz w:val="20"/>
          <w:szCs w:val="20"/>
          <w:color w:val="auto"/>
        </w:rPr>
      </w:pPr>
    </w:p>
    <w:p>
      <w:pPr>
        <w:jc w:val="both"/>
        <w:ind w:left="1260" w:firstLine="147"/>
        <w:spacing w:after="0" w:line="311" w:lineRule="auto"/>
        <w:rPr>
          <w:sz w:val="20"/>
          <w:szCs w:val="20"/>
          <w:color w:val="auto"/>
        </w:rPr>
      </w:pPr>
      <w:r>
        <w:rPr>
          <w:rFonts w:ascii="Arial" w:cs="Arial" w:eastAsia="Arial" w:hAnsi="Arial"/>
          <w:sz w:val="20"/>
          <w:szCs w:val="20"/>
          <w:color w:val="auto"/>
        </w:rPr>
        <w:t>It also requires disclosure of management-defined performance measures and includes new requirements for aggregation and disaggregation of financial information based on the identified ‘roles’ o the primary financial statements and the notes.</w:t>
      </w:r>
    </w:p>
    <w:p>
      <w:pPr>
        <w:spacing w:after="0" w:line="252"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In addition, there are consequential amendments to other accounting standards; some requirement previously included in IAS 1 have been moved to IAS 8 and limited amendments have been made to IA 7 and IAS 34. IFRS 18 is effective for the reporting period beginning on or after January 1, 2027, wit early application permitted. Retrospective application is required in both annual and interim financia statements.</w:t>
      </w:r>
    </w:p>
    <w:p>
      <w:pPr>
        <w:spacing w:after="0" w:line="250" w:lineRule="exact"/>
        <w:rPr>
          <w:sz w:val="20"/>
          <w:szCs w:val="20"/>
          <w:color w:val="auto"/>
        </w:rPr>
      </w:pPr>
    </w:p>
    <w:p>
      <w:pPr>
        <w:jc w:val="both"/>
        <w:ind w:left="1260"/>
        <w:spacing w:after="0" w:line="307" w:lineRule="auto"/>
        <w:rPr>
          <w:sz w:val="20"/>
          <w:szCs w:val="20"/>
          <w:color w:val="auto"/>
        </w:rPr>
      </w:pPr>
      <w:r>
        <w:rPr>
          <w:rFonts w:ascii="Arial" w:cs="Arial" w:eastAsia="Arial" w:hAnsi="Arial"/>
          <w:sz w:val="20"/>
          <w:szCs w:val="20"/>
          <w:color w:val="auto"/>
        </w:rPr>
        <w:t>The Company is currently assessing the impact of this standard on its financial statements and has no yet applied it.</w:t>
      </w:r>
    </w:p>
    <w:p>
      <w:pPr>
        <w:spacing w:after="0" w:line="2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5. ESTIMATION UNCERTAINTY AND ACCOUNTING POLICY JUDGMENTS</w:t>
      </w:r>
    </w:p>
    <w:p>
      <w:pPr>
        <w:spacing w:after="0" w:line="319" w:lineRule="exact"/>
        <w:rPr>
          <w:sz w:val="20"/>
          <w:szCs w:val="20"/>
          <w:color w:val="auto"/>
        </w:rPr>
      </w:pPr>
    </w:p>
    <w:p>
      <w:pPr>
        <w:ind w:left="1260"/>
        <w:spacing w:after="0" w:line="313" w:lineRule="auto"/>
        <w:rPr>
          <w:sz w:val="20"/>
          <w:szCs w:val="20"/>
          <w:color w:val="auto"/>
        </w:rPr>
      </w:pPr>
      <w:r>
        <w:rPr>
          <w:rFonts w:ascii="Arial" w:cs="Arial" w:eastAsia="Arial" w:hAnsi="Arial"/>
          <w:sz w:val="20"/>
          <w:szCs w:val="20"/>
          <w:color w:val="auto"/>
        </w:rPr>
        <w:t>The preparation of these financial statements in conformity with IFRS requires management to mak judgements and estimates that affect the amounts reported. These judgements and estimates involv assumptions about future events and conditions and, as such, actual results may differ from these estimates. The following are the areas of accounting policy judgement and accounting estimates tha management considers to be most significant to the Company’s financial statements and that involve higher degree of estimation uncertainty.</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Determination of commercial production for the Cauchari Olaroz project</w:t>
      </w:r>
    </w:p>
    <w:p>
      <w:pPr>
        <w:spacing w:after="0" w:line="319"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Judgment is a requirement in determining whether a project’s assets are available for use (referred to a “commercial production”). In making this determination, management considers specific facts and circumstances, including, but not limited to, whether the product produced by the plant is saleable, th completion of a reasonable commissioning period, and the achievement of consistent operating results a a predetermined level of design capacity for a reasonable period of time.</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20 / 58</w:t>
      </w:r>
    </w:p>
    <w:p>
      <w:pPr>
        <w:sectPr>
          <w:pgSz w:w="11900" w:h="16838" w:orient="portrait"/>
          <w:cols w:equalWidth="0" w:num="1">
            <w:col w:w="10460"/>
          </w:cols>
          <w:pgMar w:left="1440" w:top="1440" w:right="6" w:bottom="0" w:gutter="0" w:footer="0" w:header="0"/>
          <w:type w:val="continuous"/>
        </w:sectPr>
      </w:pPr>
    </w:p>
    <w:bookmarkStart w:id="632" w:name="page633"/>
    <w:bookmarkEnd w:id="632"/>
    <w:p>
      <w:pPr>
        <w:jc w:val="both"/>
        <w:ind w:left="1260"/>
        <w:spacing w:after="0" w:line="313" w:lineRule="auto"/>
        <w:rPr>
          <w:sz w:val="20"/>
          <w:szCs w:val="20"/>
          <w:color w:val="auto"/>
        </w:rPr>
      </w:pPr>
      <w:r>
        <w:rPr>
          <w:rFonts w:ascii="Arial" w:cs="Arial" w:eastAsia="Arial" w:hAnsi="Arial"/>
          <w:sz w:val="20"/>
          <w:szCs w:val="20"/>
          <w:color w:val="auto"/>
        </w:rPr>
        <w:t>The Company determined that commercial production was achieved at the Cauchari-Olaroz project as o October 1, 2024. As a result, the majority of the project’s assets were considered ready for their intende use, and depreciation of these assets commenced on October 1, 2024. Certain assets related to brin extraction were considered available for use prior to this date and depreciation of those assets commenced accordingly.</w:t>
      </w:r>
    </w:p>
    <w:p>
      <w:pPr>
        <w:spacing w:after="0" w:line="24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Assessment of impairment indicators</w:t>
      </w:r>
    </w:p>
    <w:p>
      <w:pPr>
        <w:spacing w:after="0" w:line="319"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Judgment is applied when assessing whether indicators of impairment or impairment reversal are presen and whether an impairment test is required. In making this assessment, management considers interna and external factors such as changes in market conditions, operating costs and capital expenditures future lithium prices and sales volumes, legal and permitting developments, market interest rates, inflatio and foreign exchange rates, and updates to expected life-of-mine or project plans.</w:t>
      </w:r>
    </w:p>
    <w:p>
      <w:pPr>
        <w:spacing w:after="0" w:line="135"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9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21 / 58</w:t>
      </w:r>
    </w:p>
    <w:p>
      <w:pPr>
        <w:sectPr>
          <w:pgSz w:w="11900" w:h="16838" w:orient="portrait"/>
          <w:cols w:equalWidth="0" w:num="1">
            <w:col w:w="10460"/>
          </w:cols>
          <w:pgMar w:left="1440" w:top="1172" w:right="6" w:bottom="0" w:gutter="0" w:footer="0" w:header="0"/>
          <w:type w:val="continuous"/>
        </w:sectPr>
      </w:pPr>
    </w:p>
    <w:bookmarkStart w:id="633" w:name="page634"/>
    <w:bookmarkEnd w:id="633"/>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5. ESTIMATION UNCERTAINTY AND ACCOUNTING POLICY JUDGMENTS </w:t>
      </w:r>
      <w:r>
        <w:rPr>
          <w:rFonts w:ascii="Arial" w:cs="Arial" w:eastAsia="Arial" w:hAnsi="Arial"/>
          <w:sz w:val="20"/>
          <w:szCs w:val="20"/>
          <w:i w:val="1"/>
          <w:iCs w:val="1"/>
          <w:color w:val="auto"/>
        </w:rPr>
        <w:t>(continued)</w:t>
      </w:r>
    </w:p>
    <w:p>
      <w:pPr>
        <w:spacing w:after="0" w:line="319" w:lineRule="exact"/>
        <w:rPr>
          <w:sz w:val="20"/>
          <w:szCs w:val="20"/>
          <w:color w:val="auto"/>
        </w:rPr>
      </w:pPr>
    </w:p>
    <w:p>
      <w:pPr>
        <w:jc w:val="both"/>
        <w:ind w:left="1260"/>
        <w:spacing w:after="0" w:line="311" w:lineRule="auto"/>
        <w:rPr>
          <w:sz w:val="20"/>
          <w:szCs w:val="20"/>
          <w:color w:val="auto"/>
        </w:rPr>
      </w:pPr>
      <w:r>
        <w:rPr>
          <w:rFonts w:ascii="Arial" w:cs="Arial" w:eastAsia="Arial" w:hAnsi="Arial"/>
          <w:sz w:val="20"/>
          <w:szCs w:val="20"/>
          <w:color w:val="auto"/>
        </w:rPr>
        <w:t>Following this assessment for the year ended December 31, 2025, management concluded that no indicators of impairment were present with respect to the Cauchari-Olaroz Project, and accordingly n formal impairment test was required.</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Contingent liabilities</w:t>
      </w:r>
    </w:p>
    <w:p>
      <w:pPr>
        <w:spacing w:after="0" w:line="319"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Contingent liabilities can relate to certain claims, lawsuits, and other legal proceedings arising in th ordinary course of business, including claims from suppliers and employees. Company managemen periodically reviews and exercises significant judgement in assessing whether the outflow of economi benefits has become probable, and the amount can be reasonably estimated, thereby requiring the Company to recognize the present obligations.</w:t>
      </w:r>
    </w:p>
    <w:p>
      <w:pPr>
        <w:spacing w:after="0" w:line="24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Decommissioning provision</w:t>
      </w:r>
    </w:p>
    <w:p>
      <w:pPr>
        <w:spacing w:after="0" w:line="319" w:lineRule="exact"/>
        <w:rPr>
          <w:sz w:val="20"/>
          <w:szCs w:val="20"/>
          <w:color w:val="auto"/>
        </w:rPr>
      </w:pPr>
    </w:p>
    <w:p>
      <w:pPr>
        <w:jc w:val="both"/>
        <w:ind w:left="1260"/>
        <w:spacing w:after="0" w:line="312" w:lineRule="auto"/>
        <w:rPr>
          <w:sz w:val="20"/>
          <w:szCs w:val="20"/>
          <w:color w:val="auto"/>
        </w:rPr>
      </w:pPr>
      <w:r>
        <w:rPr>
          <w:rFonts w:ascii="Arial" w:cs="Arial" w:eastAsia="Arial" w:hAnsi="Arial"/>
          <w:sz w:val="20"/>
          <w:szCs w:val="20"/>
          <w:color w:val="auto"/>
        </w:rPr>
        <w:t>When title conditions or other rights to use the property, including rights to conduct mining activities require reclamation activities during the course of use of the property, the costs of such reclamation ar expensed as incurred or capitalized depending on the stage of the mining process. In the case of th Company, these</w:t>
      </w:r>
    </w:p>
    <w:p>
      <w:pPr>
        <w:spacing w:after="0" w:line="252" w:lineRule="exact"/>
        <w:rPr>
          <w:sz w:val="20"/>
          <w:szCs w:val="20"/>
          <w:color w:val="auto"/>
        </w:rPr>
      </w:pPr>
    </w:p>
    <w:p>
      <w:pPr>
        <w:ind w:left="1260" w:right="40"/>
        <w:spacing w:after="0" w:line="307" w:lineRule="auto"/>
        <w:rPr>
          <w:sz w:val="20"/>
          <w:szCs w:val="20"/>
          <w:color w:val="auto"/>
        </w:rPr>
      </w:pPr>
      <w:r>
        <w:rPr>
          <w:rFonts w:ascii="Arial" w:cs="Arial" w:eastAsia="Arial" w:hAnsi="Arial"/>
          <w:sz w:val="20"/>
          <w:szCs w:val="20"/>
          <w:color w:val="auto"/>
        </w:rPr>
        <w:t>expenses have been capitalized, with a corresponding change to the carrying amounts of the relate mineral properties under property, plant, and equipment.</w:t>
      </w:r>
    </w:p>
    <w:p>
      <w:pPr>
        <w:spacing w:after="0" w:line="255"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If, due to current or past activities, there is an obligation to perform remediation work in the future, provision for reclamation and restoration is recognized, which includes the mine closure phase. Thes provisions include costs associated with reclamation, plant closure, waste site closure, and contro activities, among others. These costs have been primarily estimated based on current costs, current lega requirements, and current technology. Changes in estimates are treated prospectively. The liability associated with this obligation is valued at its discounted value at a rate of 9.63%.</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Mineral reserve and resource estimation</w:t>
      </w:r>
    </w:p>
    <w:p>
      <w:pPr>
        <w:spacing w:after="0" w:line="319" w:lineRule="exact"/>
        <w:rPr>
          <w:sz w:val="20"/>
          <w:szCs w:val="20"/>
          <w:color w:val="auto"/>
        </w:rPr>
      </w:pPr>
    </w:p>
    <w:p>
      <w:pPr>
        <w:jc w:val="both"/>
        <w:ind w:left="1260"/>
        <w:spacing w:after="0" w:line="311" w:lineRule="auto"/>
        <w:rPr>
          <w:sz w:val="20"/>
          <w:szCs w:val="20"/>
          <w:color w:val="auto"/>
        </w:rPr>
      </w:pPr>
      <w:r>
        <w:rPr>
          <w:rFonts w:ascii="Arial" w:cs="Arial" w:eastAsia="Arial" w:hAnsi="Arial"/>
          <w:sz w:val="20"/>
          <w:szCs w:val="20"/>
          <w:color w:val="auto"/>
        </w:rPr>
        <w:t xml:space="preserve">Mineral reserve and resource estimates for the Cauchari-Olaroz brine operation are prepared in accordance with the requirements of Subpart 1300 of Regulation S-K, </w:t>
      </w:r>
      <w:r>
        <w:rPr>
          <w:rFonts w:ascii="Arial" w:cs="Arial" w:eastAsia="Arial" w:hAnsi="Arial"/>
          <w:sz w:val="20"/>
          <w:szCs w:val="20"/>
          <w:i w:val="1"/>
          <w:iCs w:val="1"/>
          <w:color w:val="auto"/>
        </w:rPr>
        <w:t>the SEC’s standards for disclosur</w:t>
      </w:r>
      <w:r>
        <w:rPr>
          <w:rFonts w:ascii="Arial" w:cs="Arial" w:eastAsia="Arial" w:hAnsi="Arial"/>
          <w:sz w:val="20"/>
          <w:szCs w:val="20"/>
          <w:color w:val="auto"/>
        </w:rPr>
        <w:t xml:space="preserve"> </w:t>
      </w:r>
      <w:r>
        <w:rPr>
          <w:rFonts w:ascii="Arial" w:cs="Arial" w:eastAsia="Arial" w:hAnsi="Arial"/>
          <w:sz w:val="20"/>
          <w:szCs w:val="20"/>
          <w:i w:val="1"/>
          <w:iCs w:val="1"/>
          <w:color w:val="auto"/>
        </w:rPr>
        <w:t>of mineral projects by mining registrants.</w:t>
      </w:r>
    </w:p>
    <w:p>
      <w:pPr>
        <w:spacing w:after="0" w:line="252" w:lineRule="exact"/>
        <w:rPr>
          <w:sz w:val="20"/>
          <w:szCs w:val="20"/>
          <w:color w:val="auto"/>
        </w:rPr>
      </w:pPr>
    </w:p>
    <w:p>
      <w:pPr>
        <w:jc w:val="both"/>
        <w:ind w:left="1260"/>
        <w:spacing w:after="0" w:line="311" w:lineRule="auto"/>
        <w:rPr>
          <w:sz w:val="20"/>
          <w:szCs w:val="20"/>
          <w:color w:val="auto"/>
        </w:rPr>
      </w:pPr>
      <w:r>
        <w:rPr>
          <w:rFonts w:ascii="Arial" w:cs="Arial" w:eastAsia="Arial" w:hAnsi="Arial"/>
          <w:sz w:val="20"/>
          <w:szCs w:val="20"/>
          <w:color w:val="auto"/>
        </w:rPr>
        <w:t>These estimates rely on assumptions regarding production costs, brine extraction and processing recoveries, lithium concentrations, expected sales volumes, long-term lithium prices, exchange and inflation rates, tax and royalty rates, and capital requirements, based on geological, hydrogeological</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8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22 / 58</w:t>
      </w:r>
    </w:p>
    <w:p>
      <w:pPr>
        <w:sectPr>
          <w:pgSz w:w="11900" w:h="16838" w:orient="portrait"/>
          <w:cols w:equalWidth="0" w:num="1">
            <w:col w:w="10460"/>
          </w:cols>
          <w:pgMar w:left="1440" w:top="1440" w:right="6" w:bottom="0" w:gutter="0" w:footer="0" w:header="0"/>
          <w:type w:val="continuous"/>
        </w:sectPr>
      </w:pPr>
    </w:p>
    <w:bookmarkStart w:id="634" w:name="page635"/>
    <w:bookmarkEnd w:id="634"/>
    <w:p>
      <w:pPr>
        <w:jc w:val="both"/>
        <w:ind w:left="1260"/>
        <w:spacing w:after="0" w:line="311" w:lineRule="auto"/>
        <w:rPr>
          <w:sz w:val="20"/>
          <w:szCs w:val="20"/>
          <w:color w:val="auto"/>
        </w:rPr>
      </w:pPr>
      <w:r>
        <w:rPr>
          <w:rFonts w:ascii="Arial" w:cs="Arial" w:eastAsia="Arial" w:hAnsi="Arial"/>
          <w:sz w:val="20"/>
          <w:szCs w:val="20"/>
          <w:color w:val="auto"/>
        </w:rPr>
        <w:t>technical and economic information. Estimates are prepared by or under the supervision of appropriatel qualified persons and are sensitive to changes in commodity prices, operating and capital cost forecasts and recoveries.</w:t>
      </w:r>
    </w:p>
    <w:p>
      <w:pPr>
        <w:spacing w:after="0" w:line="252" w:lineRule="exact"/>
        <w:rPr>
          <w:sz w:val="20"/>
          <w:szCs w:val="20"/>
          <w:color w:val="auto"/>
        </w:rPr>
      </w:pPr>
    </w:p>
    <w:p>
      <w:pPr>
        <w:jc w:val="both"/>
        <w:ind w:left="1260"/>
        <w:spacing w:after="0" w:line="311" w:lineRule="auto"/>
        <w:rPr>
          <w:sz w:val="20"/>
          <w:szCs w:val="20"/>
          <w:color w:val="auto"/>
        </w:rPr>
      </w:pPr>
      <w:r>
        <w:rPr>
          <w:rFonts w:ascii="Arial" w:cs="Arial" w:eastAsia="Arial" w:hAnsi="Arial"/>
          <w:sz w:val="20"/>
          <w:szCs w:val="20"/>
          <w:color w:val="auto"/>
        </w:rPr>
        <w:t>Changes in mineral reserve and resource estimates may have a material impact on the financia statements, including impairment assessments, depreciation of property, plant and equipment and th timing of decommissioning and restoration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23 / 58</w:t>
      </w:r>
    </w:p>
    <w:p>
      <w:pPr>
        <w:sectPr>
          <w:pgSz w:w="11900" w:h="16838" w:orient="portrait"/>
          <w:cols w:equalWidth="0" w:num="1">
            <w:col w:w="10460"/>
          </w:cols>
          <w:pgMar w:left="1440" w:top="1172" w:right="6" w:bottom="0" w:gutter="0" w:footer="0" w:header="0"/>
          <w:type w:val="continuous"/>
        </w:sectPr>
      </w:pPr>
    </w:p>
    <w:bookmarkStart w:id="635" w:name="page636"/>
    <w:bookmarkEnd w:id="635"/>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6. REVENUE</w:t>
      </w:r>
    </w:p>
    <w:p>
      <w:pPr>
        <w:spacing w:after="0" w:line="319" w:lineRule="exact"/>
        <w:rPr>
          <w:sz w:val="20"/>
          <w:szCs w:val="20"/>
          <w:color w:val="auto"/>
        </w:rPr>
      </w:pPr>
    </w:p>
    <w:p>
      <w:pPr>
        <w:jc w:val="both"/>
        <w:ind w:left="1260"/>
        <w:spacing w:after="0" w:line="312" w:lineRule="auto"/>
        <w:rPr>
          <w:sz w:val="20"/>
          <w:szCs w:val="20"/>
          <w:color w:val="auto"/>
        </w:rPr>
      </w:pPr>
      <w:r>
        <w:rPr>
          <w:rFonts w:ascii="Arial" w:cs="Arial" w:eastAsia="Arial" w:hAnsi="Arial"/>
          <w:sz w:val="20"/>
          <w:szCs w:val="20"/>
          <w:color w:val="auto"/>
        </w:rPr>
        <w:t>All revenue for the years ended December 31, 2025, 2024 and 2023 relates to the sale of lithium carbonate produced at the Cauchari-Olaroz Project, recognized at a point in time upon transfer of contro to the customer as described in the revenue recognition accounting policy. Revenue is earned entirel from two related party customers under offtake agreements (Note 17).</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Revenue by customer was as follows:</w:t>
      </w:r>
    </w:p>
    <w:p>
      <w:pPr>
        <w:spacing w:after="0" w:line="200" w:lineRule="exact"/>
        <w:rPr>
          <w:sz w:val="20"/>
          <w:szCs w:val="20"/>
          <w:color w:val="auto"/>
        </w:rPr>
      </w:pPr>
    </w:p>
    <w:p>
      <w:pPr>
        <w:spacing w:after="0" w:line="264"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3660" w:type="dxa"/>
            <w:vAlign w:val="bottom"/>
          </w:tcPr>
          <w:p>
            <w:pPr>
              <w:spacing w:after="0"/>
              <w:rPr>
                <w:sz w:val="18"/>
                <w:szCs w:val="18"/>
                <w:color w:val="auto"/>
              </w:rPr>
            </w:pPr>
          </w:p>
        </w:tc>
        <w:tc>
          <w:tcPr>
            <w:tcW w:w="41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Years ended December 31,</w:t>
            </w:r>
          </w:p>
        </w:tc>
        <w:tc>
          <w:tcPr>
            <w:tcW w:w="860" w:type="dxa"/>
            <w:vAlign w:val="bottom"/>
          </w:tcPr>
          <w:p>
            <w:pPr>
              <w:spacing w:after="0"/>
              <w:rPr>
                <w:sz w:val="18"/>
                <w:szCs w:val="18"/>
                <w:color w:val="auto"/>
              </w:rPr>
            </w:pPr>
          </w:p>
        </w:tc>
      </w:tr>
      <w:tr>
        <w:trPr>
          <w:trHeight w:val="61"/>
        </w:trPr>
        <w:tc>
          <w:tcPr>
            <w:tcW w:w="36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35"/>
        </w:trPr>
        <w:tc>
          <w:tcPr>
            <w:tcW w:w="3660" w:type="dxa"/>
            <w:vAlign w:val="bottom"/>
          </w:tcPr>
          <w:p>
            <w:pPr>
              <w:spacing w:after="0"/>
              <w:rPr>
                <w:sz w:val="20"/>
                <w:szCs w:val="20"/>
                <w:color w:val="auto"/>
              </w:rPr>
            </w:pPr>
          </w:p>
        </w:tc>
        <w:tc>
          <w:tcPr>
            <w:tcW w:w="1780" w:type="dxa"/>
            <w:vAlign w:val="bottom"/>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2380" w:type="dxa"/>
            <w:vAlign w:val="bottom"/>
          </w:tcPr>
          <w:p>
            <w:pPr>
              <w:jc w:val="right"/>
              <w:ind w:right="710"/>
              <w:spacing w:after="0"/>
              <w:rPr>
                <w:sz w:val="20"/>
                <w:szCs w:val="20"/>
                <w:color w:val="auto"/>
              </w:rPr>
            </w:pPr>
            <w:r>
              <w:rPr>
                <w:rFonts w:ascii="Arial" w:cs="Arial" w:eastAsia="Arial" w:hAnsi="Arial"/>
                <w:sz w:val="18"/>
                <w:szCs w:val="18"/>
                <w:b w:val="1"/>
                <w:bCs w:val="1"/>
                <w:color w:val="auto"/>
              </w:rPr>
              <w:t>2024</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r>
      <w:tr>
        <w:trPr>
          <w:trHeight w:val="56"/>
        </w:trPr>
        <w:tc>
          <w:tcPr>
            <w:tcW w:w="3660" w:type="dxa"/>
            <w:vAlign w:val="bottom"/>
          </w:tcPr>
          <w:p>
            <w:pPr>
              <w:spacing w:after="0"/>
              <w:rPr>
                <w:sz w:val="4"/>
                <w:szCs w:val="4"/>
                <w:color w:val="auto"/>
              </w:rPr>
            </w:pPr>
          </w:p>
        </w:tc>
        <w:tc>
          <w:tcPr>
            <w:tcW w:w="1780" w:type="dxa"/>
            <w:vAlign w:val="bottom"/>
            <w:shd w:val="clear" w:color="auto" w:fill="DAE9F8"/>
          </w:tcPr>
          <w:p>
            <w:pPr>
              <w:spacing w:after="0"/>
              <w:rPr>
                <w:sz w:val="4"/>
                <w:szCs w:val="4"/>
                <w:color w:val="auto"/>
              </w:rPr>
            </w:pPr>
          </w:p>
        </w:tc>
        <w:tc>
          <w:tcPr>
            <w:tcW w:w="23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35"/>
        </w:trPr>
        <w:tc>
          <w:tcPr>
            <w:tcW w:w="3660" w:type="dxa"/>
            <w:vAlign w:val="bottom"/>
          </w:tcPr>
          <w:p>
            <w:pPr>
              <w:spacing w:after="0"/>
              <w:rPr>
                <w:sz w:val="20"/>
                <w:szCs w:val="20"/>
                <w:color w:val="auto"/>
              </w:rPr>
            </w:pPr>
            <w:r>
              <w:rPr>
                <w:rFonts w:ascii="Arial" w:cs="Arial" w:eastAsia="Arial" w:hAnsi="Arial"/>
                <w:sz w:val="18"/>
                <w:szCs w:val="18"/>
                <w:color w:val="auto"/>
              </w:rPr>
              <w:t>Lithium Argentina</w:t>
            </w:r>
          </w:p>
        </w:tc>
        <w:tc>
          <w:tcPr>
            <w:tcW w:w="178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133,281</w:t>
            </w:r>
          </w:p>
        </w:tc>
        <w:tc>
          <w:tcPr>
            <w:tcW w:w="2380" w:type="dxa"/>
            <w:vAlign w:val="bottom"/>
          </w:tcPr>
          <w:p>
            <w:pPr>
              <w:jc w:val="right"/>
              <w:ind w:right="710"/>
              <w:spacing w:after="0"/>
              <w:rPr>
                <w:sz w:val="20"/>
                <w:szCs w:val="20"/>
                <w:color w:val="auto"/>
              </w:rPr>
            </w:pPr>
            <w:r>
              <w:rPr>
                <w:rFonts w:ascii="Arial" w:cs="Arial" w:eastAsia="Arial" w:hAnsi="Arial"/>
                <w:sz w:val="18"/>
                <w:szCs w:val="18"/>
                <w:color w:val="auto"/>
              </w:rPr>
              <w:t>94,795</w:t>
            </w:r>
          </w:p>
        </w:tc>
        <w:tc>
          <w:tcPr>
            <w:tcW w:w="860" w:type="dxa"/>
            <w:vAlign w:val="bottom"/>
          </w:tcPr>
          <w:p>
            <w:pPr>
              <w:jc w:val="right"/>
              <w:spacing w:after="0"/>
              <w:rPr>
                <w:sz w:val="20"/>
                <w:szCs w:val="20"/>
                <w:color w:val="auto"/>
              </w:rPr>
            </w:pPr>
            <w:r>
              <w:rPr>
                <w:rFonts w:ascii="Arial" w:cs="Arial" w:eastAsia="Arial" w:hAnsi="Arial"/>
                <w:sz w:val="18"/>
                <w:szCs w:val="18"/>
                <w:color w:val="auto"/>
              </w:rPr>
              <w:t>15,083</w:t>
            </w:r>
          </w:p>
        </w:tc>
      </w:tr>
      <w:tr>
        <w:trPr>
          <w:trHeight w:val="36"/>
        </w:trPr>
        <w:tc>
          <w:tcPr>
            <w:tcW w:w="3660" w:type="dxa"/>
            <w:vAlign w:val="bottom"/>
          </w:tcPr>
          <w:p>
            <w:pPr>
              <w:spacing w:after="0"/>
              <w:rPr>
                <w:sz w:val="3"/>
                <w:szCs w:val="3"/>
                <w:color w:val="auto"/>
              </w:rPr>
            </w:pPr>
          </w:p>
        </w:tc>
        <w:tc>
          <w:tcPr>
            <w:tcW w:w="1780" w:type="dxa"/>
            <w:vAlign w:val="bottom"/>
            <w:shd w:val="clear" w:color="auto" w:fill="DAE9F8"/>
          </w:tcPr>
          <w:p>
            <w:pPr>
              <w:spacing w:after="0"/>
              <w:rPr>
                <w:sz w:val="3"/>
                <w:szCs w:val="3"/>
                <w:color w:val="auto"/>
              </w:rPr>
            </w:pPr>
          </w:p>
        </w:tc>
        <w:tc>
          <w:tcPr>
            <w:tcW w:w="23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40"/>
        </w:trPr>
        <w:tc>
          <w:tcPr>
            <w:tcW w:w="3660" w:type="dxa"/>
            <w:vAlign w:val="bottom"/>
          </w:tcPr>
          <w:p>
            <w:pPr>
              <w:spacing w:after="0"/>
              <w:rPr>
                <w:sz w:val="20"/>
                <w:szCs w:val="20"/>
                <w:color w:val="auto"/>
              </w:rPr>
            </w:pPr>
            <w:r>
              <w:rPr>
                <w:rFonts w:ascii="Arial" w:cs="Arial" w:eastAsia="Arial" w:hAnsi="Arial"/>
                <w:sz w:val="18"/>
                <w:szCs w:val="18"/>
                <w:color w:val="auto"/>
              </w:rPr>
              <w:t>Ganfeng</w:t>
            </w:r>
          </w:p>
        </w:tc>
        <w:tc>
          <w:tcPr>
            <w:tcW w:w="178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138,186</w:t>
            </w:r>
          </w:p>
        </w:tc>
        <w:tc>
          <w:tcPr>
            <w:tcW w:w="2380" w:type="dxa"/>
            <w:vAlign w:val="bottom"/>
          </w:tcPr>
          <w:p>
            <w:pPr>
              <w:jc w:val="right"/>
              <w:ind w:right="710"/>
              <w:spacing w:after="0"/>
              <w:rPr>
                <w:sz w:val="20"/>
                <w:szCs w:val="20"/>
                <w:color w:val="auto"/>
              </w:rPr>
            </w:pPr>
            <w:r>
              <w:rPr>
                <w:rFonts w:ascii="Arial" w:cs="Arial" w:eastAsia="Arial" w:hAnsi="Arial"/>
                <w:sz w:val="18"/>
                <w:szCs w:val="18"/>
                <w:color w:val="auto"/>
              </w:rPr>
              <w:t>102,890</w:t>
            </w:r>
          </w:p>
        </w:tc>
        <w:tc>
          <w:tcPr>
            <w:tcW w:w="860" w:type="dxa"/>
            <w:vAlign w:val="bottom"/>
          </w:tcPr>
          <w:p>
            <w:pPr>
              <w:jc w:val="right"/>
              <w:spacing w:after="0"/>
              <w:rPr>
                <w:sz w:val="20"/>
                <w:szCs w:val="20"/>
                <w:color w:val="auto"/>
              </w:rPr>
            </w:pPr>
            <w:r>
              <w:rPr>
                <w:rFonts w:ascii="Arial" w:cs="Arial" w:eastAsia="Arial" w:hAnsi="Arial"/>
                <w:sz w:val="18"/>
                <w:szCs w:val="18"/>
                <w:color w:val="auto"/>
              </w:rPr>
              <w:t>19,438</w:t>
            </w:r>
          </w:p>
        </w:tc>
      </w:tr>
      <w:tr>
        <w:trPr>
          <w:trHeight w:val="277"/>
        </w:trPr>
        <w:tc>
          <w:tcPr>
            <w:tcW w:w="366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780" w:type="dxa"/>
            <w:vAlign w:val="bottom"/>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271,467</w:t>
            </w:r>
          </w:p>
        </w:tc>
        <w:tc>
          <w:tcPr>
            <w:tcW w:w="2380" w:type="dxa"/>
            <w:vAlign w:val="bottom"/>
          </w:tcPr>
          <w:p>
            <w:pPr>
              <w:jc w:val="right"/>
              <w:ind w:right="710"/>
              <w:spacing w:after="0"/>
              <w:rPr>
                <w:sz w:val="20"/>
                <w:szCs w:val="20"/>
                <w:color w:val="auto"/>
              </w:rPr>
            </w:pPr>
            <w:r>
              <w:rPr>
                <w:rFonts w:ascii="Arial" w:cs="Arial" w:eastAsia="Arial" w:hAnsi="Arial"/>
                <w:sz w:val="18"/>
                <w:szCs w:val="18"/>
                <w:b w:val="1"/>
                <w:bCs w:val="1"/>
                <w:color w:val="auto"/>
              </w:rPr>
              <w:t>197,685</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34,521</w:t>
            </w:r>
          </w:p>
        </w:tc>
      </w:tr>
      <w:tr>
        <w:trPr>
          <w:trHeight w:val="56"/>
        </w:trPr>
        <w:tc>
          <w:tcPr>
            <w:tcW w:w="3660" w:type="dxa"/>
            <w:vAlign w:val="bottom"/>
          </w:tcPr>
          <w:p>
            <w:pPr>
              <w:spacing w:after="0"/>
              <w:rPr>
                <w:sz w:val="4"/>
                <w:szCs w:val="4"/>
                <w:color w:val="auto"/>
              </w:rPr>
            </w:pPr>
          </w:p>
        </w:tc>
        <w:tc>
          <w:tcPr>
            <w:tcW w:w="1780" w:type="dxa"/>
            <w:vAlign w:val="bottom"/>
            <w:shd w:val="clear" w:color="auto" w:fill="DAE9F8"/>
          </w:tcPr>
          <w:p>
            <w:pPr>
              <w:spacing w:after="0"/>
              <w:rPr>
                <w:sz w:val="4"/>
                <w:szCs w:val="4"/>
                <w:color w:val="auto"/>
              </w:rPr>
            </w:pPr>
          </w:p>
        </w:tc>
        <w:tc>
          <w:tcPr>
            <w:tcW w:w="2380" w:type="dxa"/>
            <w:vAlign w:val="bottom"/>
          </w:tcPr>
          <w:p>
            <w:pPr>
              <w:spacing w:after="0"/>
              <w:rPr>
                <w:sz w:val="4"/>
                <w:szCs w:val="4"/>
                <w:color w:val="auto"/>
              </w:rPr>
            </w:pPr>
          </w:p>
        </w:tc>
        <w:tc>
          <w:tcPr>
            <w:tcW w:w="86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-734060</wp:posOffset>
            </wp:positionV>
            <wp:extent cx="3260725" cy="1270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8">
                      <a:extLst>
                        <a:ext uri="{28A0092B-C50C-407E-A947-70E740481C1C}"/>
                      </a:extLst>
                    </a:blip>
                    <a:srcRect/>
                    <a:stretch>
                      <a:fillRect/>
                    </a:stretch>
                  </pic:blipFill>
                  <pic:spPr bwMode="auto">
                    <a:xfrm>
                      <a:off x="0" y="0"/>
                      <a:ext cx="3260725"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-548640</wp:posOffset>
            </wp:positionV>
            <wp:extent cx="5646420" cy="1270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9">
                      <a:extLst>
                        <a:ext uri="{28A0092B-C50C-407E-A947-70E740481C1C}"/>
                      </a:extLst>
                    </a:blip>
                    <a:srcRect/>
                    <a:stretch>
                      <a:fillRect/>
                    </a:stretch>
                  </pic:blipFill>
                  <pic:spPr bwMode="auto">
                    <a:xfrm>
                      <a:off x="0" y="0"/>
                      <a:ext cx="5646420" cy="1270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-191135</wp:posOffset>
            </wp:positionV>
            <wp:extent cx="3260725" cy="635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300">
                      <a:extLst>
                        <a:ext uri="{28A0092B-C50C-407E-A947-70E740481C1C}"/>
                      </a:extLst>
                    </a:blip>
                    <a:srcRect/>
                    <a:stretch>
                      <a:fillRect/>
                    </a:stretch>
                  </pic:blipFill>
                  <pic:spPr bwMode="auto">
                    <a:xfrm>
                      <a:off x="0" y="0"/>
                      <a:ext cx="3260725"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-12065</wp:posOffset>
            </wp:positionV>
            <wp:extent cx="5646420" cy="1270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301">
                      <a:extLst>
                        <a:ext uri="{28A0092B-C50C-407E-A947-70E740481C1C}"/>
                      </a:extLst>
                    </a:blip>
                    <a:srcRect/>
                    <a:stretch>
                      <a:fillRect/>
                    </a:stretch>
                  </pic:blipFill>
                  <pic:spPr bwMode="auto">
                    <a:xfrm>
                      <a:off x="0" y="0"/>
                      <a:ext cx="5646420" cy="12700"/>
                    </a:xfrm>
                    <a:prstGeom prst="rect">
                      <a:avLst/>
                    </a:prstGeom>
                    <a:noFill/>
                  </pic:spPr>
                </pic:pic>
              </a:graphicData>
            </a:graphic>
          </wp:anchor>
        </w:drawing>
      </w:r>
    </w:p>
    <w:p>
      <w:pPr>
        <w:spacing w:after="0" w:line="371"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Trade receivables arising from the above sales are as follows:</w:t>
      </w:r>
    </w:p>
    <w:p>
      <w:pPr>
        <w:spacing w:after="0" w:line="200" w:lineRule="exact"/>
        <w:rPr>
          <w:sz w:val="20"/>
          <w:szCs w:val="20"/>
          <w:color w:val="auto"/>
        </w:rPr>
      </w:pPr>
    </w:p>
    <w:p>
      <w:pPr>
        <w:spacing w:after="0" w:line="298"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4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60" w:type="dxa"/>
            <w:vAlign w:val="bottom"/>
            <w:gridSpan w:val="2"/>
          </w:tcPr>
          <w:p>
            <w:pPr>
              <w:ind w:left="1000"/>
              <w:spacing w:after="0"/>
              <w:rPr>
                <w:sz w:val="20"/>
                <w:szCs w:val="20"/>
                <w:color w:val="auto"/>
              </w:rPr>
            </w:pPr>
            <w:r>
              <w:rPr>
                <w:rFonts w:ascii="Arial" w:cs="Arial" w:eastAsia="Arial" w:hAnsi="Arial"/>
                <w:sz w:val="18"/>
                <w:szCs w:val="18"/>
                <w:b w:val="1"/>
                <w:bCs w:val="1"/>
                <w:color w:val="auto"/>
              </w:rPr>
              <w:t>As at December 31,</w:t>
            </w:r>
          </w:p>
        </w:tc>
        <w:tc>
          <w:tcPr>
            <w:tcW w:w="880" w:type="dxa"/>
            <w:vAlign w:val="bottom"/>
          </w:tcPr>
          <w:p>
            <w:pPr>
              <w:spacing w:after="0"/>
              <w:rPr>
                <w:sz w:val="18"/>
                <w:szCs w:val="18"/>
                <w:color w:val="auto"/>
              </w:rPr>
            </w:pPr>
          </w:p>
        </w:tc>
      </w:tr>
      <w:tr>
        <w:trPr>
          <w:trHeight w:val="56"/>
        </w:trPr>
        <w:tc>
          <w:tcPr>
            <w:tcW w:w="4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35"/>
        </w:trPr>
        <w:tc>
          <w:tcPr>
            <w:tcW w:w="4940" w:type="dxa"/>
            <w:vAlign w:val="bottom"/>
          </w:tcPr>
          <w:p>
            <w:pPr>
              <w:spacing w:after="0"/>
              <w:rPr>
                <w:sz w:val="20"/>
                <w:szCs w:val="20"/>
                <w:color w:val="auto"/>
              </w:rPr>
            </w:pPr>
          </w:p>
        </w:tc>
        <w:tc>
          <w:tcPr>
            <w:tcW w:w="280" w:type="dxa"/>
            <w:vAlign w:val="bottom"/>
            <w:shd w:val="clear" w:color="auto" w:fill="DAE9F8"/>
          </w:tcPr>
          <w:p>
            <w:pPr>
              <w:spacing w:after="0"/>
              <w:rPr>
                <w:sz w:val="20"/>
                <w:szCs w:val="20"/>
                <w:color w:val="auto"/>
              </w:rPr>
            </w:pPr>
          </w:p>
        </w:tc>
        <w:tc>
          <w:tcPr>
            <w:tcW w:w="1900" w:type="dxa"/>
            <w:vAlign w:val="bottom"/>
            <w:shd w:val="clear" w:color="auto" w:fill="DAE9F8"/>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10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r>
      <w:tr>
        <w:trPr>
          <w:trHeight w:val="56"/>
        </w:trPr>
        <w:tc>
          <w:tcPr>
            <w:tcW w:w="4940" w:type="dxa"/>
            <w:vAlign w:val="bottom"/>
          </w:tcPr>
          <w:p>
            <w:pPr>
              <w:spacing w:after="0"/>
              <w:rPr>
                <w:sz w:val="4"/>
                <w:szCs w:val="4"/>
                <w:color w:val="auto"/>
              </w:rPr>
            </w:pPr>
          </w:p>
        </w:tc>
        <w:tc>
          <w:tcPr>
            <w:tcW w:w="280" w:type="dxa"/>
            <w:vAlign w:val="bottom"/>
            <w:shd w:val="clear" w:color="auto" w:fill="DAE9F8"/>
          </w:tcPr>
          <w:p>
            <w:pPr>
              <w:spacing w:after="0"/>
              <w:rPr>
                <w:sz w:val="4"/>
                <w:szCs w:val="4"/>
                <w:color w:val="auto"/>
              </w:rPr>
            </w:pPr>
          </w:p>
        </w:tc>
        <w:tc>
          <w:tcPr>
            <w:tcW w:w="1900" w:type="dxa"/>
            <w:vAlign w:val="bottom"/>
            <w:shd w:val="clear" w:color="auto" w:fill="DAE9F8"/>
          </w:tcPr>
          <w:p>
            <w:pPr>
              <w:spacing w:after="0"/>
              <w:rPr>
                <w:sz w:val="4"/>
                <w:szCs w:val="4"/>
                <w:color w:val="auto"/>
              </w:rPr>
            </w:pPr>
          </w:p>
        </w:tc>
        <w:tc>
          <w:tcPr>
            <w:tcW w:w="10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35"/>
        </w:trPr>
        <w:tc>
          <w:tcPr>
            <w:tcW w:w="4940" w:type="dxa"/>
            <w:vAlign w:val="bottom"/>
          </w:tcPr>
          <w:p>
            <w:pPr>
              <w:spacing w:after="0"/>
              <w:rPr>
                <w:sz w:val="20"/>
                <w:szCs w:val="20"/>
                <w:color w:val="auto"/>
              </w:rPr>
            </w:pPr>
            <w:r>
              <w:rPr>
                <w:rFonts w:ascii="Arial" w:cs="Arial" w:eastAsia="Arial" w:hAnsi="Arial"/>
                <w:sz w:val="18"/>
                <w:szCs w:val="18"/>
                <w:color w:val="auto"/>
              </w:rPr>
              <w:t>Lithium Argentina</w:t>
            </w:r>
          </w:p>
        </w:tc>
        <w:tc>
          <w:tcPr>
            <w:tcW w:w="280" w:type="dxa"/>
            <w:vAlign w:val="bottom"/>
            <w:shd w:val="clear" w:color="auto" w:fill="DAE9F8"/>
          </w:tcPr>
          <w:p>
            <w:pPr>
              <w:spacing w:after="0"/>
              <w:rPr>
                <w:sz w:val="20"/>
                <w:szCs w:val="20"/>
                <w:color w:val="auto"/>
              </w:rPr>
            </w:pPr>
          </w:p>
        </w:tc>
        <w:tc>
          <w:tcPr>
            <w:tcW w:w="190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25,507</w:t>
            </w:r>
          </w:p>
        </w:tc>
        <w:tc>
          <w:tcPr>
            <w:tcW w:w="10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21,152</w:t>
            </w:r>
          </w:p>
        </w:tc>
      </w:tr>
      <w:tr>
        <w:trPr>
          <w:trHeight w:val="36"/>
        </w:trPr>
        <w:tc>
          <w:tcPr>
            <w:tcW w:w="4940" w:type="dxa"/>
            <w:vAlign w:val="bottom"/>
          </w:tcPr>
          <w:p>
            <w:pPr>
              <w:spacing w:after="0"/>
              <w:rPr>
                <w:sz w:val="3"/>
                <w:szCs w:val="3"/>
                <w:color w:val="auto"/>
              </w:rPr>
            </w:pPr>
          </w:p>
        </w:tc>
        <w:tc>
          <w:tcPr>
            <w:tcW w:w="280" w:type="dxa"/>
            <w:vAlign w:val="bottom"/>
            <w:shd w:val="clear" w:color="auto" w:fill="DAE9F8"/>
          </w:tcPr>
          <w:p>
            <w:pPr>
              <w:spacing w:after="0"/>
              <w:rPr>
                <w:sz w:val="3"/>
                <w:szCs w:val="3"/>
                <w:color w:val="auto"/>
              </w:rPr>
            </w:pPr>
          </w:p>
        </w:tc>
        <w:tc>
          <w:tcPr>
            <w:tcW w:w="1900" w:type="dxa"/>
            <w:vAlign w:val="bottom"/>
            <w:shd w:val="clear" w:color="auto" w:fill="DAE9F8"/>
          </w:tcPr>
          <w:p>
            <w:pPr>
              <w:spacing w:after="0"/>
              <w:rPr>
                <w:sz w:val="3"/>
                <w:szCs w:val="3"/>
                <w:color w:val="auto"/>
              </w:rPr>
            </w:pPr>
          </w:p>
        </w:tc>
        <w:tc>
          <w:tcPr>
            <w:tcW w:w="10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5"/>
        </w:trPr>
        <w:tc>
          <w:tcPr>
            <w:tcW w:w="4940" w:type="dxa"/>
            <w:vAlign w:val="bottom"/>
          </w:tcPr>
          <w:p>
            <w:pPr>
              <w:spacing w:after="0"/>
              <w:rPr>
                <w:sz w:val="20"/>
                <w:szCs w:val="20"/>
                <w:color w:val="auto"/>
              </w:rPr>
            </w:pPr>
            <w:r>
              <w:rPr>
                <w:rFonts w:ascii="Arial" w:cs="Arial" w:eastAsia="Arial" w:hAnsi="Arial"/>
                <w:sz w:val="18"/>
                <w:szCs w:val="18"/>
                <w:color w:val="auto"/>
              </w:rPr>
              <w:t>Ganfeng</w:t>
            </w:r>
          </w:p>
        </w:tc>
        <w:tc>
          <w:tcPr>
            <w:tcW w:w="280" w:type="dxa"/>
            <w:vAlign w:val="bottom"/>
            <w:shd w:val="clear" w:color="auto" w:fill="DAE9F8"/>
          </w:tcPr>
          <w:p>
            <w:pPr>
              <w:spacing w:after="0"/>
              <w:rPr>
                <w:sz w:val="20"/>
                <w:szCs w:val="20"/>
                <w:color w:val="auto"/>
              </w:rPr>
            </w:pPr>
          </w:p>
        </w:tc>
        <w:tc>
          <w:tcPr>
            <w:tcW w:w="190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24,705</w:t>
            </w:r>
          </w:p>
        </w:tc>
        <w:tc>
          <w:tcPr>
            <w:tcW w:w="10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19,079</w:t>
            </w:r>
          </w:p>
        </w:tc>
      </w:tr>
      <w:tr>
        <w:trPr>
          <w:trHeight w:val="36"/>
        </w:trPr>
        <w:tc>
          <w:tcPr>
            <w:tcW w:w="4940" w:type="dxa"/>
            <w:vAlign w:val="bottom"/>
          </w:tcPr>
          <w:p>
            <w:pPr>
              <w:spacing w:after="0"/>
              <w:rPr>
                <w:sz w:val="3"/>
                <w:szCs w:val="3"/>
                <w:color w:val="auto"/>
              </w:rPr>
            </w:pPr>
          </w:p>
        </w:tc>
        <w:tc>
          <w:tcPr>
            <w:tcW w:w="280" w:type="dxa"/>
            <w:vAlign w:val="bottom"/>
            <w:shd w:val="clear" w:color="auto" w:fill="DAE9F8"/>
          </w:tcPr>
          <w:p>
            <w:pPr>
              <w:spacing w:after="0"/>
              <w:rPr>
                <w:sz w:val="3"/>
                <w:szCs w:val="3"/>
                <w:color w:val="auto"/>
              </w:rPr>
            </w:pPr>
          </w:p>
        </w:tc>
        <w:tc>
          <w:tcPr>
            <w:tcW w:w="1900" w:type="dxa"/>
            <w:vAlign w:val="bottom"/>
            <w:shd w:val="clear" w:color="auto" w:fill="DAE9F8"/>
          </w:tcPr>
          <w:p>
            <w:pPr>
              <w:spacing w:after="0"/>
              <w:rPr>
                <w:sz w:val="3"/>
                <w:szCs w:val="3"/>
                <w:color w:val="auto"/>
              </w:rPr>
            </w:pPr>
          </w:p>
        </w:tc>
        <w:tc>
          <w:tcPr>
            <w:tcW w:w="10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40"/>
        </w:trPr>
        <w:tc>
          <w:tcPr>
            <w:tcW w:w="4940" w:type="dxa"/>
            <w:vAlign w:val="bottom"/>
          </w:tcPr>
          <w:p>
            <w:pPr>
              <w:spacing w:after="0"/>
              <w:rPr>
                <w:sz w:val="20"/>
                <w:szCs w:val="20"/>
                <w:color w:val="auto"/>
              </w:rPr>
            </w:pPr>
            <w:r>
              <w:rPr>
                <w:rFonts w:ascii="Arial" w:cs="Arial" w:eastAsia="Arial" w:hAnsi="Arial"/>
                <w:sz w:val="18"/>
                <w:szCs w:val="18"/>
                <w:color w:val="auto"/>
              </w:rPr>
              <w:t>Litio Minera Argentina</w:t>
            </w:r>
          </w:p>
        </w:tc>
        <w:tc>
          <w:tcPr>
            <w:tcW w:w="280" w:type="dxa"/>
            <w:vAlign w:val="bottom"/>
            <w:shd w:val="clear" w:color="auto" w:fill="DAE9F8"/>
          </w:tcPr>
          <w:p>
            <w:pPr>
              <w:spacing w:after="0"/>
              <w:rPr>
                <w:sz w:val="20"/>
                <w:szCs w:val="20"/>
                <w:color w:val="auto"/>
              </w:rPr>
            </w:pPr>
          </w:p>
        </w:tc>
        <w:tc>
          <w:tcPr>
            <w:tcW w:w="1900" w:type="dxa"/>
            <w:vAlign w:val="bottom"/>
            <w:shd w:val="clear" w:color="auto" w:fill="DAE9F8"/>
          </w:tcPr>
          <w:p>
            <w:pPr>
              <w:jc w:val="right"/>
              <w:ind w:right="50"/>
              <w:spacing w:after="0"/>
              <w:rPr>
                <w:sz w:val="20"/>
                <w:szCs w:val="20"/>
                <w:color w:val="auto"/>
              </w:rPr>
            </w:pPr>
            <w:r>
              <w:rPr>
                <w:rFonts w:ascii="Arial" w:cs="Arial" w:eastAsia="Arial" w:hAnsi="Arial"/>
                <w:sz w:val="18"/>
                <w:szCs w:val="18"/>
                <w:color w:val="auto"/>
              </w:rPr>
              <w:t>618</w:t>
            </w:r>
          </w:p>
        </w:tc>
        <w:tc>
          <w:tcPr>
            <w:tcW w:w="10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77"/>
        </w:trPr>
        <w:tc>
          <w:tcPr>
            <w:tcW w:w="4940" w:type="dxa"/>
            <w:vAlign w:val="bottom"/>
          </w:tcPr>
          <w:p>
            <w:pPr>
              <w:spacing w:after="0"/>
              <w:rPr>
                <w:sz w:val="20"/>
                <w:szCs w:val="20"/>
                <w:color w:val="auto"/>
              </w:rPr>
            </w:pPr>
            <w:r>
              <w:rPr>
                <w:rFonts w:ascii="Arial" w:cs="Arial" w:eastAsia="Arial" w:hAnsi="Arial"/>
                <w:sz w:val="18"/>
                <w:szCs w:val="18"/>
                <w:b w:val="1"/>
                <w:bCs w:val="1"/>
                <w:color w:val="auto"/>
              </w:rPr>
              <w:t>Total trade receivables</w:t>
            </w:r>
          </w:p>
        </w:tc>
        <w:tc>
          <w:tcPr>
            <w:tcW w:w="280" w:type="dxa"/>
            <w:vAlign w:val="bottom"/>
            <w:shd w:val="clear" w:color="auto" w:fill="DAE9F8"/>
          </w:tcPr>
          <w:p>
            <w:pPr>
              <w:spacing w:after="0"/>
              <w:rPr>
                <w:sz w:val="24"/>
                <w:szCs w:val="24"/>
                <w:color w:val="auto"/>
              </w:rPr>
            </w:pPr>
          </w:p>
        </w:tc>
        <w:tc>
          <w:tcPr>
            <w:tcW w:w="1900" w:type="dxa"/>
            <w:vAlign w:val="bottom"/>
            <w:shd w:val="clear" w:color="auto" w:fill="DAE9F8"/>
          </w:tcPr>
          <w:p>
            <w:pPr>
              <w:jc w:val="right"/>
              <w:ind w:right="30"/>
              <w:spacing w:after="0"/>
              <w:rPr>
                <w:sz w:val="20"/>
                <w:szCs w:val="20"/>
                <w:color w:val="auto"/>
              </w:rPr>
            </w:pPr>
            <w:r>
              <w:rPr>
                <w:rFonts w:ascii="Arial" w:cs="Arial" w:eastAsia="Arial" w:hAnsi="Arial"/>
                <w:sz w:val="18"/>
                <w:szCs w:val="18"/>
                <w:b w:val="1"/>
                <w:bCs w:val="1"/>
                <w:color w:val="auto"/>
              </w:rPr>
              <w:t>50,830</w:t>
            </w:r>
          </w:p>
        </w:tc>
        <w:tc>
          <w:tcPr>
            <w:tcW w:w="10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40,459</w:t>
            </w:r>
          </w:p>
        </w:tc>
      </w:tr>
      <w:tr>
        <w:trPr>
          <w:trHeight w:val="56"/>
        </w:trPr>
        <w:tc>
          <w:tcPr>
            <w:tcW w:w="4940" w:type="dxa"/>
            <w:vAlign w:val="bottom"/>
          </w:tcPr>
          <w:p>
            <w:pPr>
              <w:spacing w:after="0"/>
              <w:rPr>
                <w:sz w:val="4"/>
                <w:szCs w:val="4"/>
                <w:color w:val="auto"/>
              </w:rPr>
            </w:pPr>
          </w:p>
        </w:tc>
        <w:tc>
          <w:tcPr>
            <w:tcW w:w="280" w:type="dxa"/>
            <w:vAlign w:val="bottom"/>
            <w:shd w:val="clear" w:color="auto" w:fill="DAE9F8"/>
          </w:tcPr>
          <w:p>
            <w:pPr>
              <w:spacing w:after="0"/>
              <w:rPr>
                <w:sz w:val="4"/>
                <w:szCs w:val="4"/>
                <w:color w:val="auto"/>
              </w:rPr>
            </w:pPr>
          </w:p>
        </w:tc>
        <w:tc>
          <w:tcPr>
            <w:tcW w:w="1900" w:type="dxa"/>
            <w:vAlign w:val="bottom"/>
            <w:shd w:val="clear" w:color="auto" w:fill="DAE9F8"/>
          </w:tcPr>
          <w:p>
            <w:pPr>
              <w:spacing w:after="0"/>
              <w:rPr>
                <w:sz w:val="4"/>
                <w:szCs w:val="4"/>
                <w:color w:val="auto"/>
              </w:rPr>
            </w:pPr>
          </w:p>
        </w:tc>
        <w:tc>
          <w:tcPr>
            <w:tcW w:w="1060" w:type="dxa"/>
            <w:vAlign w:val="bottom"/>
          </w:tcPr>
          <w:p>
            <w:pPr>
              <w:spacing w:after="0"/>
              <w:rPr>
                <w:sz w:val="4"/>
                <w:szCs w:val="4"/>
                <w:color w:val="auto"/>
              </w:rPr>
            </w:pPr>
          </w:p>
        </w:tc>
        <w:tc>
          <w:tcPr>
            <w:tcW w:w="88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-906145</wp:posOffset>
            </wp:positionV>
            <wp:extent cx="2650490" cy="1270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302">
                      <a:extLst>
                        <a:ext uri="{28A0092B-C50C-407E-A947-70E740481C1C}"/>
                      </a:extLst>
                    </a:blip>
                    <a:srcRect/>
                    <a:stretch>
                      <a:fillRect/>
                    </a:stretch>
                  </pic:blipFill>
                  <pic:spPr bwMode="auto">
                    <a:xfrm>
                      <a:off x="0" y="0"/>
                      <a:ext cx="2650490"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-721360</wp:posOffset>
            </wp:positionV>
            <wp:extent cx="5849620" cy="1270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303">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-363220</wp:posOffset>
            </wp:positionV>
            <wp:extent cx="2650490" cy="17907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304">
                      <a:extLst>
                        <a:ext uri="{28A0092B-C50C-407E-A947-70E740481C1C}"/>
                      </a:extLst>
                    </a:blip>
                    <a:srcRect/>
                    <a:stretch>
                      <a:fillRect/>
                    </a:stretch>
                  </pic:blipFill>
                  <pic:spPr bwMode="auto">
                    <a:xfrm>
                      <a:off x="0" y="0"/>
                      <a:ext cx="2650490" cy="17907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-12065</wp:posOffset>
            </wp:positionV>
            <wp:extent cx="5849620" cy="1270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305">
                      <a:extLst>
                        <a:ext uri="{28A0092B-C50C-407E-A947-70E740481C1C}"/>
                      </a:extLst>
                    </a:blip>
                    <a:srcRect/>
                    <a:stretch>
                      <a:fillRect/>
                    </a:stretch>
                  </pic:blipFill>
                  <pic:spPr bwMode="auto">
                    <a:xfrm>
                      <a:off x="0" y="0"/>
                      <a:ext cx="5849620" cy="12700"/>
                    </a:xfrm>
                    <a:prstGeom prst="rect">
                      <a:avLst/>
                    </a:prstGeom>
                    <a:noFill/>
                  </pic:spPr>
                </pic:pic>
              </a:graphicData>
            </a:graphic>
          </wp:anchor>
        </w:drawing>
      </w:r>
    </w:p>
    <w:p>
      <w:pPr>
        <w:spacing w:after="0" w:line="378" w:lineRule="exact"/>
        <w:rPr>
          <w:sz w:val="20"/>
          <w:szCs w:val="20"/>
          <w:color w:val="auto"/>
        </w:rPr>
      </w:pPr>
    </w:p>
    <w:p>
      <w:pPr>
        <w:jc w:val="both"/>
        <w:ind w:left="1260"/>
        <w:spacing w:after="0" w:line="312" w:lineRule="auto"/>
        <w:rPr>
          <w:sz w:val="20"/>
          <w:szCs w:val="20"/>
          <w:color w:val="auto"/>
        </w:rPr>
      </w:pPr>
      <w:r>
        <w:rPr>
          <w:rFonts w:ascii="Arial" w:cs="Arial" w:eastAsia="Arial" w:hAnsi="Arial"/>
          <w:sz w:val="20"/>
          <w:szCs w:val="20"/>
          <w:color w:val="auto"/>
        </w:rPr>
        <w:t>All trade receivables are current, and non-interest bearing. No amounts were past due at December 31 2025. The Company performed an expected credit loss assessment for these receivables, and conclude that the expected credit loss was insignificant, given the short-term nature of the balances and the counterparties' history of timely settlement (Note 23).</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7. CASH AND CASH EQUIVALENTS</w:t>
      </w:r>
    </w:p>
    <w:p>
      <w:pPr>
        <w:spacing w:after="0" w:line="200" w:lineRule="exact"/>
        <w:rPr>
          <w:sz w:val="20"/>
          <w:szCs w:val="20"/>
          <w:color w:val="auto"/>
        </w:rPr>
      </w:pPr>
    </w:p>
    <w:p>
      <w:pPr>
        <w:spacing w:after="0" w:line="298"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4940" w:type="dxa"/>
            <w:vAlign w:val="bottom"/>
          </w:tcPr>
          <w:p>
            <w:pPr>
              <w:spacing w:after="0"/>
              <w:rPr>
                <w:sz w:val="18"/>
                <w:szCs w:val="18"/>
                <w:color w:val="auto"/>
              </w:rPr>
            </w:pPr>
          </w:p>
        </w:tc>
        <w:tc>
          <w:tcPr>
            <w:tcW w:w="3240" w:type="dxa"/>
            <w:vAlign w:val="bottom"/>
            <w:gridSpan w:val="2"/>
          </w:tcPr>
          <w:p>
            <w:pPr>
              <w:ind w:left="1280"/>
              <w:spacing w:after="0"/>
              <w:rPr>
                <w:sz w:val="20"/>
                <w:szCs w:val="20"/>
                <w:color w:val="auto"/>
              </w:rPr>
            </w:pPr>
            <w:r>
              <w:rPr>
                <w:rFonts w:ascii="Arial" w:cs="Arial" w:eastAsia="Arial" w:hAnsi="Arial"/>
                <w:sz w:val="18"/>
                <w:szCs w:val="18"/>
                <w:b w:val="1"/>
                <w:bCs w:val="1"/>
                <w:color w:val="auto"/>
              </w:rPr>
              <w:t>As at December 31,</w:t>
            </w:r>
          </w:p>
        </w:tc>
        <w:tc>
          <w:tcPr>
            <w:tcW w:w="880" w:type="dxa"/>
            <w:vAlign w:val="bottom"/>
          </w:tcPr>
          <w:p>
            <w:pPr>
              <w:spacing w:after="0"/>
              <w:rPr>
                <w:sz w:val="18"/>
                <w:szCs w:val="18"/>
                <w:color w:val="auto"/>
              </w:rPr>
            </w:pPr>
          </w:p>
        </w:tc>
      </w:tr>
      <w:tr>
        <w:trPr>
          <w:trHeight w:val="56"/>
        </w:trPr>
        <w:tc>
          <w:tcPr>
            <w:tcW w:w="49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35"/>
        </w:trPr>
        <w:tc>
          <w:tcPr>
            <w:tcW w:w="4940" w:type="dxa"/>
            <w:vAlign w:val="bottom"/>
          </w:tcPr>
          <w:p>
            <w:pPr>
              <w:spacing w:after="0"/>
              <w:rPr>
                <w:sz w:val="20"/>
                <w:szCs w:val="20"/>
                <w:color w:val="auto"/>
              </w:rPr>
            </w:pPr>
          </w:p>
        </w:tc>
        <w:tc>
          <w:tcPr>
            <w:tcW w:w="2180" w:type="dxa"/>
            <w:vAlign w:val="bottom"/>
            <w:shd w:val="clear" w:color="auto" w:fill="DAE9F8"/>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10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r>
      <w:tr>
        <w:trPr>
          <w:trHeight w:val="292"/>
        </w:trPr>
        <w:tc>
          <w:tcPr>
            <w:tcW w:w="4940" w:type="dxa"/>
            <w:vAlign w:val="bottom"/>
          </w:tcPr>
          <w:p>
            <w:pPr>
              <w:spacing w:after="0"/>
              <w:rPr>
                <w:sz w:val="20"/>
                <w:szCs w:val="20"/>
                <w:color w:val="auto"/>
              </w:rPr>
            </w:pPr>
            <w:r>
              <w:rPr>
                <w:rFonts w:ascii="Arial" w:cs="Arial" w:eastAsia="Arial" w:hAnsi="Arial"/>
                <w:sz w:val="18"/>
                <w:szCs w:val="18"/>
                <w:color w:val="auto"/>
              </w:rPr>
              <w:t>Cash</w:t>
            </w:r>
          </w:p>
        </w:tc>
        <w:tc>
          <w:tcPr>
            <w:tcW w:w="218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6,278</w:t>
            </w:r>
          </w:p>
        </w:tc>
        <w:tc>
          <w:tcPr>
            <w:tcW w:w="10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3,642</w:t>
            </w:r>
          </w:p>
        </w:tc>
      </w:tr>
      <w:tr>
        <w:trPr>
          <w:trHeight w:val="277"/>
        </w:trPr>
        <w:tc>
          <w:tcPr>
            <w:tcW w:w="4940" w:type="dxa"/>
            <w:vAlign w:val="bottom"/>
          </w:tcPr>
          <w:p>
            <w:pPr>
              <w:spacing w:after="0"/>
              <w:rPr>
                <w:sz w:val="20"/>
                <w:szCs w:val="20"/>
                <w:color w:val="auto"/>
              </w:rPr>
            </w:pPr>
            <w:r>
              <w:rPr>
                <w:rFonts w:ascii="Arial" w:cs="Arial" w:eastAsia="Arial" w:hAnsi="Arial"/>
                <w:sz w:val="18"/>
                <w:szCs w:val="18"/>
                <w:color w:val="auto"/>
              </w:rPr>
              <w:t>Cash equivalents</w:t>
            </w:r>
          </w:p>
        </w:tc>
        <w:tc>
          <w:tcPr>
            <w:tcW w:w="2180" w:type="dxa"/>
            <w:vAlign w:val="bottom"/>
            <w:shd w:val="clear" w:color="auto" w:fill="DAE9F8"/>
          </w:tcPr>
          <w:p>
            <w:pPr>
              <w:jc w:val="right"/>
              <w:ind w:right="50"/>
              <w:spacing w:after="0"/>
              <w:rPr>
                <w:sz w:val="20"/>
                <w:szCs w:val="20"/>
                <w:color w:val="auto"/>
              </w:rPr>
            </w:pPr>
            <w:r>
              <w:rPr>
                <w:rFonts w:ascii="Arial" w:cs="Arial" w:eastAsia="Arial" w:hAnsi="Arial"/>
                <w:sz w:val="18"/>
                <w:szCs w:val="18"/>
                <w:color w:val="auto"/>
              </w:rPr>
              <w:t>64,521</w:t>
            </w:r>
          </w:p>
        </w:tc>
        <w:tc>
          <w:tcPr>
            <w:tcW w:w="10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7,548</w:t>
            </w:r>
          </w:p>
        </w:tc>
      </w:tr>
      <w:tr>
        <w:trPr>
          <w:trHeight w:val="41"/>
        </w:trPr>
        <w:tc>
          <w:tcPr>
            <w:tcW w:w="4940" w:type="dxa"/>
            <w:vAlign w:val="bottom"/>
          </w:tcPr>
          <w:p>
            <w:pPr>
              <w:spacing w:after="0"/>
              <w:rPr>
                <w:sz w:val="3"/>
                <w:szCs w:val="3"/>
                <w:color w:val="auto"/>
              </w:rPr>
            </w:pPr>
          </w:p>
        </w:tc>
        <w:tc>
          <w:tcPr>
            <w:tcW w:w="2180" w:type="dxa"/>
            <w:vAlign w:val="bottom"/>
            <w:shd w:val="clear" w:color="auto" w:fill="DAE9F8"/>
          </w:tcPr>
          <w:p>
            <w:pPr>
              <w:spacing w:after="0"/>
              <w:rPr>
                <w:sz w:val="3"/>
                <w:szCs w:val="3"/>
                <w:color w:val="auto"/>
              </w:rPr>
            </w:pPr>
          </w:p>
        </w:tc>
        <w:tc>
          <w:tcPr>
            <w:tcW w:w="10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5"/>
        </w:trPr>
        <w:tc>
          <w:tcPr>
            <w:tcW w:w="4940" w:type="dxa"/>
            <w:vAlign w:val="bottom"/>
          </w:tcPr>
          <w:p>
            <w:pPr>
              <w:spacing w:after="0"/>
              <w:rPr>
                <w:sz w:val="20"/>
                <w:szCs w:val="20"/>
                <w:color w:val="auto"/>
              </w:rPr>
            </w:pPr>
            <w:r>
              <w:rPr>
                <w:rFonts w:ascii="Arial" w:cs="Arial" w:eastAsia="Arial" w:hAnsi="Arial"/>
                <w:sz w:val="18"/>
                <w:szCs w:val="18"/>
                <w:b w:val="1"/>
                <w:bCs w:val="1"/>
                <w:color w:val="auto"/>
              </w:rPr>
              <w:t>Total cash and cash equivalents</w:t>
            </w:r>
          </w:p>
        </w:tc>
        <w:tc>
          <w:tcPr>
            <w:tcW w:w="2180" w:type="dxa"/>
            <w:vAlign w:val="bottom"/>
            <w:shd w:val="clear" w:color="auto" w:fill="DAE9F8"/>
          </w:tcPr>
          <w:p>
            <w:pPr>
              <w:jc w:val="right"/>
              <w:ind w:right="30"/>
              <w:spacing w:after="0"/>
              <w:rPr>
                <w:sz w:val="20"/>
                <w:szCs w:val="20"/>
                <w:color w:val="auto"/>
              </w:rPr>
            </w:pPr>
            <w:r>
              <w:rPr>
                <w:rFonts w:ascii="Arial" w:cs="Arial" w:eastAsia="Arial" w:hAnsi="Arial"/>
                <w:sz w:val="18"/>
                <w:szCs w:val="18"/>
                <w:b w:val="1"/>
                <w:bCs w:val="1"/>
                <w:color w:val="auto"/>
              </w:rPr>
              <w:t>70,799</w:t>
            </w:r>
          </w:p>
        </w:tc>
        <w:tc>
          <w:tcPr>
            <w:tcW w:w="10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11,190</w:t>
            </w:r>
          </w:p>
        </w:tc>
      </w:tr>
      <w:tr>
        <w:trPr>
          <w:trHeight w:val="56"/>
        </w:trPr>
        <w:tc>
          <w:tcPr>
            <w:tcW w:w="4940" w:type="dxa"/>
            <w:vAlign w:val="bottom"/>
          </w:tcPr>
          <w:p>
            <w:pPr>
              <w:spacing w:after="0"/>
              <w:rPr>
                <w:sz w:val="4"/>
                <w:szCs w:val="4"/>
                <w:color w:val="auto"/>
              </w:rPr>
            </w:pPr>
          </w:p>
        </w:tc>
        <w:tc>
          <w:tcPr>
            <w:tcW w:w="2180" w:type="dxa"/>
            <w:vAlign w:val="bottom"/>
            <w:shd w:val="clear" w:color="auto" w:fill="DAE9F8"/>
          </w:tcPr>
          <w:p>
            <w:pPr>
              <w:spacing w:after="0"/>
              <w:rPr>
                <w:sz w:val="4"/>
                <w:szCs w:val="4"/>
                <w:color w:val="auto"/>
              </w:rPr>
            </w:pPr>
          </w:p>
        </w:tc>
        <w:tc>
          <w:tcPr>
            <w:tcW w:w="1060" w:type="dxa"/>
            <w:vAlign w:val="bottom"/>
          </w:tcPr>
          <w:p>
            <w:pPr>
              <w:spacing w:after="0"/>
              <w:rPr>
                <w:sz w:val="4"/>
                <w:szCs w:val="4"/>
                <w:color w:val="auto"/>
              </w:rPr>
            </w:pPr>
          </w:p>
        </w:tc>
        <w:tc>
          <w:tcPr>
            <w:tcW w:w="88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-734060</wp:posOffset>
            </wp:positionV>
            <wp:extent cx="2649855" cy="1270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06">
                      <a:extLst>
                        <a:ext uri="{28A0092B-C50C-407E-A947-70E740481C1C}"/>
                      </a:extLst>
                    </a:blip>
                    <a:srcRect/>
                    <a:stretch>
                      <a:fillRect/>
                    </a:stretch>
                  </pic:blipFill>
                  <pic:spPr bwMode="auto">
                    <a:xfrm>
                      <a:off x="0" y="0"/>
                      <a:ext cx="2649855"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-548640</wp:posOffset>
            </wp:positionV>
            <wp:extent cx="5849620" cy="1270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7">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-363220</wp:posOffset>
            </wp:positionV>
            <wp:extent cx="2649855" cy="17907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8">
                      <a:extLst>
                        <a:ext uri="{28A0092B-C50C-407E-A947-70E740481C1C}"/>
                      </a:extLst>
                    </a:blip>
                    <a:srcRect/>
                    <a:stretch>
                      <a:fillRect/>
                    </a:stretch>
                  </pic:blipFill>
                  <pic:spPr bwMode="auto">
                    <a:xfrm>
                      <a:off x="0" y="0"/>
                      <a:ext cx="2649855" cy="17907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-12065</wp:posOffset>
            </wp:positionV>
            <wp:extent cx="5849620" cy="1270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9">
                      <a:extLst>
                        <a:ext uri="{28A0092B-C50C-407E-A947-70E740481C1C}"/>
                      </a:extLst>
                    </a:blip>
                    <a:srcRect/>
                    <a:stretch>
                      <a:fillRect/>
                    </a:stretch>
                  </pic:blipFill>
                  <pic:spPr bwMode="auto">
                    <a:xfrm>
                      <a:off x="0" y="0"/>
                      <a:ext cx="5849620" cy="1270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24 / 58</w:t>
      </w:r>
    </w:p>
    <w:p>
      <w:pPr>
        <w:sectPr>
          <w:pgSz w:w="11900" w:h="16838" w:orient="portrait"/>
          <w:cols w:equalWidth="0" w:num="1">
            <w:col w:w="10460"/>
          </w:cols>
          <w:pgMar w:left="1440" w:top="1440" w:right="6" w:bottom="0" w:gutter="0" w:footer="0" w:header="0"/>
          <w:type w:val="continuous"/>
        </w:sectPr>
      </w:pPr>
    </w:p>
    <w:bookmarkStart w:id="636" w:name="page637"/>
    <w:bookmarkEnd w:id="636"/>
    <w:p>
      <w:pPr>
        <w:jc w:val="both"/>
        <w:ind w:left="1260"/>
        <w:spacing w:after="0" w:line="311" w:lineRule="auto"/>
        <w:rPr>
          <w:sz w:val="20"/>
          <w:szCs w:val="20"/>
          <w:color w:val="auto"/>
        </w:rPr>
      </w:pPr>
      <w:r>
        <w:rPr>
          <w:rFonts w:ascii="Arial" w:cs="Arial" w:eastAsia="Arial" w:hAnsi="Arial"/>
          <w:sz w:val="20"/>
          <w:szCs w:val="20"/>
          <w:color w:val="auto"/>
        </w:rPr>
        <w:t>As at December 31, 2025, $6,663 of cash and cash equivalents was held in US dollars (December 31 2024 – $2,614), and $64,136 held in Argentine Pesos (December 31, 2024 – $8,576). As of Decembe 31, 2025, and 2024, the company had no restricted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1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25 / 58</w:t>
      </w:r>
    </w:p>
    <w:p>
      <w:pPr>
        <w:sectPr>
          <w:pgSz w:w="11900" w:h="16838" w:orient="portrait"/>
          <w:cols w:equalWidth="0" w:num="1">
            <w:col w:w="10460"/>
          </w:cols>
          <w:pgMar w:left="1440" w:top="1172" w:right="6" w:bottom="0" w:gutter="0" w:footer="0" w:header="0"/>
          <w:type w:val="continuous"/>
        </w:sectPr>
      </w:pPr>
    </w:p>
    <w:bookmarkStart w:id="637" w:name="page638"/>
    <w:bookmarkEnd w:id="637"/>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60" w:right="4740" w:hanging="6"/>
        <w:spacing w:after="0" w:line="558" w:lineRule="auto"/>
        <w:tabs>
          <w:tab w:leader="none" w:pos="1482" w:val="left"/>
        </w:tabs>
        <w:numPr>
          <w:ilvl w:val="0"/>
          <w:numId w:val="300"/>
        </w:numPr>
        <w:rPr>
          <w:rFonts w:ascii="Arial" w:cs="Arial" w:eastAsia="Arial" w:hAnsi="Arial"/>
          <w:sz w:val="20"/>
          <w:szCs w:val="20"/>
          <w:b w:val="1"/>
          <w:bCs w:val="1"/>
          <w:color w:val="auto"/>
        </w:rPr>
      </w:pPr>
      <w:r>
        <w:rPr>
          <w:rFonts w:ascii="Arial" w:cs="Arial" w:eastAsia="Arial" w:hAnsi="Arial"/>
          <w:sz w:val="20"/>
          <w:szCs w:val="20"/>
          <w:b w:val="1"/>
          <w:bCs w:val="1"/>
          <w:color w:val="auto"/>
        </w:rPr>
        <w:t>OTHER RECEIVABLES AND PREPAYMENTS Current</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60" w:type="dxa"/>
            <w:vAlign w:val="bottom"/>
            <w:gridSpan w:val="2"/>
          </w:tcPr>
          <w:p>
            <w:pPr>
              <w:ind w:left="1080"/>
              <w:spacing w:after="0"/>
              <w:rPr>
                <w:sz w:val="20"/>
                <w:szCs w:val="20"/>
                <w:color w:val="auto"/>
              </w:rPr>
            </w:pPr>
            <w:r>
              <w:rPr>
                <w:rFonts w:ascii="Arial" w:cs="Arial" w:eastAsia="Arial" w:hAnsi="Arial"/>
                <w:sz w:val="18"/>
                <w:szCs w:val="18"/>
                <w:b w:val="1"/>
                <w:bCs w:val="1"/>
                <w:color w:val="auto"/>
              </w:rPr>
              <w:t>As at December 31,</w:t>
            </w:r>
          </w:p>
        </w:tc>
        <w:tc>
          <w:tcPr>
            <w:tcW w:w="920" w:type="dxa"/>
            <w:vAlign w:val="bottom"/>
          </w:tcPr>
          <w:p>
            <w:pPr>
              <w:spacing w:after="0"/>
              <w:rPr>
                <w:sz w:val="17"/>
                <w:szCs w:val="17"/>
                <w:color w:val="auto"/>
              </w:rPr>
            </w:pPr>
          </w:p>
        </w:tc>
      </w:tr>
      <w:tr>
        <w:trPr>
          <w:trHeight w:val="56"/>
        </w:trPr>
        <w:tc>
          <w:tcPr>
            <w:tcW w:w="3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35"/>
        </w:trPr>
        <w:tc>
          <w:tcPr>
            <w:tcW w:w="3940" w:type="dxa"/>
            <w:vAlign w:val="bottom"/>
          </w:tcPr>
          <w:p>
            <w:pPr>
              <w:spacing w:after="0"/>
              <w:rPr>
                <w:sz w:val="20"/>
                <w:szCs w:val="20"/>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Note</w:t>
            </w:r>
          </w:p>
        </w:tc>
        <w:tc>
          <w:tcPr>
            <w:tcW w:w="320" w:type="dxa"/>
            <w:vAlign w:val="bottom"/>
            <w:shd w:val="clear" w:color="auto" w:fill="DAE9F8"/>
          </w:tcPr>
          <w:p>
            <w:pPr>
              <w:spacing w:after="0"/>
              <w:rPr>
                <w:sz w:val="20"/>
                <w:szCs w:val="20"/>
                <w:color w:val="auto"/>
              </w:rPr>
            </w:pPr>
          </w:p>
        </w:tc>
        <w:tc>
          <w:tcPr>
            <w:tcW w:w="1860" w:type="dxa"/>
            <w:vAlign w:val="bottom"/>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1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r>
      <w:tr>
        <w:trPr>
          <w:trHeight w:val="292"/>
        </w:trPr>
        <w:tc>
          <w:tcPr>
            <w:tcW w:w="3940" w:type="dxa"/>
            <w:vAlign w:val="bottom"/>
          </w:tcPr>
          <w:p>
            <w:pPr>
              <w:ind w:left="100"/>
              <w:spacing w:after="0"/>
              <w:rPr>
                <w:sz w:val="20"/>
                <w:szCs w:val="20"/>
                <w:color w:val="auto"/>
              </w:rPr>
            </w:pPr>
            <w:r>
              <w:rPr>
                <w:rFonts w:ascii="Arial" w:cs="Arial" w:eastAsia="Arial" w:hAnsi="Arial"/>
                <w:sz w:val="18"/>
                <w:szCs w:val="18"/>
                <w:color w:val="auto"/>
              </w:rPr>
              <w:t>Advances to suppliers and other advances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shd w:val="clear" w:color="auto" w:fill="DAE9F8"/>
          </w:tcPr>
          <w:p>
            <w:pPr>
              <w:spacing w:after="0"/>
              <w:rPr>
                <w:sz w:val="24"/>
                <w:szCs w:val="24"/>
                <w:color w:val="auto"/>
              </w:rPr>
            </w:pPr>
          </w:p>
        </w:tc>
        <w:tc>
          <w:tcPr>
            <w:tcW w:w="186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13,148</w:t>
            </w:r>
          </w:p>
        </w:tc>
        <w:tc>
          <w:tcPr>
            <w:tcW w:w="1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14,871</w:t>
            </w:r>
          </w:p>
        </w:tc>
      </w:tr>
      <w:tr>
        <w:trPr>
          <w:trHeight w:val="272"/>
        </w:trPr>
        <w:tc>
          <w:tcPr>
            <w:tcW w:w="3940" w:type="dxa"/>
            <w:vAlign w:val="bottom"/>
          </w:tcPr>
          <w:p>
            <w:pPr>
              <w:ind w:left="100"/>
              <w:spacing w:after="0"/>
              <w:rPr>
                <w:sz w:val="20"/>
                <w:szCs w:val="20"/>
                <w:color w:val="auto"/>
              </w:rPr>
            </w:pPr>
            <w:r>
              <w:rPr>
                <w:rFonts w:ascii="Arial" w:cs="Arial" w:eastAsia="Arial" w:hAnsi="Arial"/>
                <w:sz w:val="18"/>
                <w:szCs w:val="18"/>
                <w:color w:val="auto"/>
              </w:rPr>
              <w:t>Due from related parties</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17a</w:t>
            </w:r>
          </w:p>
        </w:tc>
        <w:tc>
          <w:tcPr>
            <w:tcW w:w="320" w:type="dxa"/>
            <w:vAlign w:val="bottom"/>
            <w:shd w:val="clear" w:color="auto" w:fill="DAE9F8"/>
          </w:tcPr>
          <w:p>
            <w:pPr>
              <w:spacing w:after="0"/>
              <w:rPr>
                <w:sz w:val="23"/>
                <w:szCs w:val="23"/>
                <w:color w:val="auto"/>
              </w:rPr>
            </w:pPr>
          </w:p>
        </w:tc>
        <w:tc>
          <w:tcPr>
            <w:tcW w:w="186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89</w:t>
            </w:r>
          </w:p>
        </w:tc>
        <w:tc>
          <w:tcPr>
            <w:tcW w:w="1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2"/>
        </w:trPr>
        <w:tc>
          <w:tcPr>
            <w:tcW w:w="3940" w:type="dxa"/>
            <w:vAlign w:val="bottom"/>
          </w:tcPr>
          <w:p>
            <w:pPr>
              <w:ind w:left="100"/>
              <w:spacing w:after="0"/>
              <w:rPr>
                <w:sz w:val="20"/>
                <w:szCs w:val="20"/>
                <w:color w:val="auto"/>
              </w:rPr>
            </w:pPr>
            <w:r>
              <w:rPr>
                <w:rFonts w:ascii="Arial" w:cs="Arial" w:eastAsia="Arial" w:hAnsi="Arial"/>
                <w:sz w:val="18"/>
                <w:szCs w:val="18"/>
                <w:color w:val="auto"/>
              </w:rPr>
              <w:t>VAT and other taxes receivable</w:t>
            </w: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shd w:val="clear" w:color="auto" w:fill="DAE9F8"/>
          </w:tcPr>
          <w:p>
            <w:pPr>
              <w:spacing w:after="0"/>
              <w:rPr>
                <w:sz w:val="23"/>
                <w:szCs w:val="23"/>
                <w:color w:val="auto"/>
              </w:rPr>
            </w:pPr>
          </w:p>
        </w:tc>
        <w:tc>
          <w:tcPr>
            <w:tcW w:w="186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30,824</w:t>
            </w:r>
          </w:p>
        </w:tc>
        <w:tc>
          <w:tcPr>
            <w:tcW w:w="12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6"/>
        </w:trPr>
        <w:tc>
          <w:tcPr>
            <w:tcW w:w="3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shd w:val="clear" w:color="auto" w:fill="DAE9F8"/>
          </w:tcPr>
          <w:p>
            <w:pPr>
              <w:spacing w:after="0"/>
              <w:rPr>
                <w:sz w:val="3"/>
                <w:szCs w:val="3"/>
                <w:color w:val="auto"/>
              </w:rPr>
            </w:pPr>
          </w:p>
        </w:tc>
        <w:tc>
          <w:tcPr>
            <w:tcW w:w="1860" w:type="dxa"/>
            <w:vAlign w:val="bottom"/>
            <w:shd w:val="clear" w:color="auto" w:fill="DAE9F8"/>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0"/>
        </w:trPr>
        <w:tc>
          <w:tcPr>
            <w:tcW w:w="3940" w:type="dxa"/>
            <w:vAlign w:val="bottom"/>
          </w:tcPr>
          <w:p>
            <w:pPr>
              <w:ind w:left="100"/>
              <w:spacing w:after="0"/>
              <w:rPr>
                <w:sz w:val="20"/>
                <w:szCs w:val="20"/>
                <w:color w:val="auto"/>
              </w:rPr>
            </w:pPr>
            <w:r>
              <w:rPr>
                <w:rFonts w:ascii="Arial" w:cs="Arial" w:eastAsia="Arial" w:hAnsi="Arial"/>
                <w:sz w:val="18"/>
                <w:szCs w:val="18"/>
                <w:color w:val="auto"/>
              </w:rPr>
              <w:t>Other receivables</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shd w:val="clear" w:color="auto" w:fill="DAE9F8"/>
          </w:tcPr>
          <w:p>
            <w:pPr>
              <w:spacing w:after="0"/>
              <w:rPr>
                <w:sz w:val="20"/>
                <w:szCs w:val="20"/>
                <w:color w:val="auto"/>
              </w:rPr>
            </w:pPr>
          </w:p>
        </w:tc>
        <w:tc>
          <w:tcPr>
            <w:tcW w:w="186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220</w:t>
            </w:r>
          </w:p>
        </w:tc>
        <w:tc>
          <w:tcPr>
            <w:tcW w:w="1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4,085</w:t>
            </w:r>
          </w:p>
        </w:tc>
      </w:tr>
      <w:tr>
        <w:trPr>
          <w:trHeight w:val="313"/>
        </w:trPr>
        <w:tc>
          <w:tcPr>
            <w:tcW w:w="3940" w:type="dxa"/>
            <w:vAlign w:val="bottom"/>
          </w:tcPr>
          <w:p>
            <w:pPr>
              <w:ind w:left="100"/>
              <w:spacing w:after="0"/>
              <w:rPr>
                <w:sz w:val="20"/>
                <w:szCs w:val="20"/>
                <w:color w:val="auto"/>
              </w:rPr>
            </w:pPr>
            <w:r>
              <w:rPr>
                <w:rFonts w:ascii="Arial" w:cs="Arial" w:eastAsia="Arial" w:hAnsi="Arial"/>
                <w:sz w:val="18"/>
                <w:szCs w:val="18"/>
                <w:b w:val="1"/>
                <w:bCs w:val="1"/>
                <w:color w:val="auto"/>
              </w:rPr>
              <w:t>Total other current receivables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DAE9F8"/>
            </w:tcBorders>
            <w:shd w:val="clear" w:color="auto" w:fill="DAE9F8"/>
          </w:tcPr>
          <w:p>
            <w:pPr>
              <w:spacing w:after="0"/>
              <w:rPr>
                <w:sz w:val="24"/>
                <w:szCs w:val="24"/>
                <w:color w:val="auto"/>
              </w:rPr>
            </w:pPr>
          </w:p>
        </w:tc>
        <w:tc>
          <w:tcPr>
            <w:tcW w:w="1860" w:type="dxa"/>
            <w:vAlign w:val="bottom"/>
            <w:tcBorders>
              <w:bottom w:val="single" w:sz="8" w:color="DAE9F8"/>
            </w:tcBorders>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44,281</w:t>
            </w:r>
          </w:p>
        </w:tc>
        <w:tc>
          <w:tcPr>
            <w:tcW w:w="1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19,188</w:t>
            </w:r>
          </w:p>
        </w:tc>
      </w:tr>
      <w:tr>
        <w:trPr>
          <w:trHeight w:val="621"/>
        </w:trPr>
        <w:tc>
          <w:tcPr>
            <w:tcW w:w="3940" w:type="dxa"/>
            <w:vAlign w:val="bottom"/>
          </w:tcPr>
          <w:p>
            <w:pPr>
              <w:spacing w:after="0"/>
              <w:rPr>
                <w:sz w:val="20"/>
                <w:szCs w:val="20"/>
                <w:color w:val="auto"/>
              </w:rPr>
            </w:pPr>
            <w:r>
              <w:rPr>
                <w:rFonts w:ascii="Arial" w:cs="Arial" w:eastAsia="Arial" w:hAnsi="Arial"/>
                <w:sz w:val="20"/>
                <w:szCs w:val="20"/>
                <w:b w:val="1"/>
                <w:bCs w:val="1"/>
                <w:color w:val="auto"/>
              </w:rPr>
              <w:t>Non-current</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66"/>
        </w:trPr>
        <w:tc>
          <w:tcPr>
            <w:tcW w:w="3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2"/>
          </w:tcPr>
          <w:p>
            <w:pPr>
              <w:ind w:left="1020"/>
              <w:spacing w:after="0"/>
              <w:rPr>
                <w:sz w:val="20"/>
                <w:szCs w:val="20"/>
                <w:color w:val="auto"/>
              </w:rPr>
            </w:pPr>
            <w:r>
              <w:rPr>
                <w:rFonts w:ascii="Arial" w:cs="Arial" w:eastAsia="Arial" w:hAnsi="Arial"/>
                <w:sz w:val="18"/>
                <w:szCs w:val="18"/>
                <w:b w:val="1"/>
                <w:bCs w:val="1"/>
                <w:color w:val="auto"/>
              </w:rPr>
              <w:t>As at December 31,</w:t>
            </w:r>
          </w:p>
        </w:tc>
        <w:tc>
          <w:tcPr>
            <w:tcW w:w="920" w:type="dxa"/>
            <w:vAlign w:val="bottom"/>
          </w:tcPr>
          <w:p>
            <w:pPr>
              <w:spacing w:after="0"/>
              <w:rPr>
                <w:sz w:val="24"/>
                <w:szCs w:val="24"/>
                <w:color w:val="auto"/>
              </w:rPr>
            </w:pPr>
          </w:p>
        </w:tc>
      </w:tr>
      <w:tr>
        <w:trPr>
          <w:trHeight w:val="56"/>
        </w:trPr>
        <w:tc>
          <w:tcPr>
            <w:tcW w:w="3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80" w:type="dxa"/>
            <w:vAlign w:val="bottom"/>
            <w:gridSpan w:val="2"/>
          </w:tcPr>
          <w:p>
            <w:pPr>
              <w:spacing w:after="0"/>
              <w:rPr>
                <w:sz w:val="4"/>
                <w:szCs w:val="4"/>
                <w:color w:val="auto"/>
              </w:rPr>
            </w:pPr>
          </w:p>
        </w:tc>
        <w:tc>
          <w:tcPr>
            <w:tcW w:w="12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35"/>
        </w:trPr>
        <w:tc>
          <w:tcPr>
            <w:tcW w:w="3940" w:type="dxa"/>
            <w:vAlign w:val="bottom"/>
          </w:tcPr>
          <w:p>
            <w:pPr>
              <w:spacing w:after="0"/>
              <w:rPr>
                <w:sz w:val="20"/>
                <w:szCs w:val="20"/>
                <w:color w:val="auto"/>
              </w:rPr>
            </w:pPr>
          </w:p>
        </w:tc>
        <w:tc>
          <w:tcPr>
            <w:tcW w:w="880" w:type="dxa"/>
            <w:vAlign w:val="bottom"/>
            <w:tcBorders>
              <w:right w:val="single" w:sz="8" w:color="DAE9F8"/>
            </w:tcBorders>
          </w:tcPr>
          <w:p>
            <w:pPr>
              <w:spacing w:after="0"/>
              <w:rPr>
                <w:sz w:val="20"/>
                <w:szCs w:val="20"/>
                <w:color w:val="auto"/>
              </w:rPr>
            </w:pPr>
          </w:p>
        </w:tc>
        <w:tc>
          <w:tcPr>
            <w:tcW w:w="80" w:type="dxa"/>
            <w:vAlign w:val="bottom"/>
            <w:shd w:val="clear" w:color="auto" w:fill="DAE9F8"/>
          </w:tcPr>
          <w:p>
            <w:pPr>
              <w:spacing w:after="0"/>
              <w:rPr>
                <w:sz w:val="20"/>
                <w:szCs w:val="20"/>
                <w:color w:val="auto"/>
              </w:rPr>
            </w:pPr>
          </w:p>
        </w:tc>
        <w:tc>
          <w:tcPr>
            <w:tcW w:w="2180" w:type="dxa"/>
            <w:vAlign w:val="bottom"/>
            <w:gridSpan w:val="2"/>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1200" w:type="dxa"/>
            <w:vAlign w:val="bottom"/>
            <w:tcBorders>
              <w:left w:val="single" w:sz="8" w:color="DAE9F8"/>
            </w:tcBorders>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r>
      <w:tr>
        <w:trPr>
          <w:trHeight w:val="292"/>
        </w:trPr>
        <w:tc>
          <w:tcPr>
            <w:tcW w:w="3940" w:type="dxa"/>
            <w:vAlign w:val="bottom"/>
          </w:tcPr>
          <w:p>
            <w:pPr>
              <w:ind w:left="100"/>
              <w:spacing w:after="0"/>
              <w:rPr>
                <w:sz w:val="20"/>
                <w:szCs w:val="20"/>
                <w:color w:val="auto"/>
              </w:rPr>
            </w:pPr>
            <w:r>
              <w:rPr>
                <w:rFonts w:ascii="Arial" w:cs="Arial" w:eastAsia="Arial" w:hAnsi="Arial"/>
                <w:sz w:val="18"/>
                <w:szCs w:val="18"/>
                <w:color w:val="auto"/>
              </w:rPr>
              <w:t>VAT and other taxes receivable</w:t>
            </w:r>
          </w:p>
        </w:tc>
        <w:tc>
          <w:tcPr>
            <w:tcW w:w="880" w:type="dxa"/>
            <w:vAlign w:val="bottom"/>
            <w:tcBorders>
              <w:right w:val="single" w:sz="8" w:color="DAE9F8"/>
            </w:tcBorders>
          </w:tcPr>
          <w:p>
            <w:pPr>
              <w:spacing w:after="0"/>
              <w:rPr>
                <w:sz w:val="24"/>
                <w:szCs w:val="24"/>
                <w:color w:val="auto"/>
              </w:rPr>
            </w:pPr>
          </w:p>
        </w:tc>
        <w:tc>
          <w:tcPr>
            <w:tcW w:w="80" w:type="dxa"/>
            <w:vAlign w:val="bottom"/>
            <w:shd w:val="clear" w:color="auto" w:fill="DAE9F8"/>
          </w:tcPr>
          <w:p>
            <w:pPr>
              <w:spacing w:after="0"/>
              <w:rPr>
                <w:sz w:val="24"/>
                <w:szCs w:val="24"/>
                <w:color w:val="auto"/>
              </w:rPr>
            </w:pPr>
          </w:p>
        </w:tc>
        <w:tc>
          <w:tcPr>
            <w:tcW w:w="2180" w:type="dxa"/>
            <w:vAlign w:val="bottom"/>
            <w:gridSpan w:val="2"/>
            <w:shd w:val="clear" w:color="auto" w:fill="DAE9F8"/>
          </w:tcPr>
          <w:p>
            <w:pPr>
              <w:jc w:val="right"/>
              <w:ind w:right="10"/>
              <w:spacing w:after="0"/>
              <w:rPr>
                <w:sz w:val="20"/>
                <w:szCs w:val="20"/>
                <w:color w:val="auto"/>
              </w:rPr>
            </w:pPr>
            <w:r>
              <w:rPr>
                <w:rFonts w:ascii="Arial" w:cs="Arial" w:eastAsia="Arial" w:hAnsi="Arial"/>
                <w:sz w:val="18"/>
                <w:szCs w:val="18"/>
                <w:color w:val="auto"/>
              </w:rPr>
              <w:t>4,484</w:t>
            </w:r>
          </w:p>
        </w:tc>
        <w:tc>
          <w:tcPr>
            <w:tcW w:w="1200" w:type="dxa"/>
            <w:vAlign w:val="bottom"/>
            <w:tcBorders>
              <w:left w:val="single" w:sz="8" w:color="DAE9F8"/>
            </w:tcBorders>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11,610</w:t>
            </w:r>
          </w:p>
        </w:tc>
      </w:tr>
      <w:tr>
        <w:trPr>
          <w:trHeight w:val="272"/>
        </w:trPr>
        <w:tc>
          <w:tcPr>
            <w:tcW w:w="3940" w:type="dxa"/>
            <w:vAlign w:val="bottom"/>
          </w:tcPr>
          <w:p>
            <w:pPr>
              <w:ind w:left="100"/>
              <w:spacing w:after="0"/>
              <w:rPr>
                <w:sz w:val="20"/>
                <w:szCs w:val="20"/>
                <w:color w:val="auto"/>
              </w:rPr>
            </w:pPr>
            <w:r>
              <w:rPr>
                <w:rFonts w:ascii="Arial" w:cs="Arial" w:eastAsia="Arial" w:hAnsi="Arial"/>
                <w:sz w:val="18"/>
                <w:szCs w:val="18"/>
                <w:color w:val="auto"/>
              </w:rPr>
              <w:t>Due from related parties</w:t>
            </w:r>
          </w:p>
        </w:tc>
        <w:tc>
          <w:tcPr>
            <w:tcW w:w="880" w:type="dxa"/>
            <w:vAlign w:val="bottom"/>
            <w:tcBorders>
              <w:right w:val="single" w:sz="8" w:color="DAE9F8"/>
            </w:tcBorders>
          </w:tcPr>
          <w:p>
            <w:pPr>
              <w:ind w:left="440"/>
              <w:spacing w:after="0"/>
              <w:rPr>
                <w:sz w:val="20"/>
                <w:szCs w:val="20"/>
                <w:color w:val="auto"/>
              </w:rPr>
            </w:pPr>
            <w:r>
              <w:rPr>
                <w:rFonts w:ascii="Arial" w:cs="Arial" w:eastAsia="Arial" w:hAnsi="Arial"/>
                <w:sz w:val="18"/>
                <w:szCs w:val="18"/>
                <w:color w:val="auto"/>
              </w:rPr>
              <w:t>17a</w:t>
            </w:r>
          </w:p>
        </w:tc>
        <w:tc>
          <w:tcPr>
            <w:tcW w:w="80" w:type="dxa"/>
            <w:vAlign w:val="bottom"/>
            <w:shd w:val="clear" w:color="auto" w:fill="DAE9F8"/>
          </w:tcPr>
          <w:p>
            <w:pPr>
              <w:spacing w:after="0"/>
              <w:rPr>
                <w:sz w:val="23"/>
                <w:szCs w:val="23"/>
                <w:color w:val="auto"/>
              </w:rPr>
            </w:pPr>
          </w:p>
        </w:tc>
        <w:tc>
          <w:tcPr>
            <w:tcW w:w="2180" w:type="dxa"/>
            <w:vAlign w:val="bottom"/>
            <w:gridSpan w:val="2"/>
            <w:shd w:val="clear" w:color="auto" w:fill="DAE9F8"/>
          </w:tcPr>
          <w:p>
            <w:pPr>
              <w:jc w:val="right"/>
              <w:ind w:right="10"/>
              <w:spacing w:after="0"/>
              <w:rPr>
                <w:sz w:val="20"/>
                <w:szCs w:val="20"/>
                <w:color w:val="auto"/>
              </w:rPr>
            </w:pPr>
            <w:r>
              <w:rPr>
                <w:rFonts w:ascii="Arial" w:cs="Arial" w:eastAsia="Arial" w:hAnsi="Arial"/>
                <w:sz w:val="18"/>
                <w:szCs w:val="18"/>
                <w:color w:val="auto"/>
              </w:rPr>
              <w:t>4,826</w:t>
            </w:r>
          </w:p>
        </w:tc>
        <w:tc>
          <w:tcPr>
            <w:tcW w:w="1200" w:type="dxa"/>
            <w:vAlign w:val="bottom"/>
            <w:tcBorders>
              <w:left w:val="single" w:sz="8" w:color="DAE9F8"/>
            </w:tcBorders>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3,274</w:t>
            </w:r>
          </w:p>
        </w:tc>
      </w:tr>
      <w:tr>
        <w:trPr>
          <w:trHeight w:val="277"/>
        </w:trPr>
        <w:tc>
          <w:tcPr>
            <w:tcW w:w="3940" w:type="dxa"/>
            <w:vAlign w:val="bottom"/>
          </w:tcPr>
          <w:p>
            <w:pPr>
              <w:ind w:left="100"/>
              <w:spacing w:after="0"/>
              <w:rPr>
                <w:sz w:val="20"/>
                <w:szCs w:val="20"/>
                <w:color w:val="auto"/>
              </w:rPr>
            </w:pPr>
            <w:r>
              <w:rPr>
                <w:rFonts w:ascii="Arial" w:cs="Arial" w:eastAsia="Arial" w:hAnsi="Arial"/>
                <w:sz w:val="18"/>
                <w:szCs w:val="18"/>
                <w:color w:val="auto"/>
              </w:rPr>
              <w:t>Other receivable</w:t>
            </w:r>
          </w:p>
        </w:tc>
        <w:tc>
          <w:tcPr>
            <w:tcW w:w="880" w:type="dxa"/>
            <w:vAlign w:val="bottom"/>
            <w:tcBorders>
              <w:right w:val="single" w:sz="8" w:color="DAE9F8"/>
            </w:tcBorders>
          </w:tcPr>
          <w:p>
            <w:pPr>
              <w:spacing w:after="0"/>
              <w:rPr>
                <w:sz w:val="24"/>
                <w:szCs w:val="24"/>
                <w:color w:val="auto"/>
              </w:rPr>
            </w:pPr>
          </w:p>
        </w:tc>
        <w:tc>
          <w:tcPr>
            <w:tcW w:w="80" w:type="dxa"/>
            <w:vAlign w:val="bottom"/>
            <w:shd w:val="clear" w:color="auto" w:fill="DAE9F8"/>
          </w:tcPr>
          <w:p>
            <w:pPr>
              <w:spacing w:after="0"/>
              <w:rPr>
                <w:sz w:val="24"/>
                <w:szCs w:val="24"/>
                <w:color w:val="auto"/>
              </w:rPr>
            </w:pPr>
          </w:p>
        </w:tc>
        <w:tc>
          <w:tcPr>
            <w:tcW w:w="2180" w:type="dxa"/>
            <w:vAlign w:val="bottom"/>
            <w:gridSpan w:val="2"/>
            <w:shd w:val="clear" w:color="auto" w:fill="DAE9F8"/>
          </w:tcPr>
          <w:p>
            <w:pPr>
              <w:jc w:val="right"/>
              <w:ind w:right="10"/>
              <w:spacing w:after="0"/>
              <w:rPr>
                <w:sz w:val="20"/>
                <w:szCs w:val="20"/>
                <w:color w:val="auto"/>
              </w:rPr>
            </w:pPr>
            <w:r>
              <w:rPr>
                <w:rFonts w:ascii="Arial" w:cs="Arial" w:eastAsia="Arial" w:hAnsi="Arial"/>
                <w:sz w:val="18"/>
                <w:szCs w:val="18"/>
                <w:color w:val="auto"/>
              </w:rPr>
              <w:t>274</w:t>
            </w:r>
          </w:p>
        </w:tc>
        <w:tc>
          <w:tcPr>
            <w:tcW w:w="1200" w:type="dxa"/>
            <w:vAlign w:val="bottom"/>
            <w:tcBorders>
              <w:left w:val="single" w:sz="8" w:color="DAE9F8"/>
            </w:tcBorders>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3,298</w:t>
            </w:r>
          </w:p>
        </w:tc>
      </w:tr>
      <w:tr>
        <w:trPr>
          <w:trHeight w:val="313"/>
        </w:trPr>
        <w:tc>
          <w:tcPr>
            <w:tcW w:w="3940" w:type="dxa"/>
            <w:vAlign w:val="bottom"/>
          </w:tcPr>
          <w:p>
            <w:pPr>
              <w:ind w:left="100"/>
              <w:spacing w:after="0"/>
              <w:rPr>
                <w:sz w:val="20"/>
                <w:szCs w:val="20"/>
                <w:color w:val="auto"/>
              </w:rPr>
            </w:pPr>
            <w:r>
              <w:rPr>
                <w:rFonts w:ascii="Arial" w:cs="Arial" w:eastAsia="Arial" w:hAnsi="Arial"/>
                <w:sz w:val="18"/>
                <w:szCs w:val="18"/>
                <w:b w:val="1"/>
                <w:bCs w:val="1"/>
                <w:color w:val="auto"/>
              </w:rPr>
              <w:t>Total other non-current receivables</w:t>
            </w:r>
          </w:p>
        </w:tc>
        <w:tc>
          <w:tcPr>
            <w:tcW w:w="880" w:type="dxa"/>
            <w:vAlign w:val="bottom"/>
            <w:tcBorders>
              <w:right w:val="single" w:sz="8" w:color="DAE9F8"/>
            </w:tcBorders>
          </w:tcPr>
          <w:p>
            <w:pPr>
              <w:spacing w:after="0"/>
              <w:rPr>
                <w:sz w:val="24"/>
                <w:szCs w:val="24"/>
                <w:color w:val="auto"/>
              </w:rPr>
            </w:pPr>
          </w:p>
        </w:tc>
        <w:tc>
          <w:tcPr>
            <w:tcW w:w="80" w:type="dxa"/>
            <w:vAlign w:val="bottom"/>
            <w:tcBorders>
              <w:bottom w:val="single" w:sz="8" w:color="DAE9F8"/>
            </w:tcBorders>
            <w:shd w:val="clear" w:color="auto" w:fill="DAE9F8"/>
          </w:tcPr>
          <w:p>
            <w:pPr>
              <w:spacing w:after="0"/>
              <w:rPr>
                <w:sz w:val="24"/>
                <w:szCs w:val="24"/>
                <w:color w:val="auto"/>
              </w:rPr>
            </w:pPr>
          </w:p>
        </w:tc>
        <w:tc>
          <w:tcPr>
            <w:tcW w:w="2180" w:type="dxa"/>
            <w:vAlign w:val="bottom"/>
            <w:tcBorders>
              <w:bottom w:val="single" w:sz="8" w:color="DAE9F8"/>
            </w:tcBorders>
            <w:gridSpan w:val="2"/>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9,584</w:t>
            </w:r>
          </w:p>
        </w:tc>
        <w:tc>
          <w:tcPr>
            <w:tcW w:w="1200" w:type="dxa"/>
            <w:vAlign w:val="bottom"/>
            <w:tcBorders>
              <w:left w:val="single" w:sz="8" w:color="DAE9F8"/>
            </w:tcBorders>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18,182</w:t>
            </w:r>
          </w:p>
        </w:tc>
      </w:tr>
      <w:tr>
        <w:trPr>
          <w:trHeight w:val="621"/>
        </w:trPr>
        <w:tc>
          <w:tcPr>
            <w:tcW w:w="3940" w:type="dxa"/>
            <w:vAlign w:val="bottom"/>
          </w:tcPr>
          <w:p>
            <w:pPr>
              <w:spacing w:after="0"/>
              <w:rPr>
                <w:sz w:val="20"/>
                <w:szCs w:val="20"/>
                <w:color w:val="auto"/>
              </w:rPr>
            </w:pPr>
            <w:r>
              <w:rPr>
                <w:rFonts w:ascii="Arial" w:cs="Arial" w:eastAsia="Arial" w:hAnsi="Arial"/>
                <w:sz w:val="20"/>
                <w:szCs w:val="20"/>
                <w:b w:val="1"/>
                <w:bCs w:val="1"/>
                <w:color w:val="auto"/>
              </w:rPr>
              <w:t>9. INVENTORY</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76"/>
        </w:trPr>
        <w:tc>
          <w:tcPr>
            <w:tcW w:w="3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2"/>
          </w:tcPr>
          <w:p>
            <w:pPr>
              <w:ind w:left="1040"/>
              <w:spacing w:after="0"/>
              <w:rPr>
                <w:sz w:val="20"/>
                <w:szCs w:val="20"/>
                <w:color w:val="auto"/>
              </w:rPr>
            </w:pPr>
            <w:r>
              <w:rPr>
                <w:rFonts w:ascii="Arial" w:cs="Arial" w:eastAsia="Arial" w:hAnsi="Arial"/>
                <w:sz w:val="18"/>
                <w:szCs w:val="18"/>
                <w:b w:val="1"/>
                <w:bCs w:val="1"/>
                <w:color w:val="auto"/>
              </w:rPr>
              <w:t>As at December 31,</w:t>
            </w:r>
          </w:p>
        </w:tc>
        <w:tc>
          <w:tcPr>
            <w:tcW w:w="920" w:type="dxa"/>
            <w:vAlign w:val="bottom"/>
          </w:tcPr>
          <w:p>
            <w:pPr>
              <w:spacing w:after="0"/>
              <w:rPr>
                <w:sz w:val="24"/>
                <w:szCs w:val="24"/>
                <w:color w:val="auto"/>
              </w:rPr>
            </w:pPr>
          </w:p>
        </w:tc>
      </w:tr>
      <w:tr>
        <w:trPr>
          <w:trHeight w:val="56"/>
        </w:trPr>
        <w:tc>
          <w:tcPr>
            <w:tcW w:w="3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80" w:type="dxa"/>
            <w:vAlign w:val="bottom"/>
            <w:gridSpan w:val="2"/>
          </w:tcPr>
          <w:p>
            <w:pPr>
              <w:spacing w:after="0"/>
              <w:rPr>
                <w:sz w:val="4"/>
                <w:szCs w:val="4"/>
                <w:color w:val="auto"/>
              </w:rPr>
            </w:pPr>
          </w:p>
        </w:tc>
        <w:tc>
          <w:tcPr>
            <w:tcW w:w="12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35"/>
        </w:trPr>
        <w:tc>
          <w:tcPr>
            <w:tcW w:w="3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shd w:val="clear" w:color="auto" w:fill="DAE9F8"/>
          </w:tcPr>
          <w:p>
            <w:pPr>
              <w:spacing w:after="0"/>
              <w:rPr>
                <w:sz w:val="20"/>
                <w:szCs w:val="20"/>
                <w:color w:val="auto"/>
              </w:rPr>
            </w:pPr>
          </w:p>
        </w:tc>
        <w:tc>
          <w:tcPr>
            <w:tcW w:w="2180" w:type="dxa"/>
            <w:vAlign w:val="bottom"/>
            <w:gridSpan w:val="2"/>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1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r>
      <w:tr>
        <w:trPr>
          <w:trHeight w:val="56"/>
        </w:trPr>
        <w:tc>
          <w:tcPr>
            <w:tcW w:w="3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shd w:val="clear" w:color="auto" w:fill="DAE9F8"/>
          </w:tcPr>
          <w:p>
            <w:pPr>
              <w:spacing w:after="0"/>
              <w:rPr>
                <w:sz w:val="4"/>
                <w:szCs w:val="4"/>
                <w:color w:val="auto"/>
              </w:rPr>
            </w:pPr>
          </w:p>
        </w:tc>
        <w:tc>
          <w:tcPr>
            <w:tcW w:w="2180" w:type="dxa"/>
            <w:vAlign w:val="bottom"/>
            <w:gridSpan w:val="2"/>
            <w:shd w:val="clear" w:color="auto" w:fill="DAE9F8"/>
          </w:tcPr>
          <w:p>
            <w:pPr>
              <w:spacing w:after="0"/>
              <w:rPr>
                <w:sz w:val="4"/>
                <w:szCs w:val="4"/>
                <w:color w:val="auto"/>
              </w:rPr>
            </w:pPr>
          </w:p>
        </w:tc>
        <w:tc>
          <w:tcPr>
            <w:tcW w:w="12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35"/>
        </w:trPr>
        <w:tc>
          <w:tcPr>
            <w:tcW w:w="3940" w:type="dxa"/>
            <w:vAlign w:val="bottom"/>
          </w:tcPr>
          <w:p>
            <w:pPr>
              <w:ind w:left="100"/>
              <w:spacing w:after="0"/>
              <w:rPr>
                <w:sz w:val="20"/>
                <w:szCs w:val="20"/>
                <w:color w:val="auto"/>
              </w:rPr>
            </w:pPr>
            <w:r>
              <w:rPr>
                <w:rFonts w:ascii="Arial" w:cs="Arial" w:eastAsia="Arial" w:hAnsi="Arial"/>
                <w:sz w:val="18"/>
                <w:szCs w:val="18"/>
                <w:color w:val="auto"/>
              </w:rPr>
              <w:t>Ponds and plant in-circuit inventories</w:t>
            </w:r>
          </w:p>
        </w:tc>
        <w:tc>
          <w:tcPr>
            <w:tcW w:w="880" w:type="dxa"/>
            <w:vAlign w:val="bottom"/>
          </w:tcPr>
          <w:p>
            <w:pPr>
              <w:spacing w:after="0"/>
              <w:rPr>
                <w:sz w:val="20"/>
                <w:szCs w:val="20"/>
                <w:color w:val="auto"/>
              </w:rPr>
            </w:pPr>
          </w:p>
        </w:tc>
        <w:tc>
          <w:tcPr>
            <w:tcW w:w="80" w:type="dxa"/>
            <w:vAlign w:val="bottom"/>
            <w:shd w:val="clear" w:color="auto" w:fill="DAE9F8"/>
          </w:tcPr>
          <w:p>
            <w:pPr>
              <w:spacing w:after="0"/>
              <w:rPr>
                <w:sz w:val="20"/>
                <w:szCs w:val="20"/>
                <w:color w:val="auto"/>
              </w:rPr>
            </w:pPr>
          </w:p>
        </w:tc>
        <w:tc>
          <w:tcPr>
            <w:tcW w:w="2180" w:type="dxa"/>
            <w:vAlign w:val="bottom"/>
            <w:gridSpan w:val="2"/>
            <w:shd w:val="clear" w:color="auto" w:fill="DAE9F8"/>
          </w:tcPr>
          <w:p>
            <w:pPr>
              <w:jc w:val="right"/>
              <w:ind w:right="10"/>
              <w:spacing w:after="0"/>
              <w:rPr>
                <w:sz w:val="20"/>
                <w:szCs w:val="20"/>
                <w:color w:val="auto"/>
              </w:rPr>
            </w:pPr>
            <w:r>
              <w:rPr>
                <w:rFonts w:ascii="Arial" w:cs="Arial" w:eastAsia="Arial" w:hAnsi="Arial"/>
                <w:sz w:val="18"/>
                <w:szCs w:val="18"/>
                <w:color w:val="auto"/>
              </w:rPr>
              <w:t>144,422</w:t>
            </w:r>
          </w:p>
        </w:tc>
        <w:tc>
          <w:tcPr>
            <w:tcW w:w="1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133,960</w:t>
            </w:r>
          </w:p>
        </w:tc>
      </w:tr>
      <w:tr>
        <w:trPr>
          <w:trHeight w:val="36"/>
        </w:trPr>
        <w:tc>
          <w:tcPr>
            <w:tcW w:w="3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shd w:val="clear" w:color="auto" w:fill="DAE9F8"/>
          </w:tcPr>
          <w:p>
            <w:pPr>
              <w:spacing w:after="0"/>
              <w:rPr>
                <w:sz w:val="3"/>
                <w:szCs w:val="3"/>
                <w:color w:val="auto"/>
              </w:rPr>
            </w:pPr>
          </w:p>
        </w:tc>
        <w:tc>
          <w:tcPr>
            <w:tcW w:w="2180" w:type="dxa"/>
            <w:vAlign w:val="bottom"/>
            <w:gridSpan w:val="2"/>
            <w:shd w:val="clear" w:color="auto" w:fill="DAE9F8"/>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35"/>
        </w:trPr>
        <w:tc>
          <w:tcPr>
            <w:tcW w:w="3940" w:type="dxa"/>
            <w:vAlign w:val="bottom"/>
          </w:tcPr>
          <w:p>
            <w:pPr>
              <w:ind w:left="100"/>
              <w:spacing w:after="0"/>
              <w:rPr>
                <w:sz w:val="20"/>
                <w:szCs w:val="20"/>
                <w:color w:val="auto"/>
              </w:rPr>
            </w:pPr>
            <w:r>
              <w:rPr>
                <w:rFonts w:ascii="Arial" w:cs="Arial" w:eastAsia="Arial" w:hAnsi="Arial"/>
                <w:sz w:val="18"/>
                <w:szCs w:val="18"/>
                <w:color w:val="auto"/>
              </w:rPr>
              <w:t>Finished goods</w:t>
            </w:r>
          </w:p>
        </w:tc>
        <w:tc>
          <w:tcPr>
            <w:tcW w:w="880" w:type="dxa"/>
            <w:vAlign w:val="bottom"/>
          </w:tcPr>
          <w:p>
            <w:pPr>
              <w:spacing w:after="0"/>
              <w:rPr>
                <w:sz w:val="20"/>
                <w:szCs w:val="20"/>
                <w:color w:val="auto"/>
              </w:rPr>
            </w:pPr>
          </w:p>
        </w:tc>
        <w:tc>
          <w:tcPr>
            <w:tcW w:w="80" w:type="dxa"/>
            <w:vAlign w:val="bottom"/>
            <w:shd w:val="clear" w:color="auto" w:fill="DAE9F8"/>
          </w:tcPr>
          <w:p>
            <w:pPr>
              <w:spacing w:after="0"/>
              <w:rPr>
                <w:sz w:val="20"/>
                <w:szCs w:val="20"/>
                <w:color w:val="auto"/>
              </w:rPr>
            </w:pPr>
          </w:p>
        </w:tc>
        <w:tc>
          <w:tcPr>
            <w:tcW w:w="2180" w:type="dxa"/>
            <w:vAlign w:val="bottom"/>
            <w:gridSpan w:val="2"/>
            <w:shd w:val="clear" w:color="auto" w:fill="DAE9F8"/>
          </w:tcPr>
          <w:p>
            <w:pPr>
              <w:jc w:val="right"/>
              <w:ind w:right="10"/>
              <w:spacing w:after="0"/>
              <w:rPr>
                <w:sz w:val="20"/>
                <w:szCs w:val="20"/>
                <w:color w:val="auto"/>
              </w:rPr>
            </w:pPr>
            <w:r>
              <w:rPr>
                <w:rFonts w:ascii="Arial" w:cs="Arial" w:eastAsia="Arial" w:hAnsi="Arial"/>
                <w:sz w:val="18"/>
                <w:szCs w:val="18"/>
                <w:color w:val="auto"/>
              </w:rPr>
              <w:t>19,694</w:t>
            </w:r>
          </w:p>
        </w:tc>
        <w:tc>
          <w:tcPr>
            <w:tcW w:w="1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20,557</w:t>
            </w:r>
          </w:p>
        </w:tc>
      </w:tr>
      <w:tr>
        <w:trPr>
          <w:trHeight w:val="36"/>
        </w:trPr>
        <w:tc>
          <w:tcPr>
            <w:tcW w:w="3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shd w:val="clear" w:color="auto" w:fill="DAE9F8"/>
          </w:tcPr>
          <w:p>
            <w:pPr>
              <w:spacing w:after="0"/>
              <w:rPr>
                <w:sz w:val="3"/>
                <w:szCs w:val="3"/>
                <w:color w:val="auto"/>
              </w:rPr>
            </w:pPr>
          </w:p>
        </w:tc>
        <w:tc>
          <w:tcPr>
            <w:tcW w:w="2180" w:type="dxa"/>
            <w:vAlign w:val="bottom"/>
            <w:gridSpan w:val="2"/>
            <w:shd w:val="clear" w:color="auto" w:fill="DAE9F8"/>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35"/>
        </w:trPr>
        <w:tc>
          <w:tcPr>
            <w:tcW w:w="3940" w:type="dxa"/>
            <w:vAlign w:val="bottom"/>
          </w:tcPr>
          <w:p>
            <w:pPr>
              <w:ind w:left="100"/>
              <w:spacing w:after="0"/>
              <w:rPr>
                <w:sz w:val="20"/>
                <w:szCs w:val="20"/>
                <w:color w:val="auto"/>
              </w:rPr>
            </w:pPr>
            <w:r>
              <w:rPr>
                <w:rFonts w:ascii="Arial" w:cs="Arial" w:eastAsia="Arial" w:hAnsi="Arial"/>
                <w:sz w:val="18"/>
                <w:szCs w:val="18"/>
                <w:color w:val="auto"/>
              </w:rPr>
              <w:t>Consumables</w:t>
            </w:r>
          </w:p>
        </w:tc>
        <w:tc>
          <w:tcPr>
            <w:tcW w:w="880" w:type="dxa"/>
            <w:vAlign w:val="bottom"/>
          </w:tcPr>
          <w:p>
            <w:pPr>
              <w:spacing w:after="0"/>
              <w:rPr>
                <w:sz w:val="20"/>
                <w:szCs w:val="20"/>
                <w:color w:val="auto"/>
              </w:rPr>
            </w:pPr>
          </w:p>
        </w:tc>
        <w:tc>
          <w:tcPr>
            <w:tcW w:w="80" w:type="dxa"/>
            <w:vAlign w:val="bottom"/>
            <w:shd w:val="clear" w:color="auto" w:fill="DAE9F8"/>
          </w:tcPr>
          <w:p>
            <w:pPr>
              <w:spacing w:after="0"/>
              <w:rPr>
                <w:sz w:val="20"/>
                <w:szCs w:val="20"/>
                <w:color w:val="auto"/>
              </w:rPr>
            </w:pPr>
          </w:p>
        </w:tc>
        <w:tc>
          <w:tcPr>
            <w:tcW w:w="2180" w:type="dxa"/>
            <w:vAlign w:val="bottom"/>
            <w:gridSpan w:val="2"/>
            <w:shd w:val="clear" w:color="auto" w:fill="DAE9F8"/>
          </w:tcPr>
          <w:p>
            <w:pPr>
              <w:jc w:val="right"/>
              <w:ind w:right="10"/>
              <w:spacing w:after="0"/>
              <w:rPr>
                <w:sz w:val="20"/>
                <w:szCs w:val="20"/>
                <w:color w:val="auto"/>
              </w:rPr>
            </w:pPr>
            <w:r>
              <w:rPr>
                <w:rFonts w:ascii="Arial" w:cs="Arial" w:eastAsia="Arial" w:hAnsi="Arial"/>
                <w:sz w:val="18"/>
                <w:szCs w:val="18"/>
                <w:color w:val="auto"/>
              </w:rPr>
              <w:t>21,305</w:t>
            </w:r>
          </w:p>
        </w:tc>
        <w:tc>
          <w:tcPr>
            <w:tcW w:w="1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22,599</w:t>
            </w:r>
          </w:p>
        </w:tc>
      </w:tr>
      <w:tr>
        <w:trPr>
          <w:trHeight w:val="36"/>
        </w:trPr>
        <w:tc>
          <w:tcPr>
            <w:tcW w:w="3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shd w:val="clear" w:color="auto" w:fill="DAE9F8"/>
          </w:tcPr>
          <w:p>
            <w:pPr>
              <w:spacing w:after="0"/>
              <w:rPr>
                <w:sz w:val="3"/>
                <w:szCs w:val="3"/>
                <w:color w:val="auto"/>
              </w:rPr>
            </w:pPr>
          </w:p>
        </w:tc>
        <w:tc>
          <w:tcPr>
            <w:tcW w:w="2180" w:type="dxa"/>
            <w:vAlign w:val="bottom"/>
            <w:gridSpan w:val="2"/>
            <w:shd w:val="clear" w:color="auto" w:fill="DAE9F8"/>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0"/>
        </w:trPr>
        <w:tc>
          <w:tcPr>
            <w:tcW w:w="3940" w:type="dxa"/>
            <w:vAlign w:val="bottom"/>
          </w:tcPr>
          <w:p>
            <w:pPr>
              <w:ind w:left="100"/>
              <w:spacing w:after="0"/>
              <w:rPr>
                <w:sz w:val="20"/>
                <w:szCs w:val="20"/>
                <w:color w:val="auto"/>
              </w:rPr>
            </w:pPr>
            <w:r>
              <w:rPr>
                <w:rFonts w:ascii="Arial" w:cs="Arial" w:eastAsia="Arial" w:hAnsi="Arial"/>
                <w:sz w:val="18"/>
                <w:szCs w:val="18"/>
                <w:color w:val="auto"/>
              </w:rPr>
              <w:t>Supplies</w:t>
            </w:r>
          </w:p>
        </w:tc>
        <w:tc>
          <w:tcPr>
            <w:tcW w:w="880" w:type="dxa"/>
            <w:vAlign w:val="bottom"/>
          </w:tcPr>
          <w:p>
            <w:pPr>
              <w:spacing w:after="0"/>
              <w:rPr>
                <w:sz w:val="20"/>
                <w:szCs w:val="20"/>
                <w:color w:val="auto"/>
              </w:rPr>
            </w:pPr>
          </w:p>
        </w:tc>
        <w:tc>
          <w:tcPr>
            <w:tcW w:w="80" w:type="dxa"/>
            <w:vAlign w:val="bottom"/>
            <w:shd w:val="clear" w:color="auto" w:fill="DAE9F8"/>
          </w:tcPr>
          <w:p>
            <w:pPr>
              <w:spacing w:after="0"/>
              <w:rPr>
                <w:sz w:val="20"/>
                <w:szCs w:val="20"/>
                <w:color w:val="auto"/>
              </w:rPr>
            </w:pPr>
          </w:p>
        </w:tc>
        <w:tc>
          <w:tcPr>
            <w:tcW w:w="2180" w:type="dxa"/>
            <w:vAlign w:val="bottom"/>
            <w:gridSpan w:val="2"/>
            <w:shd w:val="clear" w:color="auto" w:fill="DAE9F8"/>
          </w:tcPr>
          <w:p>
            <w:pPr>
              <w:jc w:val="right"/>
              <w:ind w:right="10"/>
              <w:spacing w:after="0"/>
              <w:rPr>
                <w:sz w:val="20"/>
                <w:szCs w:val="20"/>
                <w:color w:val="auto"/>
              </w:rPr>
            </w:pPr>
            <w:r>
              <w:rPr>
                <w:rFonts w:ascii="Arial" w:cs="Arial" w:eastAsia="Arial" w:hAnsi="Arial"/>
                <w:sz w:val="18"/>
                <w:szCs w:val="18"/>
                <w:color w:val="auto"/>
              </w:rPr>
              <w:t>63,951</w:t>
            </w:r>
          </w:p>
        </w:tc>
        <w:tc>
          <w:tcPr>
            <w:tcW w:w="1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64,471</w:t>
            </w:r>
          </w:p>
        </w:tc>
      </w:tr>
      <w:tr>
        <w:trPr>
          <w:trHeight w:val="277"/>
        </w:trPr>
        <w:tc>
          <w:tcPr>
            <w:tcW w:w="3940" w:type="dxa"/>
            <w:vAlign w:val="bottom"/>
          </w:tcPr>
          <w:p>
            <w:pPr>
              <w:ind w:left="100"/>
              <w:spacing w:after="0"/>
              <w:rPr>
                <w:sz w:val="20"/>
                <w:szCs w:val="20"/>
                <w:color w:val="auto"/>
              </w:rPr>
            </w:pPr>
            <w:r>
              <w:rPr>
                <w:rFonts w:ascii="Arial" w:cs="Arial" w:eastAsia="Arial" w:hAnsi="Arial"/>
                <w:sz w:val="18"/>
                <w:szCs w:val="18"/>
                <w:b w:val="1"/>
                <w:bCs w:val="1"/>
                <w:color w:val="auto"/>
              </w:rPr>
              <w:t>Total inventory</w:t>
            </w:r>
          </w:p>
        </w:tc>
        <w:tc>
          <w:tcPr>
            <w:tcW w:w="880" w:type="dxa"/>
            <w:vAlign w:val="bottom"/>
          </w:tcPr>
          <w:p>
            <w:pPr>
              <w:spacing w:after="0"/>
              <w:rPr>
                <w:sz w:val="24"/>
                <w:szCs w:val="24"/>
                <w:color w:val="auto"/>
              </w:rPr>
            </w:pPr>
          </w:p>
        </w:tc>
        <w:tc>
          <w:tcPr>
            <w:tcW w:w="80" w:type="dxa"/>
            <w:vAlign w:val="bottom"/>
            <w:shd w:val="clear" w:color="auto" w:fill="DAE9F8"/>
          </w:tcPr>
          <w:p>
            <w:pPr>
              <w:spacing w:after="0"/>
              <w:rPr>
                <w:sz w:val="24"/>
                <w:szCs w:val="24"/>
                <w:color w:val="auto"/>
              </w:rPr>
            </w:pPr>
          </w:p>
        </w:tc>
        <w:tc>
          <w:tcPr>
            <w:tcW w:w="2180" w:type="dxa"/>
            <w:vAlign w:val="bottom"/>
            <w:gridSpan w:val="2"/>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249,372</w:t>
            </w:r>
          </w:p>
        </w:tc>
        <w:tc>
          <w:tcPr>
            <w:tcW w:w="1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241,587</w:t>
            </w:r>
          </w:p>
        </w:tc>
      </w:tr>
      <w:tr>
        <w:trPr>
          <w:trHeight w:val="56"/>
        </w:trPr>
        <w:tc>
          <w:tcPr>
            <w:tcW w:w="3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shd w:val="clear" w:color="auto" w:fill="DAE9F8"/>
          </w:tcPr>
          <w:p>
            <w:pPr>
              <w:spacing w:after="0"/>
              <w:rPr>
                <w:sz w:val="4"/>
                <w:szCs w:val="4"/>
                <w:color w:val="auto"/>
              </w:rPr>
            </w:pPr>
          </w:p>
        </w:tc>
        <w:tc>
          <w:tcPr>
            <w:tcW w:w="320" w:type="dxa"/>
            <w:vAlign w:val="bottom"/>
            <w:shd w:val="clear" w:color="auto" w:fill="DAE9F8"/>
          </w:tcPr>
          <w:p>
            <w:pPr>
              <w:spacing w:after="0"/>
              <w:rPr>
                <w:sz w:val="4"/>
                <w:szCs w:val="4"/>
                <w:color w:val="auto"/>
              </w:rPr>
            </w:pPr>
          </w:p>
        </w:tc>
        <w:tc>
          <w:tcPr>
            <w:tcW w:w="1860" w:type="dxa"/>
            <w:vAlign w:val="bottom"/>
            <w:shd w:val="clear" w:color="auto" w:fill="DAE9F8"/>
          </w:tcPr>
          <w:p>
            <w:pPr>
              <w:spacing w:after="0"/>
              <w:rPr>
                <w:sz w:val="4"/>
                <w:szCs w:val="4"/>
                <w:color w:val="auto"/>
              </w:rPr>
            </w:pPr>
          </w:p>
        </w:tc>
        <w:tc>
          <w:tcPr>
            <w:tcW w:w="1200" w:type="dxa"/>
            <w:vAlign w:val="bottom"/>
          </w:tcPr>
          <w:p>
            <w:pPr>
              <w:spacing w:after="0"/>
              <w:rPr>
                <w:sz w:val="4"/>
                <w:szCs w:val="4"/>
                <w:color w:val="auto"/>
              </w:rPr>
            </w:pPr>
          </w:p>
        </w:tc>
        <w:tc>
          <w:tcPr>
            <w:tcW w:w="9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-4752975</wp:posOffset>
            </wp:positionV>
            <wp:extent cx="2737485" cy="1270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11">
                      <a:extLst>
                        <a:ext uri="{28A0092B-C50C-407E-A947-70E740481C1C}"/>
                      </a:extLst>
                    </a:blip>
                    <a:srcRect/>
                    <a:stretch>
                      <a:fillRect/>
                    </a:stretch>
                  </pic:blipFill>
                  <pic:spPr bwMode="auto">
                    <a:xfrm>
                      <a:off x="0" y="0"/>
                      <a:ext cx="2737485"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-4567555</wp:posOffset>
            </wp:positionV>
            <wp:extent cx="5849620" cy="1270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12">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3908425</wp:posOffset>
            </wp:positionH>
            <wp:positionV relativeFrom="paragraph">
              <wp:posOffset>-3864610</wp:posOffset>
            </wp:positionV>
            <wp:extent cx="2737485" cy="635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13">
                      <a:extLst>
                        <a:ext uri="{28A0092B-C50C-407E-A947-70E740481C1C}"/>
                      </a:extLst>
                    </a:blip>
                    <a:srcRect/>
                    <a:stretch>
                      <a:fillRect/>
                    </a:stretch>
                  </pic:blipFill>
                  <pic:spPr bwMode="auto">
                    <a:xfrm>
                      <a:off x="0" y="0"/>
                      <a:ext cx="2737485"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-3686175</wp:posOffset>
            </wp:positionV>
            <wp:extent cx="5849620" cy="1270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14">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3841750</wp:posOffset>
            </wp:positionH>
            <wp:positionV relativeFrom="paragraph">
              <wp:posOffset>-2832735</wp:posOffset>
            </wp:positionV>
            <wp:extent cx="2804160" cy="1270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15">
                      <a:extLst>
                        <a:ext uri="{28A0092B-C50C-407E-A947-70E740481C1C}"/>
                      </a:extLst>
                    </a:blip>
                    <a:srcRect/>
                    <a:stretch>
                      <a:fillRect/>
                    </a:stretch>
                  </pic:blipFill>
                  <pic:spPr bwMode="auto">
                    <a:xfrm>
                      <a:off x="0" y="0"/>
                      <a:ext cx="2804160"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-2647950</wp:posOffset>
            </wp:positionV>
            <wp:extent cx="5849620" cy="1270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16">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3841750</wp:posOffset>
            </wp:positionH>
            <wp:positionV relativeFrom="paragraph">
              <wp:posOffset>-2117725</wp:posOffset>
            </wp:positionV>
            <wp:extent cx="2804160" cy="635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7">
                      <a:extLst>
                        <a:ext uri="{28A0092B-C50C-407E-A947-70E740481C1C}"/>
                      </a:extLst>
                    </a:blip>
                    <a:srcRect/>
                    <a:stretch>
                      <a:fillRect/>
                    </a:stretch>
                  </pic:blipFill>
                  <pic:spPr bwMode="auto">
                    <a:xfrm>
                      <a:off x="0" y="0"/>
                      <a:ext cx="2804160"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-1938655</wp:posOffset>
            </wp:positionV>
            <wp:extent cx="5849620" cy="1270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8">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-1078865</wp:posOffset>
            </wp:positionV>
            <wp:extent cx="2787015" cy="1270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9">
                      <a:extLst>
                        <a:ext uri="{28A0092B-C50C-407E-A947-70E740481C1C}"/>
                      </a:extLst>
                    </a:blip>
                    <a:srcRect/>
                    <a:stretch>
                      <a:fillRect/>
                    </a:stretch>
                  </pic:blipFill>
                  <pic:spPr bwMode="auto">
                    <a:xfrm>
                      <a:off x="0" y="0"/>
                      <a:ext cx="2787015"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-893445</wp:posOffset>
            </wp:positionV>
            <wp:extent cx="5849620" cy="1270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20">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-191135</wp:posOffset>
            </wp:positionV>
            <wp:extent cx="2787015" cy="635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21">
                      <a:extLst>
                        <a:ext uri="{28A0092B-C50C-407E-A947-70E740481C1C}"/>
                      </a:extLst>
                    </a:blip>
                    <a:srcRect/>
                    <a:stretch>
                      <a:fillRect/>
                    </a:stretch>
                  </pic:blipFill>
                  <pic:spPr bwMode="auto">
                    <a:xfrm>
                      <a:off x="0" y="0"/>
                      <a:ext cx="2787015"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-12065</wp:posOffset>
            </wp:positionV>
            <wp:extent cx="5849620" cy="1270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22">
                      <a:extLst>
                        <a:ext uri="{28A0092B-C50C-407E-A947-70E740481C1C}"/>
                      </a:extLst>
                    </a:blip>
                    <a:srcRect/>
                    <a:stretch>
                      <a:fillRect/>
                    </a:stretch>
                  </pic:blipFill>
                  <pic:spPr bwMode="auto">
                    <a:xfrm>
                      <a:off x="0" y="0"/>
                      <a:ext cx="584962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260"/>
        <w:spacing w:after="0" w:line="312" w:lineRule="auto"/>
        <w:rPr>
          <w:sz w:val="20"/>
          <w:szCs w:val="20"/>
          <w:color w:val="auto"/>
        </w:rPr>
      </w:pPr>
      <w:r>
        <w:rPr>
          <w:rFonts w:ascii="Arial" w:cs="Arial" w:eastAsia="Arial" w:hAnsi="Arial"/>
          <w:sz w:val="20"/>
          <w:szCs w:val="20"/>
          <w:color w:val="auto"/>
        </w:rPr>
        <w:t>During the year ended December 31, 2025, the Company reversed the $1,013 write-down recognised i 2024 following a recovery in the expected selling price of lithium carbonate. As at December 31, 2025 the carrying amount of inventory does not exceed its net realisable value and no write-down is recognised.</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26 / 58</w:t>
      </w:r>
    </w:p>
    <w:p>
      <w:pPr>
        <w:sectPr>
          <w:pgSz w:w="11900" w:h="16838" w:orient="portrait"/>
          <w:cols w:equalWidth="0" w:num="1">
            <w:col w:w="10460"/>
          </w:cols>
          <w:pgMar w:left="1440" w:top="1440" w:right="6" w:bottom="0" w:gutter="0" w:footer="0" w:header="0"/>
          <w:type w:val="continuous"/>
        </w:sectPr>
      </w:pPr>
    </w:p>
    <w:bookmarkStart w:id="638" w:name="page639"/>
    <w:bookmarkEnd w:id="638"/>
    <w:p>
      <w:pPr>
        <w:ind w:left="1260"/>
        <w:spacing w:after="0" w:line="312" w:lineRule="auto"/>
        <w:rPr>
          <w:sz w:val="20"/>
          <w:szCs w:val="20"/>
          <w:color w:val="auto"/>
        </w:rPr>
      </w:pPr>
      <w:r>
        <w:rPr>
          <w:rFonts w:ascii="Arial" w:cs="Arial" w:eastAsia="Arial" w:hAnsi="Arial"/>
          <w:sz w:val="20"/>
          <w:szCs w:val="20"/>
          <w:color w:val="auto"/>
        </w:rPr>
        <w:t>During the year 2024, the Company reversed the $5,140 write-down recognized in 2023, following recovery in net realizable value of lithium carbonate. A subsequent decline in lithium carbonate price resulted in a new write-down of $1,013 December 31, 2024. The net impact on the statement o comprehensive loss for the year ended December 31, 2024, was a gain of $4,127.</w:t>
      </w:r>
    </w:p>
    <w:p>
      <w:pPr>
        <w:spacing w:after="0" w:line="137"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23">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27 / 58</w:t>
      </w:r>
    </w:p>
    <w:p>
      <w:pPr>
        <w:sectPr>
          <w:pgSz w:w="11900" w:h="16838" w:orient="portrait"/>
          <w:cols w:equalWidth="0" w:num="1">
            <w:col w:w="10460"/>
          </w:cols>
          <w:pgMar w:left="1440" w:top="1172" w:right="6" w:bottom="0" w:gutter="0" w:footer="0" w:header="0"/>
          <w:type w:val="continuous"/>
        </w:sectPr>
      </w:pPr>
    </w:p>
    <w:bookmarkStart w:id="639" w:name="page640"/>
    <w:bookmarkEnd w:id="639"/>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10. MINERAL PROPERTIES</w:t>
      </w:r>
    </w:p>
    <w:p>
      <w:pPr>
        <w:spacing w:after="0" w:line="200" w:lineRule="exact"/>
        <w:rPr>
          <w:sz w:val="20"/>
          <w:szCs w:val="20"/>
          <w:color w:val="auto"/>
        </w:rPr>
      </w:pPr>
    </w:p>
    <w:p>
      <w:pPr>
        <w:spacing w:after="0" w:line="35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440" w:type="dxa"/>
            <w:vAlign w:val="bottom"/>
          </w:tcPr>
          <w:p>
            <w:pPr>
              <w:spacing w:after="0"/>
              <w:rPr>
                <w:sz w:val="17"/>
                <w:szCs w:val="17"/>
                <w:color w:val="auto"/>
              </w:rPr>
            </w:pPr>
          </w:p>
        </w:tc>
        <w:tc>
          <w:tcPr>
            <w:tcW w:w="23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Exploration assets</w:t>
            </w:r>
          </w:p>
        </w:tc>
        <w:tc>
          <w:tcPr>
            <w:tcW w:w="2840" w:type="dxa"/>
            <w:vAlign w:val="bottom"/>
          </w:tcPr>
          <w:p>
            <w:pPr>
              <w:jc w:val="right"/>
              <w:ind w:right="510"/>
              <w:spacing w:after="0"/>
              <w:rPr>
                <w:sz w:val="20"/>
                <w:szCs w:val="20"/>
                <w:color w:val="auto"/>
              </w:rPr>
            </w:pPr>
            <w:r>
              <w:rPr>
                <w:rFonts w:ascii="Arial" w:cs="Arial" w:eastAsia="Arial" w:hAnsi="Arial"/>
                <w:sz w:val="18"/>
                <w:szCs w:val="18"/>
                <w:b w:val="1"/>
                <w:bCs w:val="1"/>
                <w:color w:val="auto"/>
              </w:rPr>
              <w:t>Mineral Properties costs</w:t>
            </w:r>
          </w:p>
        </w:tc>
        <w:tc>
          <w:tcPr>
            <w:tcW w:w="1480" w:type="dxa"/>
            <w:vAlign w:val="bottom"/>
            <w:gridSpan w:val="2"/>
          </w:tcPr>
          <w:p>
            <w:pPr>
              <w:ind w:left="9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83"/>
        </w:trPr>
        <w:tc>
          <w:tcPr>
            <w:tcW w:w="2440" w:type="dxa"/>
            <w:vAlign w:val="bottom"/>
          </w:tcPr>
          <w:p>
            <w:pPr>
              <w:ind w:left="100"/>
              <w:spacing w:after="0"/>
              <w:rPr>
                <w:sz w:val="20"/>
                <w:szCs w:val="20"/>
                <w:color w:val="auto"/>
              </w:rPr>
            </w:pPr>
            <w:r>
              <w:rPr>
                <w:rFonts w:ascii="Arial" w:cs="Arial" w:eastAsia="Arial" w:hAnsi="Arial"/>
                <w:sz w:val="18"/>
                <w:szCs w:val="18"/>
                <w:b w:val="1"/>
                <w:bCs w:val="1"/>
                <w:color w:val="auto"/>
              </w:rPr>
              <w:t>Cost</w:t>
            </w:r>
          </w:p>
        </w:tc>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440" w:type="dxa"/>
            <w:vAlign w:val="bottom"/>
          </w:tcPr>
          <w:p>
            <w:pPr>
              <w:ind w:left="100"/>
              <w:spacing w:after="0"/>
              <w:rPr>
                <w:sz w:val="20"/>
                <w:szCs w:val="20"/>
                <w:color w:val="auto"/>
              </w:rPr>
            </w:pPr>
            <w:r>
              <w:rPr>
                <w:rFonts w:ascii="Arial" w:cs="Arial" w:eastAsia="Arial" w:hAnsi="Arial"/>
                <w:sz w:val="18"/>
                <w:szCs w:val="18"/>
                <w:b w:val="1"/>
                <w:bCs w:val="1"/>
                <w:color w:val="auto"/>
              </w:rPr>
              <w:t>As at December 31, 2023</w:t>
            </w:r>
          </w:p>
        </w:tc>
        <w:tc>
          <w:tcPr>
            <w:tcW w:w="23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44,077</w:t>
            </w:r>
          </w:p>
        </w:tc>
        <w:tc>
          <w:tcPr>
            <w:tcW w:w="2840" w:type="dxa"/>
            <w:vAlign w:val="bottom"/>
          </w:tcPr>
          <w:p>
            <w:pPr>
              <w:jc w:val="right"/>
              <w:ind w:right="510"/>
              <w:spacing w:after="0"/>
              <w:rPr>
                <w:sz w:val="20"/>
                <w:szCs w:val="20"/>
                <w:color w:val="auto"/>
              </w:rPr>
            </w:pPr>
            <w:r>
              <w:rPr>
                <w:rFonts w:ascii="Arial" w:cs="Arial" w:eastAsia="Arial" w:hAnsi="Arial"/>
                <w:sz w:val="18"/>
                <w:szCs w:val="18"/>
                <w:b w:val="1"/>
                <w:bCs w:val="1"/>
                <w:color w:val="auto"/>
              </w:rPr>
              <w:t>143,043</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187,120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440" w:type="dxa"/>
            <w:vAlign w:val="bottom"/>
          </w:tcPr>
          <w:p>
            <w:pPr>
              <w:ind w:left="100"/>
              <w:spacing w:after="0"/>
              <w:rPr>
                <w:sz w:val="20"/>
                <w:szCs w:val="20"/>
                <w:color w:val="auto"/>
              </w:rPr>
            </w:pPr>
            <w:r>
              <w:rPr>
                <w:rFonts w:ascii="Arial" w:cs="Arial" w:eastAsia="Arial" w:hAnsi="Arial"/>
                <w:sz w:val="18"/>
                <w:szCs w:val="18"/>
                <w:color w:val="auto"/>
              </w:rPr>
              <w:t>Additions</w:t>
            </w:r>
          </w:p>
        </w:tc>
        <w:tc>
          <w:tcPr>
            <w:tcW w:w="2320" w:type="dxa"/>
            <w:vAlign w:val="bottom"/>
            <w:gridSpan w:val="2"/>
          </w:tcPr>
          <w:p>
            <w:pPr>
              <w:jc w:val="right"/>
              <w:ind w:right="50"/>
              <w:spacing w:after="0"/>
              <w:rPr>
                <w:sz w:val="20"/>
                <w:szCs w:val="20"/>
                <w:color w:val="auto"/>
              </w:rPr>
            </w:pPr>
            <w:r>
              <w:rPr>
                <w:rFonts w:ascii="Arial" w:cs="Arial" w:eastAsia="Arial" w:hAnsi="Arial"/>
                <w:sz w:val="18"/>
                <w:szCs w:val="18"/>
                <w:color w:val="auto"/>
              </w:rPr>
              <w:t>6,390</w:t>
            </w:r>
          </w:p>
        </w:tc>
        <w:tc>
          <w:tcPr>
            <w:tcW w:w="2840" w:type="dxa"/>
            <w:vAlign w:val="bottom"/>
          </w:tcPr>
          <w:p>
            <w:pPr>
              <w:jc w:val="right"/>
              <w:ind w:right="510"/>
              <w:spacing w:after="0"/>
              <w:rPr>
                <w:sz w:val="20"/>
                <w:szCs w:val="20"/>
                <w:color w:val="auto"/>
              </w:rPr>
            </w:pPr>
            <w:r>
              <w:rPr>
                <w:rFonts w:ascii="Arial" w:cs="Arial" w:eastAsia="Arial" w:hAnsi="Arial"/>
                <w:sz w:val="18"/>
                <w:szCs w:val="18"/>
                <w:color w:val="auto"/>
              </w:rPr>
              <w:t>10,035</w:t>
            </w:r>
          </w:p>
        </w:tc>
        <w:tc>
          <w:tcPr>
            <w:tcW w:w="1380" w:type="dxa"/>
            <w:vAlign w:val="bottom"/>
          </w:tcPr>
          <w:p>
            <w:pPr>
              <w:jc w:val="right"/>
              <w:spacing w:after="0"/>
              <w:rPr>
                <w:sz w:val="20"/>
                <w:szCs w:val="20"/>
                <w:color w:val="auto"/>
              </w:rPr>
            </w:pPr>
            <w:r>
              <w:rPr>
                <w:rFonts w:ascii="Arial" w:cs="Arial" w:eastAsia="Arial" w:hAnsi="Arial"/>
                <w:sz w:val="18"/>
                <w:szCs w:val="18"/>
                <w:color w:val="auto"/>
              </w:rPr>
              <w:t>16,425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440" w:type="dxa"/>
            <w:vAlign w:val="bottom"/>
          </w:tcPr>
          <w:p>
            <w:pPr>
              <w:ind w:left="100"/>
              <w:spacing w:after="0"/>
              <w:rPr>
                <w:sz w:val="20"/>
                <w:szCs w:val="20"/>
                <w:color w:val="auto"/>
              </w:rPr>
            </w:pPr>
            <w:r>
              <w:rPr>
                <w:rFonts w:ascii="Arial" w:cs="Arial" w:eastAsia="Arial" w:hAnsi="Arial"/>
                <w:sz w:val="18"/>
                <w:szCs w:val="18"/>
                <w:b w:val="1"/>
                <w:bCs w:val="1"/>
                <w:color w:val="auto"/>
              </w:rPr>
              <w:t>As at December 31, 2024</w:t>
            </w:r>
          </w:p>
        </w:tc>
        <w:tc>
          <w:tcPr>
            <w:tcW w:w="23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50,467</w:t>
            </w:r>
          </w:p>
        </w:tc>
        <w:tc>
          <w:tcPr>
            <w:tcW w:w="2840" w:type="dxa"/>
            <w:vAlign w:val="bottom"/>
          </w:tcPr>
          <w:p>
            <w:pPr>
              <w:jc w:val="right"/>
              <w:ind w:right="510"/>
              <w:spacing w:after="0"/>
              <w:rPr>
                <w:sz w:val="20"/>
                <w:szCs w:val="20"/>
                <w:color w:val="auto"/>
              </w:rPr>
            </w:pPr>
            <w:r>
              <w:rPr>
                <w:rFonts w:ascii="Arial" w:cs="Arial" w:eastAsia="Arial" w:hAnsi="Arial"/>
                <w:sz w:val="18"/>
                <w:szCs w:val="18"/>
                <w:b w:val="1"/>
                <w:bCs w:val="1"/>
                <w:color w:val="auto"/>
              </w:rPr>
              <w:t>153,078</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203,545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
        </w:trPr>
        <w:tc>
          <w:tcPr>
            <w:tcW w:w="2440" w:type="dxa"/>
            <w:vAlign w:val="bottom"/>
          </w:tcPr>
          <w:p>
            <w:pPr>
              <w:spacing w:after="0"/>
              <w:rPr>
                <w:sz w:val="4"/>
                <w:szCs w:val="4"/>
                <w:color w:val="auto"/>
              </w:rPr>
            </w:pPr>
          </w:p>
        </w:tc>
        <w:tc>
          <w:tcPr>
            <w:tcW w:w="2320" w:type="dxa"/>
            <w:vAlign w:val="bottom"/>
            <w:gridSpan w:val="2"/>
          </w:tcPr>
          <w:p>
            <w:pPr>
              <w:spacing w:after="0"/>
              <w:rPr>
                <w:sz w:val="4"/>
                <w:szCs w:val="4"/>
                <w:color w:val="auto"/>
              </w:rPr>
            </w:pPr>
          </w:p>
        </w:tc>
        <w:tc>
          <w:tcPr>
            <w:tcW w:w="28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440" w:type="dxa"/>
            <w:vAlign w:val="bottom"/>
            <w:shd w:val="clear" w:color="auto" w:fill="DAE9F8"/>
          </w:tcPr>
          <w:p>
            <w:pPr>
              <w:ind w:left="100"/>
              <w:spacing w:after="0"/>
              <w:rPr>
                <w:sz w:val="20"/>
                <w:szCs w:val="20"/>
                <w:color w:val="auto"/>
              </w:rPr>
            </w:pPr>
            <w:r>
              <w:rPr>
                <w:rFonts w:ascii="Arial" w:cs="Arial" w:eastAsia="Arial" w:hAnsi="Arial"/>
                <w:sz w:val="18"/>
                <w:szCs w:val="18"/>
                <w:color w:val="auto"/>
              </w:rPr>
              <w:t>Additions</w:t>
            </w:r>
          </w:p>
        </w:tc>
        <w:tc>
          <w:tcPr>
            <w:tcW w:w="2320" w:type="dxa"/>
            <w:vAlign w:val="bottom"/>
            <w:gridSpan w:val="2"/>
            <w:shd w:val="clear" w:color="auto" w:fill="DAE9F8"/>
          </w:tcPr>
          <w:p>
            <w:pPr>
              <w:jc w:val="right"/>
              <w:ind w:right="50"/>
              <w:spacing w:after="0"/>
              <w:rPr>
                <w:sz w:val="20"/>
                <w:szCs w:val="20"/>
                <w:color w:val="auto"/>
              </w:rPr>
            </w:pPr>
            <w:r>
              <w:rPr>
                <w:rFonts w:ascii="Arial" w:cs="Arial" w:eastAsia="Arial" w:hAnsi="Arial"/>
                <w:sz w:val="18"/>
                <w:szCs w:val="18"/>
                <w:color w:val="auto"/>
              </w:rPr>
              <w:t>3,027</w:t>
            </w:r>
          </w:p>
        </w:tc>
        <w:tc>
          <w:tcPr>
            <w:tcW w:w="2840" w:type="dxa"/>
            <w:vAlign w:val="bottom"/>
            <w:shd w:val="clear" w:color="auto" w:fill="DAE9F8"/>
          </w:tcPr>
          <w:p>
            <w:pPr>
              <w:jc w:val="right"/>
              <w:ind w:right="5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AE9F8"/>
          </w:tcPr>
          <w:p>
            <w:pPr>
              <w:jc w:val="right"/>
              <w:spacing w:after="0"/>
              <w:rPr>
                <w:sz w:val="20"/>
                <w:szCs w:val="20"/>
                <w:color w:val="auto"/>
              </w:rPr>
            </w:pPr>
            <w:r>
              <w:rPr>
                <w:rFonts w:ascii="Arial" w:cs="Arial" w:eastAsia="Arial" w:hAnsi="Arial"/>
                <w:sz w:val="18"/>
                <w:szCs w:val="18"/>
                <w:color w:val="auto"/>
              </w:rPr>
              <w:t>3,027</w:t>
            </w:r>
          </w:p>
        </w:tc>
        <w:tc>
          <w:tcPr>
            <w:tcW w:w="100" w:type="dxa"/>
            <w:vAlign w:val="bottom"/>
            <w:shd w:val="clear" w:color="auto" w:fill="DAE9F8"/>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440" w:type="dxa"/>
            <w:vAlign w:val="bottom"/>
            <w:shd w:val="clear" w:color="auto" w:fill="DAE9F8"/>
          </w:tcPr>
          <w:p>
            <w:pPr>
              <w:spacing w:after="0"/>
              <w:rPr>
                <w:sz w:val="3"/>
                <w:szCs w:val="3"/>
                <w:color w:val="auto"/>
              </w:rPr>
            </w:pPr>
          </w:p>
        </w:tc>
        <w:tc>
          <w:tcPr>
            <w:tcW w:w="2320" w:type="dxa"/>
            <w:vAlign w:val="bottom"/>
            <w:gridSpan w:val="2"/>
            <w:shd w:val="clear" w:color="auto" w:fill="DAE9F8"/>
          </w:tcPr>
          <w:p>
            <w:pPr>
              <w:spacing w:after="0"/>
              <w:rPr>
                <w:sz w:val="3"/>
                <w:szCs w:val="3"/>
                <w:color w:val="auto"/>
              </w:rPr>
            </w:pPr>
          </w:p>
        </w:tc>
        <w:tc>
          <w:tcPr>
            <w:tcW w:w="2840" w:type="dxa"/>
            <w:vAlign w:val="bottom"/>
            <w:shd w:val="clear" w:color="auto" w:fill="DAE9F8"/>
          </w:tcPr>
          <w:p>
            <w:pPr>
              <w:spacing w:after="0"/>
              <w:rPr>
                <w:sz w:val="3"/>
                <w:szCs w:val="3"/>
                <w:color w:val="auto"/>
              </w:rPr>
            </w:pPr>
          </w:p>
        </w:tc>
        <w:tc>
          <w:tcPr>
            <w:tcW w:w="1380" w:type="dxa"/>
            <w:vAlign w:val="bottom"/>
            <w:shd w:val="clear" w:color="auto" w:fill="DAE9F8"/>
          </w:tcPr>
          <w:p>
            <w:pPr>
              <w:spacing w:after="0"/>
              <w:rPr>
                <w:sz w:val="3"/>
                <w:szCs w:val="3"/>
                <w:color w:val="auto"/>
              </w:rPr>
            </w:pPr>
          </w:p>
        </w:tc>
        <w:tc>
          <w:tcPr>
            <w:tcW w:w="100" w:type="dxa"/>
            <w:vAlign w:val="bottom"/>
            <w:shd w:val="clear" w:color="auto" w:fill="DAE9F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2440" w:type="dxa"/>
            <w:vAlign w:val="bottom"/>
            <w:shd w:val="clear" w:color="auto" w:fill="DAE9F8"/>
          </w:tcPr>
          <w:p>
            <w:pPr>
              <w:ind w:left="100"/>
              <w:spacing w:after="0"/>
              <w:rPr>
                <w:sz w:val="20"/>
                <w:szCs w:val="20"/>
                <w:color w:val="auto"/>
              </w:rPr>
            </w:pPr>
            <w:r>
              <w:rPr>
                <w:rFonts w:ascii="Arial" w:cs="Arial" w:eastAsia="Arial" w:hAnsi="Arial"/>
                <w:sz w:val="18"/>
                <w:szCs w:val="18"/>
                <w:color w:val="auto"/>
              </w:rPr>
              <w:t>Reclassification</w:t>
            </w:r>
          </w:p>
        </w:tc>
        <w:tc>
          <w:tcPr>
            <w:tcW w:w="2320" w:type="dxa"/>
            <w:vAlign w:val="bottom"/>
            <w:gridSpan w:val="2"/>
            <w:shd w:val="clear" w:color="auto" w:fill="DAE9F8"/>
          </w:tcPr>
          <w:p>
            <w:pPr>
              <w:jc w:val="right"/>
              <w:ind w:right="50"/>
              <w:spacing w:after="0"/>
              <w:rPr>
                <w:sz w:val="20"/>
                <w:szCs w:val="20"/>
                <w:color w:val="auto"/>
              </w:rPr>
            </w:pPr>
            <w:r>
              <w:rPr>
                <w:rFonts w:ascii="Arial" w:cs="Arial" w:eastAsia="Arial" w:hAnsi="Arial"/>
                <w:sz w:val="18"/>
                <w:szCs w:val="18"/>
                <w:color w:val="auto"/>
              </w:rPr>
              <w:t>(33,586)</w:t>
            </w:r>
          </w:p>
        </w:tc>
        <w:tc>
          <w:tcPr>
            <w:tcW w:w="2840" w:type="dxa"/>
            <w:vAlign w:val="bottom"/>
            <w:shd w:val="clear" w:color="auto" w:fill="DAE9F8"/>
          </w:tcPr>
          <w:p>
            <w:pPr>
              <w:jc w:val="right"/>
              <w:ind w:right="510"/>
              <w:spacing w:after="0"/>
              <w:rPr>
                <w:sz w:val="20"/>
                <w:szCs w:val="20"/>
                <w:color w:val="auto"/>
              </w:rPr>
            </w:pPr>
            <w:r>
              <w:rPr>
                <w:rFonts w:ascii="Arial" w:cs="Arial" w:eastAsia="Arial" w:hAnsi="Arial"/>
                <w:sz w:val="18"/>
                <w:szCs w:val="18"/>
                <w:color w:val="auto"/>
              </w:rPr>
              <w:t>33,131</w:t>
            </w:r>
          </w:p>
        </w:tc>
        <w:tc>
          <w:tcPr>
            <w:tcW w:w="1380" w:type="dxa"/>
            <w:vAlign w:val="bottom"/>
            <w:shd w:val="clear" w:color="auto" w:fill="DAE9F8"/>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DAE9F8"/>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2440" w:type="dxa"/>
            <w:vAlign w:val="bottom"/>
            <w:tcBorders>
              <w:bottom w:val="single" w:sz="8" w:color="DAE9F8"/>
            </w:tcBorders>
            <w:shd w:val="clear" w:color="auto" w:fill="DAE9F8"/>
          </w:tcPr>
          <w:p>
            <w:pPr>
              <w:ind w:left="100"/>
              <w:spacing w:after="0"/>
              <w:rPr>
                <w:sz w:val="20"/>
                <w:szCs w:val="20"/>
                <w:color w:val="auto"/>
              </w:rPr>
            </w:pPr>
            <w:r>
              <w:rPr>
                <w:rFonts w:ascii="Arial" w:cs="Arial" w:eastAsia="Arial" w:hAnsi="Arial"/>
                <w:sz w:val="18"/>
                <w:szCs w:val="18"/>
                <w:b w:val="1"/>
                <w:bCs w:val="1"/>
                <w:color w:val="auto"/>
              </w:rPr>
              <w:t>As at December 31, 2025</w:t>
            </w:r>
          </w:p>
        </w:tc>
        <w:tc>
          <w:tcPr>
            <w:tcW w:w="2320" w:type="dxa"/>
            <w:vAlign w:val="bottom"/>
            <w:tcBorders>
              <w:bottom w:val="single" w:sz="8" w:color="DAE9F8"/>
            </w:tcBorders>
            <w:gridSpan w:val="2"/>
            <w:shd w:val="clear" w:color="auto" w:fill="DAE9F8"/>
          </w:tcPr>
          <w:p>
            <w:pPr>
              <w:jc w:val="right"/>
              <w:ind w:right="50"/>
              <w:spacing w:after="0"/>
              <w:rPr>
                <w:sz w:val="20"/>
                <w:szCs w:val="20"/>
                <w:color w:val="auto"/>
              </w:rPr>
            </w:pPr>
            <w:r>
              <w:rPr>
                <w:rFonts w:ascii="Arial" w:cs="Arial" w:eastAsia="Arial" w:hAnsi="Arial"/>
                <w:sz w:val="18"/>
                <w:szCs w:val="18"/>
                <w:b w:val="1"/>
                <w:bCs w:val="1"/>
                <w:color w:val="auto"/>
              </w:rPr>
              <w:t>19,908</w:t>
            </w:r>
          </w:p>
        </w:tc>
        <w:tc>
          <w:tcPr>
            <w:tcW w:w="2840" w:type="dxa"/>
            <w:vAlign w:val="bottom"/>
            <w:tcBorders>
              <w:bottom w:val="single" w:sz="8" w:color="DAE9F8"/>
            </w:tcBorders>
            <w:shd w:val="clear" w:color="auto" w:fill="DAE9F8"/>
          </w:tcPr>
          <w:p>
            <w:pPr>
              <w:jc w:val="right"/>
              <w:ind w:right="510"/>
              <w:spacing w:after="0"/>
              <w:rPr>
                <w:sz w:val="20"/>
                <w:szCs w:val="20"/>
                <w:color w:val="auto"/>
              </w:rPr>
            </w:pPr>
            <w:r>
              <w:rPr>
                <w:rFonts w:ascii="Arial" w:cs="Arial" w:eastAsia="Arial" w:hAnsi="Arial"/>
                <w:sz w:val="18"/>
                <w:szCs w:val="18"/>
                <w:b w:val="1"/>
                <w:bCs w:val="1"/>
                <w:color w:val="auto"/>
              </w:rPr>
              <w:t>186,209</w:t>
            </w:r>
          </w:p>
        </w:tc>
        <w:tc>
          <w:tcPr>
            <w:tcW w:w="1380" w:type="dxa"/>
            <w:vAlign w:val="bottom"/>
            <w:tcBorders>
              <w:bottom w:val="single" w:sz="8" w:color="DAE9F8"/>
            </w:tcBorders>
            <w:shd w:val="clear" w:color="auto" w:fill="DAE9F8"/>
          </w:tcPr>
          <w:p>
            <w:pPr>
              <w:jc w:val="right"/>
              <w:spacing w:after="0"/>
              <w:rPr>
                <w:sz w:val="20"/>
                <w:szCs w:val="20"/>
                <w:color w:val="auto"/>
              </w:rPr>
            </w:pPr>
            <w:r>
              <w:rPr>
                <w:rFonts w:ascii="Arial" w:cs="Arial" w:eastAsia="Arial" w:hAnsi="Arial"/>
                <w:sz w:val="18"/>
                <w:szCs w:val="18"/>
                <w:b w:val="1"/>
                <w:bCs w:val="1"/>
                <w:color w:val="auto"/>
              </w:rPr>
              <w:t>206,117</w:t>
            </w:r>
          </w:p>
        </w:tc>
        <w:tc>
          <w:tcPr>
            <w:tcW w:w="100" w:type="dxa"/>
            <w:vAlign w:val="bottom"/>
            <w:tcBorders>
              <w:bottom w:val="single" w:sz="8" w:color="DAE9F8"/>
            </w:tcBorders>
            <w:shd w:val="clear" w:color="auto" w:fill="DAE9F8"/>
          </w:tcPr>
          <w:p>
            <w:pPr>
              <w:spacing w:after="0"/>
              <w:rPr>
                <w:sz w:val="24"/>
                <w:szCs w:val="24"/>
                <w:color w:val="auto"/>
              </w:rPr>
            </w:pPr>
          </w:p>
        </w:tc>
        <w:tc>
          <w:tcPr>
            <w:tcW w:w="0" w:type="dxa"/>
            <w:vAlign w:val="bottom"/>
          </w:tcPr>
          <w:p>
            <w:pPr>
              <w:spacing w:after="0"/>
              <w:rPr>
                <w:sz w:val="1"/>
                <w:szCs w:val="1"/>
                <w:color w:val="auto"/>
              </w:rPr>
            </w:pPr>
          </w:p>
        </w:tc>
      </w:tr>
      <w:tr>
        <w:trPr>
          <w:trHeight w:val="625"/>
        </w:trPr>
        <w:tc>
          <w:tcPr>
            <w:tcW w:w="2440" w:type="dxa"/>
            <w:vAlign w:val="bottom"/>
          </w:tcPr>
          <w:p>
            <w:pPr>
              <w:spacing w:after="0"/>
              <w:rPr>
                <w:sz w:val="24"/>
                <w:szCs w:val="24"/>
                <w:color w:val="auto"/>
              </w:rPr>
            </w:pPr>
          </w:p>
        </w:tc>
        <w:tc>
          <w:tcPr>
            <w:tcW w:w="19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Exploration assets</w:t>
            </w:r>
          </w:p>
        </w:tc>
        <w:tc>
          <w:tcPr>
            <w:tcW w:w="3200" w:type="dxa"/>
            <w:vAlign w:val="bottom"/>
            <w:gridSpan w:val="2"/>
          </w:tcPr>
          <w:p>
            <w:pPr>
              <w:jc w:val="right"/>
              <w:ind w:right="1390"/>
              <w:spacing w:after="0"/>
              <w:rPr>
                <w:sz w:val="20"/>
                <w:szCs w:val="20"/>
                <w:color w:val="auto"/>
              </w:rPr>
            </w:pPr>
            <w:r>
              <w:rPr>
                <w:rFonts w:ascii="Arial" w:cs="Arial" w:eastAsia="Arial" w:hAnsi="Arial"/>
                <w:sz w:val="18"/>
                <w:szCs w:val="18"/>
                <w:b w:val="1"/>
                <w:bCs w:val="1"/>
                <w:color w:val="auto"/>
              </w:rPr>
              <w:t>Mineral Properties</w:t>
            </w:r>
          </w:p>
        </w:tc>
        <w:tc>
          <w:tcPr>
            <w:tcW w:w="1480" w:type="dxa"/>
            <w:vAlign w:val="bottom"/>
            <w:gridSpan w:val="2"/>
            <w:vMerge w:val="restart"/>
          </w:tcPr>
          <w:p>
            <w:pPr>
              <w:ind w:left="8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19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2840" w:type="dxa"/>
            <w:vAlign w:val="bottom"/>
            <w:vMerge w:val="restart"/>
          </w:tcPr>
          <w:p>
            <w:pPr>
              <w:jc w:val="right"/>
              <w:ind w:right="1350"/>
              <w:spacing w:after="0"/>
              <w:rPr>
                <w:sz w:val="20"/>
                <w:szCs w:val="20"/>
                <w:color w:val="auto"/>
              </w:rPr>
            </w:pPr>
            <w:r>
              <w:rPr>
                <w:rFonts w:ascii="Arial" w:cs="Arial" w:eastAsia="Arial" w:hAnsi="Arial"/>
                <w:sz w:val="18"/>
                <w:szCs w:val="18"/>
                <w:b w:val="1"/>
                <w:bCs w:val="1"/>
                <w:color w:val="auto"/>
              </w:rPr>
              <w:t>costs</w:t>
            </w:r>
          </w:p>
        </w:tc>
        <w:tc>
          <w:tcPr>
            <w:tcW w:w="1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4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2"/>
        </w:trPr>
        <w:tc>
          <w:tcPr>
            <w:tcW w:w="2440" w:type="dxa"/>
            <w:vAlign w:val="bottom"/>
          </w:tcPr>
          <w:p>
            <w:pPr>
              <w:ind w:left="100"/>
              <w:spacing w:after="0"/>
              <w:rPr>
                <w:sz w:val="20"/>
                <w:szCs w:val="20"/>
                <w:color w:val="auto"/>
              </w:rPr>
            </w:pPr>
            <w:r>
              <w:rPr>
                <w:rFonts w:ascii="Arial" w:cs="Arial" w:eastAsia="Arial" w:hAnsi="Arial"/>
                <w:sz w:val="18"/>
                <w:szCs w:val="18"/>
                <w:b w:val="1"/>
                <w:bCs w:val="1"/>
                <w:color w:val="auto"/>
              </w:rPr>
              <w:t>Accumulated</w:t>
            </w:r>
          </w:p>
        </w:tc>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440" w:type="dxa"/>
            <w:vAlign w:val="bottom"/>
          </w:tcPr>
          <w:p>
            <w:pPr>
              <w:ind w:left="100"/>
              <w:spacing w:after="0"/>
              <w:rPr>
                <w:sz w:val="20"/>
                <w:szCs w:val="20"/>
                <w:color w:val="auto"/>
              </w:rPr>
            </w:pPr>
            <w:r>
              <w:rPr>
                <w:rFonts w:ascii="Arial" w:cs="Arial" w:eastAsia="Arial" w:hAnsi="Arial"/>
                <w:sz w:val="18"/>
                <w:szCs w:val="18"/>
                <w:b w:val="1"/>
                <w:bCs w:val="1"/>
                <w:color w:val="auto"/>
              </w:rPr>
              <w:t>depreciation</w:t>
            </w:r>
          </w:p>
        </w:tc>
        <w:tc>
          <w:tcPr>
            <w:tcW w:w="1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2440" w:type="dxa"/>
            <w:vAlign w:val="bottom"/>
          </w:tcPr>
          <w:p>
            <w:pPr>
              <w:ind w:left="100"/>
              <w:spacing w:after="0"/>
              <w:rPr>
                <w:sz w:val="20"/>
                <w:szCs w:val="20"/>
                <w:color w:val="auto"/>
              </w:rPr>
            </w:pPr>
            <w:r>
              <w:rPr>
                <w:rFonts w:ascii="Arial" w:cs="Arial" w:eastAsia="Arial" w:hAnsi="Arial"/>
                <w:sz w:val="18"/>
                <w:szCs w:val="18"/>
                <w:b w:val="1"/>
                <w:bCs w:val="1"/>
                <w:color w:val="auto"/>
              </w:rPr>
              <w:t>As at December 31,</w:t>
            </w:r>
          </w:p>
        </w:tc>
        <w:tc>
          <w:tcPr>
            <w:tcW w:w="19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4"/>
                <w:szCs w:val="24"/>
                <w:color w:val="auto"/>
              </w:rPr>
            </w:pPr>
          </w:p>
        </w:tc>
        <w:tc>
          <w:tcPr>
            <w:tcW w:w="2840" w:type="dxa"/>
            <w:vAlign w:val="bottom"/>
            <w:vMerge w:val="restart"/>
          </w:tcPr>
          <w:p>
            <w:pPr>
              <w:jc w:val="right"/>
              <w:ind w:right="1350"/>
              <w:spacing w:after="0"/>
              <w:rPr>
                <w:sz w:val="20"/>
                <w:szCs w:val="20"/>
                <w:color w:val="auto"/>
              </w:rPr>
            </w:pPr>
            <w:r>
              <w:rPr>
                <w:rFonts w:ascii="Arial" w:cs="Arial" w:eastAsia="Arial" w:hAnsi="Arial"/>
                <w:sz w:val="18"/>
                <w:szCs w:val="18"/>
                <w:b w:val="1"/>
                <w:bCs w:val="1"/>
                <w:color w:val="auto"/>
              </w:rPr>
              <w:t>-</w:t>
            </w: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4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2023</w:t>
            </w:r>
          </w:p>
        </w:tc>
        <w:tc>
          <w:tcPr>
            <w:tcW w:w="19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284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40" w:type="dxa"/>
            <w:vAlign w:val="bottom"/>
            <w:vMerge w:val="continue"/>
          </w:tcPr>
          <w:p>
            <w:pPr>
              <w:spacing w:after="0"/>
              <w:rPr>
                <w:sz w:val="11"/>
                <w:szCs w:val="11"/>
                <w:color w:val="auto"/>
              </w:rPr>
            </w:pPr>
          </w:p>
        </w:tc>
        <w:tc>
          <w:tcPr>
            <w:tcW w:w="1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2440" w:type="dxa"/>
            <w:vAlign w:val="bottom"/>
          </w:tcPr>
          <w:p>
            <w:pPr>
              <w:ind w:left="100"/>
              <w:spacing w:after="0"/>
              <w:rPr>
                <w:sz w:val="20"/>
                <w:szCs w:val="20"/>
                <w:color w:val="auto"/>
              </w:rPr>
            </w:pPr>
            <w:r>
              <w:rPr>
                <w:rFonts w:ascii="Arial" w:cs="Arial" w:eastAsia="Arial" w:hAnsi="Arial"/>
                <w:sz w:val="18"/>
                <w:szCs w:val="18"/>
                <w:color w:val="auto"/>
              </w:rPr>
              <w:t>Depreciation for the year</w:t>
            </w:r>
          </w:p>
        </w:tc>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tcPr>
          <w:p>
            <w:pPr>
              <w:jc w:val="right"/>
              <w:ind w:right="1350"/>
              <w:spacing w:after="0"/>
              <w:rPr>
                <w:sz w:val="20"/>
                <w:szCs w:val="20"/>
                <w:color w:val="auto"/>
              </w:rPr>
            </w:pPr>
            <w:r>
              <w:rPr>
                <w:rFonts w:ascii="Arial" w:cs="Arial" w:eastAsia="Arial" w:hAnsi="Arial"/>
                <w:sz w:val="18"/>
                <w:szCs w:val="18"/>
                <w:color w:val="auto"/>
              </w:rPr>
              <w:t>713</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440" w:type="dxa"/>
            <w:vAlign w:val="bottom"/>
          </w:tcPr>
          <w:p>
            <w:pPr>
              <w:ind w:left="100"/>
              <w:spacing w:after="0"/>
              <w:rPr>
                <w:sz w:val="20"/>
                <w:szCs w:val="20"/>
                <w:color w:val="auto"/>
              </w:rPr>
            </w:pPr>
            <w:r>
              <w:rPr>
                <w:rFonts w:ascii="Arial" w:cs="Arial" w:eastAsia="Arial" w:hAnsi="Arial"/>
                <w:sz w:val="18"/>
                <w:szCs w:val="18"/>
                <w:b w:val="1"/>
                <w:bCs w:val="1"/>
                <w:color w:val="auto"/>
              </w:rPr>
              <w:t>As at December 31,</w:t>
            </w:r>
          </w:p>
        </w:tc>
        <w:tc>
          <w:tcPr>
            <w:tcW w:w="19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4"/>
                <w:szCs w:val="24"/>
                <w:color w:val="auto"/>
              </w:rPr>
            </w:pPr>
          </w:p>
        </w:tc>
        <w:tc>
          <w:tcPr>
            <w:tcW w:w="2840" w:type="dxa"/>
            <w:vAlign w:val="bottom"/>
          </w:tcPr>
          <w:p>
            <w:pPr>
              <w:jc w:val="right"/>
              <w:ind w:right="1350"/>
              <w:spacing w:after="0"/>
              <w:rPr>
                <w:sz w:val="20"/>
                <w:szCs w:val="20"/>
                <w:color w:val="auto"/>
              </w:rPr>
            </w:pPr>
            <w:r>
              <w:rPr>
                <w:rFonts w:ascii="Arial" w:cs="Arial" w:eastAsia="Arial" w:hAnsi="Arial"/>
                <w:sz w:val="18"/>
                <w:szCs w:val="18"/>
                <w:b w:val="1"/>
                <w:bCs w:val="1"/>
                <w:color w:val="auto"/>
              </w:rPr>
              <w:t>713</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713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4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2024</w:t>
            </w:r>
          </w:p>
        </w:tc>
        <w:tc>
          <w:tcPr>
            <w:tcW w:w="19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40" w:type="dxa"/>
            <w:vAlign w:val="bottom"/>
            <w:vMerge w:val="continue"/>
          </w:tcPr>
          <w:p>
            <w:pPr>
              <w:spacing w:after="0"/>
              <w:rPr>
                <w:sz w:val="11"/>
                <w:szCs w:val="11"/>
                <w:color w:val="auto"/>
              </w:rPr>
            </w:pPr>
          </w:p>
        </w:tc>
        <w:tc>
          <w:tcPr>
            <w:tcW w:w="1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4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440" w:type="dxa"/>
            <w:vAlign w:val="bottom"/>
            <w:shd w:val="clear" w:color="auto" w:fill="DAE9F8"/>
          </w:tcPr>
          <w:p>
            <w:pPr>
              <w:ind w:left="100"/>
              <w:spacing w:after="0"/>
              <w:rPr>
                <w:sz w:val="20"/>
                <w:szCs w:val="20"/>
                <w:color w:val="auto"/>
              </w:rPr>
            </w:pPr>
            <w:r>
              <w:rPr>
                <w:rFonts w:ascii="Arial" w:cs="Arial" w:eastAsia="Arial" w:hAnsi="Arial"/>
                <w:sz w:val="18"/>
                <w:szCs w:val="18"/>
                <w:color w:val="auto"/>
              </w:rPr>
              <w:t>Depreciation for the year</w:t>
            </w:r>
          </w:p>
        </w:tc>
        <w:tc>
          <w:tcPr>
            <w:tcW w:w="1960" w:type="dxa"/>
            <w:vAlign w:val="bottom"/>
            <w:shd w:val="clear" w:color="auto" w:fill="DAE9F8"/>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DAE9F8"/>
          </w:tcPr>
          <w:p>
            <w:pPr>
              <w:spacing w:after="0"/>
              <w:rPr>
                <w:sz w:val="20"/>
                <w:szCs w:val="20"/>
                <w:color w:val="auto"/>
              </w:rPr>
            </w:pPr>
          </w:p>
        </w:tc>
        <w:tc>
          <w:tcPr>
            <w:tcW w:w="2840" w:type="dxa"/>
            <w:vAlign w:val="bottom"/>
            <w:shd w:val="clear" w:color="auto" w:fill="DAE9F8"/>
          </w:tcPr>
          <w:p>
            <w:pPr>
              <w:jc w:val="right"/>
              <w:ind w:right="1350"/>
              <w:spacing w:after="0"/>
              <w:rPr>
                <w:sz w:val="20"/>
                <w:szCs w:val="20"/>
                <w:color w:val="auto"/>
              </w:rPr>
            </w:pPr>
            <w:r>
              <w:rPr>
                <w:rFonts w:ascii="Arial" w:cs="Arial" w:eastAsia="Arial" w:hAnsi="Arial"/>
                <w:sz w:val="18"/>
                <w:szCs w:val="18"/>
                <w:color w:val="auto"/>
              </w:rPr>
              <w:t>3,030</w:t>
            </w:r>
          </w:p>
        </w:tc>
        <w:tc>
          <w:tcPr>
            <w:tcW w:w="138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2440" w:type="dxa"/>
            <w:vAlign w:val="bottom"/>
            <w:shd w:val="clear" w:color="auto" w:fill="DAE9F8"/>
          </w:tcPr>
          <w:p>
            <w:pPr>
              <w:ind w:left="100"/>
              <w:spacing w:after="0"/>
              <w:rPr>
                <w:sz w:val="20"/>
                <w:szCs w:val="20"/>
                <w:color w:val="auto"/>
              </w:rPr>
            </w:pPr>
            <w:r>
              <w:rPr>
                <w:rFonts w:ascii="Arial" w:cs="Arial" w:eastAsia="Arial" w:hAnsi="Arial"/>
                <w:sz w:val="18"/>
                <w:szCs w:val="18"/>
                <w:b w:val="1"/>
                <w:bCs w:val="1"/>
                <w:color w:val="auto"/>
              </w:rPr>
              <w:t>As at December 31,</w:t>
            </w:r>
          </w:p>
        </w:tc>
        <w:tc>
          <w:tcPr>
            <w:tcW w:w="1960" w:type="dxa"/>
            <w:vAlign w:val="bottom"/>
            <w:vMerge w:val="restart"/>
            <w:shd w:val="clear" w:color="auto" w:fill="DAE9F8"/>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AE9F8"/>
          </w:tcPr>
          <w:p>
            <w:pPr>
              <w:spacing w:after="0"/>
              <w:rPr>
                <w:sz w:val="24"/>
                <w:szCs w:val="24"/>
                <w:color w:val="auto"/>
              </w:rPr>
            </w:pPr>
          </w:p>
        </w:tc>
        <w:tc>
          <w:tcPr>
            <w:tcW w:w="2840" w:type="dxa"/>
            <w:vAlign w:val="bottom"/>
            <w:shd w:val="clear" w:color="auto" w:fill="DAE9F8"/>
          </w:tcPr>
          <w:p>
            <w:pPr>
              <w:jc w:val="right"/>
              <w:ind w:right="1350"/>
              <w:spacing w:after="0"/>
              <w:rPr>
                <w:sz w:val="20"/>
                <w:szCs w:val="20"/>
                <w:color w:val="auto"/>
              </w:rPr>
            </w:pPr>
            <w:r>
              <w:rPr>
                <w:rFonts w:ascii="Arial" w:cs="Arial" w:eastAsia="Arial" w:hAnsi="Arial"/>
                <w:sz w:val="18"/>
                <w:szCs w:val="18"/>
                <w:b w:val="1"/>
                <w:bCs w:val="1"/>
                <w:color w:val="auto"/>
              </w:rPr>
              <w:t>3,743</w:t>
            </w:r>
          </w:p>
        </w:tc>
        <w:tc>
          <w:tcPr>
            <w:tcW w:w="1380" w:type="dxa"/>
            <w:vAlign w:val="bottom"/>
            <w:shd w:val="clear" w:color="auto" w:fill="DAE9F8"/>
          </w:tcPr>
          <w:p>
            <w:pPr>
              <w:jc w:val="right"/>
              <w:ind w:right="30"/>
              <w:spacing w:after="0"/>
              <w:rPr>
                <w:sz w:val="20"/>
                <w:szCs w:val="20"/>
                <w:color w:val="auto"/>
              </w:rPr>
            </w:pPr>
            <w:r>
              <w:rPr>
                <w:rFonts w:ascii="Arial" w:cs="Arial" w:eastAsia="Arial" w:hAnsi="Arial"/>
                <w:sz w:val="18"/>
                <w:szCs w:val="18"/>
                <w:b w:val="1"/>
                <w:bCs w:val="1"/>
                <w:color w:val="auto"/>
              </w:rPr>
              <w:t>3,743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440" w:type="dxa"/>
            <w:vAlign w:val="bottom"/>
            <w:vMerge w:val="restart"/>
            <w:shd w:val="clear" w:color="auto" w:fill="DAE9F8"/>
          </w:tcPr>
          <w:p>
            <w:pPr>
              <w:ind w:left="100"/>
              <w:spacing w:after="0"/>
              <w:rPr>
                <w:sz w:val="20"/>
                <w:szCs w:val="20"/>
                <w:color w:val="auto"/>
              </w:rPr>
            </w:pPr>
            <w:r>
              <w:rPr>
                <w:rFonts w:ascii="Arial" w:cs="Arial" w:eastAsia="Arial" w:hAnsi="Arial"/>
                <w:sz w:val="18"/>
                <w:szCs w:val="18"/>
                <w:b w:val="1"/>
                <w:bCs w:val="1"/>
                <w:color w:val="auto"/>
              </w:rPr>
              <w:t>2025</w:t>
            </w:r>
          </w:p>
        </w:tc>
        <w:tc>
          <w:tcPr>
            <w:tcW w:w="1960" w:type="dxa"/>
            <w:vAlign w:val="bottom"/>
            <w:vMerge w:val="continue"/>
            <w:shd w:val="clear" w:color="auto" w:fill="DAE9F8"/>
          </w:tcPr>
          <w:p>
            <w:pPr>
              <w:spacing w:after="0"/>
              <w:rPr>
                <w:sz w:val="11"/>
                <w:szCs w:val="11"/>
                <w:color w:val="auto"/>
              </w:rPr>
            </w:pPr>
          </w:p>
        </w:tc>
        <w:tc>
          <w:tcPr>
            <w:tcW w:w="360" w:type="dxa"/>
            <w:vAlign w:val="bottom"/>
            <w:shd w:val="clear" w:color="auto" w:fill="DAE9F8"/>
          </w:tcPr>
          <w:p>
            <w:pPr>
              <w:spacing w:after="0"/>
              <w:rPr>
                <w:sz w:val="11"/>
                <w:szCs w:val="11"/>
                <w:color w:val="auto"/>
              </w:rPr>
            </w:pPr>
          </w:p>
        </w:tc>
        <w:tc>
          <w:tcPr>
            <w:tcW w:w="2840" w:type="dxa"/>
            <w:vAlign w:val="bottom"/>
            <w:shd w:val="clear" w:color="auto" w:fill="DAE9F8"/>
          </w:tcPr>
          <w:p>
            <w:pPr>
              <w:spacing w:after="0"/>
              <w:rPr>
                <w:sz w:val="11"/>
                <w:szCs w:val="11"/>
                <w:color w:val="auto"/>
              </w:rPr>
            </w:pPr>
          </w:p>
        </w:tc>
        <w:tc>
          <w:tcPr>
            <w:tcW w:w="1380" w:type="dxa"/>
            <w:vAlign w:val="bottom"/>
            <w:shd w:val="clear" w:color="auto" w:fill="DAE9F8"/>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440" w:type="dxa"/>
            <w:vAlign w:val="bottom"/>
            <w:tcBorders>
              <w:bottom w:val="single" w:sz="8" w:color="DAE9F8"/>
            </w:tcBorders>
            <w:vMerge w:val="continue"/>
            <w:shd w:val="clear" w:color="auto" w:fill="DAE9F8"/>
          </w:tcPr>
          <w:p>
            <w:pPr>
              <w:spacing w:after="0"/>
              <w:rPr>
                <w:sz w:val="14"/>
                <w:szCs w:val="14"/>
                <w:color w:val="auto"/>
              </w:rPr>
            </w:pPr>
          </w:p>
        </w:tc>
        <w:tc>
          <w:tcPr>
            <w:tcW w:w="1960" w:type="dxa"/>
            <w:vAlign w:val="bottom"/>
            <w:tcBorders>
              <w:bottom w:val="single" w:sz="8" w:color="DAE9F8"/>
            </w:tcBorders>
            <w:shd w:val="clear" w:color="auto" w:fill="DAE9F8"/>
          </w:tcPr>
          <w:p>
            <w:pPr>
              <w:spacing w:after="0"/>
              <w:rPr>
                <w:sz w:val="14"/>
                <w:szCs w:val="14"/>
                <w:color w:val="auto"/>
              </w:rPr>
            </w:pPr>
          </w:p>
        </w:tc>
        <w:tc>
          <w:tcPr>
            <w:tcW w:w="360" w:type="dxa"/>
            <w:vAlign w:val="bottom"/>
            <w:tcBorders>
              <w:bottom w:val="single" w:sz="8" w:color="DAE9F8"/>
            </w:tcBorders>
            <w:shd w:val="clear" w:color="auto" w:fill="DAE9F8"/>
          </w:tcPr>
          <w:p>
            <w:pPr>
              <w:spacing w:after="0"/>
              <w:rPr>
                <w:sz w:val="14"/>
                <w:szCs w:val="14"/>
                <w:color w:val="auto"/>
              </w:rPr>
            </w:pPr>
          </w:p>
        </w:tc>
        <w:tc>
          <w:tcPr>
            <w:tcW w:w="2840" w:type="dxa"/>
            <w:vAlign w:val="bottom"/>
            <w:tcBorders>
              <w:bottom w:val="single" w:sz="8" w:color="DAE9F8"/>
            </w:tcBorders>
            <w:shd w:val="clear" w:color="auto" w:fill="DAE9F8"/>
          </w:tcPr>
          <w:p>
            <w:pPr>
              <w:spacing w:after="0"/>
              <w:rPr>
                <w:sz w:val="14"/>
                <w:szCs w:val="14"/>
                <w:color w:val="auto"/>
              </w:rPr>
            </w:pPr>
          </w:p>
        </w:tc>
        <w:tc>
          <w:tcPr>
            <w:tcW w:w="1380" w:type="dxa"/>
            <w:vAlign w:val="bottom"/>
            <w:tcBorders>
              <w:bottom w:val="single" w:sz="8" w:color="DAE9F8"/>
            </w:tcBorders>
            <w:shd w:val="clear" w:color="auto" w:fill="DAE9F8"/>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2"/>
        </w:trPr>
        <w:tc>
          <w:tcPr>
            <w:tcW w:w="2440" w:type="dxa"/>
            <w:vAlign w:val="bottom"/>
          </w:tcPr>
          <w:p>
            <w:pPr>
              <w:spacing w:after="0"/>
              <w:rPr>
                <w:sz w:val="24"/>
                <w:szCs w:val="24"/>
                <w:color w:val="auto"/>
              </w:rPr>
            </w:pPr>
          </w:p>
        </w:tc>
        <w:tc>
          <w:tcPr>
            <w:tcW w:w="19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Exploration</w:t>
            </w:r>
          </w:p>
        </w:tc>
        <w:tc>
          <w:tcPr>
            <w:tcW w:w="360" w:type="dxa"/>
            <w:vAlign w:val="bottom"/>
          </w:tcPr>
          <w:p>
            <w:pPr>
              <w:spacing w:after="0"/>
              <w:rPr>
                <w:sz w:val="24"/>
                <w:szCs w:val="24"/>
                <w:color w:val="auto"/>
              </w:rPr>
            </w:pPr>
          </w:p>
        </w:tc>
        <w:tc>
          <w:tcPr>
            <w:tcW w:w="2840" w:type="dxa"/>
            <w:vAlign w:val="bottom"/>
          </w:tcPr>
          <w:p>
            <w:pPr>
              <w:jc w:val="right"/>
              <w:ind w:right="1410"/>
              <w:spacing w:after="0"/>
              <w:rPr>
                <w:sz w:val="20"/>
                <w:szCs w:val="20"/>
                <w:color w:val="auto"/>
              </w:rPr>
            </w:pPr>
            <w:r>
              <w:rPr>
                <w:rFonts w:ascii="Arial" w:cs="Arial" w:eastAsia="Arial" w:hAnsi="Arial"/>
                <w:sz w:val="18"/>
                <w:szCs w:val="18"/>
                <w:b w:val="1"/>
                <w:bCs w:val="1"/>
                <w:color w:val="auto"/>
              </w:rPr>
              <w:t>Mineral</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19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2840" w:type="dxa"/>
            <w:vAlign w:val="bottom"/>
            <w:vMerge w:val="restart"/>
          </w:tcPr>
          <w:p>
            <w:pPr>
              <w:jc w:val="right"/>
              <w:ind w:right="1410"/>
              <w:spacing w:after="0"/>
              <w:rPr>
                <w:sz w:val="20"/>
                <w:szCs w:val="20"/>
                <w:color w:val="auto"/>
              </w:rPr>
            </w:pPr>
            <w:r>
              <w:rPr>
                <w:rFonts w:ascii="Arial" w:cs="Arial" w:eastAsia="Arial" w:hAnsi="Arial"/>
                <w:sz w:val="18"/>
                <w:szCs w:val="18"/>
                <w:b w:val="1"/>
                <w:bCs w:val="1"/>
                <w:color w:val="auto"/>
              </w:rPr>
              <w:t>Properties</w:t>
            </w:r>
          </w:p>
        </w:tc>
        <w:tc>
          <w:tcPr>
            <w:tcW w:w="1480" w:type="dxa"/>
            <w:vAlign w:val="bottom"/>
            <w:gridSpan w:val="2"/>
            <w:vMerge w:val="restart"/>
          </w:tcPr>
          <w:p>
            <w:pPr>
              <w:ind w:left="8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19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11"/>
                <w:szCs w:val="11"/>
                <w:color w:val="auto"/>
              </w:rPr>
            </w:pPr>
          </w:p>
        </w:tc>
        <w:tc>
          <w:tcPr>
            <w:tcW w:w="2840" w:type="dxa"/>
            <w:vAlign w:val="bottom"/>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19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2840" w:type="dxa"/>
            <w:vAlign w:val="bottom"/>
            <w:vMerge w:val="restart"/>
          </w:tcPr>
          <w:p>
            <w:pPr>
              <w:jc w:val="right"/>
              <w:ind w:right="1350"/>
              <w:spacing w:after="0"/>
              <w:rPr>
                <w:sz w:val="20"/>
                <w:szCs w:val="20"/>
                <w:color w:val="auto"/>
              </w:rPr>
            </w:pPr>
            <w:r>
              <w:rPr>
                <w:rFonts w:ascii="Arial" w:cs="Arial" w:eastAsia="Arial" w:hAnsi="Arial"/>
                <w:sz w:val="18"/>
                <w:szCs w:val="18"/>
                <w:b w:val="1"/>
                <w:bCs w:val="1"/>
                <w:color w:val="auto"/>
              </w:rPr>
              <w:t>costs</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4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440" w:type="dxa"/>
            <w:vAlign w:val="bottom"/>
          </w:tcPr>
          <w:p>
            <w:pPr>
              <w:ind w:left="100"/>
              <w:spacing w:after="0"/>
              <w:rPr>
                <w:sz w:val="20"/>
                <w:szCs w:val="20"/>
                <w:color w:val="auto"/>
              </w:rPr>
            </w:pPr>
            <w:r>
              <w:rPr>
                <w:rFonts w:ascii="Arial" w:cs="Arial" w:eastAsia="Arial" w:hAnsi="Arial"/>
                <w:sz w:val="18"/>
                <w:szCs w:val="18"/>
                <w:b w:val="1"/>
                <w:bCs w:val="1"/>
                <w:color w:val="auto"/>
              </w:rPr>
              <w:t>Net book value</w:t>
            </w:r>
          </w:p>
        </w:tc>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440" w:type="dxa"/>
            <w:vAlign w:val="bottom"/>
          </w:tcPr>
          <w:p>
            <w:pPr>
              <w:ind w:left="100"/>
              <w:spacing w:after="0"/>
              <w:rPr>
                <w:sz w:val="20"/>
                <w:szCs w:val="20"/>
                <w:color w:val="auto"/>
              </w:rPr>
            </w:pPr>
            <w:r>
              <w:rPr>
                <w:rFonts w:ascii="Arial" w:cs="Arial" w:eastAsia="Arial" w:hAnsi="Arial"/>
                <w:sz w:val="18"/>
                <w:szCs w:val="18"/>
                <w:b w:val="1"/>
                <w:bCs w:val="1"/>
                <w:color w:val="auto"/>
              </w:rPr>
              <w:t>As at December 31,</w:t>
            </w:r>
          </w:p>
        </w:tc>
        <w:tc>
          <w:tcPr>
            <w:tcW w:w="19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50,467</w:t>
            </w:r>
          </w:p>
        </w:tc>
        <w:tc>
          <w:tcPr>
            <w:tcW w:w="360" w:type="dxa"/>
            <w:vAlign w:val="bottom"/>
          </w:tcPr>
          <w:p>
            <w:pPr>
              <w:spacing w:after="0"/>
              <w:rPr>
                <w:sz w:val="24"/>
                <w:szCs w:val="24"/>
                <w:color w:val="auto"/>
              </w:rPr>
            </w:pPr>
          </w:p>
        </w:tc>
        <w:tc>
          <w:tcPr>
            <w:tcW w:w="2840" w:type="dxa"/>
            <w:vAlign w:val="bottom"/>
            <w:vMerge w:val="restart"/>
          </w:tcPr>
          <w:p>
            <w:pPr>
              <w:jc w:val="right"/>
              <w:ind w:right="1350"/>
              <w:spacing w:after="0"/>
              <w:rPr>
                <w:sz w:val="20"/>
                <w:szCs w:val="20"/>
                <w:color w:val="auto"/>
              </w:rPr>
            </w:pPr>
            <w:r>
              <w:rPr>
                <w:rFonts w:ascii="Arial" w:cs="Arial" w:eastAsia="Arial" w:hAnsi="Arial"/>
                <w:sz w:val="18"/>
                <w:szCs w:val="18"/>
                <w:b w:val="1"/>
                <w:bCs w:val="1"/>
                <w:color w:val="auto"/>
              </w:rPr>
              <w:t>152,365</w:t>
            </w: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202,832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4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2024</w:t>
            </w:r>
          </w:p>
        </w:tc>
        <w:tc>
          <w:tcPr>
            <w:tcW w:w="19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284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40" w:type="dxa"/>
            <w:vAlign w:val="bottom"/>
            <w:vMerge w:val="continue"/>
          </w:tcPr>
          <w:p>
            <w:pPr>
              <w:spacing w:after="0"/>
              <w:rPr>
                <w:sz w:val="11"/>
                <w:szCs w:val="11"/>
                <w:color w:val="auto"/>
              </w:rPr>
            </w:pPr>
          </w:p>
        </w:tc>
        <w:tc>
          <w:tcPr>
            <w:tcW w:w="1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24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440" w:type="dxa"/>
            <w:vAlign w:val="bottom"/>
            <w:shd w:val="clear" w:color="auto" w:fill="DAE9F8"/>
          </w:tcPr>
          <w:p>
            <w:pPr>
              <w:ind w:left="100"/>
              <w:spacing w:after="0"/>
              <w:rPr>
                <w:sz w:val="20"/>
                <w:szCs w:val="20"/>
                <w:color w:val="auto"/>
              </w:rPr>
            </w:pPr>
            <w:r>
              <w:rPr>
                <w:rFonts w:ascii="Arial" w:cs="Arial" w:eastAsia="Arial" w:hAnsi="Arial"/>
                <w:sz w:val="18"/>
                <w:szCs w:val="18"/>
                <w:b w:val="1"/>
                <w:bCs w:val="1"/>
                <w:color w:val="auto"/>
              </w:rPr>
              <w:t>As at December 31,</w:t>
            </w:r>
          </w:p>
        </w:tc>
        <w:tc>
          <w:tcPr>
            <w:tcW w:w="1960" w:type="dxa"/>
            <w:vAlign w:val="bottom"/>
            <w:vMerge w:val="restart"/>
            <w:shd w:val="clear" w:color="auto" w:fill="DAE9F8"/>
          </w:tcPr>
          <w:p>
            <w:pPr>
              <w:jc w:val="right"/>
              <w:ind w:right="50"/>
              <w:spacing w:after="0"/>
              <w:rPr>
                <w:sz w:val="20"/>
                <w:szCs w:val="20"/>
                <w:color w:val="auto"/>
              </w:rPr>
            </w:pPr>
            <w:r>
              <w:rPr>
                <w:rFonts w:ascii="Arial" w:cs="Arial" w:eastAsia="Arial" w:hAnsi="Arial"/>
                <w:sz w:val="18"/>
                <w:szCs w:val="18"/>
                <w:b w:val="1"/>
                <w:bCs w:val="1"/>
                <w:color w:val="auto"/>
              </w:rPr>
              <w:t>19,908</w:t>
            </w:r>
          </w:p>
        </w:tc>
        <w:tc>
          <w:tcPr>
            <w:tcW w:w="360" w:type="dxa"/>
            <w:vAlign w:val="bottom"/>
            <w:shd w:val="clear" w:color="auto" w:fill="DAE9F8"/>
          </w:tcPr>
          <w:p>
            <w:pPr>
              <w:spacing w:after="0"/>
              <w:rPr>
                <w:sz w:val="20"/>
                <w:szCs w:val="20"/>
                <w:color w:val="auto"/>
              </w:rPr>
            </w:pPr>
          </w:p>
        </w:tc>
        <w:tc>
          <w:tcPr>
            <w:tcW w:w="2840" w:type="dxa"/>
            <w:vAlign w:val="bottom"/>
            <w:vMerge w:val="restart"/>
            <w:shd w:val="clear" w:color="auto" w:fill="DAE9F8"/>
          </w:tcPr>
          <w:p>
            <w:pPr>
              <w:jc w:val="right"/>
              <w:ind w:right="1350"/>
              <w:spacing w:after="0"/>
              <w:rPr>
                <w:sz w:val="20"/>
                <w:szCs w:val="20"/>
                <w:color w:val="auto"/>
              </w:rPr>
            </w:pPr>
            <w:r>
              <w:rPr>
                <w:rFonts w:ascii="Arial" w:cs="Arial" w:eastAsia="Arial" w:hAnsi="Arial"/>
                <w:sz w:val="18"/>
                <w:szCs w:val="18"/>
                <w:b w:val="1"/>
                <w:bCs w:val="1"/>
                <w:color w:val="auto"/>
              </w:rPr>
              <w:t>182,466</w:t>
            </w:r>
          </w:p>
        </w:tc>
        <w:tc>
          <w:tcPr>
            <w:tcW w:w="1380" w:type="dxa"/>
            <w:vAlign w:val="bottom"/>
            <w:vMerge w:val="restart"/>
            <w:shd w:val="clear" w:color="auto" w:fill="DAE9F8"/>
          </w:tcPr>
          <w:p>
            <w:pPr>
              <w:jc w:val="right"/>
              <w:ind w:right="30"/>
              <w:spacing w:after="0"/>
              <w:rPr>
                <w:sz w:val="20"/>
                <w:szCs w:val="20"/>
                <w:color w:val="auto"/>
              </w:rPr>
            </w:pPr>
            <w:r>
              <w:rPr>
                <w:rFonts w:ascii="Arial" w:cs="Arial" w:eastAsia="Arial" w:hAnsi="Arial"/>
                <w:sz w:val="18"/>
                <w:szCs w:val="18"/>
                <w:b w:val="1"/>
                <w:bCs w:val="1"/>
                <w:color w:val="auto"/>
              </w:rPr>
              <w:t>202,374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2440" w:type="dxa"/>
            <w:vAlign w:val="bottom"/>
            <w:vMerge w:val="restart"/>
            <w:shd w:val="clear" w:color="auto" w:fill="DAE9F8"/>
          </w:tcPr>
          <w:p>
            <w:pPr>
              <w:ind w:left="100"/>
              <w:spacing w:after="0"/>
              <w:rPr>
                <w:sz w:val="20"/>
                <w:szCs w:val="20"/>
                <w:color w:val="auto"/>
              </w:rPr>
            </w:pPr>
            <w:r>
              <w:rPr>
                <w:rFonts w:ascii="Arial" w:cs="Arial" w:eastAsia="Arial" w:hAnsi="Arial"/>
                <w:sz w:val="18"/>
                <w:szCs w:val="18"/>
                <w:b w:val="1"/>
                <w:bCs w:val="1"/>
                <w:color w:val="auto"/>
              </w:rPr>
              <w:t>2025</w:t>
            </w:r>
          </w:p>
        </w:tc>
        <w:tc>
          <w:tcPr>
            <w:tcW w:w="1960" w:type="dxa"/>
            <w:vAlign w:val="bottom"/>
            <w:vMerge w:val="continue"/>
            <w:shd w:val="clear" w:color="auto" w:fill="DAE9F8"/>
          </w:tcPr>
          <w:p>
            <w:pPr>
              <w:spacing w:after="0"/>
              <w:rPr>
                <w:sz w:val="11"/>
                <w:szCs w:val="11"/>
                <w:color w:val="auto"/>
              </w:rPr>
            </w:pPr>
          </w:p>
        </w:tc>
        <w:tc>
          <w:tcPr>
            <w:tcW w:w="360" w:type="dxa"/>
            <w:vAlign w:val="bottom"/>
            <w:shd w:val="clear" w:color="auto" w:fill="DAE9F8"/>
          </w:tcPr>
          <w:p>
            <w:pPr>
              <w:spacing w:after="0"/>
              <w:rPr>
                <w:sz w:val="11"/>
                <w:szCs w:val="11"/>
                <w:color w:val="auto"/>
              </w:rPr>
            </w:pPr>
          </w:p>
        </w:tc>
        <w:tc>
          <w:tcPr>
            <w:tcW w:w="2840" w:type="dxa"/>
            <w:vAlign w:val="bottom"/>
            <w:vMerge w:val="continue"/>
            <w:shd w:val="clear" w:color="auto" w:fill="DAE9F8"/>
          </w:tcPr>
          <w:p>
            <w:pPr>
              <w:spacing w:after="0"/>
              <w:rPr>
                <w:sz w:val="11"/>
                <w:szCs w:val="11"/>
                <w:color w:val="auto"/>
              </w:rPr>
            </w:pPr>
          </w:p>
        </w:tc>
        <w:tc>
          <w:tcPr>
            <w:tcW w:w="1380" w:type="dxa"/>
            <w:vAlign w:val="bottom"/>
            <w:vMerge w:val="continue"/>
            <w:shd w:val="clear" w:color="auto" w:fill="DAE9F8"/>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40" w:type="dxa"/>
            <w:vAlign w:val="bottom"/>
            <w:vMerge w:val="continue"/>
            <w:shd w:val="clear" w:color="auto" w:fill="DAE9F8"/>
          </w:tcPr>
          <w:p>
            <w:pPr>
              <w:spacing w:after="0"/>
              <w:rPr>
                <w:sz w:val="11"/>
                <w:szCs w:val="11"/>
                <w:color w:val="auto"/>
              </w:rPr>
            </w:pPr>
          </w:p>
        </w:tc>
        <w:tc>
          <w:tcPr>
            <w:tcW w:w="1960" w:type="dxa"/>
            <w:vAlign w:val="bottom"/>
            <w:shd w:val="clear" w:color="auto" w:fill="DAE9F8"/>
          </w:tcPr>
          <w:p>
            <w:pPr>
              <w:spacing w:after="0"/>
              <w:rPr>
                <w:sz w:val="11"/>
                <w:szCs w:val="11"/>
                <w:color w:val="auto"/>
              </w:rPr>
            </w:pPr>
          </w:p>
        </w:tc>
        <w:tc>
          <w:tcPr>
            <w:tcW w:w="360" w:type="dxa"/>
            <w:vAlign w:val="bottom"/>
            <w:shd w:val="clear" w:color="auto" w:fill="DAE9F8"/>
          </w:tcPr>
          <w:p>
            <w:pPr>
              <w:spacing w:after="0"/>
              <w:rPr>
                <w:sz w:val="11"/>
                <w:szCs w:val="11"/>
                <w:color w:val="auto"/>
              </w:rPr>
            </w:pPr>
          </w:p>
        </w:tc>
        <w:tc>
          <w:tcPr>
            <w:tcW w:w="2840" w:type="dxa"/>
            <w:vAlign w:val="bottom"/>
            <w:shd w:val="clear" w:color="auto" w:fill="DAE9F8"/>
          </w:tcPr>
          <w:p>
            <w:pPr>
              <w:spacing w:after="0"/>
              <w:rPr>
                <w:sz w:val="11"/>
                <w:szCs w:val="11"/>
                <w:color w:val="auto"/>
              </w:rPr>
            </w:pPr>
          </w:p>
        </w:tc>
        <w:tc>
          <w:tcPr>
            <w:tcW w:w="1380" w:type="dxa"/>
            <w:vAlign w:val="bottom"/>
            <w:shd w:val="clear" w:color="auto" w:fill="DAE9F8"/>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440" w:type="dxa"/>
            <w:vAlign w:val="bottom"/>
            <w:shd w:val="clear" w:color="auto" w:fill="DAE9F8"/>
          </w:tcPr>
          <w:p>
            <w:pPr>
              <w:spacing w:after="0"/>
              <w:rPr>
                <w:sz w:val="3"/>
                <w:szCs w:val="3"/>
                <w:color w:val="auto"/>
              </w:rPr>
            </w:pPr>
          </w:p>
        </w:tc>
        <w:tc>
          <w:tcPr>
            <w:tcW w:w="1960" w:type="dxa"/>
            <w:vAlign w:val="bottom"/>
            <w:shd w:val="clear" w:color="auto" w:fill="DAE9F8"/>
          </w:tcPr>
          <w:p>
            <w:pPr>
              <w:spacing w:after="0"/>
              <w:rPr>
                <w:sz w:val="3"/>
                <w:szCs w:val="3"/>
                <w:color w:val="auto"/>
              </w:rPr>
            </w:pPr>
          </w:p>
        </w:tc>
        <w:tc>
          <w:tcPr>
            <w:tcW w:w="360" w:type="dxa"/>
            <w:vAlign w:val="bottom"/>
            <w:shd w:val="clear" w:color="auto" w:fill="DAE9F8"/>
          </w:tcPr>
          <w:p>
            <w:pPr>
              <w:spacing w:after="0"/>
              <w:rPr>
                <w:sz w:val="3"/>
                <w:szCs w:val="3"/>
                <w:color w:val="auto"/>
              </w:rPr>
            </w:pPr>
          </w:p>
        </w:tc>
        <w:tc>
          <w:tcPr>
            <w:tcW w:w="2840" w:type="dxa"/>
            <w:vAlign w:val="bottom"/>
            <w:shd w:val="clear" w:color="auto" w:fill="DAE9F8"/>
          </w:tcPr>
          <w:p>
            <w:pPr>
              <w:spacing w:after="0"/>
              <w:rPr>
                <w:sz w:val="3"/>
                <w:szCs w:val="3"/>
                <w:color w:val="auto"/>
              </w:rPr>
            </w:pPr>
          </w:p>
        </w:tc>
        <w:tc>
          <w:tcPr>
            <w:tcW w:w="1380" w:type="dxa"/>
            <w:vAlign w:val="bottom"/>
            <w:shd w:val="clear" w:color="auto" w:fill="DAE9F8"/>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-5269865</wp:posOffset>
            </wp:positionV>
            <wp:extent cx="5765165" cy="1270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24">
                      <a:extLst>
                        <a:ext uri="{28A0092B-C50C-407E-A947-70E740481C1C}"/>
                      </a:extLst>
                    </a:blip>
                    <a:srcRect/>
                    <a:stretch>
                      <a:fillRect/>
                    </a:stretch>
                  </pic:blipFill>
                  <pic:spPr bwMode="auto">
                    <a:xfrm>
                      <a:off x="0" y="0"/>
                      <a:ext cx="5765165"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-5085080</wp:posOffset>
            </wp:positionV>
            <wp:extent cx="5765165" cy="635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25">
                      <a:extLst>
                        <a:ext uri="{28A0092B-C50C-407E-A947-70E740481C1C}"/>
                      </a:extLst>
                    </a:blip>
                    <a:srcRect/>
                    <a:stretch>
                      <a:fillRect/>
                    </a:stretch>
                  </pic:blipFill>
                  <pic:spPr bwMode="auto">
                    <a:xfrm>
                      <a:off x="0" y="0"/>
                      <a:ext cx="5765165"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-4906010</wp:posOffset>
            </wp:positionV>
            <wp:extent cx="5765165" cy="635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26">
                      <a:extLst>
                        <a:ext uri="{28A0092B-C50C-407E-A947-70E740481C1C}"/>
                      </a:extLst>
                    </a:blip>
                    <a:srcRect/>
                    <a:stretch>
                      <a:fillRect/>
                    </a:stretch>
                  </pic:blipFill>
                  <pic:spPr bwMode="auto">
                    <a:xfrm>
                      <a:off x="0" y="0"/>
                      <a:ext cx="5765165"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-4554855</wp:posOffset>
            </wp:positionV>
            <wp:extent cx="5765165" cy="635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7">
                      <a:extLst>
                        <a:ext uri="{28A0092B-C50C-407E-A947-70E740481C1C}"/>
                      </a:extLst>
                    </a:blip>
                    <a:srcRect/>
                    <a:stretch>
                      <a:fillRect/>
                    </a:stretch>
                  </pic:blipFill>
                  <pic:spPr bwMode="auto">
                    <a:xfrm>
                      <a:off x="0" y="0"/>
                      <a:ext cx="5765165"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-4203065</wp:posOffset>
            </wp:positionV>
            <wp:extent cx="5765165" cy="1270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8">
                      <a:extLst>
                        <a:ext uri="{28A0092B-C50C-407E-A947-70E740481C1C}"/>
                      </a:extLst>
                    </a:blip>
                    <a:srcRect/>
                    <a:stretch>
                      <a:fillRect/>
                    </a:stretch>
                  </pic:blipFill>
                  <pic:spPr bwMode="auto">
                    <a:xfrm>
                      <a:off x="0" y="0"/>
                      <a:ext cx="5765165"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-4018280</wp:posOffset>
            </wp:positionV>
            <wp:extent cx="5765165" cy="1270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9">
                      <a:extLst>
                        <a:ext uri="{28A0092B-C50C-407E-A947-70E740481C1C}"/>
                      </a:extLst>
                    </a:blip>
                    <a:srcRect/>
                    <a:stretch>
                      <a:fillRect/>
                    </a:stretch>
                  </pic:blipFill>
                  <pic:spPr bwMode="auto">
                    <a:xfrm>
                      <a:off x="0" y="0"/>
                      <a:ext cx="5765165"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-3412490</wp:posOffset>
            </wp:positionV>
            <wp:extent cx="5706110" cy="1270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30">
                      <a:extLst>
                        <a:ext uri="{28A0092B-C50C-407E-A947-70E740481C1C}"/>
                      </a:extLst>
                    </a:blip>
                    <a:srcRect/>
                    <a:stretch>
                      <a:fillRect/>
                    </a:stretch>
                  </pic:blipFill>
                  <pic:spPr bwMode="auto">
                    <a:xfrm>
                      <a:off x="0" y="0"/>
                      <a:ext cx="5706110"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-3054985</wp:posOffset>
            </wp:positionV>
            <wp:extent cx="5706110" cy="1270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31">
                      <a:extLst>
                        <a:ext uri="{28A0092B-C50C-407E-A947-70E740481C1C}"/>
                      </a:extLst>
                    </a:blip>
                    <a:srcRect/>
                    <a:stretch>
                      <a:fillRect/>
                    </a:stretch>
                  </pic:blipFill>
                  <pic:spPr bwMode="auto">
                    <a:xfrm>
                      <a:off x="0" y="0"/>
                      <a:ext cx="5706110"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-2697480</wp:posOffset>
            </wp:positionV>
            <wp:extent cx="5706110" cy="635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32">
                      <a:extLst>
                        <a:ext uri="{28A0092B-C50C-407E-A947-70E740481C1C}"/>
                      </a:extLst>
                    </a:blip>
                    <a:srcRect/>
                    <a:stretch>
                      <a:fillRect/>
                    </a:stretch>
                  </pic:blipFill>
                  <pic:spPr bwMode="auto">
                    <a:xfrm>
                      <a:off x="0" y="0"/>
                      <a:ext cx="5706110"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-2518410</wp:posOffset>
            </wp:positionV>
            <wp:extent cx="5706110" cy="635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33">
                      <a:extLst>
                        <a:ext uri="{28A0092B-C50C-407E-A947-70E740481C1C}"/>
                      </a:extLst>
                    </a:blip>
                    <a:srcRect/>
                    <a:stretch>
                      <a:fillRect/>
                    </a:stretch>
                  </pic:blipFill>
                  <pic:spPr bwMode="auto">
                    <a:xfrm>
                      <a:off x="0" y="0"/>
                      <a:ext cx="5706110"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-2167255</wp:posOffset>
            </wp:positionV>
            <wp:extent cx="5706110" cy="635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34">
                      <a:extLst>
                        <a:ext uri="{28A0092B-C50C-407E-A947-70E740481C1C}"/>
                      </a:extLst>
                    </a:blip>
                    <a:srcRect/>
                    <a:stretch>
                      <a:fillRect/>
                    </a:stretch>
                  </pic:blipFill>
                  <pic:spPr bwMode="auto">
                    <a:xfrm>
                      <a:off x="0" y="0"/>
                      <a:ext cx="5706110"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-1988185</wp:posOffset>
            </wp:positionV>
            <wp:extent cx="5706110" cy="3638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35">
                      <a:extLst>
                        <a:ext uri="{28A0092B-C50C-407E-A947-70E740481C1C}"/>
                      </a:extLst>
                    </a:blip>
                    <a:srcRect/>
                    <a:stretch>
                      <a:fillRect/>
                    </a:stretch>
                  </pic:blipFill>
                  <pic:spPr bwMode="auto">
                    <a:xfrm>
                      <a:off x="0" y="0"/>
                      <a:ext cx="5706110" cy="3638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-905510</wp:posOffset>
            </wp:positionV>
            <wp:extent cx="5706110" cy="635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36">
                      <a:extLst>
                        <a:ext uri="{28A0092B-C50C-407E-A947-70E740481C1C}"/>
                      </a:extLst>
                    </a:blip>
                    <a:srcRect/>
                    <a:stretch>
                      <a:fillRect/>
                    </a:stretch>
                  </pic:blipFill>
                  <pic:spPr bwMode="auto">
                    <a:xfrm>
                      <a:off x="0" y="0"/>
                      <a:ext cx="5706110"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-708660</wp:posOffset>
            </wp:positionV>
            <wp:extent cx="5706110" cy="3638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7">
                      <a:extLst>
                        <a:ext uri="{28A0092B-C50C-407E-A947-70E740481C1C}"/>
                      </a:extLst>
                    </a:blip>
                    <a:srcRect/>
                    <a:stretch>
                      <a:fillRect/>
                    </a:stretch>
                  </pic:blipFill>
                  <pic:spPr bwMode="auto">
                    <a:xfrm>
                      <a:off x="0" y="0"/>
                      <a:ext cx="5706110" cy="363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11. PROPERTY, PLANT AND EQUIPMENT</w:t>
      </w:r>
    </w:p>
    <w:p>
      <w:pPr>
        <w:sectPr>
          <w:pgSz w:w="11900" w:h="16838" w:orient="portrait"/>
          <w:cols w:equalWidth="0" w:num="1">
            <w:col w:w="10340"/>
          </w:cols>
          <w:pgMar w:left="1440" w:top="1440" w:right="1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28 / 58</w:t>
      </w:r>
    </w:p>
    <w:p>
      <w:pPr>
        <w:sectPr>
          <w:pgSz w:w="11900" w:h="16838" w:orient="portrait"/>
          <w:cols w:equalWidth="0" w:num="1">
            <w:col w:w="10340"/>
          </w:cols>
          <w:pgMar w:left="1440" w:top="1440" w:right="126" w:bottom="0" w:gutter="0" w:footer="0" w:header="0"/>
          <w:type w:val="continuous"/>
        </w:sectPr>
      </w:pPr>
    </w:p>
    <w:bookmarkStart w:id="640" w:name="page641"/>
    <w:bookmarkEnd w:id="640"/>
    <w:tbl>
      <w:tblPr>
        <w:tblLayout w:type="fixed"/>
        <w:tblInd w:w="126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Equipment &amp;</w:t>
            </w:r>
          </w:p>
        </w:tc>
        <w:tc>
          <w:tcPr>
            <w:tcW w:w="14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Construction</w:t>
            </w:r>
          </w:p>
        </w:tc>
        <w:tc>
          <w:tcPr>
            <w:tcW w:w="15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9"/>
              </w:rPr>
              <w:t>Transport &amp;</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620" w:type="dxa"/>
            <w:vAlign w:val="bottom"/>
          </w:tcPr>
          <w:p>
            <w:pPr>
              <w:spacing w:after="0"/>
              <w:rPr>
                <w:sz w:val="11"/>
                <w:szCs w:val="11"/>
                <w:color w:val="auto"/>
              </w:rPr>
            </w:pPr>
          </w:p>
        </w:tc>
        <w:tc>
          <w:tcPr>
            <w:tcW w:w="12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Plant</w:t>
            </w:r>
          </w:p>
        </w:tc>
        <w:tc>
          <w:tcPr>
            <w:tcW w:w="14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960" w:type="dxa"/>
            <w:vAlign w:val="bottom"/>
            <w:vMerge w:val="restart"/>
          </w:tcPr>
          <w:p>
            <w:pPr>
              <w:jc w:val="center"/>
              <w:ind w:left="350"/>
              <w:spacing w:after="0"/>
              <w:rPr>
                <w:sz w:val="20"/>
                <w:szCs w:val="20"/>
                <w:color w:val="auto"/>
              </w:rPr>
            </w:pPr>
            <w:r>
              <w:rPr>
                <w:rFonts w:ascii="Arial" w:cs="Arial" w:eastAsia="Arial" w:hAnsi="Arial"/>
                <w:sz w:val="18"/>
                <w:szCs w:val="18"/>
                <w:b w:val="1"/>
                <w:bCs w:val="1"/>
                <w:color w:val="auto"/>
                <w:w w:val="99"/>
              </w:rPr>
              <w:t>office</w:t>
            </w:r>
          </w:p>
        </w:tc>
        <w:tc>
          <w:tcPr>
            <w:tcW w:w="620" w:type="dxa"/>
            <w:vAlign w:val="bottom"/>
          </w:tcPr>
          <w:p>
            <w:pPr>
              <w:spacing w:after="0"/>
              <w:rPr>
                <w:sz w:val="11"/>
                <w:szCs w:val="11"/>
                <w:color w:val="auto"/>
              </w:rPr>
            </w:pPr>
          </w:p>
        </w:tc>
        <w:tc>
          <w:tcPr>
            <w:tcW w:w="9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36"/>
        </w:trPr>
        <w:tc>
          <w:tcPr>
            <w:tcW w:w="26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4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machinery</w:t>
            </w:r>
          </w:p>
        </w:tc>
        <w:tc>
          <w:tcPr>
            <w:tcW w:w="14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in progress</w:t>
            </w:r>
          </w:p>
        </w:tc>
        <w:tc>
          <w:tcPr>
            <w:tcW w:w="96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580" w:type="dxa"/>
            <w:vAlign w:val="bottom"/>
            <w:gridSpan w:val="2"/>
            <w:vMerge w:val="restart"/>
          </w:tcPr>
          <w:p>
            <w:pPr>
              <w:jc w:val="center"/>
              <w:ind w:right="30"/>
              <w:spacing w:after="0"/>
              <w:rPr>
                <w:sz w:val="20"/>
                <w:szCs w:val="20"/>
                <w:color w:val="auto"/>
              </w:rPr>
            </w:pPr>
            <w:r>
              <w:rPr>
                <w:rFonts w:ascii="Arial" w:cs="Arial" w:eastAsia="Arial" w:hAnsi="Arial"/>
                <w:sz w:val="18"/>
                <w:szCs w:val="18"/>
                <w:b w:val="1"/>
                <w:bCs w:val="1"/>
                <w:color w:val="auto"/>
                <w:w w:val="98"/>
              </w:rPr>
              <w:t>equipment</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2620" w:type="dxa"/>
            <w:vAlign w:val="bottom"/>
          </w:tcPr>
          <w:p>
            <w:pPr>
              <w:ind w:left="100"/>
              <w:spacing w:after="0"/>
              <w:rPr>
                <w:sz w:val="20"/>
                <w:szCs w:val="20"/>
                <w:color w:val="auto"/>
              </w:rPr>
            </w:pPr>
            <w:r>
              <w:rPr>
                <w:rFonts w:ascii="Arial" w:cs="Arial" w:eastAsia="Arial" w:hAnsi="Arial"/>
                <w:sz w:val="18"/>
                <w:szCs w:val="18"/>
                <w:b w:val="1"/>
                <w:bCs w:val="1"/>
                <w:color w:val="auto"/>
              </w:rPr>
              <w:t>Cost</w:t>
            </w: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20" w:type="dxa"/>
            <w:vAlign w:val="bottom"/>
          </w:tcPr>
          <w:p>
            <w:pPr>
              <w:ind w:left="100"/>
              <w:spacing w:after="0"/>
              <w:rPr>
                <w:sz w:val="20"/>
                <w:szCs w:val="20"/>
                <w:color w:val="auto"/>
              </w:rPr>
            </w:pPr>
            <w:r>
              <w:rPr>
                <w:rFonts w:ascii="Arial" w:cs="Arial" w:eastAsia="Arial" w:hAnsi="Arial"/>
                <w:sz w:val="18"/>
                <w:szCs w:val="18"/>
                <w:b w:val="1"/>
                <w:bCs w:val="1"/>
                <w:color w:val="auto"/>
              </w:rPr>
              <w:t>As at December 31, 2023</w:t>
            </w: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875,710</w:t>
            </w: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45,763</w:t>
            </w: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rPr>
              <w:t>241,547</w:t>
            </w:r>
          </w:p>
        </w:tc>
        <w:tc>
          <w:tcPr>
            <w:tcW w:w="960" w:type="dxa"/>
            <w:vAlign w:val="bottom"/>
          </w:tcPr>
          <w:p>
            <w:pPr>
              <w:spacing w:after="0"/>
              <w:rPr>
                <w:sz w:val="24"/>
                <w:szCs w:val="24"/>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1,959</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1,164,979</w:t>
            </w:r>
          </w:p>
        </w:tc>
        <w:tc>
          <w:tcPr>
            <w:tcW w:w="0" w:type="dxa"/>
            <w:vAlign w:val="bottom"/>
          </w:tcPr>
          <w:p>
            <w:pPr>
              <w:spacing w:after="0"/>
              <w:rPr>
                <w:sz w:val="1"/>
                <w:szCs w:val="1"/>
                <w:color w:val="auto"/>
              </w:rPr>
            </w:pPr>
          </w:p>
        </w:tc>
      </w:tr>
      <w:tr>
        <w:trPr>
          <w:trHeight w:val="282"/>
        </w:trPr>
        <w:tc>
          <w:tcPr>
            <w:tcW w:w="2620" w:type="dxa"/>
            <w:vAlign w:val="bottom"/>
          </w:tcPr>
          <w:p>
            <w:pPr>
              <w:ind w:left="100"/>
              <w:spacing w:after="0"/>
              <w:rPr>
                <w:sz w:val="20"/>
                <w:szCs w:val="20"/>
                <w:color w:val="auto"/>
              </w:rPr>
            </w:pPr>
            <w:r>
              <w:rPr>
                <w:rFonts w:ascii="Arial" w:cs="Arial" w:eastAsia="Arial" w:hAnsi="Arial"/>
                <w:sz w:val="18"/>
                <w:szCs w:val="18"/>
                <w:color w:val="auto"/>
              </w:rPr>
              <w:t>Additions</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42,057</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4,664</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114,962</w:t>
            </w:r>
          </w:p>
        </w:tc>
        <w:tc>
          <w:tcPr>
            <w:tcW w:w="960" w:type="dxa"/>
            <w:vAlign w:val="bottom"/>
          </w:tcPr>
          <w:p>
            <w:pPr>
              <w:spacing w:after="0"/>
              <w:rPr>
                <w:sz w:val="24"/>
                <w:szCs w:val="24"/>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425</w:t>
            </w:r>
          </w:p>
        </w:tc>
        <w:tc>
          <w:tcPr>
            <w:tcW w:w="900" w:type="dxa"/>
            <w:vAlign w:val="bottom"/>
          </w:tcPr>
          <w:p>
            <w:pPr>
              <w:jc w:val="right"/>
              <w:spacing w:after="0"/>
              <w:rPr>
                <w:sz w:val="20"/>
                <w:szCs w:val="20"/>
                <w:color w:val="auto"/>
              </w:rPr>
            </w:pPr>
            <w:r>
              <w:rPr>
                <w:rFonts w:ascii="Arial" w:cs="Arial" w:eastAsia="Arial" w:hAnsi="Arial"/>
                <w:sz w:val="18"/>
                <w:szCs w:val="18"/>
                <w:color w:val="auto"/>
              </w:rPr>
              <w:t>162,108</w:t>
            </w:r>
          </w:p>
        </w:tc>
        <w:tc>
          <w:tcPr>
            <w:tcW w:w="0" w:type="dxa"/>
            <w:vAlign w:val="bottom"/>
          </w:tcPr>
          <w:p>
            <w:pPr>
              <w:spacing w:after="0"/>
              <w:rPr>
                <w:sz w:val="1"/>
                <w:szCs w:val="1"/>
                <w:color w:val="auto"/>
              </w:rPr>
            </w:pPr>
          </w:p>
        </w:tc>
      </w:tr>
      <w:tr>
        <w:trPr>
          <w:trHeight w:val="272"/>
        </w:trPr>
        <w:tc>
          <w:tcPr>
            <w:tcW w:w="2620" w:type="dxa"/>
            <w:vAlign w:val="bottom"/>
          </w:tcPr>
          <w:p>
            <w:pPr>
              <w:ind w:left="100"/>
              <w:spacing w:after="0"/>
              <w:rPr>
                <w:sz w:val="20"/>
                <w:szCs w:val="20"/>
                <w:color w:val="auto"/>
              </w:rPr>
            </w:pPr>
            <w:r>
              <w:rPr>
                <w:rFonts w:ascii="Arial" w:cs="Arial" w:eastAsia="Arial" w:hAnsi="Arial"/>
                <w:sz w:val="18"/>
                <w:szCs w:val="18"/>
                <w:color w:val="auto"/>
              </w:rPr>
              <w:t>Transfers to inventory</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(13,735)</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3"/>
                <w:szCs w:val="23"/>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(13,735</w:t>
            </w:r>
          </w:p>
        </w:tc>
        <w:tc>
          <w:tcPr>
            <w:tcW w:w="0" w:type="dxa"/>
            <w:vAlign w:val="bottom"/>
          </w:tcPr>
          <w:p>
            <w:pPr>
              <w:spacing w:after="0"/>
              <w:rPr>
                <w:sz w:val="1"/>
                <w:szCs w:val="1"/>
                <w:color w:val="auto"/>
              </w:rPr>
            </w:pPr>
          </w:p>
        </w:tc>
      </w:tr>
      <w:tr>
        <w:trPr>
          <w:trHeight w:val="272"/>
        </w:trPr>
        <w:tc>
          <w:tcPr>
            <w:tcW w:w="2620" w:type="dxa"/>
            <w:vAlign w:val="bottom"/>
          </w:tcPr>
          <w:p>
            <w:pPr>
              <w:ind w:left="100"/>
              <w:spacing w:after="0"/>
              <w:rPr>
                <w:sz w:val="20"/>
                <w:szCs w:val="20"/>
                <w:color w:val="auto"/>
              </w:rPr>
            </w:pPr>
            <w:r>
              <w:rPr>
                <w:rFonts w:ascii="Arial" w:cs="Arial" w:eastAsia="Arial" w:hAnsi="Arial"/>
                <w:sz w:val="18"/>
                <w:szCs w:val="18"/>
                <w:color w:val="auto"/>
              </w:rPr>
              <w:t>Disposals</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3"/>
                <w:szCs w:val="23"/>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2"/>
        </w:trPr>
        <w:tc>
          <w:tcPr>
            <w:tcW w:w="2620" w:type="dxa"/>
            <w:vAlign w:val="bottom"/>
          </w:tcPr>
          <w:p>
            <w:pPr>
              <w:ind w:left="100"/>
              <w:spacing w:after="0"/>
              <w:rPr>
                <w:sz w:val="20"/>
                <w:szCs w:val="20"/>
                <w:color w:val="auto"/>
              </w:rPr>
            </w:pPr>
            <w:r>
              <w:rPr>
                <w:rFonts w:ascii="Arial" w:cs="Arial" w:eastAsia="Arial" w:hAnsi="Arial"/>
                <w:sz w:val="18"/>
                <w:szCs w:val="18"/>
                <w:color w:val="auto"/>
              </w:rPr>
              <w:t>Transfers</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313,851</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(14,173)</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(299,678)</w:t>
            </w:r>
          </w:p>
        </w:tc>
        <w:tc>
          <w:tcPr>
            <w:tcW w:w="960" w:type="dxa"/>
            <w:vAlign w:val="bottom"/>
          </w:tcPr>
          <w:p>
            <w:pPr>
              <w:spacing w:after="0"/>
              <w:rPr>
                <w:sz w:val="23"/>
                <w:szCs w:val="23"/>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620" w:type="dxa"/>
            <w:vAlign w:val="bottom"/>
          </w:tcPr>
          <w:p>
            <w:pPr>
              <w:ind w:left="100"/>
              <w:spacing w:after="0"/>
              <w:rPr>
                <w:sz w:val="20"/>
                <w:szCs w:val="20"/>
                <w:color w:val="auto"/>
              </w:rPr>
            </w:pPr>
            <w:r>
              <w:rPr>
                <w:rFonts w:ascii="Arial" w:cs="Arial" w:eastAsia="Arial" w:hAnsi="Arial"/>
                <w:sz w:val="18"/>
                <w:szCs w:val="18"/>
                <w:b w:val="1"/>
                <w:bCs w:val="1"/>
                <w:color w:val="auto"/>
              </w:rPr>
              <w:t>As at December 31, 2024</w:t>
            </w: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1,231,618</w:t>
            </w: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22,519</w:t>
            </w: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rPr>
              <w:t>56,831</w:t>
            </w:r>
          </w:p>
        </w:tc>
        <w:tc>
          <w:tcPr>
            <w:tcW w:w="960" w:type="dxa"/>
            <w:vAlign w:val="bottom"/>
          </w:tcPr>
          <w:p>
            <w:pPr>
              <w:spacing w:after="0"/>
              <w:rPr>
                <w:sz w:val="24"/>
                <w:szCs w:val="24"/>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2,347</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1,313,315</w:t>
            </w:r>
          </w:p>
        </w:tc>
        <w:tc>
          <w:tcPr>
            <w:tcW w:w="0" w:type="dxa"/>
            <w:vAlign w:val="bottom"/>
          </w:tcPr>
          <w:p>
            <w:pPr>
              <w:spacing w:after="0"/>
              <w:rPr>
                <w:sz w:val="1"/>
                <w:szCs w:val="1"/>
                <w:color w:val="auto"/>
              </w:rPr>
            </w:pPr>
          </w:p>
        </w:tc>
      </w:tr>
      <w:tr>
        <w:trPr>
          <w:trHeight w:val="46"/>
        </w:trPr>
        <w:tc>
          <w:tcPr>
            <w:tcW w:w="2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620" w:type="dxa"/>
            <w:vAlign w:val="bottom"/>
            <w:shd w:val="clear" w:color="auto" w:fill="DAE9F8"/>
          </w:tcPr>
          <w:p>
            <w:pPr>
              <w:ind w:left="100"/>
              <w:spacing w:after="0"/>
              <w:rPr>
                <w:sz w:val="20"/>
                <w:szCs w:val="20"/>
                <w:color w:val="auto"/>
              </w:rPr>
            </w:pPr>
            <w:r>
              <w:rPr>
                <w:rFonts w:ascii="Arial" w:cs="Arial" w:eastAsia="Arial" w:hAnsi="Arial"/>
                <w:sz w:val="18"/>
                <w:szCs w:val="18"/>
                <w:color w:val="auto"/>
              </w:rPr>
              <w:t>Additions</w:t>
            </w:r>
          </w:p>
        </w:tc>
        <w:tc>
          <w:tcPr>
            <w:tcW w:w="1200" w:type="dxa"/>
            <w:vAlign w:val="bottom"/>
            <w:shd w:val="clear" w:color="auto" w:fill="DAE9F8"/>
          </w:tcPr>
          <w:p>
            <w:pPr>
              <w:jc w:val="right"/>
              <w:ind w:right="50"/>
              <w:spacing w:after="0"/>
              <w:rPr>
                <w:sz w:val="20"/>
                <w:szCs w:val="20"/>
                <w:color w:val="auto"/>
              </w:rPr>
            </w:pPr>
            <w:r>
              <w:rPr>
                <w:rFonts w:ascii="Arial" w:cs="Arial" w:eastAsia="Arial" w:hAnsi="Arial"/>
                <w:sz w:val="18"/>
                <w:szCs w:val="18"/>
                <w:color w:val="auto"/>
              </w:rPr>
              <w:t>455</w:t>
            </w:r>
          </w:p>
        </w:tc>
        <w:tc>
          <w:tcPr>
            <w:tcW w:w="142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1,780</w:t>
            </w:r>
          </w:p>
        </w:tc>
        <w:tc>
          <w:tcPr>
            <w:tcW w:w="1480" w:type="dxa"/>
            <w:vAlign w:val="bottom"/>
            <w:shd w:val="clear" w:color="auto" w:fill="DAE9F8"/>
          </w:tcPr>
          <w:p>
            <w:pPr>
              <w:jc w:val="right"/>
              <w:ind w:right="110"/>
              <w:spacing w:after="0"/>
              <w:rPr>
                <w:sz w:val="20"/>
                <w:szCs w:val="20"/>
                <w:color w:val="auto"/>
              </w:rPr>
            </w:pPr>
            <w:r>
              <w:rPr>
                <w:rFonts w:ascii="Arial" w:cs="Arial" w:eastAsia="Arial" w:hAnsi="Arial"/>
                <w:sz w:val="18"/>
                <w:szCs w:val="18"/>
                <w:color w:val="auto"/>
              </w:rPr>
              <w:t>10,456</w:t>
            </w:r>
          </w:p>
        </w:tc>
        <w:tc>
          <w:tcPr>
            <w:tcW w:w="960" w:type="dxa"/>
            <w:vAlign w:val="bottom"/>
            <w:shd w:val="clear" w:color="auto" w:fill="DAE9F8"/>
          </w:tcPr>
          <w:p>
            <w:pPr>
              <w:spacing w:after="0"/>
              <w:rPr>
                <w:sz w:val="20"/>
                <w:szCs w:val="20"/>
                <w:color w:val="auto"/>
              </w:rPr>
            </w:pPr>
          </w:p>
        </w:tc>
        <w:tc>
          <w:tcPr>
            <w:tcW w:w="620" w:type="dxa"/>
            <w:vAlign w:val="bottom"/>
            <w:shd w:val="clear" w:color="auto" w:fill="DAE9F8"/>
          </w:tcPr>
          <w:p>
            <w:pPr>
              <w:jc w:val="right"/>
              <w:ind w:right="50"/>
              <w:spacing w:after="0"/>
              <w:rPr>
                <w:sz w:val="20"/>
                <w:szCs w:val="20"/>
                <w:color w:val="auto"/>
              </w:rPr>
            </w:pPr>
            <w:r>
              <w:rPr>
                <w:rFonts w:ascii="Arial" w:cs="Arial" w:eastAsia="Arial" w:hAnsi="Arial"/>
                <w:sz w:val="18"/>
                <w:szCs w:val="18"/>
                <w:color w:val="auto"/>
              </w:rPr>
              <w:t>102</w:t>
            </w:r>
          </w:p>
        </w:tc>
        <w:tc>
          <w:tcPr>
            <w:tcW w:w="900" w:type="dxa"/>
            <w:vAlign w:val="bottom"/>
            <w:shd w:val="clear" w:color="auto" w:fill="DAE9F8"/>
          </w:tcPr>
          <w:p>
            <w:pPr>
              <w:jc w:val="right"/>
              <w:spacing w:after="0"/>
              <w:rPr>
                <w:sz w:val="20"/>
                <w:szCs w:val="20"/>
                <w:color w:val="auto"/>
              </w:rPr>
            </w:pPr>
            <w:r>
              <w:rPr>
                <w:rFonts w:ascii="Arial" w:cs="Arial" w:eastAsia="Arial" w:hAnsi="Arial"/>
                <w:sz w:val="18"/>
                <w:szCs w:val="18"/>
                <w:color w:val="auto"/>
              </w:rPr>
              <w:t>12,793</w:t>
            </w:r>
          </w:p>
        </w:tc>
        <w:tc>
          <w:tcPr>
            <w:tcW w:w="0" w:type="dxa"/>
            <w:vAlign w:val="bottom"/>
          </w:tcPr>
          <w:p>
            <w:pPr>
              <w:spacing w:after="0"/>
              <w:rPr>
                <w:sz w:val="1"/>
                <w:szCs w:val="1"/>
                <w:color w:val="auto"/>
              </w:rPr>
            </w:pPr>
          </w:p>
        </w:tc>
      </w:tr>
      <w:tr>
        <w:trPr>
          <w:trHeight w:val="272"/>
        </w:trPr>
        <w:tc>
          <w:tcPr>
            <w:tcW w:w="2620" w:type="dxa"/>
            <w:vAlign w:val="bottom"/>
            <w:shd w:val="clear" w:color="auto" w:fill="DAE9F8"/>
          </w:tcPr>
          <w:p>
            <w:pPr>
              <w:ind w:left="100"/>
              <w:spacing w:after="0"/>
              <w:rPr>
                <w:sz w:val="20"/>
                <w:szCs w:val="20"/>
                <w:color w:val="auto"/>
              </w:rPr>
            </w:pPr>
            <w:r>
              <w:rPr>
                <w:rFonts w:ascii="Arial" w:cs="Arial" w:eastAsia="Arial" w:hAnsi="Arial"/>
                <w:sz w:val="18"/>
                <w:szCs w:val="18"/>
                <w:color w:val="auto"/>
              </w:rPr>
              <w:t>Recovery of capitalized VAT</w:t>
            </w:r>
          </w:p>
        </w:tc>
        <w:tc>
          <w:tcPr>
            <w:tcW w:w="1200" w:type="dxa"/>
            <w:vAlign w:val="bottom"/>
            <w:shd w:val="clear" w:color="auto" w:fill="DAE9F8"/>
          </w:tcPr>
          <w:p>
            <w:pPr>
              <w:jc w:val="right"/>
              <w:ind w:right="50"/>
              <w:spacing w:after="0"/>
              <w:rPr>
                <w:sz w:val="20"/>
                <w:szCs w:val="20"/>
                <w:color w:val="auto"/>
              </w:rPr>
            </w:pPr>
            <w:r>
              <w:rPr>
                <w:rFonts w:ascii="Arial" w:cs="Arial" w:eastAsia="Arial" w:hAnsi="Arial"/>
                <w:sz w:val="18"/>
                <w:szCs w:val="18"/>
                <w:color w:val="auto"/>
              </w:rPr>
              <w:t>(30,859)</w:t>
            </w:r>
          </w:p>
        </w:tc>
        <w:tc>
          <w:tcPr>
            <w:tcW w:w="142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DAE9F8"/>
          </w:tcPr>
          <w:p>
            <w:pPr>
              <w:jc w:val="right"/>
              <w:ind w:right="110"/>
              <w:spacing w:after="0"/>
              <w:rPr>
                <w:sz w:val="20"/>
                <w:szCs w:val="20"/>
                <w:color w:val="auto"/>
              </w:rPr>
            </w:pPr>
            <w:r>
              <w:rPr>
                <w:rFonts w:ascii="Arial" w:cs="Arial" w:eastAsia="Arial" w:hAnsi="Arial"/>
                <w:sz w:val="18"/>
                <w:szCs w:val="18"/>
                <w:color w:val="auto"/>
              </w:rPr>
              <w:t>(654)</w:t>
            </w:r>
          </w:p>
        </w:tc>
        <w:tc>
          <w:tcPr>
            <w:tcW w:w="960" w:type="dxa"/>
            <w:vAlign w:val="bottom"/>
            <w:shd w:val="clear" w:color="auto" w:fill="DAE9F8"/>
          </w:tcPr>
          <w:p>
            <w:pPr>
              <w:spacing w:after="0"/>
              <w:rPr>
                <w:sz w:val="23"/>
                <w:szCs w:val="23"/>
                <w:color w:val="auto"/>
              </w:rPr>
            </w:pPr>
          </w:p>
        </w:tc>
        <w:tc>
          <w:tcPr>
            <w:tcW w:w="620" w:type="dxa"/>
            <w:vAlign w:val="bottom"/>
            <w:shd w:val="clear" w:color="auto" w:fill="DAE9F8"/>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DAE9F8"/>
          </w:tcPr>
          <w:p>
            <w:pPr>
              <w:jc w:val="right"/>
              <w:spacing w:after="0"/>
              <w:rPr>
                <w:sz w:val="20"/>
                <w:szCs w:val="20"/>
                <w:color w:val="auto"/>
              </w:rPr>
            </w:pPr>
            <w:r>
              <w:rPr>
                <w:rFonts w:ascii="Arial" w:cs="Arial" w:eastAsia="Arial" w:hAnsi="Arial"/>
                <w:sz w:val="18"/>
                <w:szCs w:val="18"/>
                <w:color w:val="auto"/>
              </w:rPr>
              <w:t>(31,513</w:t>
            </w:r>
          </w:p>
        </w:tc>
        <w:tc>
          <w:tcPr>
            <w:tcW w:w="0" w:type="dxa"/>
            <w:vAlign w:val="bottom"/>
          </w:tcPr>
          <w:p>
            <w:pPr>
              <w:spacing w:after="0"/>
              <w:rPr>
                <w:sz w:val="1"/>
                <w:szCs w:val="1"/>
                <w:color w:val="auto"/>
              </w:rPr>
            </w:pPr>
          </w:p>
        </w:tc>
      </w:tr>
      <w:tr>
        <w:trPr>
          <w:trHeight w:val="272"/>
        </w:trPr>
        <w:tc>
          <w:tcPr>
            <w:tcW w:w="2620" w:type="dxa"/>
            <w:vAlign w:val="bottom"/>
            <w:shd w:val="clear" w:color="auto" w:fill="DAE9F8"/>
          </w:tcPr>
          <w:p>
            <w:pPr>
              <w:ind w:left="100"/>
              <w:spacing w:after="0"/>
              <w:rPr>
                <w:sz w:val="20"/>
                <w:szCs w:val="20"/>
                <w:color w:val="auto"/>
              </w:rPr>
            </w:pPr>
            <w:r>
              <w:rPr>
                <w:rFonts w:ascii="Arial" w:cs="Arial" w:eastAsia="Arial" w:hAnsi="Arial"/>
                <w:sz w:val="18"/>
                <w:szCs w:val="18"/>
                <w:color w:val="auto"/>
              </w:rPr>
              <w:t>Transfers</w:t>
            </w:r>
          </w:p>
        </w:tc>
        <w:tc>
          <w:tcPr>
            <w:tcW w:w="1200" w:type="dxa"/>
            <w:vAlign w:val="bottom"/>
            <w:shd w:val="clear" w:color="auto" w:fill="DAE9F8"/>
          </w:tcPr>
          <w:p>
            <w:pPr>
              <w:jc w:val="right"/>
              <w:ind w:right="50"/>
              <w:spacing w:after="0"/>
              <w:rPr>
                <w:sz w:val="20"/>
                <w:szCs w:val="20"/>
                <w:color w:val="auto"/>
              </w:rPr>
            </w:pPr>
            <w:r>
              <w:rPr>
                <w:rFonts w:ascii="Arial" w:cs="Arial" w:eastAsia="Arial" w:hAnsi="Arial"/>
                <w:sz w:val="18"/>
                <w:szCs w:val="18"/>
                <w:color w:val="auto"/>
              </w:rPr>
              <w:t>5,585</w:t>
            </w:r>
          </w:p>
        </w:tc>
        <w:tc>
          <w:tcPr>
            <w:tcW w:w="142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DAE9F8"/>
          </w:tcPr>
          <w:p>
            <w:pPr>
              <w:jc w:val="right"/>
              <w:ind w:right="110"/>
              <w:spacing w:after="0"/>
              <w:rPr>
                <w:sz w:val="20"/>
                <w:szCs w:val="20"/>
                <w:color w:val="auto"/>
              </w:rPr>
            </w:pPr>
            <w:r>
              <w:rPr>
                <w:rFonts w:ascii="Arial" w:cs="Arial" w:eastAsia="Arial" w:hAnsi="Arial"/>
                <w:sz w:val="18"/>
                <w:szCs w:val="18"/>
                <w:color w:val="auto"/>
              </w:rPr>
              <w:t>(5,585)</w:t>
            </w:r>
          </w:p>
        </w:tc>
        <w:tc>
          <w:tcPr>
            <w:tcW w:w="960" w:type="dxa"/>
            <w:vAlign w:val="bottom"/>
            <w:shd w:val="clear" w:color="auto" w:fill="DAE9F8"/>
          </w:tcPr>
          <w:p>
            <w:pPr>
              <w:spacing w:after="0"/>
              <w:rPr>
                <w:sz w:val="23"/>
                <w:szCs w:val="23"/>
                <w:color w:val="auto"/>
              </w:rPr>
            </w:pPr>
          </w:p>
        </w:tc>
        <w:tc>
          <w:tcPr>
            <w:tcW w:w="620" w:type="dxa"/>
            <w:vAlign w:val="bottom"/>
            <w:shd w:val="clear" w:color="auto" w:fill="DAE9F8"/>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DAE9F8"/>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620" w:type="dxa"/>
            <w:vAlign w:val="bottom"/>
            <w:shd w:val="clear" w:color="auto" w:fill="DAE9F8"/>
          </w:tcPr>
          <w:p>
            <w:pPr>
              <w:ind w:left="100"/>
              <w:spacing w:after="0"/>
              <w:rPr>
                <w:sz w:val="20"/>
                <w:szCs w:val="20"/>
                <w:color w:val="auto"/>
              </w:rPr>
            </w:pPr>
            <w:r>
              <w:rPr>
                <w:rFonts w:ascii="Arial" w:cs="Arial" w:eastAsia="Arial" w:hAnsi="Arial"/>
                <w:sz w:val="18"/>
                <w:szCs w:val="18"/>
                <w:b w:val="1"/>
                <w:bCs w:val="1"/>
                <w:color w:val="auto"/>
              </w:rPr>
              <w:t>As at December 31, 2025</w:t>
            </w:r>
          </w:p>
        </w:tc>
        <w:tc>
          <w:tcPr>
            <w:tcW w:w="1200" w:type="dxa"/>
            <w:vAlign w:val="bottom"/>
            <w:shd w:val="clear" w:color="auto" w:fill="DAE9F8"/>
          </w:tcPr>
          <w:p>
            <w:pPr>
              <w:jc w:val="right"/>
              <w:ind w:right="50"/>
              <w:spacing w:after="0"/>
              <w:rPr>
                <w:sz w:val="20"/>
                <w:szCs w:val="20"/>
                <w:color w:val="auto"/>
              </w:rPr>
            </w:pPr>
            <w:r>
              <w:rPr>
                <w:rFonts w:ascii="Arial" w:cs="Arial" w:eastAsia="Arial" w:hAnsi="Arial"/>
                <w:sz w:val="18"/>
                <w:szCs w:val="18"/>
                <w:b w:val="1"/>
                <w:bCs w:val="1"/>
                <w:color w:val="auto"/>
              </w:rPr>
              <w:t>1,206,799</w:t>
            </w:r>
          </w:p>
        </w:tc>
        <w:tc>
          <w:tcPr>
            <w:tcW w:w="1420" w:type="dxa"/>
            <w:vAlign w:val="bottom"/>
            <w:shd w:val="clear" w:color="auto" w:fill="DAE9F8"/>
          </w:tcPr>
          <w:p>
            <w:pPr>
              <w:jc w:val="right"/>
              <w:ind w:right="30"/>
              <w:spacing w:after="0"/>
              <w:rPr>
                <w:sz w:val="20"/>
                <w:szCs w:val="20"/>
                <w:color w:val="auto"/>
              </w:rPr>
            </w:pPr>
            <w:r>
              <w:rPr>
                <w:rFonts w:ascii="Arial" w:cs="Arial" w:eastAsia="Arial" w:hAnsi="Arial"/>
                <w:sz w:val="18"/>
                <w:szCs w:val="18"/>
                <w:b w:val="1"/>
                <w:bCs w:val="1"/>
                <w:color w:val="auto"/>
              </w:rPr>
              <w:t>24,299</w:t>
            </w:r>
          </w:p>
        </w:tc>
        <w:tc>
          <w:tcPr>
            <w:tcW w:w="1480" w:type="dxa"/>
            <w:vAlign w:val="bottom"/>
            <w:shd w:val="clear" w:color="auto" w:fill="DAE9F8"/>
          </w:tcPr>
          <w:p>
            <w:pPr>
              <w:jc w:val="right"/>
              <w:ind w:right="110"/>
              <w:spacing w:after="0"/>
              <w:rPr>
                <w:sz w:val="20"/>
                <w:szCs w:val="20"/>
                <w:color w:val="auto"/>
              </w:rPr>
            </w:pPr>
            <w:r>
              <w:rPr>
                <w:rFonts w:ascii="Arial" w:cs="Arial" w:eastAsia="Arial" w:hAnsi="Arial"/>
                <w:sz w:val="18"/>
                <w:szCs w:val="18"/>
                <w:b w:val="1"/>
                <w:bCs w:val="1"/>
                <w:color w:val="auto"/>
              </w:rPr>
              <w:t>61,048</w:t>
            </w:r>
          </w:p>
        </w:tc>
        <w:tc>
          <w:tcPr>
            <w:tcW w:w="960" w:type="dxa"/>
            <w:vAlign w:val="bottom"/>
            <w:shd w:val="clear" w:color="auto" w:fill="DAE9F8"/>
          </w:tcPr>
          <w:p>
            <w:pPr>
              <w:spacing w:after="0"/>
              <w:rPr>
                <w:sz w:val="24"/>
                <w:szCs w:val="24"/>
                <w:color w:val="auto"/>
              </w:rPr>
            </w:pPr>
          </w:p>
        </w:tc>
        <w:tc>
          <w:tcPr>
            <w:tcW w:w="620" w:type="dxa"/>
            <w:vAlign w:val="bottom"/>
            <w:shd w:val="clear" w:color="auto" w:fill="DAE9F8"/>
          </w:tcPr>
          <w:p>
            <w:pPr>
              <w:jc w:val="right"/>
              <w:ind w:right="50"/>
              <w:spacing w:after="0"/>
              <w:rPr>
                <w:sz w:val="20"/>
                <w:szCs w:val="20"/>
                <w:color w:val="auto"/>
              </w:rPr>
            </w:pPr>
            <w:r>
              <w:rPr>
                <w:rFonts w:ascii="Arial" w:cs="Arial" w:eastAsia="Arial" w:hAnsi="Arial"/>
                <w:sz w:val="18"/>
                <w:szCs w:val="18"/>
                <w:b w:val="1"/>
                <w:bCs w:val="1"/>
                <w:color w:val="auto"/>
              </w:rPr>
              <w:t>2,449</w:t>
            </w:r>
          </w:p>
        </w:tc>
        <w:tc>
          <w:tcPr>
            <w:tcW w:w="900" w:type="dxa"/>
            <w:vAlign w:val="bottom"/>
            <w:shd w:val="clear" w:color="auto" w:fill="DAE9F8"/>
          </w:tcPr>
          <w:p>
            <w:pPr>
              <w:jc w:val="right"/>
              <w:spacing w:after="0"/>
              <w:rPr>
                <w:sz w:val="20"/>
                <w:szCs w:val="20"/>
                <w:color w:val="auto"/>
              </w:rPr>
            </w:pPr>
            <w:r>
              <w:rPr>
                <w:rFonts w:ascii="Arial" w:cs="Arial" w:eastAsia="Arial" w:hAnsi="Arial"/>
                <w:sz w:val="18"/>
                <w:szCs w:val="18"/>
                <w:b w:val="1"/>
                <w:bCs w:val="1"/>
                <w:color w:val="auto"/>
              </w:rPr>
              <w:t>1,294,595</w:t>
            </w:r>
          </w:p>
        </w:tc>
        <w:tc>
          <w:tcPr>
            <w:tcW w:w="0" w:type="dxa"/>
            <w:vAlign w:val="bottom"/>
          </w:tcPr>
          <w:p>
            <w:pPr>
              <w:spacing w:after="0"/>
              <w:rPr>
                <w:sz w:val="1"/>
                <w:szCs w:val="1"/>
                <w:color w:val="auto"/>
              </w:rPr>
            </w:pPr>
          </w:p>
        </w:tc>
      </w:tr>
      <w:tr>
        <w:trPr>
          <w:trHeight w:val="56"/>
        </w:trPr>
        <w:tc>
          <w:tcPr>
            <w:tcW w:w="2620" w:type="dxa"/>
            <w:vAlign w:val="bottom"/>
            <w:shd w:val="clear" w:color="auto" w:fill="DAE9F8"/>
          </w:tcPr>
          <w:p>
            <w:pPr>
              <w:spacing w:after="0"/>
              <w:rPr>
                <w:sz w:val="4"/>
                <w:szCs w:val="4"/>
                <w:color w:val="auto"/>
              </w:rPr>
            </w:pPr>
          </w:p>
        </w:tc>
        <w:tc>
          <w:tcPr>
            <w:tcW w:w="1200" w:type="dxa"/>
            <w:vAlign w:val="bottom"/>
            <w:shd w:val="clear" w:color="auto" w:fill="DAE9F8"/>
          </w:tcPr>
          <w:p>
            <w:pPr>
              <w:spacing w:after="0"/>
              <w:rPr>
                <w:sz w:val="4"/>
                <w:szCs w:val="4"/>
                <w:color w:val="auto"/>
              </w:rPr>
            </w:pPr>
          </w:p>
        </w:tc>
        <w:tc>
          <w:tcPr>
            <w:tcW w:w="1420" w:type="dxa"/>
            <w:vAlign w:val="bottom"/>
            <w:shd w:val="clear" w:color="auto" w:fill="DAE9F8"/>
          </w:tcPr>
          <w:p>
            <w:pPr>
              <w:spacing w:after="0"/>
              <w:rPr>
                <w:sz w:val="4"/>
                <w:szCs w:val="4"/>
                <w:color w:val="auto"/>
              </w:rPr>
            </w:pPr>
          </w:p>
        </w:tc>
        <w:tc>
          <w:tcPr>
            <w:tcW w:w="1480" w:type="dxa"/>
            <w:vAlign w:val="bottom"/>
            <w:shd w:val="clear" w:color="auto" w:fill="DAE9F8"/>
          </w:tcPr>
          <w:p>
            <w:pPr>
              <w:spacing w:after="0"/>
              <w:rPr>
                <w:sz w:val="4"/>
                <w:szCs w:val="4"/>
                <w:color w:val="auto"/>
              </w:rPr>
            </w:pPr>
          </w:p>
        </w:tc>
        <w:tc>
          <w:tcPr>
            <w:tcW w:w="960" w:type="dxa"/>
            <w:vAlign w:val="bottom"/>
            <w:shd w:val="clear" w:color="auto" w:fill="DAE9F8"/>
          </w:tcPr>
          <w:p>
            <w:pPr>
              <w:spacing w:after="0"/>
              <w:rPr>
                <w:sz w:val="4"/>
                <w:szCs w:val="4"/>
                <w:color w:val="auto"/>
              </w:rPr>
            </w:pPr>
          </w:p>
        </w:tc>
        <w:tc>
          <w:tcPr>
            <w:tcW w:w="620" w:type="dxa"/>
            <w:vAlign w:val="bottom"/>
            <w:shd w:val="clear" w:color="auto" w:fill="DAE9F8"/>
          </w:tcPr>
          <w:p>
            <w:pPr>
              <w:spacing w:after="0"/>
              <w:rPr>
                <w:sz w:val="4"/>
                <w:szCs w:val="4"/>
                <w:color w:val="auto"/>
              </w:rPr>
            </w:pPr>
          </w:p>
        </w:tc>
        <w:tc>
          <w:tcPr>
            <w:tcW w:w="900" w:type="dxa"/>
            <w:vAlign w:val="bottom"/>
            <w:shd w:val="clear" w:color="auto" w:fill="DAE9F8"/>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-1973580</wp:posOffset>
            </wp:positionV>
            <wp:extent cx="5849620" cy="1270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8">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-1769110</wp:posOffset>
            </wp:positionV>
            <wp:extent cx="5849620" cy="635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9">
                      <a:extLst>
                        <a:ext uri="{28A0092B-C50C-407E-A947-70E740481C1C}"/>
                      </a:extLst>
                    </a:blip>
                    <a:srcRect/>
                    <a:stretch>
                      <a:fillRect/>
                    </a:stretch>
                  </pic:blipFill>
                  <pic:spPr bwMode="auto">
                    <a:xfrm>
                      <a:off x="0" y="0"/>
                      <a:ext cx="5849620"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-1590040</wp:posOffset>
            </wp:positionV>
            <wp:extent cx="5849620" cy="635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40">
                      <a:extLst>
                        <a:ext uri="{28A0092B-C50C-407E-A947-70E740481C1C}"/>
                      </a:extLst>
                    </a:blip>
                    <a:srcRect/>
                    <a:stretch>
                      <a:fillRect/>
                    </a:stretch>
                  </pic:blipFill>
                  <pic:spPr bwMode="auto">
                    <a:xfrm>
                      <a:off x="0" y="0"/>
                      <a:ext cx="5849620"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-893445</wp:posOffset>
            </wp:positionV>
            <wp:extent cx="5849620" cy="635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41">
                      <a:extLst>
                        <a:ext uri="{28A0092B-C50C-407E-A947-70E740481C1C}"/>
                      </a:extLst>
                    </a:blip>
                    <a:srcRect/>
                    <a:stretch>
                      <a:fillRect/>
                    </a:stretch>
                  </pic:blipFill>
                  <pic:spPr bwMode="auto">
                    <a:xfrm>
                      <a:off x="0" y="0"/>
                      <a:ext cx="5849620"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-715010</wp:posOffset>
            </wp:positionV>
            <wp:extent cx="5849620" cy="635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42">
                      <a:extLst>
                        <a:ext uri="{28A0092B-C50C-407E-A947-70E740481C1C}"/>
                      </a:extLst>
                    </a:blip>
                    <a:srcRect/>
                    <a:stretch>
                      <a:fillRect/>
                    </a:stretch>
                  </pic:blipFill>
                  <pic:spPr bwMode="auto">
                    <a:xfrm>
                      <a:off x="0" y="0"/>
                      <a:ext cx="5849620"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-191135</wp:posOffset>
            </wp:positionV>
            <wp:extent cx="5849620" cy="19177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43">
                      <a:extLst>
                        <a:ext uri="{28A0092B-C50C-407E-A947-70E740481C1C}"/>
                      </a:extLst>
                    </a:blip>
                    <a:srcRect/>
                    <a:stretch>
                      <a:fillRect/>
                    </a:stretch>
                  </pic:blipFill>
                  <pic:spPr bwMode="auto">
                    <a:xfrm>
                      <a:off x="0" y="0"/>
                      <a:ext cx="5849620" cy="19177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4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6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29 / 58</w:t>
      </w:r>
    </w:p>
    <w:p>
      <w:pPr>
        <w:sectPr>
          <w:pgSz w:w="11900" w:h="16838" w:orient="portrait"/>
          <w:cols w:equalWidth="0" w:num="1">
            <w:col w:w="10460"/>
          </w:cols>
          <w:pgMar w:left="1440" w:top="1162" w:right="6" w:bottom="0" w:gutter="0" w:footer="0" w:header="0"/>
          <w:type w:val="continuous"/>
        </w:sectPr>
      </w:pPr>
    </w:p>
    <w:bookmarkStart w:id="641" w:name="page642"/>
    <w:bookmarkEnd w:id="641"/>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11. PROPERTY, PLANT AND EQUIPMENT </w:t>
      </w:r>
      <w:r>
        <w:rPr>
          <w:rFonts w:ascii="Arial" w:cs="Arial" w:eastAsia="Arial" w:hAnsi="Arial"/>
          <w:sz w:val="20"/>
          <w:szCs w:val="20"/>
          <w:i w:val="1"/>
          <w:iCs w:val="1"/>
          <w:color w:val="auto"/>
        </w:rPr>
        <w:t>(continued)</w:t>
      </w:r>
    </w:p>
    <w:p>
      <w:pPr>
        <w:spacing w:after="0" w:line="200" w:lineRule="exact"/>
        <w:rPr>
          <w:sz w:val="20"/>
          <w:szCs w:val="20"/>
          <w:color w:val="auto"/>
        </w:rPr>
      </w:pPr>
    </w:p>
    <w:p>
      <w:pPr>
        <w:spacing w:after="0" w:line="25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Equipment &amp;</w:t>
            </w: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Construction</w:t>
            </w: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Transport &amp;</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116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Plant</w:t>
            </w:r>
          </w:p>
        </w:tc>
        <w:tc>
          <w:tcPr>
            <w:tcW w:w="130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office</w:t>
            </w:r>
          </w:p>
        </w:tc>
        <w:tc>
          <w:tcPr>
            <w:tcW w:w="9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3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machinery</w:t>
            </w: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in progress</w:t>
            </w:r>
          </w:p>
        </w:tc>
        <w:tc>
          <w:tcPr>
            <w:tcW w:w="1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equipment</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2"/>
        </w:trPr>
        <w:tc>
          <w:tcPr>
            <w:tcW w:w="2640" w:type="dxa"/>
            <w:vAlign w:val="bottom"/>
          </w:tcPr>
          <w:p>
            <w:pPr>
              <w:ind w:left="100"/>
              <w:spacing w:after="0"/>
              <w:rPr>
                <w:sz w:val="20"/>
                <w:szCs w:val="20"/>
                <w:color w:val="auto"/>
              </w:rPr>
            </w:pPr>
            <w:r>
              <w:rPr>
                <w:rFonts w:ascii="Arial" w:cs="Arial" w:eastAsia="Arial" w:hAnsi="Arial"/>
                <w:sz w:val="18"/>
                <w:szCs w:val="18"/>
                <w:b w:val="1"/>
                <w:bCs w:val="1"/>
                <w:color w:val="auto"/>
              </w:rPr>
              <w:t>Accumulated depreciation</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640" w:type="dxa"/>
            <w:vAlign w:val="bottom"/>
          </w:tcPr>
          <w:p>
            <w:pPr>
              <w:ind w:left="100"/>
              <w:spacing w:after="0"/>
              <w:rPr>
                <w:sz w:val="20"/>
                <w:szCs w:val="20"/>
                <w:color w:val="auto"/>
              </w:rPr>
            </w:pPr>
            <w:r>
              <w:rPr>
                <w:rFonts w:ascii="Arial" w:cs="Arial" w:eastAsia="Arial" w:hAnsi="Arial"/>
                <w:sz w:val="18"/>
                <w:szCs w:val="18"/>
                <w:b w:val="1"/>
                <w:bCs w:val="1"/>
                <w:color w:val="auto"/>
              </w:rPr>
              <w:t>As at December 31, 2023</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22,376</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9,624</w:t>
            </w:r>
          </w:p>
        </w:tc>
        <w:tc>
          <w:tcPr>
            <w:tcW w:w="1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rPr>
              <w:t>1,256</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33,256</w:t>
            </w:r>
          </w:p>
        </w:tc>
        <w:tc>
          <w:tcPr>
            <w:tcW w:w="0" w:type="dxa"/>
            <w:vAlign w:val="bottom"/>
          </w:tcPr>
          <w:p>
            <w:pPr>
              <w:spacing w:after="0"/>
              <w:rPr>
                <w:sz w:val="1"/>
                <w:szCs w:val="1"/>
                <w:color w:val="auto"/>
              </w:rPr>
            </w:pPr>
          </w:p>
        </w:tc>
      </w:tr>
      <w:tr>
        <w:trPr>
          <w:trHeight w:val="282"/>
        </w:trPr>
        <w:tc>
          <w:tcPr>
            <w:tcW w:w="2640" w:type="dxa"/>
            <w:vAlign w:val="bottom"/>
          </w:tcPr>
          <w:p>
            <w:pPr>
              <w:ind w:left="100"/>
              <w:spacing w:after="0"/>
              <w:rPr>
                <w:sz w:val="20"/>
                <w:szCs w:val="20"/>
                <w:color w:val="auto"/>
              </w:rPr>
            </w:pPr>
            <w:r>
              <w:rPr>
                <w:rFonts w:ascii="Arial" w:cs="Arial" w:eastAsia="Arial" w:hAnsi="Arial"/>
                <w:sz w:val="18"/>
                <w:szCs w:val="18"/>
                <w:color w:val="auto"/>
              </w:rPr>
              <w:t>Depreciation for the year</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21,037</w:t>
            </w:r>
          </w:p>
        </w:tc>
        <w:tc>
          <w:tcPr>
            <w:tcW w:w="1300" w:type="dxa"/>
            <w:vAlign w:val="bottom"/>
          </w:tcPr>
          <w:p>
            <w:pPr>
              <w:jc w:val="right"/>
              <w:spacing w:after="0"/>
              <w:rPr>
                <w:sz w:val="20"/>
                <w:szCs w:val="20"/>
                <w:color w:val="auto"/>
              </w:rPr>
            </w:pPr>
            <w:r>
              <w:rPr>
                <w:rFonts w:ascii="Arial" w:cs="Arial" w:eastAsia="Arial" w:hAnsi="Arial"/>
                <w:sz w:val="18"/>
                <w:szCs w:val="18"/>
                <w:color w:val="auto"/>
              </w:rPr>
              <w:t>3,674</w:t>
            </w:r>
          </w:p>
        </w:tc>
        <w:tc>
          <w:tcPr>
            <w:tcW w:w="1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576</w:t>
            </w:r>
          </w:p>
        </w:tc>
        <w:tc>
          <w:tcPr>
            <w:tcW w:w="980" w:type="dxa"/>
            <w:vAlign w:val="bottom"/>
          </w:tcPr>
          <w:p>
            <w:pPr>
              <w:jc w:val="right"/>
              <w:spacing w:after="0"/>
              <w:rPr>
                <w:sz w:val="20"/>
                <w:szCs w:val="20"/>
                <w:color w:val="auto"/>
              </w:rPr>
            </w:pPr>
            <w:r>
              <w:rPr>
                <w:rFonts w:ascii="Arial" w:cs="Arial" w:eastAsia="Arial" w:hAnsi="Arial"/>
                <w:sz w:val="18"/>
                <w:szCs w:val="18"/>
                <w:color w:val="auto"/>
              </w:rPr>
              <w:t>25,287</w:t>
            </w:r>
          </w:p>
        </w:tc>
        <w:tc>
          <w:tcPr>
            <w:tcW w:w="0" w:type="dxa"/>
            <w:vAlign w:val="bottom"/>
          </w:tcPr>
          <w:p>
            <w:pPr>
              <w:spacing w:after="0"/>
              <w:rPr>
                <w:sz w:val="1"/>
                <w:szCs w:val="1"/>
                <w:color w:val="auto"/>
              </w:rPr>
            </w:pPr>
          </w:p>
        </w:tc>
      </w:tr>
      <w:tr>
        <w:trPr>
          <w:trHeight w:val="272"/>
        </w:trPr>
        <w:tc>
          <w:tcPr>
            <w:tcW w:w="2640" w:type="dxa"/>
            <w:vAlign w:val="bottom"/>
          </w:tcPr>
          <w:p>
            <w:pPr>
              <w:ind w:left="100"/>
              <w:spacing w:after="0"/>
              <w:rPr>
                <w:sz w:val="20"/>
                <w:szCs w:val="20"/>
                <w:color w:val="auto"/>
              </w:rPr>
            </w:pPr>
            <w:r>
              <w:rPr>
                <w:rFonts w:ascii="Arial" w:cs="Arial" w:eastAsia="Arial" w:hAnsi="Arial"/>
                <w:sz w:val="18"/>
                <w:szCs w:val="18"/>
                <w:color w:val="auto"/>
              </w:rPr>
              <w:t>Disposals</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82"/>
        </w:trPr>
        <w:tc>
          <w:tcPr>
            <w:tcW w:w="2640" w:type="dxa"/>
            <w:vAlign w:val="bottom"/>
          </w:tcPr>
          <w:p>
            <w:pPr>
              <w:ind w:left="100"/>
              <w:spacing w:after="0"/>
              <w:rPr>
                <w:sz w:val="20"/>
                <w:szCs w:val="20"/>
                <w:color w:val="auto"/>
              </w:rPr>
            </w:pPr>
            <w:r>
              <w:rPr>
                <w:rFonts w:ascii="Arial" w:cs="Arial" w:eastAsia="Arial" w:hAnsi="Arial"/>
                <w:sz w:val="18"/>
                <w:szCs w:val="18"/>
                <w:b w:val="1"/>
                <w:bCs w:val="1"/>
                <w:color w:val="auto"/>
              </w:rPr>
              <w:t>As at December 31, 2024</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43,413</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13,298</w:t>
            </w:r>
          </w:p>
        </w:tc>
        <w:tc>
          <w:tcPr>
            <w:tcW w:w="1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rPr>
              <w:t>1,795</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58,506</w:t>
            </w:r>
          </w:p>
        </w:tc>
        <w:tc>
          <w:tcPr>
            <w:tcW w:w="0" w:type="dxa"/>
            <w:vAlign w:val="bottom"/>
          </w:tcPr>
          <w:p>
            <w:pPr>
              <w:spacing w:after="0"/>
              <w:rPr>
                <w:sz w:val="1"/>
                <w:szCs w:val="1"/>
                <w:color w:val="auto"/>
              </w:rPr>
            </w:pPr>
          </w:p>
        </w:tc>
      </w:tr>
      <w:tr>
        <w:trPr>
          <w:trHeight w:val="46"/>
        </w:trPr>
        <w:tc>
          <w:tcPr>
            <w:tcW w:w="26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640" w:type="dxa"/>
            <w:vAlign w:val="bottom"/>
            <w:shd w:val="clear" w:color="auto" w:fill="DAE9F8"/>
          </w:tcPr>
          <w:p>
            <w:pPr>
              <w:ind w:left="100"/>
              <w:spacing w:after="0"/>
              <w:rPr>
                <w:sz w:val="20"/>
                <w:szCs w:val="20"/>
                <w:color w:val="auto"/>
              </w:rPr>
            </w:pPr>
            <w:r>
              <w:rPr>
                <w:rFonts w:ascii="Arial" w:cs="Arial" w:eastAsia="Arial" w:hAnsi="Arial"/>
                <w:sz w:val="18"/>
                <w:szCs w:val="18"/>
                <w:color w:val="auto"/>
              </w:rPr>
              <w:t>Depreciation for the year</w:t>
            </w:r>
          </w:p>
        </w:tc>
        <w:tc>
          <w:tcPr>
            <w:tcW w:w="1160" w:type="dxa"/>
            <w:vAlign w:val="bottom"/>
            <w:shd w:val="clear" w:color="auto" w:fill="DAE9F8"/>
          </w:tcPr>
          <w:p>
            <w:pPr>
              <w:jc w:val="right"/>
              <w:ind w:right="50"/>
              <w:spacing w:after="0"/>
              <w:rPr>
                <w:sz w:val="20"/>
                <w:szCs w:val="20"/>
                <w:color w:val="auto"/>
              </w:rPr>
            </w:pPr>
            <w:r>
              <w:rPr>
                <w:rFonts w:ascii="Arial" w:cs="Arial" w:eastAsia="Arial" w:hAnsi="Arial"/>
                <w:sz w:val="18"/>
                <w:szCs w:val="18"/>
                <w:color w:val="auto"/>
              </w:rPr>
              <w:t>52,886</w:t>
            </w:r>
          </w:p>
        </w:tc>
        <w:tc>
          <w:tcPr>
            <w:tcW w:w="1300" w:type="dxa"/>
            <w:vAlign w:val="bottom"/>
            <w:shd w:val="clear" w:color="auto" w:fill="DAE9F8"/>
          </w:tcPr>
          <w:p>
            <w:pPr>
              <w:jc w:val="right"/>
              <w:spacing w:after="0"/>
              <w:rPr>
                <w:sz w:val="20"/>
                <w:szCs w:val="20"/>
                <w:color w:val="auto"/>
              </w:rPr>
            </w:pPr>
            <w:r>
              <w:rPr>
                <w:rFonts w:ascii="Arial" w:cs="Arial" w:eastAsia="Arial" w:hAnsi="Arial"/>
                <w:sz w:val="18"/>
                <w:szCs w:val="18"/>
                <w:color w:val="auto"/>
              </w:rPr>
              <w:t>3,222</w:t>
            </w:r>
          </w:p>
        </w:tc>
        <w:tc>
          <w:tcPr>
            <w:tcW w:w="1360" w:type="dxa"/>
            <w:vAlign w:val="bottom"/>
            <w:shd w:val="clear" w:color="auto" w:fill="DAE9F8"/>
          </w:tcPr>
          <w:p>
            <w:pPr>
              <w:spacing w:after="0"/>
              <w:rPr>
                <w:sz w:val="20"/>
                <w:szCs w:val="20"/>
                <w:color w:val="auto"/>
              </w:rPr>
            </w:pPr>
          </w:p>
        </w:tc>
        <w:tc>
          <w:tcPr>
            <w:tcW w:w="100" w:type="dxa"/>
            <w:vAlign w:val="bottom"/>
            <w:shd w:val="clear" w:color="auto" w:fill="DAE9F8"/>
          </w:tcPr>
          <w:p>
            <w:pPr>
              <w:jc w:val="right"/>
              <w:spacing w:after="0"/>
              <w:rPr>
                <w:sz w:val="20"/>
                <w:szCs w:val="20"/>
                <w:color w:val="auto"/>
              </w:rPr>
            </w:pPr>
            <w:r>
              <w:rPr>
                <w:rFonts w:ascii="Arial" w:cs="Arial" w:eastAsia="Arial" w:hAnsi="Arial"/>
                <w:sz w:val="16"/>
                <w:szCs w:val="16"/>
                <w:color w:val="auto"/>
                <w:w w:val="74"/>
              </w:rPr>
              <w:t>-</w:t>
            </w:r>
          </w:p>
        </w:tc>
        <w:tc>
          <w:tcPr>
            <w:tcW w:w="166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374</w:t>
            </w:r>
          </w:p>
        </w:tc>
        <w:tc>
          <w:tcPr>
            <w:tcW w:w="980" w:type="dxa"/>
            <w:vAlign w:val="bottom"/>
            <w:shd w:val="clear" w:color="auto" w:fill="DAE9F8"/>
          </w:tcPr>
          <w:p>
            <w:pPr>
              <w:jc w:val="right"/>
              <w:spacing w:after="0"/>
              <w:rPr>
                <w:sz w:val="20"/>
                <w:szCs w:val="20"/>
                <w:color w:val="auto"/>
              </w:rPr>
            </w:pPr>
            <w:r>
              <w:rPr>
                <w:rFonts w:ascii="Arial" w:cs="Arial" w:eastAsia="Arial" w:hAnsi="Arial"/>
                <w:sz w:val="18"/>
                <w:szCs w:val="18"/>
                <w:color w:val="auto"/>
              </w:rPr>
              <w:t>56,482</w:t>
            </w:r>
          </w:p>
        </w:tc>
        <w:tc>
          <w:tcPr>
            <w:tcW w:w="0" w:type="dxa"/>
            <w:vAlign w:val="bottom"/>
          </w:tcPr>
          <w:p>
            <w:pPr>
              <w:spacing w:after="0"/>
              <w:rPr>
                <w:sz w:val="1"/>
                <w:szCs w:val="1"/>
                <w:color w:val="auto"/>
              </w:rPr>
            </w:pPr>
          </w:p>
        </w:tc>
      </w:tr>
      <w:tr>
        <w:trPr>
          <w:trHeight w:val="308"/>
        </w:trPr>
        <w:tc>
          <w:tcPr>
            <w:tcW w:w="2640" w:type="dxa"/>
            <w:vAlign w:val="bottom"/>
            <w:tcBorders>
              <w:bottom w:val="single" w:sz="8" w:color="DAE9F8"/>
            </w:tcBorders>
            <w:shd w:val="clear" w:color="auto" w:fill="DAE9F8"/>
          </w:tcPr>
          <w:p>
            <w:pPr>
              <w:ind w:left="100"/>
              <w:spacing w:after="0"/>
              <w:rPr>
                <w:sz w:val="20"/>
                <w:szCs w:val="20"/>
                <w:color w:val="auto"/>
              </w:rPr>
            </w:pPr>
            <w:r>
              <w:rPr>
                <w:rFonts w:ascii="Arial" w:cs="Arial" w:eastAsia="Arial" w:hAnsi="Arial"/>
                <w:sz w:val="18"/>
                <w:szCs w:val="18"/>
                <w:b w:val="1"/>
                <w:bCs w:val="1"/>
                <w:color w:val="auto"/>
              </w:rPr>
              <w:t>As at December 31, 2025</w:t>
            </w:r>
          </w:p>
        </w:tc>
        <w:tc>
          <w:tcPr>
            <w:tcW w:w="1160" w:type="dxa"/>
            <w:vAlign w:val="bottom"/>
            <w:tcBorders>
              <w:bottom w:val="single" w:sz="8" w:color="DAE9F8"/>
            </w:tcBorders>
            <w:shd w:val="clear" w:color="auto" w:fill="DAE9F8"/>
          </w:tcPr>
          <w:p>
            <w:pPr>
              <w:jc w:val="right"/>
              <w:ind w:right="50"/>
              <w:spacing w:after="0"/>
              <w:rPr>
                <w:sz w:val="20"/>
                <w:szCs w:val="20"/>
                <w:color w:val="auto"/>
              </w:rPr>
            </w:pPr>
            <w:r>
              <w:rPr>
                <w:rFonts w:ascii="Arial" w:cs="Arial" w:eastAsia="Arial" w:hAnsi="Arial"/>
                <w:sz w:val="18"/>
                <w:szCs w:val="18"/>
                <w:b w:val="1"/>
                <w:bCs w:val="1"/>
                <w:color w:val="auto"/>
              </w:rPr>
              <w:t>96,299</w:t>
            </w:r>
          </w:p>
        </w:tc>
        <w:tc>
          <w:tcPr>
            <w:tcW w:w="1300" w:type="dxa"/>
            <w:vAlign w:val="bottom"/>
            <w:tcBorders>
              <w:bottom w:val="single" w:sz="8" w:color="DAE9F8"/>
            </w:tcBorders>
            <w:shd w:val="clear" w:color="auto" w:fill="DAE9F8"/>
          </w:tcPr>
          <w:p>
            <w:pPr>
              <w:jc w:val="right"/>
              <w:spacing w:after="0"/>
              <w:rPr>
                <w:sz w:val="20"/>
                <w:szCs w:val="20"/>
                <w:color w:val="auto"/>
              </w:rPr>
            </w:pPr>
            <w:r>
              <w:rPr>
                <w:rFonts w:ascii="Arial" w:cs="Arial" w:eastAsia="Arial" w:hAnsi="Arial"/>
                <w:sz w:val="18"/>
                <w:szCs w:val="18"/>
                <w:b w:val="1"/>
                <w:bCs w:val="1"/>
                <w:color w:val="auto"/>
              </w:rPr>
              <w:t>16,520</w:t>
            </w:r>
          </w:p>
        </w:tc>
        <w:tc>
          <w:tcPr>
            <w:tcW w:w="1360" w:type="dxa"/>
            <w:vAlign w:val="bottom"/>
            <w:tcBorders>
              <w:bottom w:val="single" w:sz="8" w:color="DAE9F8"/>
            </w:tcBorders>
            <w:shd w:val="clear" w:color="auto" w:fill="DAE9F8"/>
          </w:tcPr>
          <w:p>
            <w:pPr>
              <w:spacing w:after="0"/>
              <w:rPr>
                <w:sz w:val="24"/>
                <w:szCs w:val="24"/>
                <w:color w:val="auto"/>
              </w:rPr>
            </w:pPr>
          </w:p>
        </w:tc>
        <w:tc>
          <w:tcPr>
            <w:tcW w:w="100" w:type="dxa"/>
            <w:vAlign w:val="bottom"/>
            <w:tcBorders>
              <w:bottom w:val="single" w:sz="8" w:color="DAE9F8"/>
            </w:tcBorders>
            <w:shd w:val="clear" w:color="auto" w:fill="DAE9F8"/>
          </w:tcPr>
          <w:p>
            <w:pPr>
              <w:jc w:val="right"/>
              <w:spacing w:after="0"/>
              <w:rPr>
                <w:sz w:val="20"/>
                <w:szCs w:val="20"/>
                <w:color w:val="auto"/>
              </w:rPr>
            </w:pPr>
            <w:r>
              <w:rPr>
                <w:rFonts w:ascii="Arial" w:cs="Arial" w:eastAsia="Arial" w:hAnsi="Arial"/>
                <w:sz w:val="16"/>
                <w:szCs w:val="16"/>
                <w:b w:val="1"/>
                <w:bCs w:val="1"/>
                <w:color w:val="auto"/>
                <w:w w:val="74"/>
              </w:rPr>
              <w:t>-</w:t>
            </w:r>
          </w:p>
        </w:tc>
        <w:tc>
          <w:tcPr>
            <w:tcW w:w="1660" w:type="dxa"/>
            <w:vAlign w:val="bottom"/>
            <w:tcBorders>
              <w:bottom w:val="single" w:sz="8" w:color="DAE9F8"/>
            </w:tcBorders>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2,169</w:t>
            </w:r>
          </w:p>
        </w:tc>
        <w:tc>
          <w:tcPr>
            <w:tcW w:w="980" w:type="dxa"/>
            <w:vAlign w:val="bottom"/>
            <w:tcBorders>
              <w:bottom w:val="single" w:sz="8" w:color="DAE9F8"/>
            </w:tcBorders>
            <w:shd w:val="clear" w:color="auto" w:fill="DAE9F8"/>
          </w:tcPr>
          <w:p>
            <w:pPr>
              <w:jc w:val="right"/>
              <w:spacing w:after="0"/>
              <w:rPr>
                <w:sz w:val="20"/>
                <w:szCs w:val="20"/>
                <w:color w:val="auto"/>
              </w:rPr>
            </w:pPr>
            <w:r>
              <w:rPr>
                <w:rFonts w:ascii="Arial" w:cs="Arial" w:eastAsia="Arial" w:hAnsi="Arial"/>
                <w:sz w:val="18"/>
                <w:szCs w:val="18"/>
                <w:b w:val="1"/>
                <w:bCs w:val="1"/>
                <w:color w:val="auto"/>
              </w:rPr>
              <w:t>114,988</w:t>
            </w:r>
          </w:p>
        </w:tc>
        <w:tc>
          <w:tcPr>
            <w:tcW w:w="0" w:type="dxa"/>
            <w:vAlign w:val="bottom"/>
          </w:tcPr>
          <w:p>
            <w:pPr>
              <w:spacing w:after="0"/>
              <w:rPr>
                <w:sz w:val="1"/>
                <w:szCs w:val="1"/>
                <w:color w:val="auto"/>
              </w:rPr>
            </w:pPr>
          </w:p>
        </w:tc>
      </w:tr>
      <w:tr>
        <w:trPr>
          <w:trHeight w:val="625"/>
        </w:trPr>
        <w:tc>
          <w:tcPr>
            <w:tcW w:w="2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rPr>
              <w:t>Equipment</w:t>
            </w:r>
          </w:p>
        </w:tc>
        <w:tc>
          <w:tcPr>
            <w:tcW w:w="13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Construction</w:t>
            </w:r>
          </w:p>
        </w:tc>
        <w:tc>
          <w:tcPr>
            <w:tcW w:w="1760" w:type="dxa"/>
            <w:vAlign w:val="bottom"/>
            <w:gridSpan w:val="2"/>
          </w:tcPr>
          <w:p>
            <w:pPr>
              <w:jc w:val="center"/>
              <w:ind w:right="530"/>
              <w:spacing w:after="0"/>
              <w:rPr>
                <w:sz w:val="20"/>
                <w:szCs w:val="20"/>
                <w:color w:val="auto"/>
              </w:rPr>
            </w:pPr>
            <w:r>
              <w:rPr>
                <w:rFonts w:ascii="Arial" w:cs="Arial" w:eastAsia="Arial" w:hAnsi="Arial"/>
                <w:sz w:val="18"/>
                <w:szCs w:val="18"/>
                <w:b w:val="1"/>
                <w:bCs w:val="1"/>
                <w:color w:val="auto"/>
                <w:w w:val="99"/>
              </w:rPr>
              <w:t>Transport &amp;</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116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Plant</w:t>
            </w:r>
          </w:p>
        </w:tc>
        <w:tc>
          <w:tcPr>
            <w:tcW w:w="13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&amp;</w:t>
            </w:r>
          </w:p>
        </w:tc>
        <w:tc>
          <w:tcPr>
            <w:tcW w:w="1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vMerge w:val="restart"/>
          </w:tcPr>
          <w:p>
            <w:pPr>
              <w:jc w:val="center"/>
              <w:ind w:right="650"/>
              <w:spacing w:after="0"/>
              <w:rPr>
                <w:sz w:val="20"/>
                <w:szCs w:val="20"/>
                <w:color w:val="auto"/>
              </w:rPr>
            </w:pPr>
            <w:r>
              <w:rPr>
                <w:rFonts w:ascii="Arial" w:cs="Arial" w:eastAsia="Arial" w:hAnsi="Arial"/>
                <w:sz w:val="18"/>
                <w:szCs w:val="18"/>
                <w:b w:val="1"/>
                <w:bCs w:val="1"/>
                <w:color w:val="auto"/>
                <w:w w:val="99"/>
              </w:rPr>
              <w:t>office</w:t>
            </w:r>
          </w:p>
        </w:tc>
        <w:tc>
          <w:tcPr>
            <w:tcW w:w="9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3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in progress</w:t>
            </w:r>
          </w:p>
        </w:tc>
        <w:tc>
          <w:tcPr>
            <w:tcW w:w="1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machinery</w:t>
            </w:r>
          </w:p>
        </w:tc>
        <w:tc>
          <w:tcPr>
            <w:tcW w:w="1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vMerge w:val="restart"/>
          </w:tcPr>
          <w:p>
            <w:pPr>
              <w:jc w:val="center"/>
              <w:ind w:right="590"/>
              <w:spacing w:after="0"/>
              <w:rPr>
                <w:sz w:val="20"/>
                <w:szCs w:val="20"/>
                <w:color w:val="auto"/>
              </w:rPr>
            </w:pPr>
            <w:r>
              <w:rPr>
                <w:rFonts w:ascii="Arial" w:cs="Arial" w:eastAsia="Arial" w:hAnsi="Arial"/>
                <w:sz w:val="18"/>
                <w:szCs w:val="18"/>
                <w:b w:val="1"/>
                <w:bCs w:val="1"/>
                <w:color w:val="auto"/>
                <w:w w:val="98"/>
              </w:rPr>
              <w:t>equipment</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2"/>
        </w:trPr>
        <w:tc>
          <w:tcPr>
            <w:tcW w:w="2640" w:type="dxa"/>
            <w:vAlign w:val="bottom"/>
          </w:tcPr>
          <w:p>
            <w:pPr>
              <w:ind w:left="100"/>
              <w:spacing w:after="0"/>
              <w:rPr>
                <w:sz w:val="20"/>
                <w:szCs w:val="20"/>
                <w:color w:val="auto"/>
              </w:rPr>
            </w:pPr>
            <w:r>
              <w:rPr>
                <w:rFonts w:ascii="Arial" w:cs="Arial" w:eastAsia="Arial" w:hAnsi="Arial"/>
                <w:sz w:val="18"/>
                <w:szCs w:val="18"/>
                <w:b w:val="1"/>
                <w:bCs w:val="1"/>
                <w:color w:val="auto"/>
              </w:rPr>
              <w:t>Net book value</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640" w:type="dxa"/>
            <w:vAlign w:val="bottom"/>
          </w:tcPr>
          <w:p>
            <w:pPr>
              <w:ind w:left="100"/>
              <w:spacing w:after="0"/>
              <w:rPr>
                <w:sz w:val="20"/>
                <w:szCs w:val="20"/>
                <w:color w:val="auto"/>
              </w:rPr>
            </w:pPr>
            <w:r>
              <w:rPr>
                <w:rFonts w:ascii="Arial" w:cs="Arial" w:eastAsia="Arial" w:hAnsi="Arial"/>
                <w:sz w:val="18"/>
                <w:szCs w:val="18"/>
                <w:b w:val="1"/>
                <w:bCs w:val="1"/>
                <w:color w:val="auto"/>
              </w:rPr>
              <w:t>As at December 31, 2024</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1,188,205</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9,221</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56,831</w:t>
            </w:r>
          </w:p>
        </w:tc>
        <w:tc>
          <w:tcPr>
            <w:tcW w:w="100" w:type="dxa"/>
            <w:vAlign w:val="bottom"/>
          </w:tcPr>
          <w:p>
            <w:pPr>
              <w:spacing w:after="0"/>
              <w:rPr>
                <w:sz w:val="24"/>
                <w:szCs w:val="24"/>
                <w:color w:val="auto"/>
              </w:rPr>
            </w:pPr>
          </w:p>
        </w:tc>
        <w:tc>
          <w:tcPr>
            <w:tcW w:w="1660" w:type="dxa"/>
            <w:vAlign w:val="bottom"/>
          </w:tcPr>
          <w:p>
            <w:pPr>
              <w:jc w:val="right"/>
              <w:ind w:right="530"/>
              <w:spacing w:after="0"/>
              <w:rPr>
                <w:sz w:val="20"/>
                <w:szCs w:val="20"/>
                <w:color w:val="auto"/>
              </w:rPr>
            </w:pPr>
            <w:r>
              <w:rPr>
                <w:rFonts w:ascii="Arial" w:cs="Arial" w:eastAsia="Arial" w:hAnsi="Arial"/>
                <w:sz w:val="18"/>
                <w:szCs w:val="18"/>
                <w:color w:val="auto"/>
              </w:rPr>
              <w:t>552</w:t>
            </w:r>
          </w:p>
        </w:tc>
        <w:tc>
          <w:tcPr>
            <w:tcW w:w="980" w:type="dxa"/>
            <w:vAlign w:val="bottom"/>
          </w:tcPr>
          <w:p>
            <w:pPr>
              <w:jc w:val="right"/>
              <w:spacing w:after="0"/>
              <w:rPr>
                <w:sz w:val="20"/>
                <w:szCs w:val="20"/>
                <w:color w:val="auto"/>
              </w:rPr>
            </w:pPr>
            <w:r>
              <w:rPr>
                <w:rFonts w:ascii="Arial" w:cs="Arial" w:eastAsia="Arial" w:hAnsi="Arial"/>
                <w:sz w:val="18"/>
                <w:szCs w:val="18"/>
                <w:color w:val="auto"/>
              </w:rPr>
              <w:t>1,254,809</w:t>
            </w:r>
          </w:p>
        </w:tc>
        <w:tc>
          <w:tcPr>
            <w:tcW w:w="0" w:type="dxa"/>
            <w:vAlign w:val="bottom"/>
          </w:tcPr>
          <w:p>
            <w:pPr>
              <w:spacing w:after="0"/>
              <w:rPr>
                <w:sz w:val="1"/>
                <w:szCs w:val="1"/>
                <w:color w:val="auto"/>
              </w:rPr>
            </w:pPr>
          </w:p>
        </w:tc>
      </w:tr>
      <w:tr>
        <w:trPr>
          <w:trHeight w:val="56"/>
        </w:trPr>
        <w:tc>
          <w:tcPr>
            <w:tcW w:w="26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640" w:type="dxa"/>
            <w:vAlign w:val="bottom"/>
            <w:shd w:val="clear" w:color="auto" w:fill="DAE9F8"/>
          </w:tcPr>
          <w:p>
            <w:pPr>
              <w:ind w:left="100"/>
              <w:spacing w:after="0"/>
              <w:rPr>
                <w:sz w:val="20"/>
                <w:szCs w:val="20"/>
                <w:color w:val="auto"/>
              </w:rPr>
            </w:pPr>
            <w:r>
              <w:rPr>
                <w:rFonts w:ascii="Arial" w:cs="Arial" w:eastAsia="Arial" w:hAnsi="Arial"/>
                <w:sz w:val="18"/>
                <w:szCs w:val="18"/>
                <w:b w:val="1"/>
                <w:bCs w:val="1"/>
                <w:color w:val="auto"/>
              </w:rPr>
              <w:t>As at December 31, 2025</w:t>
            </w:r>
          </w:p>
        </w:tc>
        <w:tc>
          <w:tcPr>
            <w:tcW w:w="1160" w:type="dxa"/>
            <w:vAlign w:val="bottom"/>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1,110,500</w:t>
            </w:r>
          </w:p>
        </w:tc>
        <w:tc>
          <w:tcPr>
            <w:tcW w:w="1300" w:type="dxa"/>
            <w:vAlign w:val="bottom"/>
            <w:shd w:val="clear" w:color="auto" w:fill="DAE9F8"/>
          </w:tcPr>
          <w:p>
            <w:pPr>
              <w:jc w:val="right"/>
              <w:ind w:right="110"/>
              <w:spacing w:after="0"/>
              <w:rPr>
                <w:sz w:val="20"/>
                <w:szCs w:val="20"/>
                <w:color w:val="auto"/>
              </w:rPr>
            </w:pPr>
            <w:r>
              <w:rPr>
                <w:rFonts w:ascii="Arial" w:cs="Arial" w:eastAsia="Arial" w:hAnsi="Arial"/>
                <w:sz w:val="18"/>
                <w:szCs w:val="18"/>
                <w:b w:val="1"/>
                <w:bCs w:val="1"/>
                <w:color w:val="auto"/>
              </w:rPr>
              <w:t>7,779</w:t>
            </w:r>
          </w:p>
        </w:tc>
        <w:tc>
          <w:tcPr>
            <w:tcW w:w="1360" w:type="dxa"/>
            <w:vAlign w:val="bottom"/>
            <w:shd w:val="clear" w:color="auto" w:fill="DAE9F8"/>
          </w:tcPr>
          <w:p>
            <w:pPr>
              <w:jc w:val="right"/>
              <w:ind w:right="70"/>
              <w:spacing w:after="0"/>
              <w:rPr>
                <w:sz w:val="20"/>
                <w:szCs w:val="20"/>
                <w:color w:val="auto"/>
              </w:rPr>
            </w:pPr>
            <w:r>
              <w:rPr>
                <w:rFonts w:ascii="Arial" w:cs="Arial" w:eastAsia="Arial" w:hAnsi="Arial"/>
                <w:sz w:val="18"/>
                <w:szCs w:val="18"/>
                <w:b w:val="1"/>
                <w:bCs w:val="1"/>
                <w:color w:val="auto"/>
              </w:rPr>
              <w:t>61,048</w:t>
            </w:r>
          </w:p>
        </w:tc>
        <w:tc>
          <w:tcPr>
            <w:tcW w:w="100" w:type="dxa"/>
            <w:vAlign w:val="bottom"/>
            <w:shd w:val="clear" w:color="auto" w:fill="DAE9F8"/>
          </w:tcPr>
          <w:p>
            <w:pPr>
              <w:spacing w:after="0"/>
              <w:rPr>
                <w:sz w:val="20"/>
                <w:szCs w:val="20"/>
                <w:color w:val="auto"/>
              </w:rPr>
            </w:pPr>
          </w:p>
        </w:tc>
        <w:tc>
          <w:tcPr>
            <w:tcW w:w="1660" w:type="dxa"/>
            <w:vAlign w:val="bottom"/>
            <w:shd w:val="clear" w:color="auto" w:fill="DAE9F8"/>
          </w:tcPr>
          <w:p>
            <w:pPr>
              <w:jc w:val="right"/>
              <w:ind w:right="530"/>
              <w:spacing w:after="0"/>
              <w:rPr>
                <w:sz w:val="20"/>
                <w:szCs w:val="20"/>
                <w:color w:val="auto"/>
              </w:rPr>
            </w:pPr>
            <w:r>
              <w:rPr>
                <w:rFonts w:ascii="Arial" w:cs="Arial" w:eastAsia="Arial" w:hAnsi="Arial"/>
                <w:sz w:val="18"/>
                <w:szCs w:val="18"/>
                <w:b w:val="1"/>
                <w:bCs w:val="1"/>
                <w:color w:val="auto"/>
              </w:rPr>
              <w:t>280</w:t>
            </w:r>
          </w:p>
        </w:tc>
        <w:tc>
          <w:tcPr>
            <w:tcW w:w="980" w:type="dxa"/>
            <w:vAlign w:val="bottom"/>
            <w:shd w:val="clear" w:color="auto" w:fill="DAE9F8"/>
          </w:tcPr>
          <w:p>
            <w:pPr>
              <w:jc w:val="right"/>
              <w:spacing w:after="0"/>
              <w:rPr>
                <w:sz w:val="20"/>
                <w:szCs w:val="20"/>
                <w:color w:val="auto"/>
              </w:rPr>
            </w:pPr>
            <w:r>
              <w:rPr>
                <w:rFonts w:ascii="Arial" w:cs="Arial" w:eastAsia="Arial" w:hAnsi="Arial"/>
                <w:sz w:val="18"/>
                <w:szCs w:val="18"/>
                <w:b w:val="1"/>
                <w:bCs w:val="1"/>
                <w:color w:val="auto"/>
              </w:rPr>
              <w:t>1,179,607</w:t>
            </w:r>
          </w:p>
        </w:tc>
        <w:tc>
          <w:tcPr>
            <w:tcW w:w="0" w:type="dxa"/>
            <w:vAlign w:val="bottom"/>
          </w:tcPr>
          <w:p>
            <w:pPr>
              <w:spacing w:after="0"/>
              <w:rPr>
                <w:sz w:val="1"/>
                <w:szCs w:val="1"/>
                <w:color w:val="auto"/>
              </w:rPr>
            </w:pPr>
          </w:p>
        </w:tc>
      </w:tr>
      <w:tr>
        <w:trPr>
          <w:trHeight w:val="46"/>
        </w:trPr>
        <w:tc>
          <w:tcPr>
            <w:tcW w:w="2640" w:type="dxa"/>
            <w:vAlign w:val="bottom"/>
            <w:shd w:val="clear" w:color="auto" w:fill="DAE9F8"/>
          </w:tcPr>
          <w:p>
            <w:pPr>
              <w:spacing w:after="0"/>
              <w:rPr>
                <w:sz w:val="4"/>
                <w:szCs w:val="4"/>
                <w:color w:val="auto"/>
              </w:rPr>
            </w:pPr>
          </w:p>
        </w:tc>
        <w:tc>
          <w:tcPr>
            <w:tcW w:w="1160" w:type="dxa"/>
            <w:vAlign w:val="bottom"/>
            <w:shd w:val="clear" w:color="auto" w:fill="DAE9F8"/>
          </w:tcPr>
          <w:p>
            <w:pPr>
              <w:spacing w:after="0"/>
              <w:rPr>
                <w:sz w:val="4"/>
                <w:szCs w:val="4"/>
                <w:color w:val="auto"/>
              </w:rPr>
            </w:pPr>
          </w:p>
        </w:tc>
        <w:tc>
          <w:tcPr>
            <w:tcW w:w="1300" w:type="dxa"/>
            <w:vAlign w:val="bottom"/>
            <w:shd w:val="clear" w:color="auto" w:fill="DAE9F8"/>
          </w:tcPr>
          <w:p>
            <w:pPr>
              <w:spacing w:after="0"/>
              <w:rPr>
                <w:sz w:val="4"/>
                <w:szCs w:val="4"/>
                <w:color w:val="auto"/>
              </w:rPr>
            </w:pPr>
          </w:p>
        </w:tc>
        <w:tc>
          <w:tcPr>
            <w:tcW w:w="1360" w:type="dxa"/>
            <w:vAlign w:val="bottom"/>
            <w:shd w:val="clear" w:color="auto" w:fill="DAE9F8"/>
          </w:tcPr>
          <w:p>
            <w:pPr>
              <w:spacing w:after="0"/>
              <w:rPr>
                <w:sz w:val="4"/>
                <w:szCs w:val="4"/>
                <w:color w:val="auto"/>
              </w:rPr>
            </w:pPr>
          </w:p>
        </w:tc>
        <w:tc>
          <w:tcPr>
            <w:tcW w:w="100" w:type="dxa"/>
            <w:vAlign w:val="bottom"/>
            <w:shd w:val="clear" w:color="auto" w:fill="DAE9F8"/>
          </w:tcPr>
          <w:p>
            <w:pPr>
              <w:spacing w:after="0"/>
              <w:rPr>
                <w:sz w:val="4"/>
                <w:szCs w:val="4"/>
                <w:color w:val="auto"/>
              </w:rPr>
            </w:pPr>
          </w:p>
        </w:tc>
        <w:tc>
          <w:tcPr>
            <w:tcW w:w="1660" w:type="dxa"/>
            <w:vAlign w:val="bottom"/>
            <w:shd w:val="clear" w:color="auto" w:fill="DAE9F8"/>
          </w:tcPr>
          <w:p>
            <w:pPr>
              <w:spacing w:after="0"/>
              <w:rPr>
                <w:sz w:val="4"/>
                <w:szCs w:val="4"/>
                <w:color w:val="auto"/>
              </w:rPr>
            </w:pPr>
          </w:p>
        </w:tc>
        <w:tc>
          <w:tcPr>
            <w:tcW w:w="980" w:type="dxa"/>
            <w:vAlign w:val="bottom"/>
            <w:shd w:val="clear" w:color="auto" w:fill="DAE9F8"/>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-2578735</wp:posOffset>
            </wp:positionV>
            <wp:extent cx="5849620" cy="1270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45">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-2393315</wp:posOffset>
            </wp:positionV>
            <wp:extent cx="5849620" cy="635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46">
                      <a:extLst>
                        <a:ext uri="{28A0092B-C50C-407E-A947-70E740481C1C}"/>
                      </a:extLst>
                    </a:blip>
                    <a:srcRect/>
                    <a:stretch>
                      <a:fillRect/>
                    </a:stretch>
                  </pic:blipFill>
                  <pic:spPr bwMode="auto">
                    <a:xfrm>
                      <a:off x="0" y="0"/>
                      <a:ext cx="5849620"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-2214245</wp:posOffset>
            </wp:positionV>
            <wp:extent cx="5849620" cy="635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7">
                      <a:extLst>
                        <a:ext uri="{28A0092B-C50C-407E-A947-70E740481C1C}"/>
                      </a:extLst>
                    </a:blip>
                    <a:srcRect/>
                    <a:stretch>
                      <a:fillRect/>
                    </a:stretch>
                  </pic:blipFill>
                  <pic:spPr bwMode="auto">
                    <a:xfrm>
                      <a:off x="0" y="0"/>
                      <a:ext cx="5849620"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-1863090</wp:posOffset>
            </wp:positionV>
            <wp:extent cx="5849620" cy="635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8">
                      <a:extLst>
                        <a:ext uri="{28A0092B-C50C-407E-A947-70E740481C1C}"/>
                      </a:extLst>
                    </a:blip>
                    <a:srcRect/>
                    <a:stretch>
                      <a:fillRect/>
                    </a:stretch>
                  </pic:blipFill>
                  <pic:spPr bwMode="auto">
                    <a:xfrm>
                      <a:off x="0" y="0"/>
                      <a:ext cx="5849620"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-1684020</wp:posOffset>
            </wp:positionV>
            <wp:extent cx="5849620" cy="635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9">
                      <a:extLst>
                        <a:ext uri="{28A0092B-C50C-407E-A947-70E740481C1C}"/>
                      </a:extLst>
                    </a:blip>
                    <a:srcRect/>
                    <a:stretch>
                      <a:fillRect/>
                    </a:stretch>
                  </pic:blipFill>
                  <pic:spPr bwMode="auto">
                    <a:xfrm>
                      <a:off x="0" y="0"/>
                      <a:ext cx="5849620"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-1332865</wp:posOffset>
            </wp:positionV>
            <wp:extent cx="5849620" cy="1270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50">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-554990</wp:posOffset>
            </wp:positionV>
            <wp:extent cx="5849620" cy="1270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51">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-369570</wp:posOffset>
            </wp:positionV>
            <wp:extent cx="5849620" cy="635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52">
                      <a:extLst>
                        <a:ext uri="{28A0092B-C50C-407E-A947-70E740481C1C}"/>
                      </a:extLst>
                    </a:blip>
                    <a:srcRect/>
                    <a:stretch>
                      <a:fillRect/>
                    </a:stretch>
                  </pic:blipFill>
                  <pic:spPr bwMode="auto">
                    <a:xfrm>
                      <a:off x="0" y="0"/>
                      <a:ext cx="5849620"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-191135</wp:posOffset>
            </wp:positionV>
            <wp:extent cx="5849620" cy="1270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53">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-5715</wp:posOffset>
            </wp:positionV>
            <wp:extent cx="5849620" cy="635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54">
                      <a:extLst>
                        <a:ext uri="{28A0092B-C50C-407E-A947-70E740481C1C}"/>
                      </a:extLst>
                    </a:blip>
                    <a:srcRect/>
                    <a:stretch>
                      <a:fillRect/>
                    </a:stretch>
                  </pic:blipFill>
                  <pic:spPr bwMode="auto">
                    <a:xfrm>
                      <a:off x="0" y="0"/>
                      <a:ext cx="5849620" cy="6350"/>
                    </a:xfrm>
                    <a:prstGeom prst="rect">
                      <a:avLst/>
                    </a:prstGeom>
                    <a:noFill/>
                  </pic:spPr>
                </pic:pic>
              </a:graphicData>
            </a:graphic>
          </wp:anchor>
        </w:drawing>
      </w:r>
    </w:p>
    <w:p>
      <w:pPr>
        <w:spacing w:after="0" w:line="378" w:lineRule="exact"/>
        <w:rPr>
          <w:sz w:val="20"/>
          <w:szCs w:val="20"/>
          <w:color w:val="auto"/>
        </w:rPr>
      </w:pPr>
    </w:p>
    <w:p>
      <w:pPr>
        <w:jc w:val="both"/>
        <w:ind w:left="1260"/>
        <w:spacing w:after="0" w:line="311" w:lineRule="auto"/>
        <w:rPr>
          <w:sz w:val="20"/>
          <w:szCs w:val="20"/>
          <w:color w:val="auto"/>
        </w:rPr>
      </w:pPr>
      <w:r>
        <w:rPr>
          <w:rFonts w:ascii="Arial" w:cs="Arial" w:eastAsia="Arial" w:hAnsi="Arial"/>
          <w:sz w:val="20"/>
          <w:szCs w:val="20"/>
          <w:color w:val="auto"/>
        </w:rPr>
        <w:t>Borrowing costs directly attributable to the construction of the Cauchari-Olaroz project were capitalised a part of the cost of the related assets until October 1, 2024, upon the project reaching commercia production.</w:t>
      </w:r>
    </w:p>
    <w:p>
      <w:pPr>
        <w:spacing w:after="0" w:line="252" w:lineRule="exact"/>
        <w:rPr>
          <w:sz w:val="20"/>
          <w:szCs w:val="20"/>
          <w:color w:val="auto"/>
        </w:rPr>
      </w:pPr>
    </w:p>
    <w:p>
      <w:pPr>
        <w:ind w:left="1260" w:right="20"/>
        <w:spacing w:after="0" w:line="312" w:lineRule="auto"/>
        <w:rPr>
          <w:sz w:val="20"/>
          <w:szCs w:val="20"/>
          <w:color w:val="auto"/>
        </w:rPr>
      </w:pPr>
      <w:r>
        <w:rPr>
          <w:rFonts w:ascii="Arial" w:cs="Arial" w:eastAsia="Arial" w:hAnsi="Arial"/>
          <w:sz w:val="20"/>
          <w:szCs w:val="20"/>
          <w:color w:val="auto"/>
        </w:rPr>
        <w:t>During the year ended December 31, 2025, no borrowing costs were capitalised (2024 – $86,136). During the year ended December 31, 2024, capitalised borrowing costs of $86,136 comprised accrue interest, foreign exchange loss/gain and the blue-chip swap (“BCS”) gain related to the loans payable t Exar Capital and PGCo.</w:t>
      </w:r>
    </w:p>
    <w:p>
      <w:pPr>
        <w:spacing w:after="0" w:line="252" w:lineRule="exact"/>
        <w:rPr>
          <w:sz w:val="20"/>
          <w:szCs w:val="20"/>
          <w:color w:val="auto"/>
        </w:rPr>
      </w:pPr>
    </w:p>
    <w:p>
      <w:pPr>
        <w:jc w:val="both"/>
        <w:ind w:left="1260"/>
        <w:spacing w:after="0" w:line="307" w:lineRule="auto"/>
        <w:rPr>
          <w:sz w:val="20"/>
          <w:szCs w:val="20"/>
          <w:color w:val="auto"/>
        </w:rPr>
      </w:pPr>
      <w:r>
        <w:rPr>
          <w:rFonts w:ascii="Arial" w:cs="Arial" w:eastAsia="Arial" w:hAnsi="Arial"/>
          <w:sz w:val="20"/>
          <w:szCs w:val="20"/>
          <w:color w:val="auto"/>
        </w:rPr>
        <w:t>During the year ended December 31, 2025, the Company reclassified $5,585 from CIP to plant and equipment upon the assets becoming available for their intended use (2024 - $299,678).</w:t>
      </w:r>
    </w:p>
    <w:p>
      <w:pPr>
        <w:spacing w:after="0" w:line="255"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During the year, the Company recovered VAT of $31,513 that had been capitalized as part of the cost o property, plant and equipment during the construction phase of the Cauchari-Olaroz project, as suc amounts were previously considered non-refundable. The recovery has been recognized as a reductio of the carrying amount of the related assets. Following the commencement of commercial production VAT on purchases is recoverable in the ordinary course and is no longer capitalized.</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30 / 58</w:t>
      </w:r>
    </w:p>
    <w:p>
      <w:pPr>
        <w:sectPr>
          <w:pgSz w:w="11900" w:h="16838" w:orient="portrait"/>
          <w:cols w:equalWidth="0" w:num="1">
            <w:col w:w="10460"/>
          </w:cols>
          <w:pgMar w:left="1440" w:top="1440" w:right="6" w:bottom="0" w:gutter="0" w:footer="0" w:header="0"/>
          <w:type w:val="continuous"/>
        </w:sectPr>
      </w:pPr>
    </w:p>
    <w:bookmarkStart w:id="642" w:name="page643"/>
    <w:bookmarkEnd w:id="642"/>
    <w:p>
      <w:pPr>
        <w:ind w:left="1260"/>
        <w:spacing w:after="0"/>
        <w:rPr>
          <w:sz w:val="20"/>
          <w:szCs w:val="20"/>
          <w:color w:val="auto"/>
        </w:rPr>
      </w:pPr>
      <w:r>
        <w:rPr>
          <w:rFonts w:ascii="Arial" w:cs="Arial" w:eastAsia="Arial" w:hAnsi="Arial"/>
          <w:sz w:val="20"/>
          <w:szCs w:val="20"/>
          <w:b w:val="1"/>
          <w:bCs w:val="1"/>
          <w:color w:val="auto"/>
        </w:rPr>
        <w:t>12. LOANS AND BORROWINGS</w:t>
      </w:r>
    </w:p>
    <w:p>
      <w:pPr>
        <w:spacing w:after="0" w:line="200" w:lineRule="exact"/>
        <w:rPr>
          <w:sz w:val="20"/>
          <w:szCs w:val="20"/>
          <w:color w:val="auto"/>
        </w:rPr>
      </w:pPr>
    </w:p>
    <w:p>
      <w:pPr>
        <w:spacing w:after="0" w:line="269" w:lineRule="exact"/>
        <w:rPr>
          <w:sz w:val="20"/>
          <w:szCs w:val="20"/>
          <w:color w:val="auto"/>
        </w:rPr>
      </w:pPr>
    </w:p>
    <w:tbl>
      <w:tblPr>
        <w:tblLayout w:type="fixed"/>
        <w:tblInd w:w="1360" w:type="dxa"/>
        <w:tblCellMar>
          <w:top w:w="0" w:type="dxa"/>
          <w:left w:w="0" w:type="dxa"/>
          <w:bottom w:w="0" w:type="dxa"/>
          <w:right w:w="0" w:type="dxa"/>
        </w:tblCellMar>
      </w:tblPr>
      <w:tr>
        <w:trPr>
          <w:trHeight w:val="212"/>
        </w:trPr>
        <w:tc>
          <w:tcPr>
            <w:tcW w:w="484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3200" w:type="dxa"/>
            <w:vAlign w:val="bottom"/>
            <w:gridSpan w:val="2"/>
          </w:tcPr>
          <w:p>
            <w:pPr>
              <w:ind w:left="1280"/>
              <w:spacing w:after="0"/>
              <w:rPr>
                <w:sz w:val="20"/>
                <w:szCs w:val="20"/>
                <w:color w:val="auto"/>
              </w:rPr>
            </w:pPr>
            <w:r>
              <w:rPr>
                <w:rFonts w:ascii="Arial" w:cs="Arial" w:eastAsia="Arial" w:hAnsi="Arial"/>
                <w:sz w:val="18"/>
                <w:szCs w:val="18"/>
                <w:b w:val="1"/>
                <w:bCs w:val="1"/>
                <w:color w:val="auto"/>
              </w:rPr>
              <w:t>As at December 31,</w:t>
            </w:r>
          </w:p>
        </w:tc>
        <w:tc>
          <w:tcPr>
            <w:tcW w:w="920" w:type="dxa"/>
            <w:vAlign w:val="bottom"/>
          </w:tcPr>
          <w:p>
            <w:pPr>
              <w:spacing w:after="0"/>
              <w:rPr>
                <w:sz w:val="18"/>
                <w:szCs w:val="18"/>
                <w:color w:val="auto"/>
              </w:rPr>
            </w:pPr>
          </w:p>
        </w:tc>
      </w:tr>
      <w:tr>
        <w:trPr>
          <w:trHeight w:val="51"/>
        </w:trPr>
        <w:tc>
          <w:tcPr>
            <w:tcW w:w="48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35"/>
        </w:trPr>
        <w:tc>
          <w:tcPr>
            <w:tcW w:w="4840" w:type="dxa"/>
            <w:vAlign w:val="bottom"/>
          </w:tcPr>
          <w:p>
            <w:pPr>
              <w:spacing w:after="0"/>
              <w:rPr>
                <w:sz w:val="20"/>
                <w:szCs w:val="20"/>
                <w:color w:val="auto"/>
              </w:rPr>
            </w:pPr>
          </w:p>
        </w:tc>
        <w:tc>
          <w:tcPr>
            <w:tcW w:w="2120" w:type="dxa"/>
            <w:vAlign w:val="bottom"/>
            <w:shd w:val="clear" w:color="auto" w:fill="DAE9F8"/>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10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r>
      <w:tr>
        <w:trPr>
          <w:trHeight w:val="292"/>
        </w:trPr>
        <w:tc>
          <w:tcPr>
            <w:tcW w:w="4840" w:type="dxa"/>
            <w:vAlign w:val="bottom"/>
          </w:tcPr>
          <w:p>
            <w:pPr>
              <w:spacing w:after="0"/>
              <w:rPr>
                <w:sz w:val="20"/>
                <w:szCs w:val="20"/>
                <w:color w:val="auto"/>
              </w:rPr>
            </w:pPr>
            <w:r>
              <w:rPr>
                <w:rFonts w:ascii="Arial" w:cs="Arial" w:eastAsia="Arial" w:hAnsi="Arial"/>
                <w:sz w:val="18"/>
                <w:szCs w:val="18"/>
                <w:color w:val="auto"/>
              </w:rPr>
              <w:t>Related party loans (Note 17)</w:t>
            </w:r>
          </w:p>
        </w:tc>
        <w:tc>
          <w:tcPr>
            <w:tcW w:w="212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637,685</w:t>
            </w:r>
          </w:p>
        </w:tc>
      </w:tr>
      <w:tr>
        <w:trPr>
          <w:trHeight w:val="272"/>
        </w:trPr>
        <w:tc>
          <w:tcPr>
            <w:tcW w:w="4840" w:type="dxa"/>
            <w:vAlign w:val="bottom"/>
          </w:tcPr>
          <w:p>
            <w:pPr>
              <w:spacing w:after="0"/>
              <w:rPr>
                <w:sz w:val="20"/>
                <w:szCs w:val="20"/>
                <w:color w:val="auto"/>
              </w:rPr>
            </w:pPr>
            <w:r>
              <w:rPr>
                <w:rFonts w:ascii="Arial" w:cs="Arial" w:eastAsia="Arial" w:hAnsi="Arial"/>
                <w:sz w:val="18"/>
                <w:szCs w:val="18"/>
                <w:color w:val="auto"/>
              </w:rPr>
              <w:t>Negotiable bonds (Note 22)</w:t>
            </w:r>
          </w:p>
        </w:tc>
        <w:tc>
          <w:tcPr>
            <w:tcW w:w="212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328</w:t>
            </w:r>
          </w:p>
        </w:tc>
        <w:tc>
          <w:tcPr>
            <w:tcW w:w="10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77"/>
        </w:trPr>
        <w:tc>
          <w:tcPr>
            <w:tcW w:w="4840" w:type="dxa"/>
            <w:vAlign w:val="bottom"/>
          </w:tcPr>
          <w:p>
            <w:pPr>
              <w:spacing w:after="0"/>
              <w:rPr>
                <w:sz w:val="20"/>
                <w:szCs w:val="20"/>
                <w:color w:val="auto"/>
              </w:rPr>
            </w:pPr>
            <w:r>
              <w:rPr>
                <w:rFonts w:ascii="Arial" w:cs="Arial" w:eastAsia="Arial" w:hAnsi="Arial"/>
                <w:sz w:val="18"/>
                <w:szCs w:val="18"/>
                <w:color w:val="auto"/>
              </w:rPr>
              <w:t>Bank loans</w:t>
            </w:r>
          </w:p>
        </w:tc>
        <w:tc>
          <w:tcPr>
            <w:tcW w:w="212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242,582</w:t>
            </w:r>
          </w:p>
        </w:tc>
        <w:tc>
          <w:tcPr>
            <w:tcW w:w="10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161,140</w:t>
            </w:r>
          </w:p>
        </w:tc>
      </w:tr>
      <w:tr>
        <w:trPr>
          <w:trHeight w:val="277"/>
        </w:trPr>
        <w:tc>
          <w:tcPr>
            <w:tcW w:w="4840" w:type="dxa"/>
            <w:vAlign w:val="bottom"/>
          </w:tcPr>
          <w:p>
            <w:pPr>
              <w:spacing w:after="0"/>
              <w:rPr>
                <w:sz w:val="20"/>
                <w:szCs w:val="20"/>
                <w:color w:val="auto"/>
              </w:rPr>
            </w:pPr>
            <w:r>
              <w:rPr>
                <w:rFonts w:ascii="Arial" w:cs="Arial" w:eastAsia="Arial" w:hAnsi="Arial"/>
                <w:sz w:val="18"/>
                <w:szCs w:val="18"/>
                <w:b w:val="1"/>
                <w:bCs w:val="1"/>
                <w:color w:val="auto"/>
              </w:rPr>
              <w:t>Total current debt</w:t>
            </w:r>
          </w:p>
        </w:tc>
        <w:tc>
          <w:tcPr>
            <w:tcW w:w="2120" w:type="dxa"/>
            <w:vAlign w:val="bottom"/>
            <w:shd w:val="clear" w:color="auto" w:fill="DAE9F8"/>
          </w:tcPr>
          <w:p>
            <w:pPr>
              <w:jc w:val="right"/>
              <w:ind w:right="30"/>
              <w:spacing w:after="0"/>
              <w:rPr>
                <w:sz w:val="20"/>
                <w:szCs w:val="20"/>
                <w:color w:val="auto"/>
              </w:rPr>
            </w:pPr>
            <w:r>
              <w:rPr>
                <w:rFonts w:ascii="Arial" w:cs="Arial" w:eastAsia="Arial" w:hAnsi="Arial"/>
                <w:sz w:val="18"/>
                <w:szCs w:val="18"/>
                <w:b w:val="1"/>
                <w:bCs w:val="1"/>
                <w:color w:val="auto"/>
              </w:rPr>
              <w:t>242,910</w:t>
            </w:r>
          </w:p>
        </w:tc>
        <w:tc>
          <w:tcPr>
            <w:tcW w:w="10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799,150</w:t>
            </w:r>
          </w:p>
        </w:tc>
      </w:tr>
      <w:tr>
        <w:trPr>
          <w:trHeight w:val="328"/>
        </w:trPr>
        <w:tc>
          <w:tcPr>
            <w:tcW w:w="4840" w:type="dxa"/>
            <w:vAlign w:val="bottom"/>
          </w:tcPr>
          <w:p>
            <w:pPr>
              <w:spacing w:after="0"/>
              <w:rPr>
                <w:sz w:val="24"/>
                <w:szCs w:val="24"/>
                <w:color w:val="auto"/>
              </w:rPr>
            </w:pPr>
          </w:p>
        </w:tc>
        <w:tc>
          <w:tcPr>
            <w:tcW w:w="2120" w:type="dxa"/>
            <w:vAlign w:val="bottom"/>
            <w:shd w:val="clear" w:color="auto" w:fill="DAE9F8"/>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-1078865</wp:posOffset>
            </wp:positionV>
            <wp:extent cx="2687955" cy="1270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55">
                      <a:extLst>
                        <a:ext uri="{28A0092B-C50C-407E-A947-70E740481C1C}"/>
                      </a:extLst>
                    </a:blip>
                    <a:srcRect/>
                    <a:stretch>
                      <a:fillRect/>
                    </a:stretch>
                  </pic:blipFill>
                  <pic:spPr bwMode="auto">
                    <a:xfrm>
                      <a:off x="0" y="0"/>
                      <a:ext cx="2687955"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-893445</wp:posOffset>
            </wp:positionV>
            <wp:extent cx="5824855" cy="1270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56">
                      <a:extLst>
                        <a:ext uri="{28A0092B-C50C-407E-A947-70E740481C1C}"/>
                      </a:extLst>
                    </a:blip>
                    <a:srcRect/>
                    <a:stretch>
                      <a:fillRect/>
                    </a:stretch>
                  </pic:blipFill>
                  <pic:spPr bwMode="auto">
                    <a:xfrm>
                      <a:off x="0" y="0"/>
                      <a:ext cx="5824855" cy="1270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-363220</wp:posOffset>
            </wp:positionV>
            <wp:extent cx="2687955" cy="635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7">
                      <a:extLst>
                        <a:ext uri="{28A0092B-C50C-407E-A947-70E740481C1C}"/>
                      </a:extLst>
                    </a:blip>
                    <a:srcRect/>
                    <a:stretch>
                      <a:fillRect/>
                    </a:stretch>
                  </pic:blipFill>
                  <pic:spPr bwMode="auto">
                    <a:xfrm>
                      <a:off x="0" y="0"/>
                      <a:ext cx="2687955"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-184785</wp:posOffset>
            </wp:positionV>
            <wp:extent cx="5824855" cy="1270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8">
                      <a:extLst>
                        <a:ext uri="{28A0092B-C50C-407E-A947-70E740481C1C}"/>
                      </a:extLst>
                    </a:blip>
                    <a:srcRect/>
                    <a:stretch>
                      <a:fillRect/>
                    </a:stretch>
                  </pic:blipFill>
                  <pic:spPr bwMode="auto">
                    <a:xfrm>
                      <a:off x="0" y="0"/>
                      <a:ext cx="5824855" cy="1270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320"/>
          </w:cols>
          <w:pgMar w:left="1440" w:top="1165" w:right="1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31 / 58</w:t>
      </w:r>
    </w:p>
    <w:p>
      <w:pPr>
        <w:sectPr>
          <w:pgSz w:w="11900" w:h="16838" w:orient="portrait"/>
          <w:cols w:equalWidth="0" w:num="1">
            <w:col w:w="10320"/>
          </w:cols>
          <w:pgMar w:left="1440" w:top="1165" w:right="146" w:bottom="0" w:gutter="0" w:footer="0" w:header="0"/>
          <w:type w:val="continuous"/>
        </w:sectPr>
      </w:pPr>
    </w:p>
    <w:bookmarkStart w:id="643" w:name="page644"/>
    <w:bookmarkEnd w:id="643"/>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12. LOANS AND BORROWINGS </w:t>
      </w:r>
      <w:r>
        <w:rPr>
          <w:rFonts w:ascii="Arial" w:cs="Arial" w:eastAsia="Arial" w:hAnsi="Arial"/>
          <w:sz w:val="20"/>
          <w:szCs w:val="20"/>
          <w:i w:val="1"/>
          <w:iCs w:val="1"/>
          <w:color w:val="auto"/>
        </w:rPr>
        <w:t>(continued)</w:t>
      </w:r>
    </w:p>
    <w:p>
      <w:pPr>
        <w:spacing w:after="0" w:line="200" w:lineRule="exact"/>
        <w:rPr>
          <w:sz w:val="20"/>
          <w:szCs w:val="20"/>
          <w:color w:val="auto"/>
        </w:rPr>
      </w:pPr>
    </w:p>
    <w:p>
      <w:pPr>
        <w:spacing w:after="0" w:line="25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240" w:type="dxa"/>
            <w:vAlign w:val="bottom"/>
          </w:tcPr>
          <w:p>
            <w:pPr>
              <w:ind w:left="100"/>
              <w:spacing w:after="0"/>
              <w:rPr>
                <w:sz w:val="20"/>
                <w:szCs w:val="20"/>
                <w:color w:val="auto"/>
              </w:rPr>
            </w:pPr>
            <w:r>
              <w:rPr>
                <w:rFonts w:ascii="Arial" w:cs="Arial" w:eastAsia="Arial" w:hAnsi="Arial"/>
                <w:sz w:val="18"/>
                <w:szCs w:val="18"/>
                <w:b w:val="1"/>
                <w:bCs w:val="1"/>
                <w:color w:val="auto"/>
              </w:rPr>
              <w:t>Non-Current</w:t>
            </w: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08"/>
        </w:trPr>
        <w:tc>
          <w:tcPr>
            <w:tcW w:w="5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5"/>
        </w:trPr>
        <w:tc>
          <w:tcPr>
            <w:tcW w:w="5240" w:type="dxa"/>
            <w:vAlign w:val="bottom"/>
          </w:tcPr>
          <w:p>
            <w:pPr>
              <w:ind w:left="100"/>
              <w:spacing w:after="0"/>
              <w:rPr>
                <w:sz w:val="20"/>
                <w:szCs w:val="20"/>
                <w:color w:val="auto"/>
              </w:rPr>
            </w:pPr>
            <w:r>
              <w:rPr>
                <w:rFonts w:ascii="Arial" w:cs="Arial" w:eastAsia="Arial" w:hAnsi="Arial"/>
                <w:sz w:val="18"/>
                <w:szCs w:val="18"/>
                <w:color w:val="auto"/>
              </w:rPr>
              <w:t>Related party loans (Note 17)</w:t>
            </w:r>
          </w:p>
        </w:tc>
        <w:tc>
          <w:tcPr>
            <w:tcW w:w="2080" w:type="dxa"/>
            <w:vAlign w:val="bottom"/>
            <w:gridSpan w:val="2"/>
            <w:shd w:val="clear" w:color="auto" w:fill="DAE9F8"/>
          </w:tcPr>
          <w:p>
            <w:pPr>
              <w:jc w:val="right"/>
              <w:ind w:right="10"/>
              <w:spacing w:after="0"/>
              <w:rPr>
                <w:sz w:val="20"/>
                <w:szCs w:val="20"/>
                <w:color w:val="auto"/>
              </w:rPr>
            </w:pPr>
            <w:r>
              <w:rPr>
                <w:rFonts w:ascii="Arial" w:cs="Arial" w:eastAsia="Arial" w:hAnsi="Arial"/>
                <w:sz w:val="18"/>
                <w:szCs w:val="18"/>
                <w:color w:val="auto"/>
              </w:rPr>
              <w:t>993,489</w:t>
            </w:r>
          </w:p>
        </w:tc>
        <w:tc>
          <w:tcPr>
            <w:tcW w:w="94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570,527</w:t>
            </w:r>
          </w:p>
        </w:tc>
      </w:tr>
      <w:tr>
        <w:trPr>
          <w:trHeight w:val="272"/>
        </w:trPr>
        <w:tc>
          <w:tcPr>
            <w:tcW w:w="5240" w:type="dxa"/>
            <w:vAlign w:val="bottom"/>
          </w:tcPr>
          <w:p>
            <w:pPr>
              <w:ind w:left="100"/>
              <w:spacing w:after="0"/>
              <w:rPr>
                <w:sz w:val="20"/>
                <w:szCs w:val="20"/>
                <w:color w:val="auto"/>
              </w:rPr>
            </w:pPr>
            <w:r>
              <w:rPr>
                <w:rFonts w:ascii="Arial" w:cs="Arial" w:eastAsia="Arial" w:hAnsi="Arial"/>
                <w:sz w:val="18"/>
                <w:szCs w:val="18"/>
                <w:color w:val="auto"/>
              </w:rPr>
              <w:t>Negotiable bonds (Note 22)</w:t>
            </w:r>
          </w:p>
        </w:tc>
        <w:tc>
          <w:tcPr>
            <w:tcW w:w="2080" w:type="dxa"/>
            <w:vAlign w:val="bottom"/>
            <w:gridSpan w:val="2"/>
            <w:shd w:val="clear" w:color="auto" w:fill="DAE9F8"/>
          </w:tcPr>
          <w:p>
            <w:pPr>
              <w:jc w:val="right"/>
              <w:ind w:right="10"/>
              <w:spacing w:after="0"/>
              <w:rPr>
                <w:sz w:val="20"/>
                <w:szCs w:val="20"/>
                <w:color w:val="auto"/>
              </w:rPr>
            </w:pPr>
            <w:r>
              <w:rPr>
                <w:rFonts w:ascii="Arial" w:cs="Arial" w:eastAsia="Arial" w:hAnsi="Arial"/>
                <w:sz w:val="18"/>
                <w:szCs w:val="18"/>
                <w:color w:val="auto"/>
              </w:rPr>
              <w:t>49,781</w:t>
            </w:r>
          </w:p>
        </w:tc>
        <w:tc>
          <w:tcPr>
            <w:tcW w:w="9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49,539</w:t>
            </w:r>
          </w:p>
        </w:tc>
      </w:tr>
      <w:tr>
        <w:trPr>
          <w:trHeight w:val="277"/>
        </w:trPr>
        <w:tc>
          <w:tcPr>
            <w:tcW w:w="5240" w:type="dxa"/>
            <w:vAlign w:val="bottom"/>
          </w:tcPr>
          <w:p>
            <w:pPr>
              <w:ind w:left="100"/>
              <w:spacing w:after="0"/>
              <w:rPr>
                <w:sz w:val="20"/>
                <w:szCs w:val="20"/>
                <w:color w:val="auto"/>
              </w:rPr>
            </w:pPr>
            <w:r>
              <w:rPr>
                <w:rFonts w:ascii="Arial" w:cs="Arial" w:eastAsia="Arial" w:hAnsi="Arial"/>
                <w:sz w:val="18"/>
                <w:szCs w:val="18"/>
                <w:color w:val="auto"/>
              </w:rPr>
              <w:t>Bank loans</w:t>
            </w:r>
          </w:p>
        </w:tc>
        <w:tc>
          <w:tcPr>
            <w:tcW w:w="2080" w:type="dxa"/>
            <w:vAlign w:val="bottom"/>
            <w:gridSpan w:val="2"/>
            <w:shd w:val="clear" w:color="auto" w:fill="DAE9F8"/>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313"/>
        </w:trPr>
        <w:tc>
          <w:tcPr>
            <w:tcW w:w="5240" w:type="dxa"/>
            <w:vAlign w:val="bottom"/>
          </w:tcPr>
          <w:p>
            <w:pPr>
              <w:ind w:left="100"/>
              <w:spacing w:after="0"/>
              <w:rPr>
                <w:sz w:val="20"/>
                <w:szCs w:val="20"/>
                <w:color w:val="auto"/>
              </w:rPr>
            </w:pPr>
            <w:r>
              <w:rPr>
                <w:rFonts w:ascii="Arial" w:cs="Arial" w:eastAsia="Arial" w:hAnsi="Arial"/>
                <w:sz w:val="18"/>
                <w:szCs w:val="18"/>
                <w:b w:val="1"/>
                <w:bCs w:val="1"/>
                <w:color w:val="auto"/>
              </w:rPr>
              <w:t>Total non-current debt</w:t>
            </w:r>
          </w:p>
        </w:tc>
        <w:tc>
          <w:tcPr>
            <w:tcW w:w="2080" w:type="dxa"/>
            <w:vAlign w:val="bottom"/>
            <w:tcBorders>
              <w:bottom w:val="single" w:sz="8" w:color="DAE9F8"/>
            </w:tcBorders>
            <w:gridSpan w:val="2"/>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1,043,270</w:t>
            </w:r>
          </w:p>
        </w:tc>
        <w:tc>
          <w:tcPr>
            <w:tcW w:w="94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620,066</w:t>
            </w:r>
          </w:p>
        </w:tc>
      </w:tr>
      <w:tr>
        <w:trPr>
          <w:trHeight w:val="615"/>
        </w:trPr>
        <w:tc>
          <w:tcPr>
            <w:tcW w:w="5240" w:type="dxa"/>
            <w:vAlign w:val="bottom"/>
          </w:tcPr>
          <w:p>
            <w:pPr>
              <w:spacing w:after="0"/>
              <w:rPr>
                <w:sz w:val="20"/>
                <w:szCs w:val="20"/>
                <w:color w:val="auto"/>
              </w:rPr>
            </w:pPr>
            <w:r>
              <w:rPr>
                <w:rFonts w:ascii="Arial" w:cs="Arial" w:eastAsia="Arial" w:hAnsi="Arial"/>
                <w:sz w:val="18"/>
                <w:szCs w:val="18"/>
                <w:b w:val="1"/>
                <w:bCs w:val="1"/>
                <w:color w:val="auto"/>
              </w:rPr>
              <w:t>CHANGES IN LOANS AND BORROWINGS</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680"/>
        </w:trPr>
        <w:tc>
          <w:tcPr>
            <w:tcW w:w="5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2"/>
          </w:tcPr>
          <w:p>
            <w:pPr>
              <w:ind w:left="920"/>
              <w:spacing w:after="0"/>
              <w:rPr>
                <w:sz w:val="20"/>
                <w:szCs w:val="20"/>
                <w:color w:val="auto"/>
              </w:rPr>
            </w:pPr>
            <w:r>
              <w:rPr>
                <w:rFonts w:ascii="Arial" w:cs="Arial" w:eastAsia="Arial" w:hAnsi="Arial"/>
                <w:sz w:val="18"/>
                <w:szCs w:val="18"/>
                <w:b w:val="1"/>
                <w:bCs w:val="1"/>
                <w:color w:val="auto"/>
              </w:rPr>
              <w:t>As at December 31,</w:t>
            </w:r>
          </w:p>
        </w:tc>
        <w:tc>
          <w:tcPr>
            <w:tcW w:w="940" w:type="dxa"/>
            <w:vAlign w:val="bottom"/>
          </w:tcPr>
          <w:p>
            <w:pPr>
              <w:spacing w:after="0"/>
              <w:rPr>
                <w:sz w:val="24"/>
                <w:szCs w:val="24"/>
                <w:color w:val="auto"/>
              </w:rPr>
            </w:pPr>
          </w:p>
        </w:tc>
      </w:tr>
      <w:tr>
        <w:trPr>
          <w:trHeight w:val="56"/>
        </w:trPr>
        <w:tc>
          <w:tcPr>
            <w:tcW w:w="5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5"/>
        </w:trPr>
        <w:tc>
          <w:tcPr>
            <w:tcW w:w="5240" w:type="dxa"/>
            <w:vAlign w:val="bottom"/>
          </w:tcPr>
          <w:p>
            <w:pPr>
              <w:spacing w:after="0"/>
              <w:rPr>
                <w:sz w:val="20"/>
                <w:szCs w:val="20"/>
                <w:color w:val="auto"/>
              </w:rPr>
            </w:pPr>
          </w:p>
        </w:tc>
        <w:tc>
          <w:tcPr>
            <w:tcW w:w="300" w:type="dxa"/>
            <w:vAlign w:val="bottom"/>
            <w:shd w:val="clear" w:color="auto" w:fill="DAE9F8"/>
          </w:tcPr>
          <w:p>
            <w:pPr>
              <w:spacing w:after="0"/>
              <w:rPr>
                <w:sz w:val="20"/>
                <w:szCs w:val="20"/>
                <w:color w:val="auto"/>
              </w:rPr>
            </w:pPr>
          </w:p>
        </w:tc>
        <w:tc>
          <w:tcPr>
            <w:tcW w:w="1780" w:type="dxa"/>
            <w:vAlign w:val="bottom"/>
            <w:shd w:val="clear" w:color="auto" w:fill="DAE9F8"/>
          </w:tcPr>
          <w:p>
            <w:pPr>
              <w:jc w:val="right"/>
              <w:spacing w:after="0"/>
              <w:rPr>
                <w:sz w:val="20"/>
                <w:szCs w:val="20"/>
                <w:color w:val="auto"/>
              </w:rPr>
            </w:pPr>
            <w:r>
              <w:rPr>
                <w:rFonts w:ascii="Arial" w:cs="Arial" w:eastAsia="Arial" w:hAnsi="Arial"/>
                <w:sz w:val="18"/>
                <w:szCs w:val="18"/>
                <w:b w:val="1"/>
                <w:bCs w:val="1"/>
                <w:color w:val="auto"/>
              </w:rPr>
              <w:t>2025</w:t>
            </w:r>
          </w:p>
        </w:tc>
        <w:tc>
          <w:tcPr>
            <w:tcW w:w="940" w:type="dxa"/>
            <w:vAlign w:val="bottom"/>
            <w:tcBorders>
              <w:left w:val="single" w:sz="8" w:color="DAE9F8"/>
            </w:tcBorders>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r>
      <w:tr>
        <w:trPr>
          <w:trHeight w:val="56"/>
        </w:trPr>
        <w:tc>
          <w:tcPr>
            <w:tcW w:w="5240" w:type="dxa"/>
            <w:vAlign w:val="bottom"/>
          </w:tcPr>
          <w:p>
            <w:pPr>
              <w:spacing w:after="0"/>
              <w:rPr>
                <w:sz w:val="4"/>
                <w:szCs w:val="4"/>
                <w:color w:val="auto"/>
              </w:rPr>
            </w:pPr>
          </w:p>
        </w:tc>
        <w:tc>
          <w:tcPr>
            <w:tcW w:w="300" w:type="dxa"/>
            <w:vAlign w:val="bottom"/>
            <w:shd w:val="clear" w:color="auto" w:fill="DAE9F8"/>
          </w:tcPr>
          <w:p>
            <w:pPr>
              <w:spacing w:after="0"/>
              <w:rPr>
                <w:sz w:val="4"/>
                <w:szCs w:val="4"/>
                <w:color w:val="auto"/>
              </w:rPr>
            </w:pPr>
          </w:p>
        </w:tc>
        <w:tc>
          <w:tcPr>
            <w:tcW w:w="1780" w:type="dxa"/>
            <w:vAlign w:val="bottom"/>
            <w:shd w:val="clear" w:color="auto" w:fill="DAE9F8"/>
          </w:tcPr>
          <w:p>
            <w:pPr>
              <w:spacing w:after="0"/>
              <w:rPr>
                <w:sz w:val="4"/>
                <w:szCs w:val="4"/>
                <w:color w:val="auto"/>
              </w:rPr>
            </w:pPr>
          </w:p>
        </w:tc>
        <w:tc>
          <w:tcPr>
            <w:tcW w:w="940" w:type="dxa"/>
            <w:vAlign w:val="bottom"/>
            <w:tcBorders>
              <w:left w:val="single" w:sz="8" w:color="DAE9F8"/>
            </w:tcBorders>
          </w:tcPr>
          <w:p>
            <w:pPr>
              <w:spacing w:after="0"/>
              <w:rPr>
                <w:sz w:val="4"/>
                <w:szCs w:val="4"/>
                <w:color w:val="auto"/>
              </w:rPr>
            </w:pPr>
          </w:p>
        </w:tc>
        <w:tc>
          <w:tcPr>
            <w:tcW w:w="940" w:type="dxa"/>
            <w:vAlign w:val="bottom"/>
          </w:tcPr>
          <w:p>
            <w:pPr>
              <w:spacing w:after="0"/>
              <w:rPr>
                <w:sz w:val="4"/>
                <w:szCs w:val="4"/>
                <w:color w:val="auto"/>
              </w:rPr>
            </w:pPr>
          </w:p>
        </w:tc>
      </w:tr>
      <w:tr>
        <w:trPr>
          <w:trHeight w:val="235"/>
        </w:trPr>
        <w:tc>
          <w:tcPr>
            <w:tcW w:w="5240" w:type="dxa"/>
            <w:vAlign w:val="bottom"/>
          </w:tcPr>
          <w:p>
            <w:pPr>
              <w:ind w:left="100"/>
              <w:spacing w:after="0"/>
              <w:rPr>
                <w:sz w:val="20"/>
                <w:szCs w:val="20"/>
                <w:color w:val="auto"/>
              </w:rPr>
            </w:pPr>
            <w:r>
              <w:rPr>
                <w:rFonts w:ascii="Arial" w:cs="Arial" w:eastAsia="Arial" w:hAnsi="Arial"/>
                <w:sz w:val="18"/>
                <w:szCs w:val="18"/>
                <w:b w:val="1"/>
                <w:bCs w:val="1"/>
                <w:color w:val="auto"/>
              </w:rPr>
              <w:t>Beginning balance</w:t>
            </w:r>
          </w:p>
        </w:tc>
        <w:tc>
          <w:tcPr>
            <w:tcW w:w="300" w:type="dxa"/>
            <w:vAlign w:val="bottom"/>
            <w:shd w:val="clear" w:color="auto" w:fill="DAE9F8"/>
          </w:tcPr>
          <w:p>
            <w:pPr>
              <w:spacing w:after="0"/>
              <w:rPr>
                <w:sz w:val="20"/>
                <w:szCs w:val="20"/>
                <w:color w:val="auto"/>
              </w:rPr>
            </w:pPr>
          </w:p>
        </w:tc>
        <w:tc>
          <w:tcPr>
            <w:tcW w:w="1780" w:type="dxa"/>
            <w:vAlign w:val="bottom"/>
            <w:shd w:val="clear" w:color="auto" w:fill="DAE9F8"/>
          </w:tcPr>
          <w:p>
            <w:pPr>
              <w:jc w:val="right"/>
              <w:spacing w:after="0"/>
              <w:rPr>
                <w:sz w:val="20"/>
                <w:szCs w:val="20"/>
                <w:color w:val="auto"/>
              </w:rPr>
            </w:pPr>
            <w:r>
              <w:rPr>
                <w:rFonts w:ascii="Arial" w:cs="Arial" w:eastAsia="Arial" w:hAnsi="Arial"/>
                <w:sz w:val="18"/>
                <w:szCs w:val="18"/>
                <w:b w:val="1"/>
                <w:bCs w:val="1"/>
                <w:color w:val="auto"/>
              </w:rPr>
              <w:t>1,419,216</w:t>
            </w:r>
          </w:p>
        </w:tc>
        <w:tc>
          <w:tcPr>
            <w:tcW w:w="940" w:type="dxa"/>
            <w:vAlign w:val="bottom"/>
            <w:tcBorders>
              <w:left w:val="single" w:sz="8" w:color="DAE9F8"/>
            </w:tcBorders>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1,223,457</w:t>
            </w:r>
          </w:p>
        </w:tc>
      </w:tr>
      <w:tr>
        <w:trPr>
          <w:trHeight w:val="36"/>
        </w:trPr>
        <w:tc>
          <w:tcPr>
            <w:tcW w:w="5240" w:type="dxa"/>
            <w:vAlign w:val="bottom"/>
          </w:tcPr>
          <w:p>
            <w:pPr>
              <w:spacing w:after="0"/>
              <w:rPr>
                <w:sz w:val="3"/>
                <w:szCs w:val="3"/>
                <w:color w:val="auto"/>
              </w:rPr>
            </w:pPr>
          </w:p>
        </w:tc>
        <w:tc>
          <w:tcPr>
            <w:tcW w:w="300" w:type="dxa"/>
            <w:vAlign w:val="bottom"/>
            <w:shd w:val="clear" w:color="auto" w:fill="DAE9F8"/>
          </w:tcPr>
          <w:p>
            <w:pPr>
              <w:spacing w:after="0"/>
              <w:rPr>
                <w:sz w:val="3"/>
                <w:szCs w:val="3"/>
                <w:color w:val="auto"/>
              </w:rPr>
            </w:pPr>
          </w:p>
        </w:tc>
        <w:tc>
          <w:tcPr>
            <w:tcW w:w="1780" w:type="dxa"/>
            <w:vAlign w:val="bottom"/>
            <w:shd w:val="clear" w:color="auto" w:fill="DAE9F8"/>
          </w:tcPr>
          <w:p>
            <w:pPr>
              <w:spacing w:after="0"/>
              <w:rPr>
                <w:sz w:val="3"/>
                <w:szCs w:val="3"/>
                <w:color w:val="auto"/>
              </w:rPr>
            </w:pPr>
          </w:p>
        </w:tc>
        <w:tc>
          <w:tcPr>
            <w:tcW w:w="940" w:type="dxa"/>
            <w:vAlign w:val="bottom"/>
            <w:tcBorders>
              <w:left w:val="single" w:sz="8" w:color="DAE9F8"/>
            </w:tcBorders>
          </w:tcPr>
          <w:p>
            <w:pPr>
              <w:spacing w:after="0"/>
              <w:rPr>
                <w:sz w:val="3"/>
                <w:szCs w:val="3"/>
                <w:color w:val="auto"/>
              </w:rPr>
            </w:pPr>
          </w:p>
        </w:tc>
        <w:tc>
          <w:tcPr>
            <w:tcW w:w="940" w:type="dxa"/>
            <w:vAlign w:val="bottom"/>
          </w:tcPr>
          <w:p>
            <w:pPr>
              <w:spacing w:after="0"/>
              <w:rPr>
                <w:sz w:val="3"/>
                <w:szCs w:val="3"/>
                <w:color w:val="auto"/>
              </w:rPr>
            </w:pPr>
          </w:p>
        </w:tc>
      </w:tr>
      <w:tr>
        <w:trPr>
          <w:trHeight w:val="235"/>
        </w:trPr>
        <w:tc>
          <w:tcPr>
            <w:tcW w:w="5240" w:type="dxa"/>
            <w:vAlign w:val="bottom"/>
          </w:tcPr>
          <w:p>
            <w:pPr>
              <w:ind w:left="100"/>
              <w:spacing w:after="0"/>
              <w:rPr>
                <w:sz w:val="20"/>
                <w:szCs w:val="20"/>
                <w:color w:val="auto"/>
              </w:rPr>
            </w:pPr>
            <w:r>
              <w:rPr>
                <w:rFonts w:ascii="Arial" w:cs="Arial" w:eastAsia="Arial" w:hAnsi="Arial"/>
                <w:sz w:val="18"/>
                <w:szCs w:val="18"/>
                <w:color w:val="auto"/>
              </w:rPr>
              <w:t>Proceeds from new loans</w:t>
            </w:r>
          </w:p>
        </w:tc>
        <w:tc>
          <w:tcPr>
            <w:tcW w:w="300" w:type="dxa"/>
            <w:vAlign w:val="bottom"/>
            <w:shd w:val="clear" w:color="auto" w:fill="DAE9F8"/>
          </w:tcPr>
          <w:p>
            <w:pPr>
              <w:spacing w:after="0"/>
              <w:rPr>
                <w:sz w:val="20"/>
                <w:szCs w:val="20"/>
                <w:color w:val="auto"/>
              </w:rPr>
            </w:pPr>
          </w:p>
        </w:tc>
        <w:tc>
          <w:tcPr>
            <w:tcW w:w="1780" w:type="dxa"/>
            <w:vAlign w:val="bottom"/>
            <w:shd w:val="clear" w:color="auto" w:fill="DAE9F8"/>
          </w:tcPr>
          <w:p>
            <w:pPr>
              <w:jc w:val="right"/>
              <w:spacing w:after="0"/>
              <w:rPr>
                <w:sz w:val="20"/>
                <w:szCs w:val="20"/>
                <w:color w:val="auto"/>
              </w:rPr>
            </w:pPr>
            <w:r>
              <w:rPr>
                <w:rFonts w:ascii="Arial" w:cs="Arial" w:eastAsia="Arial" w:hAnsi="Arial"/>
                <w:sz w:val="18"/>
                <w:szCs w:val="18"/>
                <w:color w:val="auto"/>
              </w:rPr>
              <w:t>216,330</w:t>
            </w:r>
          </w:p>
        </w:tc>
        <w:tc>
          <w:tcPr>
            <w:tcW w:w="940" w:type="dxa"/>
            <w:vAlign w:val="bottom"/>
            <w:tcBorders>
              <w:left w:val="single" w:sz="8" w:color="DAE9F8"/>
            </w:tcBorders>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471,878</w:t>
            </w:r>
          </w:p>
        </w:tc>
      </w:tr>
      <w:tr>
        <w:trPr>
          <w:trHeight w:val="36"/>
        </w:trPr>
        <w:tc>
          <w:tcPr>
            <w:tcW w:w="5240" w:type="dxa"/>
            <w:vAlign w:val="bottom"/>
          </w:tcPr>
          <w:p>
            <w:pPr>
              <w:spacing w:after="0"/>
              <w:rPr>
                <w:sz w:val="3"/>
                <w:szCs w:val="3"/>
                <w:color w:val="auto"/>
              </w:rPr>
            </w:pPr>
          </w:p>
        </w:tc>
        <w:tc>
          <w:tcPr>
            <w:tcW w:w="300" w:type="dxa"/>
            <w:vAlign w:val="bottom"/>
            <w:shd w:val="clear" w:color="auto" w:fill="DAE9F8"/>
          </w:tcPr>
          <w:p>
            <w:pPr>
              <w:spacing w:after="0"/>
              <w:rPr>
                <w:sz w:val="3"/>
                <w:szCs w:val="3"/>
                <w:color w:val="auto"/>
              </w:rPr>
            </w:pPr>
          </w:p>
        </w:tc>
        <w:tc>
          <w:tcPr>
            <w:tcW w:w="1780" w:type="dxa"/>
            <w:vAlign w:val="bottom"/>
            <w:shd w:val="clear" w:color="auto" w:fill="DAE9F8"/>
          </w:tcPr>
          <w:p>
            <w:pPr>
              <w:spacing w:after="0"/>
              <w:rPr>
                <w:sz w:val="3"/>
                <w:szCs w:val="3"/>
                <w:color w:val="auto"/>
              </w:rPr>
            </w:pPr>
          </w:p>
        </w:tc>
        <w:tc>
          <w:tcPr>
            <w:tcW w:w="940" w:type="dxa"/>
            <w:vAlign w:val="bottom"/>
            <w:tcBorders>
              <w:left w:val="single" w:sz="8" w:color="DAE9F8"/>
            </w:tcBorders>
          </w:tcPr>
          <w:p>
            <w:pPr>
              <w:spacing w:after="0"/>
              <w:rPr>
                <w:sz w:val="3"/>
                <w:szCs w:val="3"/>
                <w:color w:val="auto"/>
              </w:rPr>
            </w:pPr>
          </w:p>
        </w:tc>
        <w:tc>
          <w:tcPr>
            <w:tcW w:w="940" w:type="dxa"/>
            <w:vAlign w:val="bottom"/>
          </w:tcPr>
          <w:p>
            <w:pPr>
              <w:spacing w:after="0"/>
              <w:rPr>
                <w:sz w:val="3"/>
                <w:szCs w:val="3"/>
                <w:color w:val="auto"/>
              </w:rPr>
            </w:pPr>
          </w:p>
        </w:tc>
      </w:tr>
      <w:tr>
        <w:trPr>
          <w:trHeight w:val="235"/>
        </w:trPr>
        <w:tc>
          <w:tcPr>
            <w:tcW w:w="5240" w:type="dxa"/>
            <w:vAlign w:val="bottom"/>
          </w:tcPr>
          <w:p>
            <w:pPr>
              <w:ind w:left="100"/>
              <w:spacing w:after="0"/>
              <w:rPr>
                <w:sz w:val="20"/>
                <w:szCs w:val="20"/>
                <w:color w:val="auto"/>
              </w:rPr>
            </w:pPr>
            <w:r>
              <w:rPr>
                <w:rFonts w:ascii="Arial" w:cs="Arial" w:eastAsia="Arial" w:hAnsi="Arial"/>
                <w:sz w:val="18"/>
                <w:szCs w:val="18"/>
                <w:color w:val="auto"/>
              </w:rPr>
              <w:t>Accrued interests</w:t>
            </w:r>
          </w:p>
        </w:tc>
        <w:tc>
          <w:tcPr>
            <w:tcW w:w="300" w:type="dxa"/>
            <w:vAlign w:val="bottom"/>
            <w:shd w:val="clear" w:color="auto" w:fill="DAE9F8"/>
          </w:tcPr>
          <w:p>
            <w:pPr>
              <w:spacing w:after="0"/>
              <w:rPr>
                <w:sz w:val="20"/>
                <w:szCs w:val="20"/>
                <w:color w:val="auto"/>
              </w:rPr>
            </w:pPr>
          </w:p>
        </w:tc>
        <w:tc>
          <w:tcPr>
            <w:tcW w:w="1780" w:type="dxa"/>
            <w:vAlign w:val="bottom"/>
            <w:shd w:val="clear" w:color="auto" w:fill="DAE9F8"/>
          </w:tcPr>
          <w:p>
            <w:pPr>
              <w:jc w:val="right"/>
              <w:spacing w:after="0"/>
              <w:rPr>
                <w:sz w:val="20"/>
                <w:szCs w:val="20"/>
                <w:color w:val="auto"/>
              </w:rPr>
            </w:pPr>
            <w:r>
              <w:rPr>
                <w:rFonts w:ascii="Arial" w:cs="Arial" w:eastAsia="Arial" w:hAnsi="Arial"/>
                <w:sz w:val="18"/>
                <w:szCs w:val="18"/>
                <w:color w:val="auto"/>
              </w:rPr>
              <w:t>132,770</w:t>
            </w:r>
          </w:p>
        </w:tc>
        <w:tc>
          <w:tcPr>
            <w:tcW w:w="940" w:type="dxa"/>
            <w:vAlign w:val="bottom"/>
            <w:tcBorders>
              <w:left w:val="single" w:sz="8" w:color="DAE9F8"/>
            </w:tcBorders>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118,502</w:t>
            </w:r>
          </w:p>
        </w:tc>
      </w:tr>
      <w:tr>
        <w:trPr>
          <w:trHeight w:val="36"/>
        </w:trPr>
        <w:tc>
          <w:tcPr>
            <w:tcW w:w="5240" w:type="dxa"/>
            <w:vAlign w:val="bottom"/>
          </w:tcPr>
          <w:p>
            <w:pPr>
              <w:spacing w:after="0"/>
              <w:rPr>
                <w:sz w:val="3"/>
                <w:szCs w:val="3"/>
                <w:color w:val="auto"/>
              </w:rPr>
            </w:pPr>
          </w:p>
        </w:tc>
        <w:tc>
          <w:tcPr>
            <w:tcW w:w="300" w:type="dxa"/>
            <w:vAlign w:val="bottom"/>
            <w:shd w:val="clear" w:color="auto" w:fill="DAE9F8"/>
          </w:tcPr>
          <w:p>
            <w:pPr>
              <w:spacing w:after="0"/>
              <w:rPr>
                <w:sz w:val="3"/>
                <w:szCs w:val="3"/>
                <w:color w:val="auto"/>
              </w:rPr>
            </w:pPr>
          </w:p>
        </w:tc>
        <w:tc>
          <w:tcPr>
            <w:tcW w:w="1780" w:type="dxa"/>
            <w:vAlign w:val="bottom"/>
            <w:shd w:val="clear" w:color="auto" w:fill="DAE9F8"/>
          </w:tcPr>
          <w:p>
            <w:pPr>
              <w:spacing w:after="0"/>
              <w:rPr>
                <w:sz w:val="3"/>
                <w:szCs w:val="3"/>
                <w:color w:val="auto"/>
              </w:rPr>
            </w:pPr>
          </w:p>
        </w:tc>
        <w:tc>
          <w:tcPr>
            <w:tcW w:w="940" w:type="dxa"/>
            <w:vAlign w:val="bottom"/>
            <w:tcBorders>
              <w:left w:val="single" w:sz="8" w:color="DAE9F8"/>
            </w:tcBorders>
          </w:tcPr>
          <w:p>
            <w:pPr>
              <w:spacing w:after="0"/>
              <w:rPr>
                <w:sz w:val="3"/>
                <w:szCs w:val="3"/>
                <w:color w:val="auto"/>
              </w:rPr>
            </w:pPr>
          </w:p>
        </w:tc>
        <w:tc>
          <w:tcPr>
            <w:tcW w:w="940" w:type="dxa"/>
            <w:vAlign w:val="bottom"/>
          </w:tcPr>
          <w:p>
            <w:pPr>
              <w:spacing w:after="0"/>
              <w:rPr>
                <w:sz w:val="3"/>
                <w:szCs w:val="3"/>
                <w:color w:val="auto"/>
              </w:rPr>
            </w:pPr>
          </w:p>
        </w:tc>
      </w:tr>
      <w:tr>
        <w:trPr>
          <w:trHeight w:val="235"/>
        </w:trPr>
        <w:tc>
          <w:tcPr>
            <w:tcW w:w="5240" w:type="dxa"/>
            <w:vAlign w:val="bottom"/>
          </w:tcPr>
          <w:p>
            <w:pPr>
              <w:ind w:left="100"/>
              <w:spacing w:after="0"/>
              <w:rPr>
                <w:sz w:val="20"/>
                <w:szCs w:val="20"/>
                <w:color w:val="auto"/>
              </w:rPr>
            </w:pPr>
            <w:r>
              <w:rPr>
                <w:rFonts w:ascii="Arial" w:cs="Arial" w:eastAsia="Arial" w:hAnsi="Arial"/>
                <w:sz w:val="18"/>
                <w:szCs w:val="18"/>
                <w:color w:val="auto"/>
              </w:rPr>
              <w:t>Conversion of loans to equity — debt restructuring (Note 17)</w:t>
            </w:r>
          </w:p>
        </w:tc>
        <w:tc>
          <w:tcPr>
            <w:tcW w:w="300" w:type="dxa"/>
            <w:vAlign w:val="bottom"/>
            <w:shd w:val="clear" w:color="auto" w:fill="DAE9F8"/>
          </w:tcPr>
          <w:p>
            <w:pPr>
              <w:spacing w:after="0"/>
              <w:rPr>
                <w:sz w:val="20"/>
                <w:szCs w:val="20"/>
                <w:color w:val="auto"/>
              </w:rPr>
            </w:pPr>
          </w:p>
        </w:tc>
        <w:tc>
          <w:tcPr>
            <w:tcW w:w="1780" w:type="dxa"/>
            <w:vAlign w:val="bottom"/>
            <w:shd w:val="clear" w:color="auto" w:fill="DAE9F8"/>
          </w:tcPr>
          <w:p>
            <w:pPr>
              <w:jc w:val="right"/>
              <w:spacing w:after="0"/>
              <w:rPr>
                <w:sz w:val="20"/>
                <w:szCs w:val="20"/>
                <w:color w:val="auto"/>
              </w:rPr>
            </w:pPr>
            <w:r>
              <w:rPr>
                <w:rFonts w:ascii="Arial" w:cs="Arial" w:eastAsia="Arial" w:hAnsi="Arial"/>
                <w:sz w:val="18"/>
                <w:szCs w:val="18"/>
                <w:color w:val="auto"/>
              </w:rPr>
              <w:t>(235,956)</w:t>
            </w:r>
          </w:p>
        </w:tc>
        <w:tc>
          <w:tcPr>
            <w:tcW w:w="940" w:type="dxa"/>
            <w:vAlign w:val="bottom"/>
            <w:tcBorders>
              <w:left w:val="single" w:sz="8" w:color="DAE9F8"/>
            </w:tcBorders>
          </w:tcPr>
          <w:p>
            <w:pPr>
              <w:spacing w:after="0"/>
              <w:rPr>
                <w:sz w:val="20"/>
                <w:szCs w:val="20"/>
                <w:color w:val="auto"/>
              </w:rPr>
            </w:pPr>
          </w:p>
        </w:tc>
        <w:tc>
          <w:tcPr>
            <w:tcW w:w="940" w:type="dxa"/>
            <w:vAlign w:val="bottom"/>
          </w:tcPr>
          <w:p>
            <w:pPr>
              <w:spacing w:after="0"/>
              <w:rPr>
                <w:sz w:val="20"/>
                <w:szCs w:val="20"/>
                <w:color w:val="auto"/>
              </w:rPr>
            </w:pPr>
          </w:p>
        </w:tc>
      </w:tr>
      <w:tr>
        <w:trPr>
          <w:trHeight w:val="36"/>
        </w:trPr>
        <w:tc>
          <w:tcPr>
            <w:tcW w:w="5240" w:type="dxa"/>
            <w:vAlign w:val="bottom"/>
          </w:tcPr>
          <w:p>
            <w:pPr>
              <w:spacing w:after="0"/>
              <w:rPr>
                <w:sz w:val="3"/>
                <w:szCs w:val="3"/>
                <w:color w:val="auto"/>
              </w:rPr>
            </w:pPr>
          </w:p>
        </w:tc>
        <w:tc>
          <w:tcPr>
            <w:tcW w:w="300" w:type="dxa"/>
            <w:vAlign w:val="bottom"/>
            <w:shd w:val="clear" w:color="auto" w:fill="DAE9F8"/>
          </w:tcPr>
          <w:p>
            <w:pPr>
              <w:spacing w:after="0"/>
              <w:rPr>
                <w:sz w:val="3"/>
                <w:szCs w:val="3"/>
                <w:color w:val="auto"/>
              </w:rPr>
            </w:pPr>
          </w:p>
        </w:tc>
        <w:tc>
          <w:tcPr>
            <w:tcW w:w="1780" w:type="dxa"/>
            <w:vAlign w:val="bottom"/>
            <w:shd w:val="clear" w:color="auto" w:fill="DAE9F8"/>
          </w:tcPr>
          <w:p>
            <w:pPr>
              <w:spacing w:after="0"/>
              <w:rPr>
                <w:sz w:val="3"/>
                <w:szCs w:val="3"/>
                <w:color w:val="auto"/>
              </w:rPr>
            </w:pPr>
          </w:p>
        </w:tc>
        <w:tc>
          <w:tcPr>
            <w:tcW w:w="940" w:type="dxa"/>
            <w:vAlign w:val="bottom"/>
            <w:tcBorders>
              <w:left w:val="single" w:sz="8" w:color="DAE9F8"/>
            </w:tcBorders>
          </w:tcPr>
          <w:p>
            <w:pPr>
              <w:spacing w:after="0"/>
              <w:rPr>
                <w:sz w:val="3"/>
                <w:szCs w:val="3"/>
                <w:color w:val="auto"/>
              </w:rPr>
            </w:pPr>
          </w:p>
        </w:tc>
        <w:tc>
          <w:tcPr>
            <w:tcW w:w="940" w:type="dxa"/>
            <w:vAlign w:val="bottom"/>
          </w:tcPr>
          <w:p>
            <w:pPr>
              <w:spacing w:after="0"/>
              <w:rPr>
                <w:sz w:val="3"/>
                <w:szCs w:val="3"/>
                <w:color w:val="auto"/>
              </w:rPr>
            </w:pPr>
          </w:p>
        </w:tc>
      </w:tr>
      <w:tr>
        <w:trPr>
          <w:trHeight w:val="235"/>
        </w:trPr>
        <w:tc>
          <w:tcPr>
            <w:tcW w:w="5240" w:type="dxa"/>
            <w:vAlign w:val="bottom"/>
          </w:tcPr>
          <w:p>
            <w:pPr>
              <w:ind w:left="100"/>
              <w:spacing w:after="0"/>
              <w:rPr>
                <w:sz w:val="20"/>
                <w:szCs w:val="20"/>
                <w:color w:val="auto"/>
              </w:rPr>
            </w:pPr>
            <w:r>
              <w:rPr>
                <w:rFonts w:ascii="Arial" w:cs="Arial" w:eastAsia="Arial" w:hAnsi="Arial"/>
                <w:sz w:val="18"/>
                <w:szCs w:val="18"/>
                <w:color w:val="auto"/>
              </w:rPr>
              <w:t>Principal payments</w:t>
            </w:r>
          </w:p>
        </w:tc>
        <w:tc>
          <w:tcPr>
            <w:tcW w:w="300" w:type="dxa"/>
            <w:vAlign w:val="bottom"/>
            <w:shd w:val="clear" w:color="auto" w:fill="DAE9F8"/>
          </w:tcPr>
          <w:p>
            <w:pPr>
              <w:spacing w:after="0"/>
              <w:rPr>
                <w:sz w:val="20"/>
                <w:szCs w:val="20"/>
                <w:color w:val="auto"/>
              </w:rPr>
            </w:pPr>
          </w:p>
        </w:tc>
        <w:tc>
          <w:tcPr>
            <w:tcW w:w="1780" w:type="dxa"/>
            <w:vAlign w:val="bottom"/>
            <w:shd w:val="clear" w:color="auto" w:fill="DAE9F8"/>
          </w:tcPr>
          <w:p>
            <w:pPr>
              <w:jc w:val="right"/>
              <w:spacing w:after="0"/>
              <w:rPr>
                <w:sz w:val="20"/>
                <w:szCs w:val="20"/>
                <w:color w:val="auto"/>
              </w:rPr>
            </w:pPr>
            <w:r>
              <w:rPr>
                <w:rFonts w:ascii="Arial" w:cs="Arial" w:eastAsia="Arial" w:hAnsi="Arial"/>
                <w:sz w:val="18"/>
                <w:szCs w:val="18"/>
                <w:color w:val="auto"/>
              </w:rPr>
              <w:t>(130,938)</w:t>
            </w:r>
          </w:p>
        </w:tc>
        <w:tc>
          <w:tcPr>
            <w:tcW w:w="940" w:type="dxa"/>
            <w:vAlign w:val="bottom"/>
            <w:tcBorders>
              <w:left w:val="single" w:sz="8" w:color="DAE9F8"/>
            </w:tcBorders>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(361,167</w:t>
            </w:r>
          </w:p>
        </w:tc>
      </w:tr>
      <w:tr>
        <w:trPr>
          <w:trHeight w:val="36"/>
        </w:trPr>
        <w:tc>
          <w:tcPr>
            <w:tcW w:w="5240" w:type="dxa"/>
            <w:vAlign w:val="bottom"/>
          </w:tcPr>
          <w:p>
            <w:pPr>
              <w:spacing w:after="0"/>
              <w:rPr>
                <w:sz w:val="3"/>
                <w:szCs w:val="3"/>
                <w:color w:val="auto"/>
              </w:rPr>
            </w:pPr>
          </w:p>
        </w:tc>
        <w:tc>
          <w:tcPr>
            <w:tcW w:w="300" w:type="dxa"/>
            <w:vAlign w:val="bottom"/>
            <w:shd w:val="clear" w:color="auto" w:fill="DAE9F8"/>
          </w:tcPr>
          <w:p>
            <w:pPr>
              <w:spacing w:after="0"/>
              <w:rPr>
                <w:sz w:val="3"/>
                <w:szCs w:val="3"/>
                <w:color w:val="auto"/>
              </w:rPr>
            </w:pPr>
          </w:p>
        </w:tc>
        <w:tc>
          <w:tcPr>
            <w:tcW w:w="1780" w:type="dxa"/>
            <w:vAlign w:val="bottom"/>
            <w:shd w:val="clear" w:color="auto" w:fill="DAE9F8"/>
          </w:tcPr>
          <w:p>
            <w:pPr>
              <w:spacing w:after="0"/>
              <w:rPr>
                <w:sz w:val="3"/>
                <w:szCs w:val="3"/>
                <w:color w:val="auto"/>
              </w:rPr>
            </w:pPr>
          </w:p>
        </w:tc>
        <w:tc>
          <w:tcPr>
            <w:tcW w:w="940" w:type="dxa"/>
            <w:vAlign w:val="bottom"/>
            <w:tcBorders>
              <w:left w:val="single" w:sz="8" w:color="DAE9F8"/>
            </w:tcBorders>
          </w:tcPr>
          <w:p>
            <w:pPr>
              <w:spacing w:after="0"/>
              <w:rPr>
                <w:sz w:val="3"/>
                <w:szCs w:val="3"/>
                <w:color w:val="auto"/>
              </w:rPr>
            </w:pPr>
          </w:p>
        </w:tc>
        <w:tc>
          <w:tcPr>
            <w:tcW w:w="940" w:type="dxa"/>
            <w:vAlign w:val="bottom"/>
          </w:tcPr>
          <w:p>
            <w:pPr>
              <w:spacing w:after="0"/>
              <w:rPr>
                <w:sz w:val="3"/>
                <w:szCs w:val="3"/>
                <w:color w:val="auto"/>
              </w:rPr>
            </w:pPr>
          </w:p>
        </w:tc>
      </w:tr>
      <w:tr>
        <w:trPr>
          <w:trHeight w:val="235"/>
        </w:trPr>
        <w:tc>
          <w:tcPr>
            <w:tcW w:w="5240" w:type="dxa"/>
            <w:vAlign w:val="bottom"/>
          </w:tcPr>
          <w:p>
            <w:pPr>
              <w:ind w:left="100"/>
              <w:spacing w:after="0"/>
              <w:rPr>
                <w:sz w:val="20"/>
                <w:szCs w:val="20"/>
                <w:color w:val="auto"/>
              </w:rPr>
            </w:pPr>
            <w:r>
              <w:rPr>
                <w:rFonts w:ascii="Arial" w:cs="Arial" w:eastAsia="Arial" w:hAnsi="Arial"/>
                <w:sz w:val="18"/>
                <w:szCs w:val="18"/>
                <w:color w:val="auto"/>
              </w:rPr>
              <w:t>Interest settled/paid</w:t>
            </w:r>
          </w:p>
        </w:tc>
        <w:tc>
          <w:tcPr>
            <w:tcW w:w="300" w:type="dxa"/>
            <w:vAlign w:val="bottom"/>
            <w:shd w:val="clear" w:color="auto" w:fill="DAE9F8"/>
          </w:tcPr>
          <w:p>
            <w:pPr>
              <w:spacing w:after="0"/>
              <w:rPr>
                <w:sz w:val="20"/>
                <w:szCs w:val="20"/>
                <w:color w:val="auto"/>
              </w:rPr>
            </w:pPr>
          </w:p>
        </w:tc>
        <w:tc>
          <w:tcPr>
            <w:tcW w:w="1780" w:type="dxa"/>
            <w:vAlign w:val="bottom"/>
            <w:shd w:val="clear" w:color="auto" w:fill="DAE9F8"/>
          </w:tcPr>
          <w:p>
            <w:pPr>
              <w:jc w:val="right"/>
              <w:spacing w:after="0"/>
              <w:rPr>
                <w:sz w:val="20"/>
                <w:szCs w:val="20"/>
                <w:color w:val="auto"/>
              </w:rPr>
            </w:pPr>
            <w:r>
              <w:rPr>
                <w:rFonts w:ascii="Arial" w:cs="Arial" w:eastAsia="Arial" w:hAnsi="Arial"/>
                <w:sz w:val="18"/>
                <w:szCs w:val="18"/>
                <w:color w:val="auto"/>
              </w:rPr>
              <w:t>(23,122)</w:t>
            </w:r>
          </w:p>
        </w:tc>
        <w:tc>
          <w:tcPr>
            <w:tcW w:w="940" w:type="dxa"/>
            <w:vAlign w:val="bottom"/>
            <w:tcBorders>
              <w:left w:val="single" w:sz="8" w:color="DAE9F8"/>
            </w:tcBorders>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(27,869</w:t>
            </w:r>
          </w:p>
        </w:tc>
      </w:tr>
      <w:tr>
        <w:trPr>
          <w:trHeight w:val="36"/>
        </w:trPr>
        <w:tc>
          <w:tcPr>
            <w:tcW w:w="5240" w:type="dxa"/>
            <w:vAlign w:val="bottom"/>
          </w:tcPr>
          <w:p>
            <w:pPr>
              <w:spacing w:after="0"/>
              <w:rPr>
                <w:sz w:val="3"/>
                <w:szCs w:val="3"/>
                <w:color w:val="auto"/>
              </w:rPr>
            </w:pPr>
          </w:p>
        </w:tc>
        <w:tc>
          <w:tcPr>
            <w:tcW w:w="300" w:type="dxa"/>
            <w:vAlign w:val="bottom"/>
            <w:shd w:val="clear" w:color="auto" w:fill="DAE9F8"/>
          </w:tcPr>
          <w:p>
            <w:pPr>
              <w:spacing w:after="0"/>
              <w:rPr>
                <w:sz w:val="3"/>
                <w:szCs w:val="3"/>
                <w:color w:val="auto"/>
              </w:rPr>
            </w:pPr>
          </w:p>
        </w:tc>
        <w:tc>
          <w:tcPr>
            <w:tcW w:w="1780" w:type="dxa"/>
            <w:vAlign w:val="bottom"/>
            <w:shd w:val="clear" w:color="auto" w:fill="DAE9F8"/>
          </w:tcPr>
          <w:p>
            <w:pPr>
              <w:spacing w:after="0"/>
              <w:rPr>
                <w:sz w:val="3"/>
                <w:szCs w:val="3"/>
                <w:color w:val="auto"/>
              </w:rPr>
            </w:pPr>
          </w:p>
        </w:tc>
        <w:tc>
          <w:tcPr>
            <w:tcW w:w="940" w:type="dxa"/>
            <w:vAlign w:val="bottom"/>
            <w:tcBorders>
              <w:left w:val="single" w:sz="8" w:color="DAE9F8"/>
            </w:tcBorders>
          </w:tcPr>
          <w:p>
            <w:pPr>
              <w:spacing w:after="0"/>
              <w:rPr>
                <w:sz w:val="3"/>
                <w:szCs w:val="3"/>
                <w:color w:val="auto"/>
              </w:rPr>
            </w:pPr>
          </w:p>
        </w:tc>
        <w:tc>
          <w:tcPr>
            <w:tcW w:w="940" w:type="dxa"/>
            <w:vAlign w:val="bottom"/>
          </w:tcPr>
          <w:p>
            <w:pPr>
              <w:spacing w:after="0"/>
              <w:rPr>
                <w:sz w:val="3"/>
                <w:szCs w:val="3"/>
                <w:color w:val="auto"/>
              </w:rPr>
            </w:pPr>
          </w:p>
        </w:tc>
      </w:tr>
      <w:tr>
        <w:trPr>
          <w:trHeight w:val="235"/>
        </w:trPr>
        <w:tc>
          <w:tcPr>
            <w:tcW w:w="5240" w:type="dxa"/>
            <w:vAlign w:val="bottom"/>
          </w:tcPr>
          <w:p>
            <w:pPr>
              <w:ind w:left="100"/>
              <w:spacing w:after="0"/>
              <w:rPr>
                <w:sz w:val="20"/>
                <w:szCs w:val="20"/>
                <w:color w:val="auto"/>
              </w:rPr>
            </w:pPr>
            <w:r>
              <w:rPr>
                <w:rFonts w:ascii="Arial" w:cs="Arial" w:eastAsia="Arial" w:hAnsi="Arial"/>
                <w:sz w:val="18"/>
                <w:szCs w:val="18"/>
                <w:color w:val="auto"/>
              </w:rPr>
              <w:t>Others</w:t>
            </w:r>
          </w:p>
        </w:tc>
        <w:tc>
          <w:tcPr>
            <w:tcW w:w="300" w:type="dxa"/>
            <w:vAlign w:val="bottom"/>
            <w:shd w:val="clear" w:color="auto" w:fill="DAE9F8"/>
          </w:tcPr>
          <w:p>
            <w:pPr>
              <w:spacing w:after="0"/>
              <w:rPr>
                <w:sz w:val="20"/>
                <w:szCs w:val="20"/>
                <w:color w:val="auto"/>
              </w:rPr>
            </w:pPr>
          </w:p>
        </w:tc>
        <w:tc>
          <w:tcPr>
            <w:tcW w:w="1780" w:type="dxa"/>
            <w:vAlign w:val="bottom"/>
            <w:shd w:val="clear" w:color="auto" w:fill="DAE9F8"/>
          </w:tcPr>
          <w:p>
            <w:pPr>
              <w:jc w:val="right"/>
              <w:spacing w:after="0"/>
              <w:rPr>
                <w:sz w:val="20"/>
                <w:szCs w:val="20"/>
                <w:color w:val="auto"/>
              </w:rPr>
            </w:pPr>
            <w:r>
              <w:rPr>
                <w:rFonts w:ascii="Arial" w:cs="Arial" w:eastAsia="Arial" w:hAnsi="Arial"/>
                <w:sz w:val="18"/>
                <w:szCs w:val="18"/>
                <w:color w:val="auto"/>
              </w:rPr>
              <w:t>(2,171)</w:t>
            </w:r>
          </w:p>
        </w:tc>
        <w:tc>
          <w:tcPr>
            <w:tcW w:w="940" w:type="dxa"/>
            <w:vAlign w:val="bottom"/>
            <w:tcBorders>
              <w:left w:val="single" w:sz="8" w:color="DAE9F8"/>
            </w:tcBorders>
          </w:tcPr>
          <w:p>
            <w:pPr>
              <w:spacing w:after="0"/>
              <w:rPr>
                <w:sz w:val="20"/>
                <w:szCs w:val="20"/>
                <w:color w:val="auto"/>
              </w:rPr>
            </w:pPr>
          </w:p>
        </w:tc>
        <w:tc>
          <w:tcPr>
            <w:tcW w:w="940" w:type="dxa"/>
            <w:vAlign w:val="bottom"/>
          </w:tcPr>
          <w:p>
            <w:pPr>
              <w:spacing w:after="0"/>
              <w:rPr>
                <w:sz w:val="20"/>
                <w:szCs w:val="20"/>
                <w:color w:val="auto"/>
              </w:rPr>
            </w:pPr>
          </w:p>
        </w:tc>
      </w:tr>
      <w:tr>
        <w:trPr>
          <w:trHeight w:val="36"/>
        </w:trPr>
        <w:tc>
          <w:tcPr>
            <w:tcW w:w="5240" w:type="dxa"/>
            <w:vAlign w:val="bottom"/>
          </w:tcPr>
          <w:p>
            <w:pPr>
              <w:spacing w:after="0"/>
              <w:rPr>
                <w:sz w:val="3"/>
                <w:szCs w:val="3"/>
                <w:color w:val="auto"/>
              </w:rPr>
            </w:pPr>
          </w:p>
        </w:tc>
        <w:tc>
          <w:tcPr>
            <w:tcW w:w="300" w:type="dxa"/>
            <w:vAlign w:val="bottom"/>
            <w:shd w:val="clear" w:color="auto" w:fill="DAE9F8"/>
          </w:tcPr>
          <w:p>
            <w:pPr>
              <w:spacing w:after="0"/>
              <w:rPr>
                <w:sz w:val="3"/>
                <w:szCs w:val="3"/>
                <w:color w:val="auto"/>
              </w:rPr>
            </w:pPr>
          </w:p>
        </w:tc>
        <w:tc>
          <w:tcPr>
            <w:tcW w:w="1780" w:type="dxa"/>
            <w:vAlign w:val="bottom"/>
            <w:shd w:val="clear" w:color="auto" w:fill="DAE9F8"/>
          </w:tcPr>
          <w:p>
            <w:pPr>
              <w:spacing w:after="0"/>
              <w:rPr>
                <w:sz w:val="3"/>
                <w:szCs w:val="3"/>
                <w:color w:val="auto"/>
              </w:rPr>
            </w:pPr>
          </w:p>
        </w:tc>
        <w:tc>
          <w:tcPr>
            <w:tcW w:w="940" w:type="dxa"/>
            <w:vAlign w:val="bottom"/>
            <w:tcBorders>
              <w:left w:val="single" w:sz="8" w:color="DAE9F8"/>
            </w:tcBorders>
          </w:tcPr>
          <w:p>
            <w:pPr>
              <w:spacing w:after="0"/>
              <w:rPr>
                <w:sz w:val="3"/>
                <w:szCs w:val="3"/>
                <w:color w:val="auto"/>
              </w:rPr>
            </w:pPr>
          </w:p>
        </w:tc>
        <w:tc>
          <w:tcPr>
            <w:tcW w:w="940" w:type="dxa"/>
            <w:vAlign w:val="bottom"/>
          </w:tcPr>
          <w:p>
            <w:pPr>
              <w:spacing w:after="0"/>
              <w:rPr>
                <w:sz w:val="3"/>
                <w:szCs w:val="3"/>
                <w:color w:val="auto"/>
              </w:rPr>
            </w:pPr>
          </w:p>
        </w:tc>
      </w:tr>
      <w:tr>
        <w:trPr>
          <w:trHeight w:val="245"/>
        </w:trPr>
        <w:tc>
          <w:tcPr>
            <w:tcW w:w="5240" w:type="dxa"/>
            <w:vAlign w:val="bottom"/>
          </w:tcPr>
          <w:p>
            <w:pPr>
              <w:ind w:left="100"/>
              <w:spacing w:after="0"/>
              <w:rPr>
                <w:sz w:val="20"/>
                <w:szCs w:val="20"/>
                <w:color w:val="auto"/>
              </w:rPr>
            </w:pPr>
            <w:r>
              <w:rPr>
                <w:rFonts w:ascii="Arial" w:cs="Arial" w:eastAsia="Arial" w:hAnsi="Arial"/>
                <w:sz w:val="18"/>
                <w:szCs w:val="18"/>
                <w:color w:val="auto"/>
              </w:rPr>
              <w:t>Fair value movement on embedded derivative (Note 18)</w:t>
            </w:r>
          </w:p>
        </w:tc>
        <w:tc>
          <w:tcPr>
            <w:tcW w:w="300" w:type="dxa"/>
            <w:vAlign w:val="bottom"/>
            <w:shd w:val="clear" w:color="auto" w:fill="DAE9F8"/>
          </w:tcPr>
          <w:p>
            <w:pPr>
              <w:spacing w:after="0"/>
              <w:rPr>
                <w:sz w:val="21"/>
                <w:szCs w:val="21"/>
                <w:color w:val="auto"/>
              </w:rPr>
            </w:pPr>
          </w:p>
        </w:tc>
        <w:tc>
          <w:tcPr>
            <w:tcW w:w="1780" w:type="dxa"/>
            <w:vAlign w:val="bottom"/>
            <w:shd w:val="clear" w:color="auto" w:fill="DAE9F8"/>
          </w:tcPr>
          <w:p>
            <w:pPr>
              <w:jc w:val="right"/>
              <w:spacing w:after="0"/>
              <w:rPr>
                <w:sz w:val="20"/>
                <w:szCs w:val="20"/>
                <w:color w:val="auto"/>
              </w:rPr>
            </w:pPr>
            <w:r>
              <w:rPr>
                <w:rFonts w:ascii="Arial" w:cs="Arial" w:eastAsia="Arial" w:hAnsi="Arial"/>
                <w:sz w:val="18"/>
                <w:szCs w:val="18"/>
                <w:color w:val="auto"/>
              </w:rPr>
              <w:t>(89,949)</w:t>
            </w:r>
          </w:p>
        </w:tc>
        <w:tc>
          <w:tcPr>
            <w:tcW w:w="940" w:type="dxa"/>
            <w:vAlign w:val="bottom"/>
            <w:tcBorders>
              <w:left w:val="single" w:sz="8" w:color="DAE9F8"/>
            </w:tcBorders>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(5,585</w:t>
            </w:r>
          </w:p>
        </w:tc>
      </w:tr>
      <w:tr>
        <w:trPr>
          <w:trHeight w:val="282"/>
        </w:trPr>
        <w:tc>
          <w:tcPr>
            <w:tcW w:w="5240" w:type="dxa"/>
            <w:vAlign w:val="bottom"/>
          </w:tcPr>
          <w:p>
            <w:pPr>
              <w:ind w:left="100"/>
              <w:spacing w:after="0"/>
              <w:rPr>
                <w:sz w:val="20"/>
                <w:szCs w:val="20"/>
                <w:color w:val="auto"/>
              </w:rPr>
            </w:pPr>
            <w:r>
              <w:rPr>
                <w:rFonts w:ascii="Arial" w:cs="Arial" w:eastAsia="Arial" w:hAnsi="Arial"/>
                <w:sz w:val="18"/>
                <w:szCs w:val="18"/>
                <w:b w:val="1"/>
                <w:bCs w:val="1"/>
                <w:color w:val="auto"/>
              </w:rPr>
              <w:t>Ending balance</w:t>
            </w:r>
          </w:p>
        </w:tc>
        <w:tc>
          <w:tcPr>
            <w:tcW w:w="300" w:type="dxa"/>
            <w:vAlign w:val="bottom"/>
            <w:shd w:val="clear" w:color="auto" w:fill="DAE9F8"/>
          </w:tcPr>
          <w:p>
            <w:pPr>
              <w:spacing w:after="0"/>
              <w:rPr>
                <w:sz w:val="24"/>
                <w:szCs w:val="24"/>
                <w:color w:val="auto"/>
              </w:rPr>
            </w:pPr>
          </w:p>
        </w:tc>
        <w:tc>
          <w:tcPr>
            <w:tcW w:w="1780" w:type="dxa"/>
            <w:vAlign w:val="bottom"/>
            <w:shd w:val="clear" w:color="auto" w:fill="DAE9F8"/>
          </w:tcPr>
          <w:p>
            <w:pPr>
              <w:jc w:val="right"/>
              <w:spacing w:after="0"/>
              <w:rPr>
                <w:sz w:val="20"/>
                <w:szCs w:val="20"/>
                <w:color w:val="auto"/>
              </w:rPr>
            </w:pPr>
            <w:r>
              <w:rPr>
                <w:rFonts w:ascii="Arial" w:cs="Arial" w:eastAsia="Arial" w:hAnsi="Arial"/>
                <w:sz w:val="18"/>
                <w:szCs w:val="18"/>
                <w:b w:val="1"/>
                <w:bCs w:val="1"/>
                <w:color w:val="auto"/>
              </w:rPr>
              <w:t>1,286,180</w:t>
            </w:r>
          </w:p>
        </w:tc>
        <w:tc>
          <w:tcPr>
            <w:tcW w:w="940" w:type="dxa"/>
            <w:vAlign w:val="bottom"/>
            <w:tcBorders>
              <w:left w:val="single" w:sz="8" w:color="DAE9F8"/>
            </w:tcBorders>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1,419,216</w:t>
            </w:r>
          </w:p>
        </w:tc>
      </w:tr>
      <w:tr>
        <w:trPr>
          <w:trHeight w:val="56"/>
        </w:trPr>
        <w:tc>
          <w:tcPr>
            <w:tcW w:w="5240" w:type="dxa"/>
            <w:vAlign w:val="bottom"/>
          </w:tcPr>
          <w:p>
            <w:pPr>
              <w:spacing w:after="0"/>
              <w:rPr>
                <w:sz w:val="4"/>
                <w:szCs w:val="4"/>
                <w:color w:val="auto"/>
              </w:rPr>
            </w:pPr>
          </w:p>
        </w:tc>
        <w:tc>
          <w:tcPr>
            <w:tcW w:w="300" w:type="dxa"/>
            <w:vAlign w:val="bottom"/>
            <w:shd w:val="clear" w:color="auto" w:fill="DAE9F8"/>
          </w:tcPr>
          <w:p>
            <w:pPr>
              <w:spacing w:after="0"/>
              <w:rPr>
                <w:sz w:val="4"/>
                <w:szCs w:val="4"/>
                <w:color w:val="auto"/>
              </w:rPr>
            </w:pPr>
          </w:p>
        </w:tc>
        <w:tc>
          <w:tcPr>
            <w:tcW w:w="1780" w:type="dxa"/>
            <w:vAlign w:val="bottom"/>
            <w:shd w:val="clear" w:color="auto" w:fill="DAE9F8"/>
          </w:tcPr>
          <w:p>
            <w:pPr>
              <w:spacing w:after="0"/>
              <w:rPr>
                <w:sz w:val="4"/>
                <w:szCs w:val="4"/>
                <w:color w:val="auto"/>
              </w:rPr>
            </w:pPr>
          </w:p>
        </w:tc>
        <w:tc>
          <w:tcPr>
            <w:tcW w:w="940" w:type="dxa"/>
            <w:vAlign w:val="bottom"/>
            <w:tcBorders>
              <w:left w:val="single" w:sz="8" w:color="DAE9F8"/>
            </w:tcBorders>
          </w:tcPr>
          <w:p>
            <w:pPr>
              <w:spacing w:after="0"/>
              <w:rPr>
                <w:sz w:val="4"/>
                <w:szCs w:val="4"/>
                <w:color w:val="auto"/>
              </w:rPr>
            </w:pPr>
          </w:p>
        </w:tc>
        <w:tc>
          <w:tcPr>
            <w:tcW w:w="94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4121150</wp:posOffset>
            </wp:positionH>
            <wp:positionV relativeFrom="paragraph">
              <wp:posOffset>-2812415</wp:posOffset>
            </wp:positionV>
            <wp:extent cx="2499995" cy="635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60">
                      <a:extLst>
                        <a:ext uri="{28A0092B-C50C-407E-A947-70E740481C1C}"/>
                      </a:extLst>
                    </a:blip>
                    <a:srcRect/>
                    <a:stretch>
                      <a:fillRect/>
                    </a:stretch>
                  </pic:blipFill>
                  <pic:spPr bwMode="auto">
                    <a:xfrm>
                      <a:off x="0" y="0"/>
                      <a:ext cx="2499995"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-2633980</wp:posOffset>
            </wp:positionV>
            <wp:extent cx="5824855" cy="1270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61">
                      <a:extLst>
                        <a:ext uri="{28A0092B-C50C-407E-A947-70E740481C1C}"/>
                      </a:extLst>
                    </a:blip>
                    <a:srcRect/>
                    <a:stretch>
                      <a:fillRect/>
                    </a:stretch>
                  </pic:blipFill>
                  <pic:spPr bwMode="auto">
                    <a:xfrm>
                      <a:off x="0" y="0"/>
                      <a:ext cx="5824855" cy="12700"/>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-1775460</wp:posOffset>
            </wp:positionV>
            <wp:extent cx="2521585" cy="1270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62">
                      <a:extLst>
                        <a:ext uri="{28A0092B-C50C-407E-A947-70E740481C1C}"/>
                      </a:extLst>
                    </a:blip>
                    <a:srcRect/>
                    <a:stretch>
                      <a:fillRect/>
                    </a:stretch>
                  </pic:blipFill>
                  <pic:spPr bwMode="auto">
                    <a:xfrm>
                      <a:off x="0" y="0"/>
                      <a:ext cx="2521585"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-1590040</wp:posOffset>
            </wp:positionV>
            <wp:extent cx="5849620" cy="1270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63">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-197485</wp:posOffset>
            </wp:positionV>
            <wp:extent cx="2521585" cy="1270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64">
                      <a:extLst>
                        <a:ext uri="{28A0092B-C50C-407E-A947-70E740481C1C}"/>
                      </a:extLst>
                    </a:blip>
                    <a:srcRect/>
                    <a:stretch>
                      <a:fillRect/>
                    </a:stretch>
                  </pic:blipFill>
                  <pic:spPr bwMode="auto">
                    <a:xfrm>
                      <a:off x="0" y="0"/>
                      <a:ext cx="2521585"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-12065</wp:posOffset>
            </wp:positionV>
            <wp:extent cx="5849620" cy="1270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65">
                      <a:extLst>
                        <a:ext uri="{28A0092B-C50C-407E-A947-70E740481C1C}"/>
                      </a:extLst>
                    </a:blip>
                    <a:srcRect/>
                    <a:stretch>
                      <a:fillRect/>
                    </a:stretch>
                  </pic:blipFill>
                  <pic:spPr bwMode="auto">
                    <a:xfrm>
                      <a:off x="0" y="0"/>
                      <a:ext cx="5849620" cy="12700"/>
                    </a:xfrm>
                    <a:prstGeom prst="rect">
                      <a:avLst/>
                    </a:prstGeom>
                    <a:noFill/>
                  </pic:spPr>
                </pic:pic>
              </a:graphicData>
            </a:graphic>
          </wp:anchor>
        </w:drawing>
      </w:r>
    </w:p>
    <w:p>
      <w:pPr>
        <w:spacing w:after="0" w:line="37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13. SHARE CAPITAL</w:t>
      </w:r>
    </w:p>
    <w:p>
      <w:pPr>
        <w:spacing w:after="0" w:line="319" w:lineRule="exact"/>
        <w:rPr>
          <w:sz w:val="20"/>
          <w:szCs w:val="20"/>
          <w:color w:val="auto"/>
        </w:rPr>
      </w:pPr>
    </w:p>
    <w:p>
      <w:pPr>
        <w:jc w:val="both"/>
        <w:ind w:left="1260" w:right="20"/>
        <w:spacing w:after="0" w:line="307" w:lineRule="auto"/>
        <w:rPr>
          <w:sz w:val="20"/>
          <w:szCs w:val="20"/>
          <w:color w:val="auto"/>
        </w:rPr>
      </w:pPr>
      <w:r>
        <w:rPr>
          <w:rFonts w:ascii="Arial" w:cs="Arial" w:eastAsia="Arial" w:hAnsi="Arial"/>
          <w:sz w:val="20"/>
          <w:szCs w:val="20"/>
          <w:color w:val="auto"/>
        </w:rPr>
        <w:t>As at December 31, 2025, the share capital is $37,661 and is represented by 918,062 ordinary registered, non-transferable shares with a par value of ARS$1 per share, each carrying one vote.</w:t>
      </w:r>
    </w:p>
    <w:p>
      <w:pPr>
        <w:spacing w:after="0" w:line="255" w:lineRule="exact"/>
        <w:rPr>
          <w:sz w:val="20"/>
          <w:szCs w:val="20"/>
          <w:color w:val="auto"/>
        </w:rPr>
      </w:pPr>
    </w:p>
    <w:p>
      <w:pPr>
        <w:jc w:val="both"/>
        <w:ind w:left="1260"/>
        <w:spacing w:after="0" w:line="307" w:lineRule="auto"/>
        <w:rPr>
          <w:sz w:val="20"/>
          <w:szCs w:val="20"/>
          <w:color w:val="auto"/>
        </w:rPr>
      </w:pPr>
      <w:r>
        <w:rPr>
          <w:rFonts w:ascii="Arial" w:cs="Arial" w:eastAsia="Arial" w:hAnsi="Arial"/>
          <w:sz w:val="20"/>
          <w:szCs w:val="20"/>
          <w:color w:val="auto"/>
        </w:rPr>
        <w:t>During the year ended December 31, 2025, the Company issued 198,588 new ordinary shares as part o the debt restructuring described in Note 17, whereby shareholder loans were contributed as equity by</w:t>
      </w:r>
    </w:p>
    <w:p>
      <w:pPr>
        <w:spacing w:after="0" w:line="255"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Lithium Argentina and Ganfeng Lithium. New shares were issued to Lithium Argentina, Ganfeng, an JEMSE in proportions of 44.8%, 46.7%, and 8.5% respectively. Of the total capital contribution o $198,588, $147 was recognised as share capital at par value and $198,441 was recognised as shar premium. Following the issuance, the Company's shares are held by Lithium Argentina AG (43.4%) Ganfeng Lithium Co., Ltd. (46.7%), JEMSE (8.5%), and 2265866 Ontario (1.4%). Shares issued to JEMSE are subject to a dividend assignment arrangement whereby one-third of JEMSE's future dividends will be paid to Lithium Argentina and Ganfeng as consideration for the shares issued (Note 17</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32 / 58</w:t>
      </w:r>
    </w:p>
    <w:p>
      <w:pPr>
        <w:sectPr>
          <w:pgSz w:w="11900" w:h="16838" w:orient="portrait"/>
          <w:cols w:equalWidth="0" w:num="1">
            <w:col w:w="10460"/>
          </w:cols>
          <w:pgMar w:left="1440" w:top="1440" w:right="6" w:bottom="0" w:gutter="0" w:footer="0" w:header="0"/>
          <w:type w:val="continuous"/>
        </w:sectPr>
      </w:pPr>
    </w:p>
    <w:bookmarkStart w:id="644" w:name="page645"/>
    <w:bookmarkEnd w:id="644"/>
    <w:tbl>
      <w:tblPr>
        <w:tblLayout w:type="fixed"/>
        <w:tblInd w:w="198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100" w:type="dxa"/>
            <w:vAlign w:val="bottom"/>
            <w:gridSpan w:val="2"/>
          </w:tcPr>
          <w:p>
            <w:pPr>
              <w:ind w:left="1040"/>
              <w:spacing w:after="0"/>
              <w:rPr>
                <w:sz w:val="20"/>
                <w:szCs w:val="20"/>
                <w:color w:val="auto"/>
              </w:rPr>
            </w:pPr>
            <w:r>
              <w:rPr>
                <w:rFonts w:ascii="Arial" w:cs="Arial" w:eastAsia="Arial" w:hAnsi="Arial"/>
                <w:sz w:val="18"/>
                <w:szCs w:val="18"/>
                <w:b w:val="1"/>
                <w:bCs w:val="1"/>
                <w:color w:val="auto"/>
              </w:rPr>
              <w:t>SHARES</w:t>
            </w: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Number of</w:t>
            </w:r>
          </w:p>
        </w:tc>
        <w:tc>
          <w:tcPr>
            <w:tcW w:w="1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Nominal value</w:t>
            </w:r>
          </w:p>
        </w:tc>
        <w:tc>
          <w:tcPr>
            <w:tcW w:w="2500" w:type="dxa"/>
            <w:vAlign w:val="bottom"/>
            <w:vMerge w:val="restart"/>
          </w:tcPr>
          <w:p>
            <w:pPr>
              <w:ind w:left="240"/>
              <w:spacing w:after="0"/>
              <w:rPr>
                <w:sz w:val="20"/>
                <w:szCs w:val="20"/>
                <w:color w:val="auto"/>
              </w:rPr>
            </w:pPr>
            <w:r>
              <w:rPr>
                <w:rFonts w:ascii="Arial" w:cs="Arial" w:eastAsia="Arial" w:hAnsi="Arial"/>
                <w:sz w:val="18"/>
                <w:szCs w:val="18"/>
                <w:b w:val="1"/>
                <w:bCs w:val="1"/>
                <w:color w:val="auto"/>
                <w:w w:val="98"/>
              </w:rPr>
              <w:t>Subscribed,integrated and</w:t>
            </w:r>
          </w:p>
        </w:tc>
        <w:tc>
          <w:tcPr>
            <w:tcW w:w="0" w:type="dxa"/>
            <w:vAlign w:val="bottom"/>
          </w:tcPr>
          <w:p>
            <w:pPr>
              <w:spacing w:after="0"/>
              <w:rPr>
                <w:sz w:val="1"/>
                <w:szCs w:val="1"/>
                <w:color w:val="auto"/>
              </w:rPr>
            </w:pPr>
          </w:p>
        </w:tc>
      </w:tr>
      <w:tr>
        <w:trPr>
          <w:trHeight w:val="136"/>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Amount</w:t>
            </w:r>
          </w:p>
        </w:tc>
        <w:tc>
          <w:tcPr>
            <w:tcW w:w="140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99"/>
              </w:rPr>
              <w:t>Type</w:t>
            </w:r>
          </w:p>
        </w:tc>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votes per</w:t>
            </w:r>
          </w:p>
        </w:tc>
        <w:tc>
          <w:tcPr>
            <w:tcW w:w="1660" w:type="dxa"/>
            <w:vAlign w:val="bottom"/>
            <w:vMerge w:val="continue"/>
          </w:tcPr>
          <w:p>
            <w:pPr>
              <w:spacing w:after="0"/>
              <w:rPr>
                <w:sz w:val="11"/>
                <w:szCs w:val="11"/>
                <w:color w:val="auto"/>
              </w:rPr>
            </w:pP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ARS$</w:t>
            </w:r>
          </w:p>
        </w:tc>
        <w:tc>
          <w:tcPr>
            <w:tcW w:w="2500" w:type="dxa"/>
            <w:vAlign w:val="bottom"/>
            <w:vMerge w:val="restart"/>
          </w:tcPr>
          <w:p>
            <w:pPr>
              <w:jc w:val="center"/>
              <w:ind w:left="210"/>
              <w:spacing w:after="0"/>
              <w:rPr>
                <w:sz w:val="20"/>
                <w:szCs w:val="20"/>
                <w:color w:val="auto"/>
              </w:rPr>
            </w:pPr>
            <w:r>
              <w:rPr>
                <w:rFonts w:ascii="Arial" w:cs="Arial" w:eastAsia="Arial" w:hAnsi="Arial"/>
                <w:sz w:val="18"/>
                <w:szCs w:val="18"/>
                <w:b w:val="1"/>
                <w:bCs w:val="1"/>
                <w:color w:val="auto"/>
              </w:rPr>
              <w:t>registered</w:t>
            </w: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4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99"/>
              </w:rPr>
              <w:t>share</w:t>
            </w:r>
          </w:p>
        </w:tc>
        <w:tc>
          <w:tcPr>
            <w:tcW w:w="1660" w:type="dxa"/>
            <w:vAlign w:val="bottom"/>
            <w:vMerge w:val="continue"/>
          </w:tcPr>
          <w:p>
            <w:pPr>
              <w:spacing w:after="0"/>
              <w:rPr>
                <w:sz w:val="11"/>
                <w:szCs w:val="11"/>
                <w:color w:val="auto"/>
              </w:rPr>
            </w:pP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6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5"/>
        </w:trPr>
        <w:tc>
          <w:tcPr>
            <w:tcW w:w="1140" w:type="dxa"/>
            <w:vAlign w:val="bottom"/>
          </w:tcPr>
          <w:p>
            <w:pPr>
              <w:jc w:val="center"/>
              <w:ind w:right="390"/>
              <w:spacing w:after="0"/>
              <w:rPr>
                <w:sz w:val="20"/>
                <w:szCs w:val="20"/>
                <w:color w:val="auto"/>
              </w:rPr>
            </w:pPr>
            <w:r>
              <w:rPr>
                <w:rFonts w:ascii="Arial" w:cs="Arial" w:eastAsia="Arial" w:hAnsi="Arial"/>
                <w:sz w:val="18"/>
                <w:szCs w:val="18"/>
                <w:color w:val="auto"/>
              </w:rPr>
              <w:t>411,613</w:t>
            </w:r>
          </w:p>
        </w:tc>
        <w:tc>
          <w:tcPr>
            <w:tcW w:w="1400" w:type="dxa"/>
            <w:vAlign w:val="bottom"/>
          </w:tcPr>
          <w:p>
            <w:pPr>
              <w:jc w:val="center"/>
              <w:ind w:left="50"/>
              <w:spacing w:after="0"/>
              <w:rPr>
                <w:sz w:val="20"/>
                <w:szCs w:val="20"/>
                <w:color w:val="auto"/>
              </w:rPr>
            </w:pPr>
            <w:r>
              <w:rPr>
                <w:rFonts w:ascii="Arial" w:cs="Arial" w:eastAsia="Arial" w:hAnsi="Arial"/>
                <w:sz w:val="18"/>
                <w:szCs w:val="18"/>
                <w:color w:val="auto"/>
                <w:w w:val="99"/>
              </w:rPr>
              <w:t>Class A</w:t>
            </w:r>
          </w:p>
        </w:tc>
        <w:tc>
          <w:tcPr>
            <w:tcW w:w="1440" w:type="dxa"/>
            <w:vAlign w:val="bottom"/>
          </w:tcPr>
          <w:p>
            <w:pPr>
              <w:jc w:val="center"/>
              <w:ind w:left="50"/>
              <w:spacing w:after="0"/>
              <w:rPr>
                <w:sz w:val="20"/>
                <w:szCs w:val="20"/>
                <w:color w:val="auto"/>
              </w:rPr>
            </w:pPr>
            <w:r>
              <w:rPr>
                <w:rFonts w:ascii="Arial" w:cs="Arial" w:eastAsia="Arial" w:hAnsi="Arial"/>
                <w:sz w:val="18"/>
                <w:szCs w:val="18"/>
                <w:color w:val="auto"/>
              </w:rPr>
              <w:t>1 vote</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40" w:type="dxa"/>
            <w:vAlign w:val="bottom"/>
          </w:tcPr>
          <w:p>
            <w:pPr>
              <w:jc w:val="center"/>
              <w:ind w:right="390"/>
              <w:spacing w:after="0"/>
              <w:rPr>
                <w:sz w:val="20"/>
                <w:szCs w:val="20"/>
                <w:color w:val="auto"/>
              </w:rPr>
            </w:pPr>
            <w:r>
              <w:rPr>
                <w:rFonts w:ascii="Arial" w:cs="Arial" w:eastAsia="Arial" w:hAnsi="Arial"/>
                <w:sz w:val="18"/>
                <w:szCs w:val="18"/>
                <w:color w:val="auto"/>
                <w:w w:val="98"/>
              </w:rPr>
              <w:t>78,035</w:t>
            </w:r>
          </w:p>
        </w:tc>
        <w:tc>
          <w:tcPr>
            <w:tcW w:w="1400" w:type="dxa"/>
            <w:vAlign w:val="bottom"/>
          </w:tcPr>
          <w:p>
            <w:pPr>
              <w:jc w:val="center"/>
              <w:ind w:left="50"/>
              <w:spacing w:after="0"/>
              <w:rPr>
                <w:sz w:val="20"/>
                <w:szCs w:val="20"/>
                <w:color w:val="auto"/>
              </w:rPr>
            </w:pPr>
            <w:r>
              <w:rPr>
                <w:rFonts w:ascii="Arial" w:cs="Arial" w:eastAsia="Arial" w:hAnsi="Arial"/>
                <w:sz w:val="18"/>
                <w:szCs w:val="18"/>
                <w:color w:val="auto"/>
                <w:w w:val="99"/>
              </w:rPr>
              <w:t>Class B</w:t>
            </w:r>
          </w:p>
        </w:tc>
        <w:tc>
          <w:tcPr>
            <w:tcW w:w="1440" w:type="dxa"/>
            <w:vAlign w:val="bottom"/>
          </w:tcPr>
          <w:p>
            <w:pPr>
              <w:jc w:val="center"/>
              <w:ind w:left="50"/>
              <w:spacing w:after="0"/>
              <w:rPr>
                <w:sz w:val="20"/>
                <w:szCs w:val="20"/>
                <w:color w:val="auto"/>
              </w:rPr>
            </w:pPr>
            <w:r>
              <w:rPr>
                <w:rFonts w:ascii="Arial" w:cs="Arial" w:eastAsia="Arial" w:hAnsi="Arial"/>
                <w:sz w:val="18"/>
                <w:szCs w:val="18"/>
                <w:color w:val="auto"/>
              </w:rPr>
              <w:t>1 vote</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500" w:type="dxa"/>
            <w:vAlign w:val="bottom"/>
          </w:tcPr>
          <w:p>
            <w:pPr>
              <w:jc w:val="right"/>
              <w:ind w:right="690"/>
              <w:spacing w:after="0"/>
              <w:rPr>
                <w:sz w:val="20"/>
                <w:szCs w:val="20"/>
                <w:color w:val="auto"/>
              </w:rPr>
            </w:pPr>
            <w:r>
              <w:rPr>
                <w:rFonts w:ascii="Arial" w:cs="Arial" w:eastAsia="Arial" w:hAnsi="Arial"/>
                <w:sz w:val="18"/>
                <w:szCs w:val="18"/>
                <w:color w:val="auto"/>
              </w:rPr>
              <w:t>918,062</w:t>
            </w:r>
          </w:p>
        </w:tc>
        <w:tc>
          <w:tcPr>
            <w:tcW w:w="0" w:type="dxa"/>
            <w:vAlign w:val="bottom"/>
          </w:tcPr>
          <w:p>
            <w:pPr>
              <w:spacing w:after="0"/>
              <w:rPr>
                <w:sz w:val="1"/>
                <w:szCs w:val="1"/>
                <w:color w:val="auto"/>
              </w:rPr>
            </w:pPr>
          </w:p>
        </w:tc>
      </w:tr>
      <w:tr>
        <w:trPr>
          <w:trHeight w:val="267"/>
        </w:trPr>
        <w:tc>
          <w:tcPr>
            <w:tcW w:w="1140" w:type="dxa"/>
            <w:vAlign w:val="bottom"/>
          </w:tcPr>
          <w:p>
            <w:pPr>
              <w:jc w:val="center"/>
              <w:ind w:right="390"/>
              <w:spacing w:after="0"/>
              <w:rPr>
                <w:sz w:val="20"/>
                <w:szCs w:val="20"/>
                <w:color w:val="auto"/>
              </w:rPr>
            </w:pPr>
            <w:r>
              <w:rPr>
                <w:rFonts w:ascii="Arial" w:cs="Arial" w:eastAsia="Arial" w:hAnsi="Arial"/>
                <w:sz w:val="18"/>
                <w:szCs w:val="18"/>
                <w:color w:val="auto"/>
              </w:rPr>
              <w:t>428,414</w:t>
            </w:r>
          </w:p>
        </w:tc>
        <w:tc>
          <w:tcPr>
            <w:tcW w:w="1400" w:type="dxa"/>
            <w:vAlign w:val="bottom"/>
          </w:tcPr>
          <w:p>
            <w:pPr>
              <w:jc w:val="center"/>
              <w:ind w:left="50"/>
              <w:spacing w:after="0"/>
              <w:rPr>
                <w:sz w:val="20"/>
                <w:szCs w:val="20"/>
                <w:color w:val="auto"/>
              </w:rPr>
            </w:pPr>
            <w:r>
              <w:rPr>
                <w:rFonts w:ascii="Arial" w:cs="Arial" w:eastAsia="Arial" w:hAnsi="Arial"/>
                <w:sz w:val="18"/>
                <w:szCs w:val="18"/>
                <w:color w:val="auto"/>
                <w:w w:val="98"/>
              </w:rPr>
              <w:t>Class C</w:t>
            </w:r>
          </w:p>
        </w:tc>
        <w:tc>
          <w:tcPr>
            <w:tcW w:w="1440" w:type="dxa"/>
            <w:vAlign w:val="bottom"/>
          </w:tcPr>
          <w:p>
            <w:pPr>
              <w:jc w:val="center"/>
              <w:ind w:left="50"/>
              <w:spacing w:after="0"/>
              <w:rPr>
                <w:sz w:val="20"/>
                <w:szCs w:val="20"/>
                <w:color w:val="auto"/>
              </w:rPr>
            </w:pPr>
            <w:r>
              <w:rPr>
                <w:rFonts w:ascii="Arial" w:cs="Arial" w:eastAsia="Arial" w:hAnsi="Arial"/>
                <w:sz w:val="18"/>
                <w:szCs w:val="18"/>
                <w:color w:val="auto"/>
              </w:rPr>
              <w:t>1 vote</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1799590</wp:posOffset>
            </wp:positionH>
            <wp:positionV relativeFrom="page">
              <wp:posOffset>720090</wp:posOffset>
            </wp:positionV>
            <wp:extent cx="5760085" cy="635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66">
                      <a:extLst>
                        <a:ext uri="{28A0092B-C50C-407E-A947-70E740481C1C}"/>
                      </a:extLst>
                    </a:blip>
                    <a:srcRect/>
                    <a:stretch>
                      <a:fillRect/>
                    </a:stretch>
                  </pic:blipFill>
                  <pic:spPr bwMode="auto">
                    <a:xfrm>
                      <a:off x="0" y="0"/>
                      <a:ext cx="5760085" cy="6350"/>
                    </a:xfrm>
                    <a:prstGeom prst="rect">
                      <a:avLst/>
                    </a:prstGeom>
                    <a:noFill/>
                  </pic:spPr>
                </pic:pic>
              </a:graphicData>
            </a:graphic>
          </wp:anchor>
        </w:drawing>
        <w:drawing>
          <wp:anchor simplePos="0" relativeHeight="251657728" behindDoc="1" locked="0" layoutInCell="0" allowOverlap="1">
            <wp:simplePos x="0" y="0"/>
            <wp:positionH relativeFrom="column">
              <wp:posOffset>885190</wp:posOffset>
            </wp:positionH>
            <wp:positionV relativeFrom="paragraph">
              <wp:posOffset>-1085850</wp:posOffset>
            </wp:positionV>
            <wp:extent cx="5760085" cy="635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7">
                      <a:extLst>
                        <a:ext uri="{28A0092B-C50C-407E-A947-70E740481C1C}"/>
                      </a:extLst>
                    </a:blip>
                    <a:srcRect/>
                    <a:stretch>
                      <a:fillRect/>
                    </a:stretch>
                  </pic:blipFill>
                  <pic:spPr bwMode="auto">
                    <a:xfrm>
                      <a:off x="0" y="0"/>
                      <a:ext cx="5760085" cy="6350"/>
                    </a:xfrm>
                    <a:prstGeom prst="rect">
                      <a:avLst/>
                    </a:prstGeom>
                    <a:noFill/>
                  </pic:spPr>
                </pic:pic>
              </a:graphicData>
            </a:graphic>
          </wp:anchor>
        </w:drawing>
        <w:drawing>
          <wp:anchor simplePos="0" relativeHeight="251657728" behindDoc="1" locked="0" layoutInCell="0" allowOverlap="1">
            <wp:simplePos x="0" y="0"/>
            <wp:positionH relativeFrom="column">
              <wp:posOffset>885190</wp:posOffset>
            </wp:positionH>
            <wp:positionV relativeFrom="paragraph">
              <wp:posOffset>-506730</wp:posOffset>
            </wp:positionV>
            <wp:extent cx="5760085" cy="1270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8">
                      <a:extLst>
                        <a:ext uri="{28A0092B-C50C-407E-A947-70E740481C1C}"/>
                      </a:extLst>
                    </a:blip>
                    <a:srcRect/>
                    <a:stretch>
                      <a:fillRect/>
                    </a:stretch>
                  </pic:blipFill>
                  <pic:spPr bwMode="auto">
                    <a:xfrm>
                      <a:off x="0" y="0"/>
                      <a:ext cx="5760085" cy="12700"/>
                    </a:xfrm>
                    <a:prstGeom prst="rect">
                      <a:avLst/>
                    </a:prstGeom>
                    <a:noFill/>
                  </pic:spPr>
                </pic:pic>
              </a:graphicData>
            </a:graphic>
          </wp:anchor>
        </w:drawing>
        <w:drawing>
          <wp:anchor simplePos="0" relativeHeight="251657728" behindDoc="1" locked="0" layoutInCell="0" allowOverlap="1">
            <wp:simplePos x="0" y="0"/>
            <wp:positionH relativeFrom="column">
              <wp:posOffset>885190</wp:posOffset>
            </wp:positionH>
            <wp:positionV relativeFrom="paragraph">
              <wp:posOffset>22860</wp:posOffset>
            </wp:positionV>
            <wp:extent cx="5760085" cy="1270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9">
                      <a:extLst>
                        <a:ext uri="{28A0092B-C50C-407E-A947-70E740481C1C}"/>
                      </a:extLst>
                    </a:blip>
                    <a:srcRect/>
                    <a:stretch>
                      <a:fillRect/>
                    </a:stretch>
                  </pic:blipFill>
                  <pic:spPr bwMode="auto">
                    <a:xfrm>
                      <a:off x="0" y="0"/>
                      <a:ext cx="5760085" cy="1270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7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120"/>
          </w:cols>
          <w:pgMar w:left="1440" w:top="1172" w:right="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33 / 58</w:t>
      </w:r>
    </w:p>
    <w:p>
      <w:pPr>
        <w:sectPr>
          <w:pgSz w:w="11900" w:h="16838" w:orient="portrait"/>
          <w:cols w:equalWidth="0" w:num="1">
            <w:col w:w="10120"/>
          </w:cols>
          <w:pgMar w:left="1440" w:top="1172" w:right="346" w:bottom="0" w:gutter="0" w:footer="0" w:header="0"/>
          <w:type w:val="continuous"/>
        </w:sectPr>
      </w:pPr>
    </w:p>
    <w:bookmarkStart w:id="645" w:name="page646"/>
    <w:bookmarkEnd w:id="645"/>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13. SHARE CAPITAL </w:t>
      </w:r>
      <w:r>
        <w:rPr>
          <w:rFonts w:ascii="Arial" w:cs="Arial" w:eastAsia="Arial" w:hAnsi="Arial"/>
          <w:sz w:val="20"/>
          <w:szCs w:val="20"/>
          <w:i w:val="1"/>
          <w:iCs w:val="1"/>
          <w:color w:val="auto"/>
        </w:rPr>
        <w:t>(continued)</w:t>
      </w:r>
    </w:p>
    <w:p>
      <w:pPr>
        <w:spacing w:after="0" w:line="381" w:lineRule="exact"/>
        <w:rPr>
          <w:sz w:val="20"/>
          <w:szCs w:val="20"/>
          <w:color w:val="auto"/>
        </w:rPr>
      </w:pPr>
    </w:p>
    <w:p>
      <w:pPr>
        <w:ind w:left="1260"/>
        <w:spacing w:after="0" w:line="307" w:lineRule="auto"/>
        <w:rPr>
          <w:sz w:val="20"/>
          <w:szCs w:val="20"/>
          <w:color w:val="auto"/>
        </w:rPr>
      </w:pPr>
      <w:r>
        <w:rPr>
          <w:rFonts w:ascii="Arial" w:cs="Arial" w:eastAsia="Arial" w:hAnsi="Arial"/>
          <w:sz w:val="20"/>
          <w:szCs w:val="20"/>
          <w:color w:val="auto"/>
        </w:rPr>
        <w:t>Class A shares are held by Lithium Argentina and Ontario, Class B shares are held by JEMSE, and Clas C shares are held by Ganfeng.</w:t>
      </w:r>
    </w:p>
    <w:p>
      <w:pPr>
        <w:spacing w:after="0" w:line="2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14. COST OF SALES</w:t>
      </w:r>
    </w:p>
    <w:p>
      <w:pPr>
        <w:spacing w:after="0" w:line="200" w:lineRule="exact"/>
        <w:rPr>
          <w:sz w:val="20"/>
          <w:szCs w:val="20"/>
          <w:color w:val="auto"/>
        </w:rPr>
      </w:pPr>
    </w:p>
    <w:p>
      <w:pPr>
        <w:spacing w:after="0" w:line="273"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9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39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300" w:type="dxa"/>
            <w:vAlign w:val="bottom"/>
            <w:shd w:val="clear" w:color="auto" w:fill="DAE9F8"/>
          </w:tcPr>
          <w:p>
            <w:pPr>
              <w:spacing w:after="0"/>
              <w:rPr>
                <w:sz w:val="21"/>
                <w:szCs w:val="21"/>
                <w:color w:val="auto"/>
              </w:rPr>
            </w:pPr>
          </w:p>
        </w:tc>
        <w:tc>
          <w:tcPr>
            <w:tcW w:w="1500" w:type="dxa"/>
            <w:vAlign w:val="bottom"/>
            <w:shd w:val="clear" w:color="auto" w:fill="DAE9F8"/>
          </w:tcPr>
          <w:p>
            <w:pPr>
              <w:jc w:val="right"/>
              <w:spacing w:after="0"/>
              <w:rPr>
                <w:sz w:val="20"/>
                <w:szCs w:val="20"/>
                <w:color w:val="auto"/>
              </w:rPr>
            </w:pPr>
            <w:r>
              <w:rPr>
                <w:rFonts w:ascii="Arial" w:cs="Arial" w:eastAsia="Arial" w:hAnsi="Arial"/>
                <w:sz w:val="18"/>
                <w:szCs w:val="18"/>
                <w:b w:val="1"/>
                <w:bCs w:val="1"/>
                <w:color w:val="auto"/>
              </w:rPr>
              <w:t>2025</w:t>
            </w:r>
          </w:p>
        </w:tc>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2024</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w:t>
            </w:r>
          </w:p>
        </w:tc>
        <w:tc>
          <w:tcPr>
            <w:tcW w:w="0" w:type="dxa"/>
            <w:vAlign w:val="bottom"/>
          </w:tcPr>
          <w:p>
            <w:pPr>
              <w:spacing w:after="0"/>
              <w:rPr>
                <w:sz w:val="1"/>
                <w:szCs w:val="1"/>
                <w:color w:val="auto"/>
              </w:rPr>
            </w:pPr>
          </w:p>
        </w:tc>
      </w:tr>
      <w:tr>
        <w:trPr>
          <w:trHeight w:val="320"/>
        </w:trPr>
        <w:tc>
          <w:tcPr>
            <w:tcW w:w="3900" w:type="dxa"/>
            <w:vAlign w:val="bottom"/>
          </w:tcPr>
          <w:p>
            <w:pPr>
              <w:spacing w:after="0"/>
              <w:rPr>
                <w:sz w:val="20"/>
                <w:szCs w:val="20"/>
                <w:color w:val="auto"/>
              </w:rPr>
            </w:pPr>
            <w:r>
              <w:rPr>
                <w:rFonts w:ascii="Arial" w:cs="Arial" w:eastAsia="Arial" w:hAnsi="Arial"/>
                <w:sz w:val="18"/>
                <w:szCs w:val="18"/>
                <w:color w:val="auto"/>
              </w:rPr>
              <w:t>Operating costs</w:t>
            </w:r>
          </w:p>
        </w:tc>
        <w:tc>
          <w:tcPr>
            <w:tcW w:w="300" w:type="dxa"/>
            <w:vAlign w:val="bottom"/>
            <w:shd w:val="clear" w:color="auto" w:fill="DAE9F8"/>
          </w:tcPr>
          <w:p>
            <w:pPr>
              <w:spacing w:after="0"/>
              <w:rPr>
                <w:sz w:val="24"/>
                <w:szCs w:val="24"/>
                <w:color w:val="auto"/>
              </w:rPr>
            </w:pPr>
          </w:p>
        </w:tc>
        <w:tc>
          <w:tcPr>
            <w:tcW w:w="1500" w:type="dxa"/>
            <w:vAlign w:val="bottom"/>
            <w:shd w:val="clear" w:color="auto" w:fill="DAE9F8"/>
          </w:tcPr>
          <w:p>
            <w:pPr>
              <w:jc w:val="right"/>
              <w:spacing w:after="0"/>
              <w:rPr>
                <w:sz w:val="20"/>
                <w:szCs w:val="20"/>
                <w:color w:val="auto"/>
              </w:rPr>
            </w:pPr>
            <w:r>
              <w:rPr>
                <w:rFonts w:ascii="Arial" w:cs="Arial" w:eastAsia="Arial" w:hAnsi="Arial"/>
                <w:sz w:val="18"/>
                <w:szCs w:val="18"/>
                <w:color w:val="auto"/>
              </w:rPr>
              <w:t>73,953</w:t>
            </w:r>
          </w:p>
        </w:tc>
        <w:tc>
          <w:tcPr>
            <w:tcW w:w="2400" w:type="dxa"/>
            <w:vAlign w:val="bottom"/>
          </w:tcPr>
          <w:p>
            <w:pPr>
              <w:jc w:val="right"/>
              <w:ind w:right="590"/>
              <w:spacing w:after="0"/>
              <w:rPr>
                <w:sz w:val="20"/>
                <w:szCs w:val="20"/>
                <w:color w:val="auto"/>
              </w:rPr>
            </w:pPr>
            <w:r>
              <w:rPr>
                <w:rFonts w:ascii="Arial" w:cs="Arial" w:eastAsia="Arial" w:hAnsi="Arial"/>
                <w:sz w:val="18"/>
                <w:szCs w:val="18"/>
                <w:color w:val="auto"/>
              </w:rPr>
              <w:t>79,013</w:t>
            </w:r>
          </w:p>
        </w:tc>
        <w:tc>
          <w:tcPr>
            <w:tcW w:w="1040" w:type="dxa"/>
            <w:vAlign w:val="bottom"/>
          </w:tcPr>
          <w:p>
            <w:pPr>
              <w:jc w:val="right"/>
              <w:spacing w:after="0"/>
              <w:rPr>
                <w:sz w:val="20"/>
                <w:szCs w:val="20"/>
                <w:color w:val="auto"/>
              </w:rPr>
            </w:pPr>
            <w:r>
              <w:rPr>
                <w:rFonts w:ascii="Arial" w:cs="Arial" w:eastAsia="Arial" w:hAnsi="Arial"/>
                <w:sz w:val="18"/>
                <w:szCs w:val="18"/>
                <w:color w:val="auto"/>
              </w:rPr>
              <w:t>93,83</w:t>
            </w:r>
          </w:p>
        </w:tc>
        <w:tc>
          <w:tcPr>
            <w:tcW w:w="0" w:type="dxa"/>
            <w:vAlign w:val="bottom"/>
          </w:tcPr>
          <w:p>
            <w:pPr>
              <w:spacing w:after="0"/>
              <w:rPr>
                <w:sz w:val="1"/>
                <w:szCs w:val="1"/>
                <w:color w:val="auto"/>
              </w:rPr>
            </w:pPr>
          </w:p>
        </w:tc>
      </w:tr>
      <w:tr>
        <w:trPr>
          <w:trHeight w:val="300"/>
        </w:trPr>
        <w:tc>
          <w:tcPr>
            <w:tcW w:w="3900" w:type="dxa"/>
            <w:vAlign w:val="bottom"/>
          </w:tcPr>
          <w:p>
            <w:pPr>
              <w:spacing w:after="0"/>
              <w:rPr>
                <w:sz w:val="20"/>
                <w:szCs w:val="20"/>
                <w:color w:val="auto"/>
              </w:rPr>
            </w:pPr>
            <w:r>
              <w:rPr>
                <w:rFonts w:ascii="Arial" w:cs="Arial" w:eastAsia="Arial" w:hAnsi="Arial"/>
                <w:sz w:val="18"/>
                <w:szCs w:val="18"/>
                <w:color w:val="auto"/>
              </w:rPr>
              <w:t>Reagents and other consumables</w:t>
            </w:r>
          </w:p>
        </w:tc>
        <w:tc>
          <w:tcPr>
            <w:tcW w:w="300" w:type="dxa"/>
            <w:vAlign w:val="bottom"/>
            <w:shd w:val="clear" w:color="auto" w:fill="DAE9F8"/>
          </w:tcPr>
          <w:p>
            <w:pPr>
              <w:spacing w:after="0"/>
              <w:rPr>
                <w:sz w:val="24"/>
                <w:szCs w:val="24"/>
                <w:color w:val="auto"/>
              </w:rPr>
            </w:pPr>
          </w:p>
        </w:tc>
        <w:tc>
          <w:tcPr>
            <w:tcW w:w="1500" w:type="dxa"/>
            <w:vAlign w:val="bottom"/>
            <w:shd w:val="clear" w:color="auto" w:fill="DAE9F8"/>
          </w:tcPr>
          <w:p>
            <w:pPr>
              <w:jc w:val="right"/>
              <w:spacing w:after="0"/>
              <w:rPr>
                <w:sz w:val="20"/>
                <w:szCs w:val="20"/>
                <w:color w:val="auto"/>
              </w:rPr>
            </w:pPr>
            <w:r>
              <w:rPr>
                <w:rFonts w:ascii="Arial" w:cs="Arial" w:eastAsia="Arial" w:hAnsi="Arial"/>
                <w:sz w:val="18"/>
                <w:szCs w:val="18"/>
                <w:color w:val="auto"/>
              </w:rPr>
              <w:t>72,518</w:t>
            </w:r>
          </w:p>
        </w:tc>
        <w:tc>
          <w:tcPr>
            <w:tcW w:w="2400" w:type="dxa"/>
            <w:vAlign w:val="bottom"/>
          </w:tcPr>
          <w:p>
            <w:pPr>
              <w:jc w:val="right"/>
              <w:ind w:right="590"/>
              <w:spacing w:after="0"/>
              <w:rPr>
                <w:sz w:val="20"/>
                <w:szCs w:val="20"/>
                <w:color w:val="auto"/>
              </w:rPr>
            </w:pPr>
            <w:r>
              <w:rPr>
                <w:rFonts w:ascii="Arial" w:cs="Arial" w:eastAsia="Arial" w:hAnsi="Arial"/>
                <w:sz w:val="18"/>
                <w:szCs w:val="18"/>
                <w:color w:val="auto"/>
              </w:rPr>
              <w:t>67,020</w:t>
            </w:r>
          </w:p>
        </w:tc>
        <w:tc>
          <w:tcPr>
            <w:tcW w:w="1040" w:type="dxa"/>
            <w:vAlign w:val="bottom"/>
          </w:tcPr>
          <w:p>
            <w:pPr>
              <w:jc w:val="right"/>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300"/>
        </w:trPr>
        <w:tc>
          <w:tcPr>
            <w:tcW w:w="3900" w:type="dxa"/>
            <w:vAlign w:val="bottom"/>
          </w:tcPr>
          <w:p>
            <w:pPr>
              <w:spacing w:after="0"/>
              <w:rPr>
                <w:sz w:val="20"/>
                <w:szCs w:val="20"/>
                <w:color w:val="auto"/>
              </w:rPr>
            </w:pPr>
            <w:r>
              <w:rPr>
                <w:rFonts w:ascii="Arial" w:cs="Arial" w:eastAsia="Arial" w:hAnsi="Arial"/>
                <w:sz w:val="18"/>
                <w:szCs w:val="18"/>
                <w:color w:val="auto"/>
              </w:rPr>
              <w:t>Salaries and benefits</w:t>
            </w:r>
          </w:p>
        </w:tc>
        <w:tc>
          <w:tcPr>
            <w:tcW w:w="300" w:type="dxa"/>
            <w:vAlign w:val="bottom"/>
            <w:shd w:val="clear" w:color="auto" w:fill="DAE9F8"/>
          </w:tcPr>
          <w:p>
            <w:pPr>
              <w:spacing w:after="0"/>
              <w:rPr>
                <w:sz w:val="24"/>
                <w:szCs w:val="24"/>
                <w:color w:val="auto"/>
              </w:rPr>
            </w:pPr>
          </w:p>
        </w:tc>
        <w:tc>
          <w:tcPr>
            <w:tcW w:w="1500" w:type="dxa"/>
            <w:vAlign w:val="bottom"/>
            <w:shd w:val="clear" w:color="auto" w:fill="DAE9F8"/>
          </w:tcPr>
          <w:p>
            <w:pPr>
              <w:jc w:val="right"/>
              <w:spacing w:after="0"/>
              <w:rPr>
                <w:sz w:val="20"/>
                <w:szCs w:val="20"/>
                <w:color w:val="auto"/>
              </w:rPr>
            </w:pPr>
            <w:r>
              <w:rPr>
                <w:rFonts w:ascii="Arial" w:cs="Arial" w:eastAsia="Arial" w:hAnsi="Arial"/>
                <w:sz w:val="18"/>
                <w:szCs w:val="18"/>
                <w:color w:val="auto"/>
              </w:rPr>
              <w:t>31,139</w:t>
            </w:r>
          </w:p>
        </w:tc>
        <w:tc>
          <w:tcPr>
            <w:tcW w:w="2400" w:type="dxa"/>
            <w:vAlign w:val="bottom"/>
          </w:tcPr>
          <w:p>
            <w:pPr>
              <w:jc w:val="right"/>
              <w:ind w:right="590"/>
              <w:spacing w:after="0"/>
              <w:rPr>
                <w:sz w:val="20"/>
                <w:szCs w:val="20"/>
                <w:color w:val="auto"/>
              </w:rPr>
            </w:pPr>
            <w:r>
              <w:rPr>
                <w:rFonts w:ascii="Arial" w:cs="Arial" w:eastAsia="Arial" w:hAnsi="Arial"/>
                <w:sz w:val="18"/>
                <w:szCs w:val="18"/>
                <w:color w:val="auto"/>
              </w:rPr>
              <w:t>31,454</w:t>
            </w:r>
          </w:p>
        </w:tc>
        <w:tc>
          <w:tcPr>
            <w:tcW w:w="1040" w:type="dxa"/>
            <w:vAlign w:val="bottom"/>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300"/>
        </w:trPr>
        <w:tc>
          <w:tcPr>
            <w:tcW w:w="3900" w:type="dxa"/>
            <w:vAlign w:val="bottom"/>
          </w:tcPr>
          <w:p>
            <w:pPr>
              <w:spacing w:after="0"/>
              <w:rPr>
                <w:sz w:val="20"/>
                <w:szCs w:val="20"/>
                <w:color w:val="auto"/>
              </w:rPr>
            </w:pPr>
            <w:r>
              <w:rPr>
                <w:rFonts w:ascii="Arial" w:cs="Arial" w:eastAsia="Arial" w:hAnsi="Arial"/>
                <w:sz w:val="18"/>
                <w:szCs w:val="18"/>
                <w:color w:val="auto"/>
              </w:rPr>
              <w:t>Professional services and other costs</w:t>
            </w:r>
          </w:p>
        </w:tc>
        <w:tc>
          <w:tcPr>
            <w:tcW w:w="300" w:type="dxa"/>
            <w:vAlign w:val="bottom"/>
            <w:shd w:val="clear" w:color="auto" w:fill="DAE9F8"/>
          </w:tcPr>
          <w:p>
            <w:pPr>
              <w:spacing w:after="0"/>
              <w:rPr>
                <w:sz w:val="24"/>
                <w:szCs w:val="24"/>
                <w:color w:val="auto"/>
              </w:rPr>
            </w:pPr>
          </w:p>
        </w:tc>
        <w:tc>
          <w:tcPr>
            <w:tcW w:w="1500" w:type="dxa"/>
            <w:vAlign w:val="bottom"/>
            <w:shd w:val="clear" w:color="auto" w:fill="DAE9F8"/>
          </w:tcPr>
          <w:p>
            <w:pPr>
              <w:jc w:val="right"/>
              <w:spacing w:after="0"/>
              <w:rPr>
                <w:sz w:val="20"/>
                <w:szCs w:val="20"/>
                <w:color w:val="auto"/>
              </w:rPr>
            </w:pPr>
            <w:r>
              <w:rPr>
                <w:rFonts w:ascii="Arial" w:cs="Arial" w:eastAsia="Arial" w:hAnsi="Arial"/>
                <w:sz w:val="18"/>
                <w:szCs w:val="18"/>
                <w:color w:val="auto"/>
              </w:rPr>
              <w:t>11,811</w:t>
            </w:r>
          </w:p>
        </w:tc>
        <w:tc>
          <w:tcPr>
            <w:tcW w:w="2400" w:type="dxa"/>
            <w:vAlign w:val="bottom"/>
          </w:tcPr>
          <w:p>
            <w:pPr>
              <w:jc w:val="right"/>
              <w:ind w:right="590"/>
              <w:spacing w:after="0"/>
              <w:rPr>
                <w:sz w:val="20"/>
                <w:szCs w:val="20"/>
                <w:color w:val="auto"/>
              </w:rPr>
            </w:pPr>
            <w:r>
              <w:rPr>
                <w:rFonts w:ascii="Arial" w:cs="Arial" w:eastAsia="Arial" w:hAnsi="Arial"/>
                <w:sz w:val="18"/>
                <w:szCs w:val="18"/>
                <w:color w:val="auto"/>
              </w:rPr>
              <w:t>11,245</w:t>
            </w:r>
          </w:p>
        </w:tc>
        <w:tc>
          <w:tcPr>
            <w:tcW w:w="1040" w:type="dxa"/>
            <w:vAlign w:val="bottom"/>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300"/>
        </w:trPr>
        <w:tc>
          <w:tcPr>
            <w:tcW w:w="3900" w:type="dxa"/>
            <w:vAlign w:val="bottom"/>
          </w:tcPr>
          <w:p>
            <w:pPr>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DAE9F8"/>
          </w:tcPr>
          <w:p>
            <w:pPr>
              <w:spacing w:after="0"/>
              <w:rPr>
                <w:sz w:val="24"/>
                <w:szCs w:val="24"/>
                <w:color w:val="auto"/>
              </w:rPr>
            </w:pPr>
          </w:p>
        </w:tc>
        <w:tc>
          <w:tcPr>
            <w:tcW w:w="1500" w:type="dxa"/>
            <w:vAlign w:val="bottom"/>
            <w:shd w:val="clear" w:color="auto" w:fill="DAE9F8"/>
          </w:tcPr>
          <w:p>
            <w:pPr>
              <w:jc w:val="right"/>
              <w:spacing w:after="0"/>
              <w:rPr>
                <w:sz w:val="20"/>
                <w:szCs w:val="20"/>
                <w:color w:val="auto"/>
              </w:rPr>
            </w:pPr>
            <w:r>
              <w:rPr>
                <w:rFonts w:ascii="Arial" w:cs="Arial" w:eastAsia="Arial" w:hAnsi="Arial"/>
                <w:sz w:val="18"/>
                <w:szCs w:val="18"/>
                <w:color w:val="auto"/>
              </w:rPr>
              <w:t>59,358</w:t>
            </w:r>
          </w:p>
        </w:tc>
        <w:tc>
          <w:tcPr>
            <w:tcW w:w="2400" w:type="dxa"/>
            <w:vAlign w:val="bottom"/>
          </w:tcPr>
          <w:p>
            <w:pPr>
              <w:jc w:val="right"/>
              <w:ind w:right="590"/>
              <w:spacing w:after="0"/>
              <w:rPr>
                <w:sz w:val="20"/>
                <w:szCs w:val="20"/>
                <w:color w:val="auto"/>
              </w:rPr>
            </w:pPr>
            <w:r>
              <w:rPr>
                <w:rFonts w:ascii="Arial" w:cs="Arial" w:eastAsia="Arial" w:hAnsi="Arial"/>
                <w:sz w:val="18"/>
                <w:szCs w:val="18"/>
                <w:color w:val="auto"/>
              </w:rPr>
              <w:t>22,968</w:t>
            </w:r>
          </w:p>
        </w:tc>
        <w:tc>
          <w:tcPr>
            <w:tcW w:w="1040" w:type="dxa"/>
            <w:vAlign w:val="bottom"/>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51"/>
        </w:trPr>
        <w:tc>
          <w:tcPr>
            <w:tcW w:w="3900" w:type="dxa"/>
            <w:vAlign w:val="bottom"/>
          </w:tcPr>
          <w:p>
            <w:pPr>
              <w:spacing w:after="0"/>
              <w:rPr>
                <w:sz w:val="4"/>
                <w:szCs w:val="4"/>
                <w:color w:val="auto"/>
              </w:rPr>
            </w:pPr>
          </w:p>
        </w:tc>
        <w:tc>
          <w:tcPr>
            <w:tcW w:w="300" w:type="dxa"/>
            <w:vAlign w:val="bottom"/>
            <w:shd w:val="clear" w:color="auto" w:fill="DAE9F8"/>
          </w:tcPr>
          <w:p>
            <w:pPr>
              <w:spacing w:after="0"/>
              <w:rPr>
                <w:sz w:val="4"/>
                <w:szCs w:val="4"/>
                <w:color w:val="auto"/>
              </w:rPr>
            </w:pPr>
          </w:p>
        </w:tc>
        <w:tc>
          <w:tcPr>
            <w:tcW w:w="1500" w:type="dxa"/>
            <w:vAlign w:val="bottom"/>
            <w:shd w:val="clear" w:color="auto" w:fill="DAE9F8"/>
          </w:tcPr>
          <w:p>
            <w:pPr>
              <w:spacing w:after="0"/>
              <w:rPr>
                <w:sz w:val="4"/>
                <w:szCs w:val="4"/>
                <w:color w:val="auto"/>
              </w:rPr>
            </w:pPr>
          </w:p>
        </w:tc>
        <w:tc>
          <w:tcPr>
            <w:tcW w:w="24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0"/>
                <w:szCs w:val="20"/>
                <w:color w:val="auto"/>
              </w:rPr>
            </w:pPr>
            <w:r>
              <w:rPr>
                <w:rFonts w:ascii="Arial" w:cs="Arial" w:eastAsia="Arial" w:hAnsi="Arial"/>
                <w:sz w:val="18"/>
                <w:szCs w:val="18"/>
                <w:color w:val="auto"/>
              </w:rPr>
              <w:t>Taxes and insurance cost</w:t>
            </w:r>
          </w:p>
        </w:tc>
        <w:tc>
          <w:tcPr>
            <w:tcW w:w="300" w:type="dxa"/>
            <w:vAlign w:val="bottom"/>
            <w:shd w:val="clear" w:color="auto" w:fill="DAE9F8"/>
          </w:tcPr>
          <w:p>
            <w:pPr>
              <w:spacing w:after="0"/>
              <w:rPr>
                <w:sz w:val="21"/>
                <w:szCs w:val="21"/>
                <w:color w:val="auto"/>
              </w:rPr>
            </w:pPr>
          </w:p>
        </w:tc>
        <w:tc>
          <w:tcPr>
            <w:tcW w:w="1500" w:type="dxa"/>
            <w:vAlign w:val="bottom"/>
            <w:shd w:val="clear" w:color="auto" w:fill="DAE9F8"/>
          </w:tcPr>
          <w:p>
            <w:pPr>
              <w:jc w:val="right"/>
              <w:spacing w:after="0"/>
              <w:rPr>
                <w:sz w:val="20"/>
                <w:szCs w:val="20"/>
                <w:color w:val="auto"/>
              </w:rPr>
            </w:pPr>
            <w:r>
              <w:rPr>
                <w:rFonts w:ascii="Arial" w:cs="Arial" w:eastAsia="Arial" w:hAnsi="Arial"/>
                <w:sz w:val="18"/>
                <w:szCs w:val="18"/>
                <w:color w:val="auto"/>
              </w:rPr>
              <w:t>491</w:t>
            </w:r>
          </w:p>
        </w:tc>
        <w:tc>
          <w:tcPr>
            <w:tcW w:w="2400" w:type="dxa"/>
            <w:vAlign w:val="bottom"/>
          </w:tcPr>
          <w:p>
            <w:pPr>
              <w:jc w:val="right"/>
              <w:ind w:right="590"/>
              <w:spacing w:after="0"/>
              <w:rPr>
                <w:sz w:val="20"/>
                <w:szCs w:val="20"/>
                <w:color w:val="auto"/>
              </w:rPr>
            </w:pPr>
            <w:r>
              <w:rPr>
                <w:rFonts w:ascii="Arial" w:cs="Arial" w:eastAsia="Arial" w:hAnsi="Arial"/>
                <w:sz w:val="18"/>
                <w:szCs w:val="18"/>
                <w:color w:val="auto"/>
              </w:rPr>
              <w:t>1,377</w:t>
            </w: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0"/>
        </w:trPr>
        <w:tc>
          <w:tcPr>
            <w:tcW w:w="3900" w:type="dxa"/>
            <w:vAlign w:val="bottom"/>
          </w:tcPr>
          <w:p>
            <w:pPr>
              <w:spacing w:after="0"/>
              <w:rPr>
                <w:sz w:val="20"/>
                <w:szCs w:val="20"/>
                <w:color w:val="auto"/>
              </w:rPr>
            </w:pPr>
            <w:r>
              <w:rPr>
                <w:rFonts w:ascii="Arial" w:cs="Arial" w:eastAsia="Arial" w:hAnsi="Arial"/>
                <w:sz w:val="18"/>
                <w:szCs w:val="18"/>
                <w:color w:val="auto"/>
              </w:rPr>
              <w:t>Change in inventories before inventory write-</w:t>
            </w:r>
          </w:p>
        </w:tc>
        <w:tc>
          <w:tcPr>
            <w:tcW w:w="300" w:type="dxa"/>
            <w:vAlign w:val="bottom"/>
            <w:shd w:val="clear" w:color="auto" w:fill="DAE9F8"/>
          </w:tcPr>
          <w:p>
            <w:pPr>
              <w:spacing w:after="0"/>
              <w:rPr>
                <w:sz w:val="24"/>
                <w:szCs w:val="24"/>
                <w:color w:val="auto"/>
              </w:rPr>
            </w:pPr>
          </w:p>
        </w:tc>
        <w:tc>
          <w:tcPr>
            <w:tcW w:w="1500" w:type="dxa"/>
            <w:vAlign w:val="bottom"/>
            <w:vMerge w:val="restart"/>
            <w:shd w:val="clear" w:color="auto" w:fill="DAE9F8"/>
          </w:tcPr>
          <w:p>
            <w:pPr>
              <w:jc w:val="right"/>
              <w:spacing w:after="0"/>
              <w:rPr>
                <w:sz w:val="20"/>
                <w:szCs w:val="20"/>
                <w:color w:val="auto"/>
              </w:rPr>
            </w:pPr>
            <w:r>
              <w:rPr>
                <w:rFonts w:ascii="Arial" w:cs="Arial" w:eastAsia="Arial" w:hAnsi="Arial"/>
                <w:sz w:val="18"/>
                <w:szCs w:val="18"/>
                <w:color w:val="auto"/>
              </w:rPr>
              <w:t>(9,744)</w:t>
            </w:r>
          </w:p>
        </w:tc>
        <w:tc>
          <w:tcPr>
            <w:tcW w:w="2400" w:type="dxa"/>
            <w:vAlign w:val="bottom"/>
            <w:vMerge w:val="restart"/>
          </w:tcPr>
          <w:p>
            <w:pPr>
              <w:jc w:val="right"/>
              <w:ind w:right="590"/>
              <w:spacing w:after="0"/>
              <w:rPr>
                <w:sz w:val="20"/>
                <w:szCs w:val="20"/>
                <w:color w:val="auto"/>
              </w:rPr>
            </w:pPr>
            <w:r>
              <w:rPr>
                <w:rFonts w:ascii="Arial" w:cs="Arial" w:eastAsia="Arial" w:hAnsi="Arial"/>
                <w:sz w:val="18"/>
                <w:szCs w:val="18"/>
                <w:color w:val="auto"/>
              </w:rPr>
              <w:t>(30,970)</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(165,926</w:t>
            </w:r>
          </w:p>
        </w:tc>
        <w:tc>
          <w:tcPr>
            <w:tcW w:w="0" w:type="dxa"/>
            <w:vAlign w:val="bottom"/>
          </w:tcPr>
          <w:p>
            <w:pPr>
              <w:spacing w:after="0"/>
              <w:rPr>
                <w:sz w:val="1"/>
                <w:szCs w:val="1"/>
                <w:color w:val="auto"/>
              </w:rPr>
            </w:pPr>
          </w:p>
        </w:tc>
      </w:tr>
      <w:tr>
        <w:trPr>
          <w:trHeight w:val="136"/>
        </w:trPr>
        <w:tc>
          <w:tcPr>
            <w:tcW w:w="3900" w:type="dxa"/>
            <w:vAlign w:val="bottom"/>
            <w:vMerge w:val="restart"/>
          </w:tcPr>
          <w:p>
            <w:pPr>
              <w:spacing w:after="0"/>
              <w:rPr>
                <w:sz w:val="20"/>
                <w:szCs w:val="20"/>
                <w:color w:val="auto"/>
              </w:rPr>
            </w:pPr>
            <w:r>
              <w:rPr>
                <w:rFonts w:ascii="Arial" w:cs="Arial" w:eastAsia="Arial" w:hAnsi="Arial"/>
                <w:sz w:val="18"/>
                <w:szCs w:val="18"/>
                <w:color w:val="auto"/>
              </w:rPr>
              <w:t>down</w:t>
            </w:r>
          </w:p>
        </w:tc>
        <w:tc>
          <w:tcPr>
            <w:tcW w:w="300" w:type="dxa"/>
            <w:vAlign w:val="bottom"/>
            <w:shd w:val="clear" w:color="auto" w:fill="DAE9F8"/>
          </w:tcPr>
          <w:p>
            <w:pPr>
              <w:spacing w:after="0"/>
              <w:rPr>
                <w:sz w:val="11"/>
                <w:szCs w:val="11"/>
                <w:color w:val="auto"/>
              </w:rPr>
            </w:pPr>
          </w:p>
        </w:tc>
        <w:tc>
          <w:tcPr>
            <w:tcW w:w="1500" w:type="dxa"/>
            <w:vAlign w:val="bottom"/>
            <w:vMerge w:val="continue"/>
            <w:shd w:val="clear" w:color="auto" w:fill="DAE9F8"/>
          </w:tcPr>
          <w:p>
            <w:pPr>
              <w:spacing w:after="0"/>
              <w:rPr>
                <w:sz w:val="11"/>
                <w:szCs w:val="11"/>
                <w:color w:val="auto"/>
              </w:rPr>
            </w:pPr>
          </w:p>
        </w:tc>
        <w:tc>
          <w:tcPr>
            <w:tcW w:w="24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900" w:type="dxa"/>
            <w:vAlign w:val="bottom"/>
            <w:vMerge w:val="continue"/>
          </w:tcPr>
          <w:p>
            <w:pPr>
              <w:spacing w:after="0"/>
              <w:rPr>
                <w:sz w:val="11"/>
                <w:szCs w:val="11"/>
                <w:color w:val="auto"/>
              </w:rPr>
            </w:pPr>
          </w:p>
        </w:tc>
        <w:tc>
          <w:tcPr>
            <w:tcW w:w="300" w:type="dxa"/>
            <w:vAlign w:val="bottom"/>
            <w:shd w:val="clear" w:color="auto" w:fill="DAE9F8"/>
          </w:tcPr>
          <w:p>
            <w:pPr>
              <w:spacing w:after="0"/>
              <w:rPr>
                <w:sz w:val="11"/>
                <w:szCs w:val="11"/>
                <w:color w:val="auto"/>
              </w:rPr>
            </w:pPr>
          </w:p>
        </w:tc>
        <w:tc>
          <w:tcPr>
            <w:tcW w:w="1500" w:type="dxa"/>
            <w:vAlign w:val="bottom"/>
            <w:shd w:val="clear" w:color="auto" w:fill="DAE9F8"/>
          </w:tcPr>
          <w:p>
            <w:pPr>
              <w:spacing w:after="0"/>
              <w:rPr>
                <w:sz w:val="11"/>
                <w:szCs w:val="11"/>
                <w:color w:val="auto"/>
              </w:rPr>
            </w:pPr>
          </w:p>
        </w:tc>
        <w:tc>
          <w:tcPr>
            <w:tcW w:w="2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3900" w:type="dxa"/>
            <w:vAlign w:val="bottom"/>
          </w:tcPr>
          <w:p>
            <w:pPr>
              <w:spacing w:after="0"/>
              <w:rPr>
                <w:sz w:val="20"/>
                <w:szCs w:val="20"/>
                <w:color w:val="auto"/>
              </w:rPr>
            </w:pPr>
            <w:r>
              <w:rPr>
                <w:rFonts w:ascii="Arial" w:cs="Arial" w:eastAsia="Arial" w:hAnsi="Arial"/>
                <w:sz w:val="18"/>
                <w:szCs w:val="18"/>
                <w:color w:val="auto"/>
              </w:rPr>
              <w:t>Inventory write-down/(reversal of write-down)*</w:t>
            </w:r>
          </w:p>
        </w:tc>
        <w:tc>
          <w:tcPr>
            <w:tcW w:w="300" w:type="dxa"/>
            <w:vAlign w:val="bottom"/>
            <w:shd w:val="clear" w:color="auto" w:fill="DAE9F8"/>
          </w:tcPr>
          <w:p>
            <w:pPr>
              <w:spacing w:after="0"/>
              <w:rPr>
                <w:sz w:val="24"/>
                <w:szCs w:val="24"/>
                <w:color w:val="auto"/>
              </w:rPr>
            </w:pPr>
          </w:p>
        </w:tc>
        <w:tc>
          <w:tcPr>
            <w:tcW w:w="1500" w:type="dxa"/>
            <w:vAlign w:val="bottom"/>
            <w:shd w:val="clear" w:color="auto" w:fill="DAE9F8"/>
          </w:tcPr>
          <w:p>
            <w:pPr>
              <w:jc w:val="right"/>
              <w:spacing w:after="0"/>
              <w:rPr>
                <w:sz w:val="20"/>
                <w:szCs w:val="20"/>
                <w:color w:val="auto"/>
              </w:rPr>
            </w:pPr>
            <w:r>
              <w:rPr>
                <w:rFonts w:ascii="Arial" w:cs="Arial" w:eastAsia="Arial" w:hAnsi="Arial"/>
                <w:sz w:val="18"/>
                <w:szCs w:val="18"/>
                <w:color w:val="auto"/>
              </w:rPr>
              <w:t>(1,013)</w:t>
            </w:r>
          </w:p>
        </w:tc>
        <w:tc>
          <w:tcPr>
            <w:tcW w:w="2400" w:type="dxa"/>
            <w:vAlign w:val="bottom"/>
          </w:tcPr>
          <w:p>
            <w:pPr>
              <w:jc w:val="right"/>
              <w:ind w:right="590"/>
              <w:spacing w:after="0"/>
              <w:rPr>
                <w:sz w:val="20"/>
                <w:szCs w:val="20"/>
                <w:color w:val="auto"/>
              </w:rPr>
            </w:pPr>
            <w:r>
              <w:rPr>
                <w:rFonts w:ascii="Arial" w:cs="Arial" w:eastAsia="Arial" w:hAnsi="Arial"/>
                <w:sz w:val="18"/>
                <w:szCs w:val="18"/>
                <w:color w:val="auto"/>
              </w:rPr>
              <w:t>(4,127)</w:t>
            </w:r>
          </w:p>
        </w:tc>
        <w:tc>
          <w:tcPr>
            <w:tcW w:w="104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310"/>
        </w:trPr>
        <w:tc>
          <w:tcPr>
            <w:tcW w:w="3900" w:type="dxa"/>
            <w:vAlign w:val="bottom"/>
          </w:tcPr>
          <w:p>
            <w:pPr>
              <w:spacing w:after="0"/>
              <w:rPr>
                <w:sz w:val="20"/>
                <w:szCs w:val="20"/>
                <w:color w:val="auto"/>
              </w:rPr>
            </w:pPr>
            <w:r>
              <w:rPr>
                <w:rFonts w:ascii="Arial" w:cs="Arial" w:eastAsia="Arial" w:hAnsi="Arial"/>
                <w:sz w:val="18"/>
                <w:szCs w:val="18"/>
                <w:b w:val="1"/>
                <w:bCs w:val="1"/>
                <w:color w:val="auto"/>
              </w:rPr>
              <w:t>Total cost of sales</w:t>
            </w:r>
          </w:p>
        </w:tc>
        <w:tc>
          <w:tcPr>
            <w:tcW w:w="300" w:type="dxa"/>
            <w:vAlign w:val="bottom"/>
            <w:shd w:val="clear" w:color="auto" w:fill="DAE9F8"/>
          </w:tcPr>
          <w:p>
            <w:pPr>
              <w:spacing w:after="0"/>
              <w:rPr>
                <w:sz w:val="24"/>
                <w:szCs w:val="24"/>
                <w:color w:val="auto"/>
              </w:rPr>
            </w:pPr>
          </w:p>
        </w:tc>
        <w:tc>
          <w:tcPr>
            <w:tcW w:w="1500" w:type="dxa"/>
            <w:vAlign w:val="bottom"/>
            <w:shd w:val="clear" w:color="auto" w:fill="DAE9F8"/>
          </w:tcPr>
          <w:p>
            <w:pPr>
              <w:jc w:val="right"/>
              <w:spacing w:after="0"/>
              <w:rPr>
                <w:sz w:val="20"/>
                <w:szCs w:val="20"/>
                <w:color w:val="auto"/>
              </w:rPr>
            </w:pPr>
            <w:r>
              <w:rPr>
                <w:rFonts w:ascii="Arial" w:cs="Arial" w:eastAsia="Arial" w:hAnsi="Arial"/>
                <w:sz w:val="18"/>
                <w:szCs w:val="18"/>
                <w:b w:val="1"/>
                <w:bCs w:val="1"/>
                <w:color w:val="auto"/>
              </w:rPr>
              <w:t>238,513</w:t>
            </w:r>
          </w:p>
        </w:tc>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177,980</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27,79</w:t>
            </w:r>
          </w:p>
        </w:tc>
        <w:tc>
          <w:tcPr>
            <w:tcW w:w="0" w:type="dxa"/>
            <w:vAlign w:val="bottom"/>
          </w:tcPr>
          <w:p>
            <w:pPr>
              <w:spacing w:after="0"/>
              <w:rPr>
                <w:sz w:val="1"/>
                <w:szCs w:val="1"/>
                <w:color w:val="auto"/>
              </w:rPr>
            </w:pPr>
          </w:p>
        </w:tc>
      </w:tr>
      <w:tr>
        <w:trPr>
          <w:trHeight w:val="71"/>
        </w:trPr>
        <w:tc>
          <w:tcPr>
            <w:tcW w:w="3900" w:type="dxa"/>
            <w:vAlign w:val="bottom"/>
          </w:tcPr>
          <w:p>
            <w:pPr>
              <w:spacing w:after="0"/>
              <w:rPr>
                <w:sz w:val="6"/>
                <w:szCs w:val="6"/>
                <w:color w:val="auto"/>
              </w:rPr>
            </w:pPr>
          </w:p>
        </w:tc>
        <w:tc>
          <w:tcPr>
            <w:tcW w:w="300" w:type="dxa"/>
            <w:vAlign w:val="bottom"/>
            <w:shd w:val="clear" w:color="auto" w:fill="DAE9F8"/>
          </w:tcPr>
          <w:p>
            <w:pPr>
              <w:spacing w:after="0"/>
              <w:rPr>
                <w:sz w:val="6"/>
                <w:szCs w:val="6"/>
                <w:color w:val="auto"/>
              </w:rPr>
            </w:pPr>
          </w:p>
        </w:tc>
        <w:tc>
          <w:tcPr>
            <w:tcW w:w="1500" w:type="dxa"/>
            <w:vAlign w:val="bottom"/>
            <w:shd w:val="clear" w:color="auto" w:fill="DAE9F8"/>
          </w:tcPr>
          <w:p>
            <w:pPr>
              <w:spacing w:after="0"/>
              <w:rPr>
                <w:sz w:val="6"/>
                <w:szCs w:val="6"/>
                <w:color w:val="auto"/>
              </w:rPr>
            </w:pPr>
          </w:p>
        </w:tc>
        <w:tc>
          <w:tcPr>
            <w:tcW w:w="24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-2130425</wp:posOffset>
            </wp:positionV>
            <wp:extent cx="3329940" cy="1270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71">
                      <a:extLst>
                        <a:ext uri="{28A0092B-C50C-407E-A947-70E740481C1C}"/>
                      </a:extLst>
                    </a:blip>
                    <a:srcRect/>
                    <a:stretch>
                      <a:fillRect/>
                    </a:stretch>
                  </pic:blipFill>
                  <pic:spPr bwMode="auto">
                    <a:xfrm>
                      <a:off x="0" y="0"/>
                      <a:ext cx="3329940"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-1927225</wp:posOffset>
            </wp:positionV>
            <wp:extent cx="5849620" cy="1270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72">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-215265</wp:posOffset>
            </wp:positionV>
            <wp:extent cx="3329940" cy="1270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73">
                      <a:extLst>
                        <a:ext uri="{28A0092B-C50C-407E-A947-70E740481C1C}"/>
                      </a:extLst>
                    </a:blip>
                    <a:srcRect/>
                    <a:stretch>
                      <a:fillRect/>
                    </a:stretch>
                  </pic:blipFill>
                  <pic:spPr bwMode="auto">
                    <a:xfrm>
                      <a:off x="0" y="0"/>
                      <a:ext cx="3329940"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-12065</wp:posOffset>
            </wp:positionV>
            <wp:extent cx="5849620" cy="1270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74">
                      <a:extLst>
                        <a:ext uri="{28A0092B-C50C-407E-A947-70E740481C1C}"/>
                      </a:extLst>
                    </a:blip>
                    <a:srcRect/>
                    <a:stretch>
                      <a:fillRect/>
                    </a:stretch>
                  </pic:blipFill>
                  <pic:spPr bwMode="auto">
                    <a:xfrm>
                      <a:off x="0" y="0"/>
                      <a:ext cx="5849620" cy="12700"/>
                    </a:xfrm>
                    <a:prstGeom prst="rect">
                      <a:avLst/>
                    </a:prstGeom>
                    <a:noFill/>
                  </pic:spPr>
                </pic:pic>
              </a:graphicData>
            </a:graphic>
          </wp:anchor>
        </w:drawing>
      </w:r>
    </w:p>
    <w:p>
      <w:pPr>
        <w:spacing w:after="0" w:line="4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*Changes in inventories includes $5,259 of depreciation (2024: $2,772, 2023:$18,671)</w:t>
      </w:r>
    </w:p>
    <w:p>
      <w:pPr>
        <w:spacing w:after="0" w:line="32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15. OTHER ITEMS</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a) SELLING EXPENSES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36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600" w:type="dxa"/>
            <w:vAlign w:val="bottom"/>
          </w:tcPr>
          <w:p>
            <w:pPr>
              <w:jc w:val="right"/>
              <w:ind w:right="320"/>
              <w:spacing w:after="0"/>
              <w:rPr>
                <w:sz w:val="20"/>
                <w:szCs w:val="20"/>
                <w:color w:val="auto"/>
              </w:rPr>
            </w:pPr>
            <w:r>
              <w:rPr>
                <w:rFonts w:ascii="Arial" w:cs="Arial" w:eastAsia="Arial" w:hAnsi="Arial"/>
                <w:sz w:val="16"/>
                <w:szCs w:val="16"/>
                <w:b w:val="1"/>
                <w:bCs w:val="1"/>
                <w:color w:val="auto"/>
              </w:rPr>
              <w:t>Years ended December 31,</w:t>
            </w:r>
          </w:p>
        </w:tc>
        <w:tc>
          <w:tcPr>
            <w:tcW w:w="860" w:type="dxa"/>
            <w:vAlign w:val="bottom"/>
          </w:tcPr>
          <w:p>
            <w:pPr>
              <w:spacing w:after="0"/>
              <w:rPr>
                <w:sz w:val="16"/>
                <w:szCs w:val="16"/>
                <w:color w:val="auto"/>
              </w:rPr>
            </w:pPr>
          </w:p>
        </w:tc>
      </w:tr>
      <w:tr>
        <w:trPr>
          <w:trHeight w:val="73"/>
        </w:trPr>
        <w:tc>
          <w:tcPr>
            <w:tcW w:w="34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860" w:type="dxa"/>
            <w:vAlign w:val="bottom"/>
          </w:tcPr>
          <w:p>
            <w:pPr>
              <w:spacing w:after="0"/>
              <w:rPr>
                <w:sz w:val="6"/>
                <w:szCs w:val="6"/>
                <w:color w:val="auto"/>
              </w:rPr>
            </w:pPr>
          </w:p>
        </w:tc>
      </w:tr>
      <w:tr>
        <w:trPr>
          <w:trHeight w:val="207"/>
        </w:trPr>
        <w:tc>
          <w:tcPr>
            <w:tcW w:w="3440" w:type="dxa"/>
            <w:vAlign w:val="bottom"/>
          </w:tcPr>
          <w:p>
            <w:pPr>
              <w:spacing w:after="0"/>
              <w:rPr>
                <w:sz w:val="18"/>
                <w:szCs w:val="18"/>
                <w:color w:val="auto"/>
              </w:rPr>
            </w:pPr>
          </w:p>
        </w:tc>
        <w:tc>
          <w:tcPr>
            <w:tcW w:w="1780" w:type="dxa"/>
            <w:vAlign w:val="bottom"/>
            <w:shd w:val="clear" w:color="auto" w:fill="DAE9F8"/>
          </w:tcPr>
          <w:p>
            <w:pPr>
              <w:jc w:val="right"/>
              <w:ind w:right="40"/>
              <w:spacing w:after="0"/>
              <w:rPr>
                <w:sz w:val="20"/>
                <w:szCs w:val="20"/>
                <w:color w:val="auto"/>
              </w:rPr>
            </w:pPr>
            <w:r>
              <w:rPr>
                <w:rFonts w:ascii="Arial" w:cs="Arial" w:eastAsia="Arial" w:hAnsi="Arial"/>
                <w:sz w:val="16"/>
                <w:szCs w:val="16"/>
                <w:b w:val="1"/>
                <w:bCs w:val="1"/>
                <w:color w:val="auto"/>
              </w:rPr>
              <w:t>2025</w:t>
            </w:r>
          </w:p>
        </w:tc>
        <w:tc>
          <w:tcPr>
            <w:tcW w:w="2600" w:type="dxa"/>
            <w:vAlign w:val="bottom"/>
          </w:tcPr>
          <w:p>
            <w:pPr>
              <w:jc w:val="right"/>
              <w:ind w:right="860"/>
              <w:spacing w:after="0"/>
              <w:rPr>
                <w:sz w:val="20"/>
                <w:szCs w:val="20"/>
                <w:color w:val="auto"/>
              </w:rPr>
            </w:pPr>
            <w:r>
              <w:rPr>
                <w:rFonts w:ascii="Arial" w:cs="Arial" w:eastAsia="Arial" w:hAnsi="Arial"/>
                <w:sz w:val="16"/>
                <w:szCs w:val="16"/>
                <w:b w:val="1"/>
                <w:bCs w:val="1"/>
                <w:color w:val="auto"/>
              </w:rPr>
              <w:t>2024</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r>
      <w:tr>
        <w:trPr>
          <w:trHeight w:val="291"/>
        </w:trPr>
        <w:tc>
          <w:tcPr>
            <w:tcW w:w="3440" w:type="dxa"/>
            <w:vAlign w:val="bottom"/>
          </w:tcPr>
          <w:p>
            <w:pPr>
              <w:spacing w:after="0"/>
              <w:rPr>
                <w:sz w:val="20"/>
                <w:szCs w:val="20"/>
                <w:color w:val="auto"/>
              </w:rPr>
            </w:pPr>
            <w:r>
              <w:rPr>
                <w:rFonts w:ascii="Arial" w:cs="Arial" w:eastAsia="Arial" w:hAnsi="Arial"/>
                <w:sz w:val="16"/>
                <w:szCs w:val="16"/>
                <w:color w:val="auto"/>
              </w:rPr>
              <w:t>Export duties</w:t>
            </w:r>
          </w:p>
        </w:tc>
        <w:tc>
          <w:tcPr>
            <w:tcW w:w="1780" w:type="dxa"/>
            <w:vAlign w:val="bottom"/>
            <w:shd w:val="clear" w:color="auto" w:fill="DAE9F8"/>
          </w:tcPr>
          <w:p>
            <w:pPr>
              <w:jc w:val="right"/>
              <w:ind w:right="80"/>
              <w:spacing w:after="0"/>
              <w:rPr>
                <w:sz w:val="20"/>
                <w:szCs w:val="20"/>
                <w:color w:val="auto"/>
              </w:rPr>
            </w:pPr>
            <w:r>
              <w:rPr>
                <w:rFonts w:ascii="Arial" w:cs="Arial" w:eastAsia="Arial" w:hAnsi="Arial"/>
                <w:sz w:val="16"/>
                <w:szCs w:val="16"/>
                <w:color w:val="auto"/>
              </w:rPr>
              <w:t>10,292</w:t>
            </w:r>
          </w:p>
        </w:tc>
        <w:tc>
          <w:tcPr>
            <w:tcW w:w="2600" w:type="dxa"/>
            <w:vAlign w:val="bottom"/>
          </w:tcPr>
          <w:p>
            <w:pPr>
              <w:jc w:val="right"/>
              <w:ind w:right="920"/>
              <w:spacing w:after="0"/>
              <w:rPr>
                <w:sz w:val="20"/>
                <w:szCs w:val="20"/>
                <w:color w:val="auto"/>
              </w:rPr>
            </w:pPr>
            <w:r>
              <w:rPr>
                <w:rFonts w:ascii="Arial" w:cs="Arial" w:eastAsia="Arial" w:hAnsi="Arial"/>
                <w:sz w:val="16"/>
                <w:szCs w:val="16"/>
                <w:color w:val="auto"/>
              </w:rPr>
              <w:t>6,953</w:t>
            </w:r>
          </w:p>
        </w:tc>
        <w:tc>
          <w:tcPr>
            <w:tcW w:w="860" w:type="dxa"/>
            <w:vAlign w:val="bottom"/>
          </w:tcPr>
          <w:p>
            <w:pPr>
              <w:jc w:val="right"/>
              <w:spacing w:after="0"/>
              <w:rPr>
                <w:sz w:val="20"/>
                <w:szCs w:val="20"/>
                <w:color w:val="auto"/>
              </w:rPr>
            </w:pPr>
            <w:r>
              <w:rPr>
                <w:rFonts w:ascii="Arial" w:cs="Arial" w:eastAsia="Arial" w:hAnsi="Arial"/>
                <w:sz w:val="16"/>
                <w:szCs w:val="16"/>
                <w:color w:val="auto"/>
              </w:rPr>
              <w:t>1,320</w:t>
            </w:r>
          </w:p>
        </w:tc>
      </w:tr>
      <w:tr>
        <w:trPr>
          <w:trHeight w:val="300"/>
        </w:trPr>
        <w:tc>
          <w:tcPr>
            <w:tcW w:w="3440" w:type="dxa"/>
            <w:vAlign w:val="bottom"/>
          </w:tcPr>
          <w:p>
            <w:pPr>
              <w:spacing w:after="0"/>
              <w:rPr>
                <w:sz w:val="20"/>
                <w:szCs w:val="20"/>
                <w:color w:val="auto"/>
              </w:rPr>
            </w:pPr>
            <w:r>
              <w:rPr>
                <w:rFonts w:ascii="Arial" w:cs="Arial" w:eastAsia="Arial" w:hAnsi="Arial"/>
                <w:sz w:val="16"/>
                <w:szCs w:val="16"/>
                <w:color w:val="auto"/>
              </w:rPr>
              <w:t>Mining royalties</w:t>
            </w:r>
          </w:p>
        </w:tc>
        <w:tc>
          <w:tcPr>
            <w:tcW w:w="1780" w:type="dxa"/>
            <w:vAlign w:val="bottom"/>
            <w:shd w:val="clear" w:color="auto" w:fill="DAE9F8"/>
          </w:tcPr>
          <w:p>
            <w:pPr>
              <w:jc w:val="right"/>
              <w:ind w:right="80"/>
              <w:spacing w:after="0"/>
              <w:rPr>
                <w:sz w:val="20"/>
                <w:szCs w:val="20"/>
                <w:color w:val="auto"/>
              </w:rPr>
            </w:pPr>
            <w:r>
              <w:rPr>
                <w:rFonts w:ascii="Arial" w:cs="Arial" w:eastAsia="Arial" w:hAnsi="Arial"/>
                <w:sz w:val="16"/>
                <w:szCs w:val="16"/>
                <w:color w:val="auto"/>
              </w:rPr>
              <w:t>3,759</w:t>
            </w:r>
          </w:p>
        </w:tc>
        <w:tc>
          <w:tcPr>
            <w:tcW w:w="2600" w:type="dxa"/>
            <w:vAlign w:val="bottom"/>
          </w:tcPr>
          <w:p>
            <w:pPr>
              <w:jc w:val="right"/>
              <w:ind w:right="920"/>
              <w:spacing w:after="0"/>
              <w:rPr>
                <w:sz w:val="20"/>
                <w:szCs w:val="20"/>
                <w:color w:val="auto"/>
              </w:rPr>
            </w:pPr>
            <w:r>
              <w:rPr>
                <w:rFonts w:ascii="Arial" w:cs="Arial" w:eastAsia="Arial" w:hAnsi="Arial"/>
                <w:sz w:val="16"/>
                <w:szCs w:val="16"/>
                <w:color w:val="auto"/>
              </w:rPr>
              <w:t>2,675</w:t>
            </w:r>
          </w:p>
        </w:tc>
        <w:tc>
          <w:tcPr>
            <w:tcW w:w="860" w:type="dxa"/>
            <w:vAlign w:val="bottom"/>
          </w:tcPr>
          <w:p>
            <w:pPr>
              <w:jc w:val="right"/>
              <w:spacing w:after="0"/>
              <w:rPr>
                <w:sz w:val="20"/>
                <w:szCs w:val="20"/>
                <w:color w:val="auto"/>
              </w:rPr>
            </w:pPr>
            <w:r>
              <w:rPr>
                <w:rFonts w:ascii="Arial" w:cs="Arial" w:eastAsia="Arial" w:hAnsi="Arial"/>
                <w:sz w:val="16"/>
                <w:szCs w:val="16"/>
                <w:color w:val="auto"/>
              </w:rPr>
              <w:t>453</w:t>
            </w:r>
          </w:p>
        </w:tc>
      </w:tr>
      <w:tr>
        <w:trPr>
          <w:trHeight w:val="300"/>
        </w:trPr>
        <w:tc>
          <w:tcPr>
            <w:tcW w:w="3440" w:type="dxa"/>
            <w:vAlign w:val="bottom"/>
          </w:tcPr>
          <w:p>
            <w:pPr>
              <w:spacing w:after="0"/>
              <w:rPr>
                <w:sz w:val="20"/>
                <w:szCs w:val="20"/>
                <w:color w:val="auto"/>
              </w:rPr>
            </w:pPr>
            <w:r>
              <w:rPr>
                <w:rFonts w:ascii="Arial" w:cs="Arial" w:eastAsia="Arial" w:hAnsi="Arial"/>
                <w:sz w:val="16"/>
                <w:szCs w:val="16"/>
                <w:color w:val="auto"/>
              </w:rPr>
              <w:t>Export logistics expenses</w:t>
            </w:r>
          </w:p>
        </w:tc>
        <w:tc>
          <w:tcPr>
            <w:tcW w:w="1780" w:type="dxa"/>
            <w:vAlign w:val="bottom"/>
            <w:shd w:val="clear" w:color="auto" w:fill="DAE9F8"/>
          </w:tcPr>
          <w:p>
            <w:pPr>
              <w:jc w:val="right"/>
              <w:ind w:right="80"/>
              <w:spacing w:after="0"/>
              <w:rPr>
                <w:sz w:val="20"/>
                <w:szCs w:val="20"/>
                <w:color w:val="auto"/>
              </w:rPr>
            </w:pPr>
            <w:r>
              <w:rPr>
                <w:rFonts w:ascii="Arial" w:cs="Arial" w:eastAsia="Arial" w:hAnsi="Arial"/>
                <w:sz w:val="16"/>
                <w:szCs w:val="16"/>
                <w:color w:val="auto"/>
              </w:rPr>
              <w:t>6,524</w:t>
            </w:r>
          </w:p>
        </w:tc>
        <w:tc>
          <w:tcPr>
            <w:tcW w:w="2600" w:type="dxa"/>
            <w:vAlign w:val="bottom"/>
          </w:tcPr>
          <w:p>
            <w:pPr>
              <w:jc w:val="right"/>
              <w:ind w:right="920"/>
              <w:spacing w:after="0"/>
              <w:rPr>
                <w:sz w:val="20"/>
                <w:szCs w:val="20"/>
                <w:color w:val="auto"/>
              </w:rPr>
            </w:pPr>
            <w:r>
              <w:rPr>
                <w:rFonts w:ascii="Arial" w:cs="Arial" w:eastAsia="Arial" w:hAnsi="Arial"/>
                <w:sz w:val="16"/>
                <w:szCs w:val="16"/>
                <w:color w:val="auto"/>
              </w:rPr>
              <w:t>3,872</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281"/>
        </w:trPr>
        <w:tc>
          <w:tcPr>
            <w:tcW w:w="3440" w:type="dxa"/>
            <w:vAlign w:val="bottom"/>
          </w:tcPr>
          <w:p>
            <w:pPr>
              <w:spacing w:after="0"/>
              <w:rPr>
                <w:sz w:val="20"/>
                <w:szCs w:val="20"/>
                <w:color w:val="auto"/>
              </w:rPr>
            </w:pPr>
            <w:r>
              <w:rPr>
                <w:rFonts w:ascii="Arial" w:cs="Arial" w:eastAsia="Arial" w:hAnsi="Arial"/>
                <w:sz w:val="16"/>
                <w:szCs w:val="16"/>
                <w:b w:val="1"/>
                <w:bCs w:val="1"/>
                <w:color w:val="auto"/>
              </w:rPr>
              <w:t>Total selling expenses</w:t>
            </w:r>
          </w:p>
        </w:tc>
        <w:tc>
          <w:tcPr>
            <w:tcW w:w="1780" w:type="dxa"/>
            <w:vAlign w:val="bottom"/>
            <w:shd w:val="clear" w:color="auto" w:fill="DAE9F8"/>
          </w:tcPr>
          <w:p>
            <w:pPr>
              <w:jc w:val="right"/>
              <w:ind w:right="80"/>
              <w:spacing w:after="0"/>
              <w:rPr>
                <w:sz w:val="20"/>
                <w:szCs w:val="20"/>
                <w:color w:val="auto"/>
              </w:rPr>
            </w:pPr>
            <w:r>
              <w:rPr>
                <w:rFonts w:ascii="Arial" w:cs="Arial" w:eastAsia="Arial" w:hAnsi="Arial"/>
                <w:sz w:val="16"/>
                <w:szCs w:val="16"/>
                <w:b w:val="1"/>
                <w:bCs w:val="1"/>
                <w:color w:val="auto"/>
              </w:rPr>
              <w:t>20,575</w:t>
            </w:r>
          </w:p>
        </w:tc>
        <w:tc>
          <w:tcPr>
            <w:tcW w:w="2600" w:type="dxa"/>
            <w:vAlign w:val="bottom"/>
          </w:tcPr>
          <w:p>
            <w:pPr>
              <w:jc w:val="right"/>
              <w:ind w:right="920"/>
              <w:spacing w:after="0"/>
              <w:rPr>
                <w:sz w:val="20"/>
                <w:szCs w:val="20"/>
                <w:color w:val="auto"/>
              </w:rPr>
            </w:pPr>
            <w:r>
              <w:rPr>
                <w:rFonts w:ascii="Arial" w:cs="Arial" w:eastAsia="Arial" w:hAnsi="Arial"/>
                <w:sz w:val="16"/>
                <w:szCs w:val="16"/>
                <w:b w:val="1"/>
                <w:bCs w:val="1"/>
                <w:color w:val="auto"/>
              </w:rPr>
              <w:t>13,500</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1,773</w:t>
            </w:r>
          </w:p>
        </w:tc>
      </w:tr>
      <w:tr>
        <w:trPr>
          <w:trHeight w:val="54"/>
        </w:trPr>
        <w:tc>
          <w:tcPr>
            <w:tcW w:w="3440" w:type="dxa"/>
            <w:vAlign w:val="bottom"/>
          </w:tcPr>
          <w:p>
            <w:pPr>
              <w:spacing w:after="0"/>
              <w:rPr>
                <w:sz w:val="4"/>
                <w:szCs w:val="4"/>
                <w:color w:val="auto"/>
              </w:rPr>
            </w:pPr>
          </w:p>
        </w:tc>
        <w:tc>
          <w:tcPr>
            <w:tcW w:w="1780" w:type="dxa"/>
            <w:vAlign w:val="bottom"/>
            <w:shd w:val="clear" w:color="auto" w:fill="DAE9F8"/>
          </w:tcPr>
          <w:p>
            <w:pPr>
              <w:spacing w:after="0"/>
              <w:rPr>
                <w:sz w:val="4"/>
                <w:szCs w:val="4"/>
                <w:color w:val="auto"/>
              </w:rPr>
            </w:pPr>
          </w:p>
        </w:tc>
        <w:tc>
          <w:tcPr>
            <w:tcW w:w="2600" w:type="dxa"/>
            <w:vAlign w:val="bottom"/>
          </w:tcPr>
          <w:p>
            <w:pPr>
              <w:spacing w:after="0"/>
              <w:rPr>
                <w:sz w:val="4"/>
                <w:szCs w:val="4"/>
                <w:color w:val="auto"/>
              </w:rPr>
            </w:pPr>
          </w:p>
        </w:tc>
        <w:tc>
          <w:tcPr>
            <w:tcW w:w="86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-922020</wp:posOffset>
            </wp:positionV>
            <wp:extent cx="3397250" cy="1270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75">
                      <a:extLst>
                        <a:ext uri="{28A0092B-C50C-407E-A947-70E740481C1C}"/>
                      </a:extLst>
                    </a:blip>
                    <a:srcRect/>
                    <a:stretch>
                      <a:fillRect/>
                    </a:stretch>
                  </pic:blipFill>
                  <pic:spPr bwMode="auto">
                    <a:xfrm>
                      <a:off x="0" y="0"/>
                      <a:ext cx="3397250"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-755650</wp:posOffset>
            </wp:positionV>
            <wp:extent cx="5646420" cy="1270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76">
                      <a:extLst>
                        <a:ext uri="{28A0092B-C50C-407E-A947-70E740481C1C}"/>
                      </a:extLst>
                    </a:blip>
                    <a:srcRect/>
                    <a:stretch>
                      <a:fillRect/>
                    </a:stretch>
                  </pic:blipFill>
                  <pic:spPr bwMode="auto">
                    <a:xfrm>
                      <a:off x="0" y="0"/>
                      <a:ext cx="5646420"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-171450</wp:posOffset>
            </wp:positionV>
            <wp:extent cx="5646420" cy="17208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7">
                      <a:extLst>
                        <a:ext uri="{28A0092B-C50C-407E-A947-70E740481C1C}"/>
                      </a:extLst>
                    </a:blip>
                    <a:srcRect/>
                    <a:stretch>
                      <a:fillRect/>
                    </a:stretch>
                  </pic:blipFill>
                  <pic:spPr bwMode="auto">
                    <a:xfrm>
                      <a:off x="0" y="0"/>
                      <a:ext cx="5646420" cy="172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b) GENERAL AND ADMINISTRATION EXPENSES</w:t>
      </w:r>
    </w:p>
    <w:p>
      <w:pPr>
        <w:spacing w:after="0" w:line="200" w:lineRule="exact"/>
        <w:rPr>
          <w:sz w:val="20"/>
          <w:szCs w:val="20"/>
          <w:color w:val="auto"/>
        </w:rPr>
      </w:pPr>
    </w:p>
    <w:p>
      <w:pPr>
        <w:spacing w:after="0" w:line="259"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4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Years ended December 31,</w:t>
            </w:r>
          </w:p>
        </w:tc>
        <w:tc>
          <w:tcPr>
            <w:tcW w:w="780" w:type="dxa"/>
            <w:vAlign w:val="bottom"/>
          </w:tcPr>
          <w:p>
            <w:pPr>
              <w:spacing w:after="0"/>
              <w:rPr>
                <w:sz w:val="17"/>
                <w:szCs w:val="17"/>
                <w:color w:val="auto"/>
              </w:rPr>
            </w:pPr>
          </w:p>
        </w:tc>
      </w:tr>
      <w:tr>
        <w:trPr>
          <w:trHeight w:val="56"/>
        </w:trPr>
        <w:tc>
          <w:tcPr>
            <w:tcW w:w="36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4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35"/>
        </w:trPr>
        <w:tc>
          <w:tcPr>
            <w:tcW w:w="3660" w:type="dxa"/>
            <w:vAlign w:val="bottom"/>
          </w:tcPr>
          <w:p>
            <w:pPr>
              <w:spacing w:after="0"/>
              <w:rPr>
                <w:sz w:val="20"/>
                <w:szCs w:val="20"/>
                <w:color w:val="auto"/>
              </w:rPr>
            </w:pPr>
          </w:p>
        </w:tc>
        <w:tc>
          <w:tcPr>
            <w:tcW w:w="1780" w:type="dxa"/>
            <w:vAlign w:val="bottom"/>
            <w:shd w:val="clear" w:color="auto" w:fill="DAE9F8"/>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2460" w:type="dxa"/>
            <w:vAlign w:val="bottom"/>
          </w:tcPr>
          <w:p>
            <w:pPr>
              <w:jc w:val="right"/>
              <w:ind w:right="790"/>
              <w:spacing w:after="0"/>
              <w:rPr>
                <w:sz w:val="20"/>
                <w:szCs w:val="20"/>
                <w:color w:val="auto"/>
              </w:rPr>
            </w:pPr>
            <w:r>
              <w:rPr>
                <w:rFonts w:ascii="Arial" w:cs="Arial" w:eastAsia="Arial" w:hAnsi="Arial"/>
                <w:sz w:val="18"/>
                <w:szCs w:val="18"/>
                <w:b w:val="1"/>
                <w:bCs w:val="1"/>
                <w:color w:val="auto"/>
              </w:rPr>
              <w:t>2024</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r>
      <w:tr>
        <w:trPr>
          <w:trHeight w:val="56"/>
        </w:trPr>
        <w:tc>
          <w:tcPr>
            <w:tcW w:w="3660" w:type="dxa"/>
            <w:vAlign w:val="bottom"/>
          </w:tcPr>
          <w:p>
            <w:pPr>
              <w:spacing w:after="0"/>
              <w:rPr>
                <w:sz w:val="4"/>
                <w:szCs w:val="4"/>
                <w:color w:val="auto"/>
              </w:rPr>
            </w:pPr>
          </w:p>
        </w:tc>
        <w:tc>
          <w:tcPr>
            <w:tcW w:w="1780" w:type="dxa"/>
            <w:vAlign w:val="bottom"/>
            <w:shd w:val="clear" w:color="auto" w:fill="DAE9F8"/>
          </w:tcPr>
          <w:p>
            <w:pPr>
              <w:spacing w:after="0"/>
              <w:rPr>
                <w:sz w:val="4"/>
                <w:szCs w:val="4"/>
                <w:color w:val="auto"/>
              </w:rPr>
            </w:pPr>
          </w:p>
        </w:tc>
        <w:tc>
          <w:tcPr>
            <w:tcW w:w="24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35"/>
        </w:trPr>
        <w:tc>
          <w:tcPr>
            <w:tcW w:w="3660" w:type="dxa"/>
            <w:vAlign w:val="bottom"/>
          </w:tcPr>
          <w:p>
            <w:pPr>
              <w:spacing w:after="0"/>
              <w:rPr>
                <w:sz w:val="20"/>
                <w:szCs w:val="20"/>
                <w:color w:val="auto"/>
              </w:rPr>
            </w:pPr>
            <w:r>
              <w:rPr>
                <w:rFonts w:ascii="Arial" w:cs="Arial" w:eastAsia="Arial" w:hAnsi="Arial"/>
                <w:sz w:val="18"/>
                <w:szCs w:val="18"/>
                <w:color w:val="auto"/>
              </w:rPr>
              <w:t>Professional fees</w:t>
            </w:r>
          </w:p>
        </w:tc>
        <w:tc>
          <w:tcPr>
            <w:tcW w:w="178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1,051</w:t>
            </w:r>
          </w:p>
        </w:tc>
        <w:tc>
          <w:tcPr>
            <w:tcW w:w="2460" w:type="dxa"/>
            <w:vAlign w:val="bottom"/>
          </w:tcPr>
          <w:p>
            <w:pPr>
              <w:jc w:val="right"/>
              <w:ind w:right="790"/>
              <w:spacing w:after="0"/>
              <w:rPr>
                <w:sz w:val="20"/>
                <w:szCs w:val="20"/>
                <w:color w:val="auto"/>
              </w:rPr>
            </w:pPr>
            <w:r>
              <w:rPr>
                <w:rFonts w:ascii="Arial" w:cs="Arial" w:eastAsia="Arial" w:hAnsi="Arial"/>
                <w:sz w:val="18"/>
                <w:szCs w:val="18"/>
                <w:color w:val="auto"/>
              </w:rPr>
              <w:t>1,142</w:t>
            </w:r>
          </w:p>
        </w:tc>
        <w:tc>
          <w:tcPr>
            <w:tcW w:w="78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36"/>
        </w:trPr>
        <w:tc>
          <w:tcPr>
            <w:tcW w:w="3660" w:type="dxa"/>
            <w:vAlign w:val="bottom"/>
          </w:tcPr>
          <w:p>
            <w:pPr>
              <w:spacing w:after="0"/>
              <w:rPr>
                <w:sz w:val="3"/>
                <w:szCs w:val="3"/>
                <w:color w:val="auto"/>
              </w:rPr>
            </w:pPr>
          </w:p>
        </w:tc>
        <w:tc>
          <w:tcPr>
            <w:tcW w:w="1780" w:type="dxa"/>
            <w:vAlign w:val="bottom"/>
            <w:shd w:val="clear" w:color="auto" w:fill="DAE9F8"/>
          </w:tcPr>
          <w:p>
            <w:pPr>
              <w:spacing w:after="0"/>
              <w:rPr>
                <w:sz w:val="3"/>
                <w:szCs w:val="3"/>
                <w:color w:val="auto"/>
              </w:rPr>
            </w:pPr>
          </w:p>
        </w:tc>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-369570</wp:posOffset>
            </wp:positionV>
            <wp:extent cx="3260090" cy="1270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8">
                      <a:extLst>
                        <a:ext uri="{28A0092B-C50C-407E-A947-70E740481C1C}"/>
                      </a:extLst>
                    </a:blip>
                    <a:srcRect/>
                    <a:stretch>
                      <a:fillRect/>
                    </a:stretch>
                  </pic:blipFill>
                  <pic:spPr bwMode="auto">
                    <a:xfrm>
                      <a:off x="0" y="0"/>
                      <a:ext cx="3260090"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-184785</wp:posOffset>
            </wp:positionV>
            <wp:extent cx="5646420" cy="1270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9">
                      <a:extLst>
                        <a:ext uri="{28A0092B-C50C-407E-A947-70E740481C1C}"/>
                      </a:extLst>
                    </a:blip>
                    <a:srcRect/>
                    <a:stretch>
                      <a:fillRect/>
                    </a:stretch>
                  </pic:blipFill>
                  <pic:spPr bwMode="auto">
                    <a:xfrm>
                      <a:off x="0" y="0"/>
                      <a:ext cx="5646420" cy="1270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1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34 / 58</w:t>
      </w:r>
    </w:p>
    <w:p>
      <w:pPr>
        <w:sectPr>
          <w:pgSz w:w="11900" w:h="16838" w:orient="portrait"/>
          <w:cols w:equalWidth="0" w:num="1">
            <w:col w:w="10460"/>
          </w:cols>
          <w:pgMar w:left="1440" w:top="1440" w:right="6" w:bottom="0" w:gutter="0" w:footer="0" w:header="0"/>
          <w:type w:val="continuous"/>
        </w:sectPr>
      </w:pPr>
    </w:p>
    <w:bookmarkStart w:id="646" w:name="page647"/>
    <w:bookmarkEnd w:id="646"/>
    <w:tbl>
      <w:tblPr>
        <w:tblLayout w:type="fixed"/>
        <w:tblInd w:w="1360" w:type="dxa"/>
        <w:tblCellMar>
          <w:top w:w="0" w:type="dxa"/>
          <w:left w:w="0" w:type="dxa"/>
          <w:bottom w:w="0" w:type="dxa"/>
          <w:right w:w="0" w:type="dxa"/>
        </w:tblCellMar>
      </w:tblPr>
      <w:tr>
        <w:trPr>
          <w:trHeight w:val="235"/>
        </w:trPr>
        <w:tc>
          <w:tcPr>
            <w:tcW w:w="3660" w:type="dxa"/>
            <w:vAlign w:val="bottom"/>
          </w:tcPr>
          <w:p>
            <w:pPr>
              <w:spacing w:after="0"/>
              <w:rPr>
                <w:sz w:val="20"/>
                <w:szCs w:val="20"/>
                <w:color w:val="auto"/>
              </w:rPr>
            </w:pPr>
            <w:r>
              <w:rPr>
                <w:rFonts w:ascii="Arial" w:cs="Arial" w:eastAsia="Arial" w:hAnsi="Arial"/>
                <w:sz w:val="18"/>
                <w:szCs w:val="18"/>
                <w:color w:val="auto"/>
              </w:rPr>
              <w:t>Salaries and benefits</w:t>
            </w:r>
          </w:p>
        </w:tc>
        <w:tc>
          <w:tcPr>
            <w:tcW w:w="280" w:type="dxa"/>
            <w:vAlign w:val="bottom"/>
            <w:shd w:val="clear" w:color="auto" w:fill="DAE9F8"/>
          </w:tcPr>
          <w:p>
            <w:pPr>
              <w:spacing w:after="0"/>
              <w:rPr>
                <w:sz w:val="20"/>
                <w:szCs w:val="20"/>
                <w:color w:val="auto"/>
              </w:rPr>
            </w:pPr>
          </w:p>
        </w:tc>
        <w:tc>
          <w:tcPr>
            <w:tcW w:w="150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3,335</w:t>
            </w:r>
          </w:p>
        </w:tc>
        <w:tc>
          <w:tcPr>
            <w:tcW w:w="2180" w:type="dxa"/>
            <w:vAlign w:val="bottom"/>
          </w:tcPr>
          <w:p>
            <w:pPr>
              <w:jc w:val="right"/>
              <w:ind w:right="510"/>
              <w:spacing w:after="0"/>
              <w:rPr>
                <w:sz w:val="20"/>
                <w:szCs w:val="20"/>
                <w:color w:val="auto"/>
              </w:rPr>
            </w:pPr>
            <w:r>
              <w:rPr>
                <w:rFonts w:ascii="Arial" w:cs="Arial" w:eastAsia="Arial" w:hAnsi="Arial"/>
                <w:sz w:val="18"/>
                <w:szCs w:val="18"/>
                <w:color w:val="auto"/>
              </w:rPr>
              <w:t>2,860</w:t>
            </w:r>
          </w:p>
        </w:tc>
        <w:tc>
          <w:tcPr>
            <w:tcW w:w="1060" w:type="dxa"/>
            <w:vAlign w:val="bottom"/>
          </w:tcPr>
          <w:p>
            <w:pPr>
              <w:jc w:val="right"/>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72"/>
        </w:trPr>
        <w:tc>
          <w:tcPr>
            <w:tcW w:w="3660" w:type="dxa"/>
            <w:vAlign w:val="bottom"/>
          </w:tcPr>
          <w:p>
            <w:pPr>
              <w:spacing w:after="0"/>
              <w:rPr>
                <w:sz w:val="20"/>
                <w:szCs w:val="20"/>
                <w:color w:val="auto"/>
              </w:rPr>
            </w:pPr>
            <w:r>
              <w:rPr>
                <w:rFonts w:ascii="Arial" w:cs="Arial" w:eastAsia="Arial" w:hAnsi="Arial"/>
                <w:sz w:val="18"/>
                <w:szCs w:val="18"/>
                <w:color w:val="auto"/>
              </w:rPr>
              <w:t>Office and administration</w:t>
            </w:r>
          </w:p>
        </w:tc>
        <w:tc>
          <w:tcPr>
            <w:tcW w:w="280" w:type="dxa"/>
            <w:vAlign w:val="bottom"/>
            <w:shd w:val="clear" w:color="auto" w:fill="DAE9F8"/>
          </w:tcPr>
          <w:p>
            <w:pPr>
              <w:spacing w:after="0"/>
              <w:rPr>
                <w:sz w:val="23"/>
                <w:szCs w:val="23"/>
                <w:color w:val="auto"/>
              </w:rPr>
            </w:pPr>
          </w:p>
        </w:tc>
        <w:tc>
          <w:tcPr>
            <w:tcW w:w="150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6,832</w:t>
            </w:r>
          </w:p>
        </w:tc>
        <w:tc>
          <w:tcPr>
            <w:tcW w:w="2180" w:type="dxa"/>
            <w:vAlign w:val="bottom"/>
          </w:tcPr>
          <w:p>
            <w:pPr>
              <w:jc w:val="right"/>
              <w:ind w:right="510"/>
              <w:spacing w:after="0"/>
              <w:rPr>
                <w:sz w:val="20"/>
                <w:szCs w:val="20"/>
                <w:color w:val="auto"/>
              </w:rPr>
            </w:pPr>
            <w:r>
              <w:rPr>
                <w:rFonts w:ascii="Arial" w:cs="Arial" w:eastAsia="Arial" w:hAnsi="Arial"/>
                <w:sz w:val="18"/>
                <w:szCs w:val="18"/>
                <w:color w:val="auto"/>
              </w:rPr>
              <w:t>5,216</w:t>
            </w:r>
          </w:p>
        </w:tc>
        <w:tc>
          <w:tcPr>
            <w:tcW w:w="106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7"/>
        </w:trPr>
        <w:tc>
          <w:tcPr>
            <w:tcW w:w="366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DAE9F8"/>
          </w:tcPr>
          <w:p>
            <w:pPr>
              <w:spacing w:after="0"/>
              <w:rPr>
                <w:sz w:val="24"/>
                <w:szCs w:val="24"/>
                <w:color w:val="auto"/>
              </w:rPr>
            </w:pPr>
          </w:p>
        </w:tc>
        <w:tc>
          <w:tcPr>
            <w:tcW w:w="150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2,653</w:t>
            </w:r>
          </w:p>
        </w:tc>
        <w:tc>
          <w:tcPr>
            <w:tcW w:w="2180" w:type="dxa"/>
            <w:vAlign w:val="bottom"/>
          </w:tcPr>
          <w:p>
            <w:pPr>
              <w:jc w:val="right"/>
              <w:ind w:right="510"/>
              <w:spacing w:after="0"/>
              <w:rPr>
                <w:sz w:val="20"/>
                <w:szCs w:val="20"/>
                <w:color w:val="auto"/>
              </w:rPr>
            </w:pPr>
            <w:r>
              <w:rPr>
                <w:rFonts w:ascii="Arial" w:cs="Arial" w:eastAsia="Arial" w:hAnsi="Arial"/>
                <w:sz w:val="18"/>
                <w:szCs w:val="18"/>
                <w:color w:val="auto"/>
              </w:rPr>
              <w:t>1,538</w:t>
            </w:r>
          </w:p>
        </w:tc>
        <w:tc>
          <w:tcPr>
            <w:tcW w:w="1060" w:type="dxa"/>
            <w:vAlign w:val="bottom"/>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77"/>
        </w:trPr>
        <w:tc>
          <w:tcPr>
            <w:tcW w:w="3660" w:type="dxa"/>
            <w:vAlign w:val="bottom"/>
          </w:tcPr>
          <w:p>
            <w:pPr>
              <w:spacing w:after="0"/>
              <w:rPr>
                <w:sz w:val="20"/>
                <w:szCs w:val="20"/>
                <w:color w:val="auto"/>
              </w:rPr>
            </w:pPr>
            <w:r>
              <w:rPr>
                <w:rFonts w:ascii="Arial" w:cs="Arial" w:eastAsia="Arial" w:hAnsi="Arial"/>
                <w:sz w:val="18"/>
                <w:szCs w:val="18"/>
                <w:b w:val="1"/>
                <w:bCs w:val="1"/>
                <w:color w:val="auto"/>
              </w:rPr>
              <w:t>Total general and administration</w:t>
            </w:r>
          </w:p>
        </w:tc>
        <w:tc>
          <w:tcPr>
            <w:tcW w:w="280" w:type="dxa"/>
            <w:vAlign w:val="bottom"/>
            <w:shd w:val="clear" w:color="auto" w:fill="DAE9F8"/>
          </w:tcPr>
          <w:p>
            <w:pPr>
              <w:spacing w:after="0"/>
              <w:rPr>
                <w:sz w:val="24"/>
                <w:szCs w:val="24"/>
                <w:color w:val="auto"/>
              </w:rPr>
            </w:pPr>
          </w:p>
        </w:tc>
        <w:tc>
          <w:tcPr>
            <w:tcW w:w="1500" w:type="dxa"/>
            <w:vAlign w:val="bottom"/>
            <w:vMerge w:val="restart"/>
            <w:shd w:val="clear" w:color="auto" w:fill="DAE9F8"/>
          </w:tcPr>
          <w:p>
            <w:pPr>
              <w:jc w:val="right"/>
              <w:ind w:right="30"/>
              <w:spacing w:after="0"/>
              <w:rPr>
                <w:sz w:val="20"/>
                <w:szCs w:val="20"/>
                <w:color w:val="auto"/>
              </w:rPr>
            </w:pPr>
            <w:r>
              <w:rPr>
                <w:rFonts w:ascii="Arial" w:cs="Arial" w:eastAsia="Arial" w:hAnsi="Arial"/>
                <w:sz w:val="18"/>
                <w:szCs w:val="18"/>
                <w:b w:val="1"/>
                <w:bCs w:val="1"/>
                <w:color w:val="auto"/>
              </w:rPr>
              <w:t>13,871</w:t>
            </w:r>
          </w:p>
        </w:tc>
        <w:tc>
          <w:tcPr>
            <w:tcW w:w="21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10,756</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3,928</w:t>
            </w:r>
          </w:p>
        </w:tc>
        <w:tc>
          <w:tcPr>
            <w:tcW w:w="0" w:type="dxa"/>
            <w:vAlign w:val="bottom"/>
          </w:tcPr>
          <w:p>
            <w:pPr>
              <w:spacing w:after="0"/>
              <w:rPr>
                <w:sz w:val="1"/>
                <w:szCs w:val="1"/>
                <w:color w:val="auto"/>
              </w:rPr>
            </w:pPr>
          </w:p>
        </w:tc>
      </w:tr>
      <w:tr>
        <w:trPr>
          <w:trHeight w:val="136"/>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expenses</w:t>
            </w:r>
          </w:p>
        </w:tc>
        <w:tc>
          <w:tcPr>
            <w:tcW w:w="280" w:type="dxa"/>
            <w:vAlign w:val="bottom"/>
            <w:shd w:val="clear" w:color="auto" w:fill="DAE9F8"/>
          </w:tcPr>
          <w:p>
            <w:pPr>
              <w:spacing w:after="0"/>
              <w:rPr>
                <w:sz w:val="11"/>
                <w:szCs w:val="11"/>
                <w:color w:val="auto"/>
              </w:rPr>
            </w:pPr>
          </w:p>
        </w:tc>
        <w:tc>
          <w:tcPr>
            <w:tcW w:w="1500" w:type="dxa"/>
            <w:vAlign w:val="bottom"/>
            <w:vMerge w:val="continue"/>
            <w:shd w:val="clear" w:color="auto" w:fill="DAE9F8"/>
          </w:tcPr>
          <w:p>
            <w:pPr>
              <w:spacing w:after="0"/>
              <w:rPr>
                <w:sz w:val="11"/>
                <w:szCs w:val="11"/>
                <w:color w:val="auto"/>
              </w:rPr>
            </w:pPr>
          </w:p>
        </w:tc>
        <w:tc>
          <w:tcPr>
            <w:tcW w:w="21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660" w:type="dxa"/>
            <w:vAlign w:val="bottom"/>
            <w:vMerge w:val="continue"/>
          </w:tcPr>
          <w:p>
            <w:pPr>
              <w:spacing w:after="0"/>
              <w:rPr>
                <w:sz w:val="11"/>
                <w:szCs w:val="11"/>
                <w:color w:val="auto"/>
              </w:rPr>
            </w:pPr>
          </w:p>
        </w:tc>
        <w:tc>
          <w:tcPr>
            <w:tcW w:w="280" w:type="dxa"/>
            <w:vAlign w:val="bottom"/>
            <w:shd w:val="clear" w:color="auto" w:fill="DAE9F8"/>
          </w:tcPr>
          <w:p>
            <w:pPr>
              <w:spacing w:after="0"/>
              <w:rPr>
                <w:sz w:val="11"/>
                <w:szCs w:val="11"/>
                <w:color w:val="auto"/>
              </w:rPr>
            </w:pPr>
          </w:p>
        </w:tc>
        <w:tc>
          <w:tcPr>
            <w:tcW w:w="1500" w:type="dxa"/>
            <w:vAlign w:val="bottom"/>
            <w:shd w:val="clear" w:color="auto" w:fill="DAE9F8"/>
          </w:tcPr>
          <w:p>
            <w:pPr>
              <w:spacing w:after="0"/>
              <w:rPr>
                <w:sz w:val="11"/>
                <w:szCs w:val="11"/>
                <w:color w:val="auto"/>
              </w:rPr>
            </w:pPr>
          </w:p>
        </w:tc>
        <w:tc>
          <w:tcPr>
            <w:tcW w:w="2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3660" w:type="dxa"/>
            <w:vAlign w:val="bottom"/>
          </w:tcPr>
          <w:p>
            <w:pPr>
              <w:spacing w:after="0"/>
              <w:rPr>
                <w:sz w:val="4"/>
                <w:szCs w:val="4"/>
                <w:color w:val="auto"/>
              </w:rPr>
            </w:pPr>
          </w:p>
        </w:tc>
        <w:tc>
          <w:tcPr>
            <w:tcW w:w="280" w:type="dxa"/>
            <w:vAlign w:val="bottom"/>
            <w:shd w:val="clear" w:color="auto" w:fill="DAE9F8"/>
          </w:tcPr>
          <w:p>
            <w:pPr>
              <w:spacing w:after="0"/>
              <w:rPr>
                <w:sz w:val="4"/>
                <w:szCs w:val="4"/>
                <w:color w:val="auto"/>
              </w:rPr>
            </w:pPr>
          </w:p>
        </w:tc>
        <w:tc>
          <w:tcPr>
            <w:tcW w:w="1500" w:type="dxa"/>
            <w:vAlign w:val="bottom"/>
            <w:shd w:val="clear" w:color="auto" w:fill="DAE9F8"/>
          </w:tcPr>
          <w:p>
            <w:pPr>
              <w:spacing w:after="0"/>
              <w:rPr>
                <w:sz w:val="4"/>
                <w:szCs w:val="4"/>
                <w:color w:val="auto"/>
              </w:rPr>
            </w:pPr>
          </w:p>
        </w:tc>
        <w:tc>
          <w:tcPr>
            <w:tcW w:w="2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-363220</wp:posOffset>
            </wp:positionV>
            <wp:extent cx="3260090" cy="635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80">
                      <a:extLst>
                        <a:ext uri="{28A0092B-C50C-407E-A947-70E740481C1C}"/>
                      </a:extLst>
                    </a:blip>
                    <a:srcRect/>
                    <a:stretch>
                      <a:fillRect/>
                    </a:stretch>
                  </pic:blipFill>
                  <pic:spPr bwMode="auto">
                    <a:xfrm>
                      <a:off x="0" y="0"/>
                      <a:ext cx="3260090"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-12065</wp:posOffset>
            </wp:positionV>
            <wp:extent cx="5646420" cy="1270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81">
                      <a:extLst>
                        <a:ext uri="{28A0092B-C50C-407E-A947-70E740481C1C}"/>
                      </a:extLst>
                    </a:blip>
                    <a:srcRect/>
                    <a:stretch>
                      <a:fillRect/>
                    </a:stretch>
                  </pic:blipFill>
                  <pic:spPr bwMode="auto">
                    <a:xfrm>
                      <a:off x="0" y="0"/>
                      <a:ext cx="5646420" cy="1270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82">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040"/>
          </w:cols>
          <w:pgMar w:left="1440" w:top="1133" w:right="4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35 / 58</w:t>
      </w:r>
    </w:p>
    <w:p>
      <w:pPr>
        <w:sectPr>
          <w:pgSz w:w="11900" w:h="16838" w:orient="portrait"/>
          <w:cols w:equalWidth="0" w:num="1">
            <w:col w:w="10040"/>
          </w:cols>
          <w:pgMar w:left="1440" w:top="1133" w:right="426" w:bottom="0" w:gutter="0" w:footer="0" w:header="0"/>
          <w:type w:val="continuous"/>
        </w:sectPr>
      </w:pPr>
    </w:p>
    <w:bookmarkStart w:id="647" w:name="page648"/>
    <w:bookmarkEnd w:id="647"/>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580" w:hanging="326"/>
        <w:spacing w:after="0"/>
        <w:tabs>
          <w:tab w:leader="none" w:pos="1580" w:val="left"/>
        </w:tabs>
        <w:numPr>
          <w:ilvl w:val="0"/>
          <w:numId w:val="30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OTHER ITEMS </w:t>
      </w:r>
      <w:r>
        <w:rPr>
          <w:rFonts w:ascii="Arial" w:cs="Arial" w:eastAsia="Arial" w:hAnsi="Arial"/>
          <w:sz w:val="20"/>
          <w:szCs w:val="20"/>
          <w:i w:val="1"/>
          <w:iCs w:val="1"/>
          <w:color w:val="auto"/>
        </w:rPr>
        <w:t>(continued)</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 OTHER OPERATING INCOME AND EXPENSE</w:t>
      </w:r>
    </w:p>
    <w:p>
      <w:pPr>
        <w:spacing w:after="0" w:line="200" w:lineRule="exact"/>
        <w:rPr>
          <w:sz w:val="20"/>
          <w:szCs w:val="20"/>
          <w:color w:val="auto"/>
        </w:rPr>
      </w:pPr>
    </w:p>
    <w:p>
      <w:pPr>
        <w:spacing w:after="0" w:line="264"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414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Pr>
          <w:p>
            <w:pPr>
              <w:spacing w:after="0"/>
              <w:rPr>
                <w:sz w:val="17"/>
                <w:szCs w:val="17"/>
                <w:color w:val="auto"/>
              </w:rPr>
            </w:pPr>
          </w:p>
        </w:tc>
      </w:tr>
      <w:tr>
        <w:trPr>
          <w:trHeight w:val="61"/>
        </w:trPr>
        <w:tc>
          <w:tcPr>
            <w:tcW w:w="37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235"/>
        </w:trPr>
        <w:tc>
          <w:tcPr>
            <w:tcW w:w="3760" w:type="dxa"/>
            <w:vAlign w:val="bottom"/>
          </w:tcPr>
          <w:p>
            <w:pPr>
              <w:spacing w:after="0"/>
              <w:rPr>
                <w:sz w:val="20"/>
                <w:szCs w:val="20"/>
                <w:color w:val="auto"/>
              </w:rPr>
            </w:pPr>
          </w:p>
        </w:tc>
        <w:tc>
          <w:tcPr>
            <w:tcW w:w="1780" w:type="dxa"/>
            <w:vAlign w:val="bottom"/>
            <w:gridSpan w:val="2"/>
            <w:shd w:val="clear" w:color="auto" w:fill="DAE9F8"/>
          </w:tcPr>
          <w:p>
            <w:pPr>
              <w:jc w:val="right"/>
              <w:ind w:right="100"/>
              <w:spacing w:after="0"/>
              <w:rPr>
                <w:sz w:val="20"/>
                <w:szCs w:val="20"/>
                <w:color w:val="auto"/>
              </w:rPr>
            </w:pPr>
            <w:r>
              <w:rPr>
                <w:rFonts w:ascii="Arial" w:cs="Arial" w:eastAsia="Arial" w:hAnsi="Arial"/>
                <w:sz w:val="18"/>
                <w:szCs w:val="18"/>
                <w:b w:val="1"/>
                <w:bCs w:val="1"/>
                <w:color w:val="auto"/>
              </w:rPr>
              <w:t>2025</w:t>
            </w:r>
          </w:p>
        </w:tc>
        <w:tc>
          <w:tcPr>
            <w:tcW w:w="23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2024</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r>
      <w:tr>
        <w:trPr>
          <w:trHeight w:val="292"/>
        </w:trPr>
        <w:tc>
          <w:tcPr>
            <w:tcW w:w="3760" w:type="dxa"/>
            <w:vAlign w:val="bottom"/>
          </w:tcPr>
          <w:p>
            <w:pPr>
              <w:ind w:left="100"/>
              <w:spacing w:after="0"/>
              <w:rPr>
                <w:sz w:val="20"/>
                <w:szCs w:val="20"/>
                <w:color w:val="auto"/>
              </w:rPr>
            </w:pPr>
            <w:r>
              <w:rPr>
                <w:rFonts w:ascii="Arial" w:cs="Arial" w:eastAsia="Arial" w:hAnsi="Arial"/>
                <w:sz w:val="18"/>
                <w:szCs w:val="18"/>
                <w:color w:val="auto"/>
              </w:rPr>
              <w:t>Plant idle costs</w:t>
            </w:r>
          </w:p>
        </w:tc>
        <w:tc>
          <w:tcPr>
            <w:tcW w:w="1780" w:type="dxa"/>
            <w:vAlign w:val="bottom"/>
            <w:gridSpan w:val="2"/>
            <w:shd w:val="clear" w:color="auto" w:fill="DAE9F8"/>
          </w:tcPr>
          <w:p>
            <w:pPr>
              <w:jc w:val="right"/>
              <w:ind w:right="100"/>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(1,516)</w:t>
            </w:r>
          </w:p>
        </w:tc>
      </w:tr>
      <w:tr>
        <w:trPr>
          <w:trHeight w:val="277"/>
        </w:trPr>
        <w:tc>
          <w:tcPr>
            <w:tcW w:w="3760" w:type="dxa"/>
            <w:vAlign w:val="bottom"/>
          </w:tcPr>
          <w:p>
            <w:pPr>
              <w:ind w:left="100"/>
              <w:spacing w:after="0"/>
              <w:rPr>
                <w:sz w:val="20"/>
                <w:szCs w:val="20"/>
                <w:color w:val="auto"/>
              </w:rPr>
            </w:pPr>
            <w:r>
              <w:rPr>
                <w:rFonts w:ascii="Arial" w:cs="Arial" w:eastAsia="Arial" w:hAnsi="Arial"/>
                <w:sz w:val="18"/>
                <w:szCs w:val="18"/>
                <w:color w:val="auto"/>
              </w:rPr>
              <w:t>Export refund</w:t>
            </w:r>
          </w:p>
        </w:tc>
        <w:tc>
          <w:tcPr>
            <w:tcW w:w="1780" w:type="dxa"/>
            <w:vAlign w:val="bottom"/>
            <w:gridSpan w:val="2"/>
            <w:shd w:val="clear" w:color="auto" w:fill="DAE9F8"/>
          </w:tcPr>
          <w:p>
            <w:pPr>
              <w:jc w:val="right"/>
              <w:ind w:right="100"/>
              <w:spacing w:after="0"/>
              <w:rPr>
                <w:sz w:val="20"/>
                <w:szCs w:val="20"/>
                <w:color w:val="auto"/>
              </w:rPr>
            </w:pPr>
            <w:r>
              <w:rPr>
                <w:rFonts w:ascii="Arial" w:cs="Arial" w:eastAsia="Arial" w:hAnsi="Arial"/>
                <w:sz w:val="18"/>
                <w:szCs w:val="18"/>
                <w:color w:val="auto"/>
              </w:rPr>
              <w:t>3,024</w:t>
            </w:r>
          </w:p>
        </w:tc>
        <w:tc>
          <w:tcPr>
            <w:tcW w:w="2360" w:type="dxa"/>
            <w:vAlign w:val="bottom"/>
          </w:tcPr>
          <w:p>
            <w:pPr>
              <w:jc w:val="right"/>
              <w:ind w:right="690"/>
              <w:spacing w:after="0"/>
              <w:rPr>
                <w:sz w:val="20"/>
                <w:szCs w:val="20"/>
                <w:color w:val="auto"/>
              </w:rPr>
            </w:pPr>
            <w:r>
              <w:rPr>
                <w:rFonts w:ascii="Arial" w:cs="Arial" w:eastAsia="Arial" w:hAnsi="Arial"/>
                <w:sz w:val="18"/>
                <w:szCs w:val="18"/>
                <w:color w:val="auto"/>
              </w:rPr>
              <w:t>2,496</w:t>
            </w: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13"/>
        </w:trPr>
        <w:tc>
          <w:tcPr>
            <w:tcW w:w="3760" w:type="dxa"/>
            <w:vAlign w:val="bottom"/>
          </w:tcPr>
          <w:p>
            <w:pPr>
              <w:ind w:left="100"/>
              <w:spacing w:after="0"/>
              <w:rPr>
                <w:sz w:val="20"/>
                <w:szCs w:val="20"/>
                <w:color w:val="auto"/>
              </w:rPr>
            </w:pPr>
            <w:r>
              <w:rPr>
                <w:rFonts w:ascii="Arial" w:cs="Arial" w:eastAsia="Arial" w:hAnsi="Arial"/>
                <w:sz w:val="18"/>
                <w:szCs w:val="18"/>
                <w:b w:val="1"/>
                <w:bCs w:val="1"/>
                <w:color w:val="auto"/>
              </w:rPr>
              <w:t>Total other operating (loss)/income</w:t>
            </w:r>
          </w:p>
        </w:tc>
        <w:tc>
          <w:tcPr>
            <w:tcW w:w="1780" w:type="dxa"/>
            <w:vAlign w:val="bottom"/>
            <w:tcBorders>
              <w:bottom w:val="single" w:sz="8" w:color="DAE9F8"/>
            </w:tcBorders>
            <w:gridSpan w:val="2"/>
            <w:shd w:val="clear" w:color="auto" w:fill="DAE9F8"/>
          </w:tcPr>
          <w:p>
            <w:pPr>
              <w:jc w:val="right"/>
              <w:ind w:right="100"/>
              <w:spacing w:after="0"/>
              <w:rPr>
                <w:sz w:val="20"/>
                <w:szCs w:val="20"/>
                <w:color w:val="auto"/>
              </w:rPr>
            </w:pPr>
            <w:r>
              <w:rPr>
                <w:rFonts w:ascii="Arial" w:cs="Arial" w:eastAsia="Arial" w:hAnsi="Arial"/>
                <w:sz w:val="18"/>
                <w:szCs w:val="18"/>
                <w:b w:val="1"/>
                <w:bCs w:val="1"/>
                <w:color w:val="auto"/>
              </w:rPr>
              <w:t>3,024</w:t>
            </w:r>
          </w:p>
        </w:tc>
        <w:tc>
          <w:tcPr>
            <w:tcW w:w="2360" w:type="dxa"/>
            <w:vAlign w:val="bottom"/>
          </w:tcPr>
          <w:p>
            <w:pPr>
              <w:jc w:val="right"/>
              <w:ind w:right="690"/>
              <w:spacing w:after="0"/>
              <w:rPr>
                <w:sz w:val="20"/>
                <w:szCs w:val="20"/>
                <w:color w:val="auto"/>
              </w:rPr>
            </w:pPr>
            <w:r>
              <w:rPr>
                <w:rFonts w:ascii="Arial" w:cs="Arial" w:eastAsia="Arial" w:hAnsi="Arial"/>
                <w:sz w:val="18"/>
                <w:szCs w:val="18"/>
                <w:b w:val="1"/>
                <w:bCs w:val="1"/>
                <w:color w:val="auto"/>
              </w:rPr>
              <w:t>2,496</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(1,390)</w:t>
            </w:r>
          </w:p>
        </w:tc>
      </w:tr>
      <w:tr>
        <w:trPr>
          <w:trHeight w:val="621"/>
        </w:trPr>
        <w:tc>
          <w:tcPr>
            <w:tcW w:w="3760" w:type="dxa"/>
            <w:vAlign w:val="bottom"/>
          </w:tcPr>
          <w:p>
            <w:pPr>
              <w:spacing w:after="0"/>
              <w:rPr>
                <w:sz w:val="20"/>
                <w:szCs w:val="20"/>
                <w:color w:val="auto"/>
              </w:rPr>
            </w:pPr>
            <w:r>
              <w:rPr>
                <w:rFonts w:ascii="Arial" w:cs="Arial" w:eastAsia="Arial" w:hAnsi="Arial"/>
                <w:sz w:val="20"/>
                <w:szCs w:val="20"/>
                <w:b w:val="1"/>
                <w:bCs w:val="1"/>
                <w:color w:val="auto"/>
              </w:rPr>
              <w:t>d) FINANCE COSTS</w:t>
            </w: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66"/>
        </w:trPr>
        <w:tc>
          <w:tcPr>
            <w:tcW w:w="3760" w:type="dxa"/>
            <w:vAlign w:val="bottom"/>
          </w:tcPr>
          <w:p>
            <w:pPr>
              <w:spacing w:after="0"/>
              <w:rPr>
                <w:sz w:val="24"/>
                <w:szCs w:val="24"/>
                <w:color w:val="auto"/>
              </w:rPr>
            </w:pPr>
          </w:p>
        </w:tc>
        <w:tc>
          <w:tcPr>
            <w:tcW w:w="41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Pr>
          <w:p>
            <w:pPr>
              <w:spacing w:after="0"/>
              <w:rPr>
                <w:sz w:val="24"/>
                <w:szCs w:val="24"/>
                <w:color w:val="auto"/>
              </w:rPr>
            </w:pPr>
          </w:p>
        </w:tc>
      </w:tr>
      <w:tr>
        <w:trPr>
          <w:trHeight w:val="46"/>
        </w:trPr>
        <w:tc>
          <w:tcPr>
            <w:tcW w:w="37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35"/>
        </w:trPr>
        <w:tc>
          <w:tcPr>
            <w:tcW w:w="3760" w:type="dxa"/>
            <w:vAlign w:val="bottom"/>
            <w:tcBorders>
              <w:right w:val="single" w:sz="8" w:color="DAE9F8"/>
            </w:tcBorders>
          </w:tcPr>
          <w:p>
            <w:pPr>
              <w:spacing w:after="0"/>
              <w:rPr>
                <w:sz w:val="20"/>
                <w:szCs w:val="20"/>
                <w:color w:val="auto"/>
              </w:rPr>
            </w:pPr>
          </w:p>
        </w:tc>
        <w:tc>
          <w:tcPr>
            <w:tcW w:w="1660" w:type="dxa"/>
            <w:vAlign w:val="bottom"/>
            <w:shd w:val="clear" w:color="auto" w:fill="DAE9F8"/>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0"/>
                <w:szCs w:val="20"/>
                <w:color w:val="auto"/>
              </w:rPr>
            </w:pPr>
          </w:p>
        </w:tc>
        <w:tc>
          <w:tcPr>
            <w:tcW w:w="2360" w:type="dxa"/>
            <w:vAlign w:val="bottom"/>
          </w:tcPr>
          <w:p>
            <w:pPr>
              <w:jc w:val="right"/>
              <w:ind w:right="770"/>
              <w:spacing w:after="0"/>
              <w:rPr>
                <w:sz w:val="20"/>
                <w:szCs w:val="20"/>
                <w:color w:val="auto"/>
              </w:rPr>
            </w:pPr>
            <w:r>
              <w:rPr>
                <w:rFonts w:ascii="Arial" w:cs="Arial" w:eastAsia="Arial" w:hAnsi="Arial"/>
                <w:sz w:val="18"/>
                <w:szCs w:val="18"/>
                <w:b w:val="1"/>
                <w:bCs w:val="1"/>
                <w:color w:val="auto"/>
              </w:rPr>
              <w:t>2024</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r>
      <w:tr>
        <w:trPr>
          <w:trHeight w:val="56"/>
        </w:trPr>
        <w:tc>
          <w:tcPr>
            <w:tcW w:w="3760" w:type="dxa"/>
            <w:vAlign w:val="bottom"/>
            <w:tcBorders>
              <w:right w:val="single" w:sz="8" w:color="DAE9F8"/>
            </w:tcBorders>
          </w:tcPr>
          <w:p>
            <w:pPr>
              <w:spacing w:after="0"/>
              <w:rPr>
                <w:sz w:val="4"/>
                <w:szCs w:val="4"/>
                <w:color w:val="auto"/>
              </w:rPr>
            </w:pPr>
          </w:p>
        </w:tc>
        <w:tc>
          <w:tcPr>
            <w:tcW w:w="1660" w:type="dxa"/>
            <w:vAlign w:val="bottom"/>
            <w:shd w:val="clear" w:color="auto" w:fill="DAE9F8"/>
          </w:tcPr>
          <w:p>
            <w:pPr>
              <w:spacing w:after="0"/>
              <w:rPr>
                <w:sz w:val="4"/>
                <w:szCs w:val="4"/>
                <w:color w:val="auto"/>
              </w:rPr>
            </w:pPr>
          </w:p>
        </w:tc>
        <w:tc>
          <w:tcPr>
            <w:tcW w:w="1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35"/>
        </w:trPr>
        <w:tc>
          <w:tcPr>
            <w:tcW w:w="3760" w:type="dxa"/>
            <w:vAlign w:val="bottom"/>
            <w:tcBorders>
              <w:right w:val="single" w:sz="8" w:color="DAE9F8"/>
            </w:tcBorders>
          </w:tcPr>
          <w:p>
            <w:pPr>
              <w:ind w:left="100"/>
              <w:spacing w:after="0"/>
              <w:rPr>
                <w:sz w:val="20"/>
                <w:szCs w:val="20"/>
                <w:color w:val="auto"/>
              </w:rPr>
            </w:pPr>
            <w:r>
              <w:rPr>
                <w:rFonts w:ascii="Arial" w:cs="Arial" w:eastAsia="Arial" w:hAnsi="Arial"/>
                <w:sz w:val="18"/>
                <w:szCs w:val="18"/>
                <w:color w:val="auto"/>
              </w:rPr>
              <w:t>Related party interest - ECBV</w:t>
            </w:r>
          </w:p>
        </w:tc>
        <w:tc>
          <w:tcPr>
            <w:tcW w:w="166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(115,232)</w:t>
            </w:r>
          </w:p>
        </w:tc>
        <w:tc>
          <w:tcPr>
            <w:tcW w:w="120" w:type="dxa"/>
            <w:vAlign w:val="bottom"/>
          </w:tcPr>
          <w:p>
            <w:pPr>
              <w:spacing w:after="0"/>
              <w:rPr>
                <w:sz w:val="20"/>
                <w:szCs w:val="20"/>
                <w:color w:val="auto"/>
              </w:rPr>
            </w:pPr>
          </w:p>
        </w:tc>
        <w:tc>
          <w:tcPr>
            <w:tcW w:w="2360" w:type="dxa"/>
            <w:vAlign w:val="bottom"/>
          </w:tcPr>
          <w:p>
            <w:pPr>
              <w:jc w:val="right"/>
              <w:ind w:right="770"/>
              <w:spacing w:after="0"/>
              <w:rPr>
                <w:sz w:val="20"/>
                <w:szCs w:val="20"/>
                <w:color w:val="auto"/>
              </w:rPr>
            </w:pPr>
            <w:r>
              <w:rPr>
                <w:rFonts w:ascii="Arial" w:cs="Arial" w:eastAsia="Arial" w:hAnsi="Arial"/>
                <w:sz w:val="18"/>
                <w:szCs w:val="18"/>
                <w:color w:val="auto"/>
              </w:rPr>
              <w:t>(31,991)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
        </w:trPr>
        <w:tc>
          <w:tcPr>
            <w:tcW w:w="3760" w:type="dxa"/>
            <w:vAlign w:val="bottom"/>
            <w:tcBorders>
              <w:right w:val="single" w:sz="8" w:color="DAE9F8"/>
            </w:tcBorders>
          </w:tcPr>
          <w:p>
            <w:pPr>
              <w:spacing w:after="0"/>
              <w:rPr>
                <w:sz w:val="3"/>
                <w:szCs w:val="3"/>
                <w:color w:val="auto"/>
              </w:rPr>
            </w:pPr>
          </w:p>
        </w:tc>
        <w:tc>
          <w:tcPr>
            <w:tcW w:w="1660" w:type="dxa"/>
            <w:vAlign w:val="bottom"/>
            <w:shd w:val="clear" w:color="auto" w:fill="DAE9F8"/>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5"/>
        </w:trPr>
        <w:tc>
          <w:tcPr>
            <w:tcW w:w="3760" w:type="dxa"/>
            <w:vAlign w:val="bottom"/>
            <w:tcBorders>
              <w:right w:val="single" w:sz="8" w:color="DAE9F8"/>
            </w:tcBorders>
          </w:tcPr>
          <w:p>
            <w:pPr>
              <w:ind w:left="100"/>
              <w:spacing w:after="0"/>
              <w:rPr>
                <w:sz w:val="20"/>
                <w:szCs w:val="20"/>
                <w:color w:val="auto"/>
              </w:rPr>
            </w:pPr>
            <w:r>
              <w:rPr>
                <w:rFonts w:ascii="Arial" w:cs="Arial" w:eastAsia="Arial" w:hAnsi="Arial"/>
                <w:sz w:val="18"/>
                <w:szCs w:val="18"/>
                <w:color w:val="auto"/>
              </w:rPr>
              <w:t>Related party interest - PPG</w:t>
            </w:r>
          </w:p>
        </w:tc>
        <w:tc>
          <w:tcPr>
            <w:tcW w:w="166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(5,892)</w:t>
            </w:r>
          </w:p>
        </w:tc>
        <w:tc>
          <w:tcPr>
            <w:tcW w:w="120" w:type="dxa"/>
            <w:vAlign w:val="bottom"/>
          </w:tcPr>
          <w:p>
            <w:pPr>
              <w:spacing w:after="0"/>
              <w:rPr>
                <w:sz w:val="20"/>
                <w:szCs w:val="20"/>
                <w:color w:val="auto"/>
              </w:rPr>
            </w:pPr>
          </w:p>
        </w:tc>
        <w:tc>
          <w:tcPr>
            <w:tcW w:w="2360" w:type="dxa"/>
            <w:vAlign w:val="bottom"/>
          </w:tcPr>
          <w:p>
            <w:pPr>
              <w:jc w:val="right"/>
              <w:ind w:right="770"/>
              <w:spacing w:after="0"/>
              <w:rPr>
                <w:sz w:val="20"/>
                <w:szCs w:val="20"/>
                <w:color w:val="auto"/>
              </w:rPr>
            </w:pPr>
            <w:r>
              <w:rPr>
                <w:rFonts w:ascii="Arial" w:cs="Arial" w:eastAsia="Arial" w:hAnsi="Arial"/>
                <w:sz w:val="18"/>
                <w:szCs w:val="18"/>
                <w:color w:val="auto"/>
              </w:rPr>
              <w:t>(1,518)</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
        </w:trPr>
        <w:tc>
          <w:tcPr>
            <w:tcW w:w="3760" w:type="dxa"/>
            <w:vAlign w:val="bottom"/>
            <w:tcBorders>
              <w:right w:val="single" w:sz="8" w:color="DAE9F8"/>
            </w:tcBorders>
          </w:tcPr>
          <w:p>
            <w:pPr>
              <w:spacing w:after="0"/>
              <w:rPr>
                <w:sz w:val="3"/>
                <w:szCs w:val="3"/>
                <w:color w:val="auto"/>
              </w:rPr>
            </w:pPr>
          </w:p>
        </w:tc>
        <w:tc>
          <w:tcPr>
            <w:tcW w:w="1660" w:type="dxa"/>
            <w:vAlign w:val="bottom"/>
            <w:shd w:val="clear" w:color="auto" w:fill="DAE9F8"/>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5"/>
        </w:trPr>
        <w:tc>
          <w:tcPr>
            <w:tcW w:w="3760" w:type="dxa"/>
            <w:vAlign w:val="bottom"/>
            <w:tcBorders>
              <w:right w:val="single" w:sz="8" w:color="DAE9F8"/>
            </w:tcBorders>
          </w:tcPr>
          <w:p>
            <w:pPr>
              <w:ind w:left="100"/>
              <w:spacing w:after="0"/>
              <w:rPr>
                <w:sz w:val="20"/>
                <w:szCs w:val="20"/>
                <w:color w:val="auto"/>
              </w:rPr>
            </w:pPr>
            <w:r>
              <w:rPr>
                <w:rFonts w:ascii="Arial" w:cs="Arial" w:eastAsia="Arial" w:hAnsi="Arial"/>
                <w:sz w:val="18"/>
                <w:szCs w:val="18"/>
                <w:color w:val="auto"/>
              </w:rPr>
              <w:t>Third party loan interest</w:t>
            </w:r>
          </w:p>
        </w:tc>
        <w:tc>
          <w:tcPr>
            <w:tcW w:w="166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(7,862)</w:t>
            </w:r>
          </w:p>
        </w:tc>
        <w:tc>
          <w:tcPr>
            <w:tcW w:w="120" w:type="dxa"/>
            <w:vAlign w:val="bottom"/>
          </w:tcPr>
          <w:p>
            <w:pPr>
              <w:spacing w:after="0"/>
              <w:rPr>
                <w:sz w:val="20"/>
                <w:szCs w:val="20"/>
                <w:color w:val="auto"/>
              </w:rPr>
            </w:pPr>
          </w:p>
        </w:tc>
        <w:tc>
          <w:tcPr>
            <w:tcW w:w="2360" w:type="dxa"/>
            <w:vAlign w:val="bottom"/>
          </w:tcPr>
          <w:p>
            <w:pPr>
              <w:jc w:val="right"/>
              <w:ind w:right="770"/>
              <w:spacing w:after="0"/>
              <w:rPr>
                <w:sz w:val="20"/>
                <w:szCs w:val="20"/>
                <w:color w:val="auto"/>
              </w:rPr>
            </w:pPr>
            <w:r>
              <w:rPr>
                <w:rFonts w:ascii="Arial" w:cs="Arial" w:eastAsia="Arial" w:hAnsi="Arial"/>
                <w:sz w:val="18"/>
                <w:szCs w:val="18"/>
                <w:color w:val="auto"/>
              </w:rPr>
              <w:t>(1,645)</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
        </w:trPr>
        <w:tc>
          <w:tcPr>
            <w:tcW w:w="3760" w:type="dxa"/>
            <w:vAlign w:val="bottom"/>
            <w:tcBorders>
              <w:right w:val="single" w:sz="8" w:color="DAE9F8"/>
            </w:tcBorders>
          </w:tcPr>
          <w:p>
            <w:pPr>
              <w:spacing w:after="0"/>
              <w:rPr>
                <w:sz w:val="3"/>
                <w:szCs w:val="3"/>
                <w:color w:val="auto"/>
              </w:rPr>
            </w:pPr>
          </w:p>
        </w:tc>
        <w:tc>
          <w:tcPr>
            <w:tcW w:w="1660" w:type="dxa"/>
            <w:vAlign w:val="bottom"/>
            <w:shd w:val="clear" w:color="auto" w:fill="DAE9F8"/>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5"/>
        </w:trPr>
        <w:tc>
          <w:tcPr>
            <w:tcW w:w="3760" w:type="dxa"/>
            <w:vAlign w:val="bottom"/>
            <w:tcBorders>
              <w:right w:val="single" w:sz="8" w:color="DAE9F8"/>
            </w:tcBorders>
          </w:tcPr>
          <w:p>
            <w:pPr>
              <w:ind w:left="100"/>
              <w:spacing w:after="0"/>
              <w:rPr>
                <w:sz w:val="20"/>
                <w:szCs w:val="20"/>
                <w:color w:val="auto"/>
              </w:rPr>
            </w:pPr>
            <w:r>
              <w:rPr>
                <w:rFonts w:ascii="Arial" w:cs="Arial" w:eastAsia="Arial" w:hAnsi="Arial"/>
                <w:sz w:val="18"/>
                <w:szCs w:val="18"/>
                <w:color w:val="auto"/>
              </w:rPr>
              <w:t>Negotiable bonds interest</w:t>
            </w:r>
          </w:p>
        </w:tc>
        <w:tc>
          <w:tcPr>
            <w:tcW w:w="166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0"/>
                <w:szCs w:val="20"/>
                <w:color w:val="auto"/>
              </w:rPr>
            </w:pPr>
          </w:p>
        </w:tc>
        <w:tc>
          <w:tcPr>
            <w:tcW w:w="2360" w:type="dxa"/>
            <w:vAlign w:val="bottom"/>
          </w:tcPr>
          <w:p>
            <w:pPr>
              <w:jc w:val="right"/>
              <w:ind w:right="770"/>
              <w:spacing w:after="0"/>
              <w:rPr>
                <w:sz w:val="20"/>
                <w:szCs w:val="20"/>
                <w:color w:val="auto"/>
              </w:rPr>
            </w:pPr>
            <w:r>
              <w:rPr>
                <w:rFonts w:ascii="Arial" w:cs="Arial" w:eastAsia="Arial" w:hAnsi="Arial"/>
                <w:sz w:val="18"/>
                <w:szCs w:val="18"/>
                <w:color w:val="auto"/>
              </w:rPr>
              <w:t>(548)</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
        </w:trPr>
        <w:tc>
          <w:tcPr>
            <w:tcW w:w="3760" w:type="dxa"/>
            <w:vAlign w:val="bottom"/>
            <w:tcBorders>
              <w:right w:val="single" w:sz="8" w:color="DAE9F8"/>
            </w:tcBorders>
          </w:tcPr>
          <w:p>
            <w:pPr>
              <w:spacing w:after="0"/>
              <w:rPr>
                <w:sz w:val="3"/>
                <w:szCs w:val="3"/>
                <w:color w:val="auto"/>
              </w:rPr>
            </w:pPr>
          </w:p>
        </w:tc>
        <w:tc>
          <w:tcPr>
            <w:tcW w:w="1660" w:type="dxa"/>
            <w:vAlign w:val="bottom"/>
            <w:shd w:val="clear" w:color="auto" w:fill="DAE9F8"/>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45"/>
        </w:trPr>
        <w:tc>
          <w:tcPr>
            <w:tcW w:w="3760" w:type="dxa"/>
            <w:vAlign w:val="bottom"/>
            <w:tcBorders>
              <w:right w:val="single" w:sz="8" w:color="DAE9F8"/>
            </w:tcBorders>
          </w:tcPr>
          <w:p>
            <w:pPr>
              <w:ind w:left="100"/>
              <w:spacing w:after="0"/>
              <w:rPr>
                <w:sz w:val="20"/>
                <w:szCs w:val="20"/>
                <w:color w:val="auto"/>
              </w:rPr>
            </w:pPr>
            <w:r>
              <w:rPr>
                <w:rFonts w:ascii="Arial" w:cs="Arial" w:eastAsia="Arial" w:hAnsi="Arial"/>
                <w:sz w:val="18"/>
                <w:szCs w:val="18"/>
                <w:color w:val="auto"/>
              </w:rPr>
              <w:t>Other finance cost</w:t>
            </w:r>
          </w:p>
        </w:tc>
        <w:tc>
          <w:tcPr>
            <w:tcW w:w="166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(7,847)</w:t>
            </w:r>
          </w:p>
        </w:tc>
        <w:tc>
          <w:tcPr>
            <w:tcW w:w="120" w:type="dxa"/>
            <w:vAlign w:val="bottom"/>
          </w:tcPr>
          <w:p>
            <w:pPr>
              <w:spacing w:after="0"/>
              <w:rPr>
                <w:sz w:val="21"/>
                <w:szCs w:val="21"/>
                <w:color w:val="auto"/>
              </w:rPr>
            </w:pPr>
          </w:p>
        </w:tc>
        <w:tc>
          <w:tcPr>
            <w:tcW w:w="2360" w:type="dxa"/>
            <w:vAlign w:val="bottom"/>
          </w:tcPr>
          <w:p>
            <w:pPr>
              <w:jc w:val="right"/>
              <w:ind w:right="770"/>
              <w:spacing w:after="0"/>
              <w:rPr>
                <w:sz w:val="20"/>
                <w:szCs w:val="20"/>
                <w:color w:val="auto"/>
              </w:rPr>
            </w:pPr>
            <w:r>
              <w:rPr>
                <w:rFonts w:ascii="Arial" w:cs="Arial" w:eastAsia="Arial" w:hAnsi="Arial"/>
                <w:sz w:val="18"/>
                <w:szCs w:val="18"/>
                <w:color w:val="auto"/>
              </w:rPr>
              <w:t>(757)</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2"/>
        </w:trPr>
        <w:tc>
          <w:tcPr>
            <w:tcW w:w="3760" w:type="dxa"/>
            <w:vAlign w:val="bottom"/>
            <w:tcBorders>
              <w:right w:val="single" w:sz="8" w:color="DAE9F8"/>
            </w:tcBorders>
          </w:tcPr>
          <w:p>
            <w:pPr>
              <w:ind w:left="100"/>
              <w:spacing w:after="0"/>
              <w:rPr>
                <w:sz w:val="20"/>
                <w:szCs w:val="20"/>
                <w:color w:val="auto"/>
              </w:rPr>
            </w:pPr>
            <w:r>
              <w:rPr>
                <w:rFonts w:ascii="Arial" w:cs="Arial" w:eastAsia="Arial" w:hAnsi="Arial"/>
                <w:sz w:val="18"/>
                <w:szCs w:val="18"/>
                <w:b w:val="1"/>
                <w:bCs w:val="1"/>
                <w:color w:val="auto"/>
              </w:rPr>
              <w:t>Finance costs</w:t>
            </w:r>
          </w:p>
        </w:tc>
        <w:tc>
          <w:tcPr>
            <w:tcW w:w="1660" w:type="dxa"/>
            <w:vAlign w:val="bottom"/>
            <w:shd w:val="clear" w:color="auto" w:fill="DAE9F8"/>
          </w:tcPr>
          <w:p>
            <w:pPr>
              <w:jc w:val="right"/>
              <w:ind w:right="30"/>
              <w:spacing w:after="0"/>
              <w:rPr>
                <w:sz w:val="20"/>
                <w:szCs w:val="20"/>
                <w:color w:val="auto"/>
              </w:rPr>
            </w:pPr>
            <w:r>
              <w:rPr>
                <w:rFonts w:ascii="Arial" w:cs="Arial" w:eastAsia="Arial" w:hAnsi="Arial"/>
                <w:sz w:val="18"/>
                <w:szCs w:val="18"/>
                <w:b w:val="1"/>
                <w:bCs w:val="1"/>
                <w:color w:val="auto"/>
              </w:rPr>
              <w:t>(140,833)</w:t>
            </w:r>
          </w:p>
        </w:tc>
        <w:tc>
          <w:tcPr>
            <w:tcW w:w="120" w:type="dxa"/>
            <w:vAlign w:val="bottom"/>
          </w:tcPr>
          <w:p>
            <w:pPr>
              <w:spacing w:after="0"/>
              <w:rPr>
                <w:sz w:val="24"/>
                <w:szCs w:val="24"/>
                <w:color w:val="auto"/>
              </w:rPr>
            </w:pPr>
          </w:p>
        </w:tc>
        <w:tc>
          <w:tcPr>
            <w:tcW w:w="2360" w:type="dxa"/>
            <w:vAlign w:val="bottom"/>
          </w:tcPr>
          <w:p>
            <w:pPr>
              <w:jc w:val="right"/>
              <w:ind w:right="770"/>
              <w:spacing w:after="0"/>
              <w:rPr>
                <w:sz w:val="20"/>
                <w:szCs w:val="20"/>
                <w:color w:val="auto"/>
              </w:rPr>
            </w:pPr>
            <w:r>
              <w:rPr>
                <w:rFonts w:ascii="Arial" w:cs="Arial" w:eastAsia="Arial" w:hAnsi="Arial"/>
                <w:sz w:val="18"/>
                <w:szCs w:val="18"/>
                <w:b w:val="1"/>
                <w:bCs w:val="1"/>
                <w:color w:val="auto"/>
              </w:rPr>
              <w:t>(36,459)</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56"/>
        </w:trPr>
        <w:tc>
          <w:tcPr>
            <w:tcW w:w="3760" w:type="dxa"/>
            <w:vAlign w:val="bottom"/>
            <w:tcBorders>
              <w:right w:val="single" w:sz="8" w:color="DAE9F8"/>
            </w:tcBorders>
          </w:tcPr>
          <w:p>
            <w:pPr>
              <w:spacing w:after="0"/>
              <w:rPr>
                <w:sz w:val="4"/>
                <w:szCs w:val="4"/>
                <w:color w:val="auto"/>
              </w:rPr>
            </w:pPr>
          </w:p>
        </w:tc>
        <w:tc>
          <w:tcPr>
            <w:tcW w:w="1660" w:type="dxa"/>
            <w:vAlign w:val="bottom"/>
            <w:shd w:val="clear" w:color="auto" w:fill="DAE9F8"/>
          </w:tcPr>
          <w:p>
            <w:pPr>
              <w:spacing w:after="0"/>
              <w:rPr>
                <w:sz w:val="4"/>
                <w:szCs w:val="4"/>
                <w:color w:val="auto"/>
              </w:rPr>
            </w:pPr>
          </w:p>
        </w:tc>
        <w:tc>
          <w:tcPr>
            <w:tcW w:w="1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88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-2826385</wp:posOffset>
            </wp:positionV>
            <wp:extent cx="3260725" cy="1270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83">
                      <a:extLst>
                        <a:ext uri="{28A0092B-C50C-407E-A947-70E740481C1C}"/>
                      </a:extLst>
                    </a:blip>
                    <a:srcRect/>
                    <a:stretch>
                      <a:fillRect/>
                    </a:stretch>
                  </pic:blipFill>
                  <pic:spPr bwMode="auto">
                    <a:xfrm>
                      <a:off x="0" y="0"/>
                      <a:ext cx="3260725"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-2640965</wp:posOffset>
            </wp:positionV>
            <wp:extent cx="5646420" cy="1270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84">
                      <a:extLst>
                        <a:ext uri="{28A0092B-C50C-407E-A947-70E740481C1C}"/>
                      </a:extLst>
                    </a:blip>
                    <a:srcRect/>
                    <a:stretch>
                      <a:fillRect/>
                    </a:stretch>
                  </pic:blipFill>
                  <pic:spPr bwMode="auto">
                    <a:xfrm>
                      <a:off x="0" y="0"/>
                      <a:ext cx="5646420" cy="1270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-2283460</wp:posOffset>
            </wp:positionV>
            <wp:extent cx="3260725" cy="635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85">
                      <a:extLst>
                        <a:ext uri="{28A0092B-C50C-407E-A947-70E740481C1C}"/>
                      </a:extLst>
                    </a:blip>
                    <a:srcRect/>
                    <a:stretch>
                      <a:fillRect/>
                    </a:stretch>
                  </pic:blipFill>
                  <pic:spPr bwMode="auto">
                    <a:xfrm>
                      <a:off x="0" y="0"/>
                      <a:ext cx="3260725"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-2104390</wp:posOffset>
            </wp:positionV>
            <wp:extent cx="5646420" cy="1270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86">
                      <a:extLst>
                        <a:ext uri="{28A0092B-C50C-407E-A947-70E740481C1C}"/>
                      </a:extLst>
                    </a:blip>
                    <a:srcRect/>
                    <a:stretch>
                      <a:fillRect/>
                    </a:stretch>
                  </pic:blipFill>
                  <pic:spPr bwMode="auto">
                    <a:xfrm>
                      <a:off x="0" y="0"/>
                      <a:ext cx="5646420" cy="12700"/>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-1251585</wp:posOffset>
            </wp:positionV>
            <wp:extent cx="3296285" cy="635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7">
                      <a:extLst>
                        <a:ext uri="{28A0092B-C50C-407E-A947-70E740481C1C}"/>
                      </a:extLst>
                    </a:blip>
                    <a:srcRect/>
                    <a:stretch>
                      <a:fillRect/>
                    </a:stretch>
                  </pic:blipFill>
                  <pic:spPr bwMode="auto">
                    <a:xfrm>
                      <a:off x="0" y="0"/>
                      <a:ext cx="3296285"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-1072515</wp:posOffset>
            </wp:positionV>
            <wp:extent cx="5646420" cy="1270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8">
                      <a:extLst>
                        <a:ext uri="{28A0092B-C50C-407E-A947-70E740481C1C}"/>
                      </a:extLst>
                    </a:blip>
                    <a:srcRect/>
                    <a:stretch>
                      <a:fillRect/>
                    </a:stretch>
                  </pic:blipFill>
                  <pic:spPr bwMode="auto">
                    <a:xfrm>
                      <a:off x="0" y="0"/>
                      <a:ext cx="5646420" cy="12700"/>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-197485</wp:posOffset>
            </wp:positionV>
            <wp:extent cx="3296285" cy="1270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9">
                      <a:extLst>
                        <a:ext uri="{28A0092B-C50C-407E-A947-70E740481C1C}"/>
                      </a:extLst>
                    </a:blip>
                    <a:srcRect/>
                    <a:stretch>
                      <a:fillRect/>
                    </a:stretch>
                  </pic:blipFill>
                  <pic:spPr bwMode="auto">
                    <a:xfrm>
                      <a:off x="0" y="0"/>
                      <a:ext cx="3296285"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-12065</wp:posOffset>
            </wp:positionV>
            <wp:extent cx="5646420" cy="1270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90">
                      <a:extLst>
                        <a:ext uri="{28A0092B-C50C-407E-A947-70E740481C1C}"/>
                      </a:extLst>
                    </a:blip>
                    <a:srcRect/>
                    <a:stretch>
                      <a:fillRect/>
                    </a:stretch>
                  </pic:blipFill>
                  <pic:spPr bwMode="auto">
                    <a:xfrm>
                      <a:off x="0" y="0"/>
                      <a:ext cx="5646420" cy="12700"/>
                    </a:xfrm>
                    <a:prstGeom prst="rect">
                      <a:avLst/>
                    </a:prstGeom>
                    <a:noFill/>
                  </pic:spPr>
                </pic:pic>
              </a:graphicData>
            </a:graphic>
          </wp:anchor>
        </w:drawing>
      </w:r>
    </w:p>
    <w:p>
      <w:pPr>
        <w:spacing w:after="0" w:line="37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16. SEGMENTED INFORMATION</w:t>
      </w:r>
    </w:p>
    <w:p>
      <w:pPr>
        <w:spacing w:after="0" w:line="319"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The Company operates in a single operating segment and a single geographic area. Operating segment are reported in a manner consistent with the internal reporting to the executive leadership team who ac as the operating decision-makers. The Company’s sole operation is the Cauchari-Olaroz lithium projec located in the Province of Jujuy, Argentina, which has been in commercial production since October 1 2024. All revenues and assets relate to this project.</w:t>
      </w:r>
    </w:p>
    <w:p>
      <w:pPr>
        <w:spacing w:after="0" w:line="24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17. RELATED PARTIES</w:t>
      </w:r>
    </w:p>
    <w:p>
      <w:pPr>
        <w:spacing w:after="0" w:line="319" w:lineRule="exact"/>
        <w:rPr>
          <w:sz w:val="20"/>
          <w:szCs w:val="20"/>
          <w:color w:val="auto"/>
        </w:rPr>
      </w:pPr>
    </w:p>
    <w:p>
      <w:pPr>
        <w:ind w:left="1260" w:right="40"/>
        <w:spacing w:after="0" w:line="307" w:lineRule="auto"/>
        <w:rPr>
          <w:sz w:val="20"/>
          <w:szCs w:val="20"/>
          <w:color w:val="auto"/>
        </w:rPr>
      </w:pPr>
      <w:r>
        <w:rPr>
          <w:rFonts w:ascii="Arial" w:cs="Arial" w:eastAsia="Arial" w:hAnsi="Arial"/>
          <w:sz w:val="20"/>
          <w:szCs w:val="20"/>
          <w:color w:val="auto"/>
        </w:rPr>
        <w:t>The Company's related parties include its shareholders Lithium Argentina AG and Ganfeng, entities und common control within the group and entities controlled by key management personnel.</w:t>
      </w:r>
    </w:p>
    <w:p>
      <w:pPr>
        <w:spacing w:after="0" w:line="141"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9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36 / 58</w:t>
      </w:r>
    </w:p>
    <w:p>
      <w:pPr>
        <w:sectPr>
          <w:pgSz w:w="11900" w:h="16838" w:orient="portrait"/>
          <w:cols w:equalWidth="0" w:num="1">
            <w:col w:w="10460"/>
          </w:cols>
          <w:pgMar w:left="1440" w:top="1440" w:right="6" w:bottom="0" w:gutter="0" w:footer="0" w:header="0"/>
          <w:type w:val="continuous"/>
        </w:sectPr>
      </w:pPr>
    </w:p>
    <w:bookmarkStart w:id="648" w:name="page649"/>
    <w:bookmarkEnd w:id="648"/>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9"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17. RELATED PARTIES </w:t>
      </w:r>
      <w:r>
        <w:rPr>
          <w:rFonts w:ascii="Arial" w:cs="Arial" w:eastAsia="Arial" w:hAnsi="Arial"/>
          <w:sz w:val="20"/>
          <w:szCs w:val="20"/>
          <w:i w:val="1"/>
          <w:iCs w:val="1"/>
          <w:color w:val="auto"/>
        </w:rPr>
        <w:t>(continued)</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a) Related party balances</w:t>
      </w:r>
    </w:p>
    <w:p>
      <w:pPr>
        <w:spacing w:after="0" w:line="200" w:lineRule="exact"/>
        <w:rPr>
          <w:sz w:val="20"/>
          <w:szCs w:val="20"/>
          <w:color w:val="auto"/>
        </w:rPr>
      </w:pPr>
    </w:p>
    <w:p>
      <w:pPr>
        <w:spacing w:after="0" w:line="249"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47625</wp:posOffset>
            </wp:positionV>
            <wp:extent cx="5119370" cy="635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92">
                      <a:extLst>
                        <a:ext uri="{28A0092B-C50C-407E-A947-70E740481C1C}"/>
                      </a:extLst>
                    </a:blip>
                    <a:srcRect/>
                    <a:stretch>
                      <a:fillRect/>
                    </a:stretch>
                  </pic:blipFill>
                  <pic:spPr bwMode="auto">
                    <a:xfrm>
                      <a:off x="0" y="0"/>
                      <a:ext cx="5119370" cy="6350"/>
                    </a:xfrm>
                    <a:prstGeom prst="rect">
                      <a:avLst/>
                    </a:prstGeom>
                    <a:noFill/>
                  </pic:spPr>
                </pic:pic>
              </a:graphicData>
            </a:graphic>
          </wp:anchor>
        </w:drawing>
      </w:r>
    </w:p>
    <w:p>
      <w:pPr>
        <w:spacing w:after="0" w:line="93"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2660" w:type="dxa"/>
            <w:vAlign w:val="bottom"/>
            <w:vMerge w:val="restart"/>
          </w:tcPr>
          <w:p>
            <w:pPr>
              <w:spacing w:after="0"/>
              <w:rPr>
                <w:sz w:val="20"/>
                <w:szCs w:val="20"/>
                <w:color w:val="auto"/>
              </w:rPr>
            </w:pPr>
            <w:r>
              <w:rPr>
                <w:rFonts w:ascii="Arial" w:cs="Arial" w:eastAsia="Arial" w:hAnsi="Arial"/>
                <w:sz w:val="18"/>
                <w:szCs w:val="18"/>
                <w:b w:val="1"/>
                <w:bCs w:val="1"/>
                <w:color w:val="auto"/>
              </w:rPr>
              <w:t>Related party</w:t>
            </w:r>
          </w:p>
        </w:tc>
        <w:tc>
          <w:tcPr>
            <w:tcW w:w="1680" w:type="dxa"/>
            <w:vAlign w:val="bottom"/>
          </w:tcPr>
          <w:p>
            <w:pPr>
              <w:jc w:val="right"/>
              <w:ind w:right="190"/>
              <w:spacing w:after="0"/>
              <w:rPr>
                <w:sz w:val="20"/>
                <w:szCs w:val="20"/>
                <w:color w:val="auto"/>
              </w:rPr>
            </w:pPr>
            <w:r>
              <w:rPr>
                <w:rFonts w:ascii="Arial" w:cs="Arial" w:eastAsia="Arial" w:hAnsi="Arial"/>
                <w:sz w:val="18"/>
                <w:szCs w:val="18"/>
                <w:b w:val="1"/>
                <w:bCs w:val="1"/>
                <w:color w:val="auto"/>
              </w:rPr>
              <w:t>Accounts</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Other</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Accounts payable and</w:t>
            </w:r>
          </w:p>
        </w:tc>
        <w:tc>
          <w:tcPr>
            <w:tcW w:w="0" w:type="dxa"/>
            <w:vAlign w:val="bottom"/>
          </w:tcPr>
          <w:p>
            <w:pPr>
              <w:spacing w:after="0"/>
              <w:rPr>
                <w:sz w:val="1"/>
                <w:szCs w:val="1"/>
                <w:color w:val="auto"/>
              </w:rPr>
            </w:pPr>
          </w:p>
        </w:tc>
      </w:tr>
      <w:tr>
        <w:trPr>
          <w:trHeight w:val="136"/>
        </w:trPr>
        <w:tc>
          <w:tcPr>
            <w:tcW w:w="2660" w:type="dxa"/>
            <w:vAlign w:val="bottom"/>
            <w:vMerge w:val="continue"/>
          </w:tcPr>
          <w:p>
            <w:pPr>
              <w:spacing w:after="0"/>
              <w:rPr>
                <w:sz w:val="11"/>
                <w:szCs w:val="11"/>
                <w:color w:val="auto"/>
              </w:rPr>
            </w:pPr>
          </w:p>
        </w:tc>
        <w:tc>
          <w:tcPr>
            <w:tcW w:w="16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receivable</w:t>
            </w:r>
          </w:p>
        </w:tc>
        <w:tc>
          <w:tcPr>
            <w:tcW w:w="13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receivables</w:t>
            </w:r>
          </w:p>
        </w:tc>
        <w:tc>
          <w:tcPr>
            <w:tcW w:w="2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other liabilities</w:t>
            </w:r>
          </w:p>
        </w:tc>
        <w:tc>
          <w:tcPr>
            <w:tcW w:w="0" w:type="dxa"/>
            <w:vAlign w:val="bottom"/>
          </w:tcPr>
          <w:p>
            <w:pPr>
              <w:spacing w:after="0"/>
              <w:rPr>
                <w:sz w:val="1"/>
                <w:szCs w:val="1"/>
                <w:color w:val="auto"/>
              </w:rPr>
            </w:pPr>
          </w:p>
        </w:tc>
      </w:tr>
      <w:tr>
        <w:trPr>
          <w:trHeight w:val="136"/>
        </w:trPr>
        <w:tc>
          <w:tcPr>
            <w:tcW w:w="266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2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2660" w:type="dxa"/>
            <w:vAlign w:val="bottom"/>
          </w:tcPr>
          <w:p>
            <w:pPr>
              <w:spacing w:after="0"/>
              <w:rPr>
                <w:sz w:val="20"/>
                <w:szCs w:val="20"/>
                <w:color w:val="auto"/>
              </w:rPr>
            </w:pPr>
            <w:r>
              <w:rPr>
                <w:rFonts w:ascii="Arial" w:cs="Arial" w:eastAsia="Arial" w:hAnsi="Arial"/>
                <w:sz w:val="18"/>
                <w:szCs w:val="18"/>
                <w:color w:val="auto"/>
              </w:rPr>
              <w:t>Ganfeng</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24,705</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2,440</w:t>
            </w:r>
          </w:p>
        </w:tc>
        <w:tc>
          <w:tcPr>
            <w:tcW w:w="212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302"/>
        </w:trPr>
        <w:tc>
          <w:tcPr>
            <w:tcW w:w="2660" w:type="dxa"/>
            <w:vAlign w:val="bottom"/>
          </w:tcPr>
          <w:p>
            <w:pPr>
              <w:spacing w:after="0"/>
              <w:rPr>
                <w:sz w:val="20"/>
                <w:szCs w:val="20"/>
                <w:color w:val="auto"/>
              </w:rPr>
            </w:pPr>
            <w:r>
              <w:rPr>
                <w:rFonts w:ascii="Arial" w:cs="Arial" w:eastAsia="Arial" w:hAnsi="Arial"/>
                <w:sz w:val="18"/>
                <w:szCs w:val="18"/>
                <w:color w:val="auto"/>
              </w:rPr>
              <w:t>Ontario</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85</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2"/>
        </w:trPr>
        <w:tc>
          <w:tcPr>
            <w:tcW w:w="2660" w:type="dxa"/>
            <w:vAlign w:val="bottom"/>
          </w:tcPr>
          <w:p>
            <w:pPr>
              <w:spacing w:after="0"/>
              <w:rPr>
                <w:sz w:val="20"/>
                <w:szCs w:val="20"/>
                <w:color w:val="auto"/>
              </w:rPr>
            </w:pPr>
            <w:r>
              <w:rPr>
                <w:rFonts w:ascii="Arial" w:cs="Arial" w:eastAsia="Arial" w:hAnsi="Arial"/>
                <w:sz w:val="18"/>
                <w:szCs w:val="18"/>
                <w:color w:val="auto"/>
              </w:rPr>
              <w:t>Exar Capital*</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(28,550)</w:t>
            </w:r>
          </w:p>
        </w:tc>
        <w:tc>
          <w:tcPr>
            <w:tcW w:w="0" w:type="dxa"/>
            <w:vAlign w:val="bottom"/>
          </w:tcPr>
          <w:p>
            <w:pPr>
              <w:spacing w:after="0"/>
              <w:rPr>
                <w:sz w:val="1"/>
                <w:szCs w:val="1"/>
                <w:color w:val="auto"/>
              </w:rPr>
            </w:pPr>
          </w:p>
        </w:tc>
      </w:tr>
      <w:tr>
        <w:trPr>
          <w:trHeight w:val="302"/>
        </w:trPr>
        <w:tc>
          <w:tcPr>
            <w:tcW w:w="2660" w:type="dxa"/>
            <w:vAlign w:val="bottom"/>
          </w:tcPr>
          <w:p>
            <w:pPr>
              <w:spacing w:after="0"/>
              <w:rPr>
                <w:sz w:val="20"/>
                <w:szCs w:val="20"/>
                <w:color w:val="auto"/>
              </w:rPr>
            </w:pPr>
            <w:r>
              <w:rPr>
                <w:rFonts w:ascii="Arial" w:cs="Arial" w:eastAsia="Arial" w:hAnsi="Arial"/>
                <w:sz w:val="18"/>
                <w:szCs w:val="18"/>
                <w:color w:val="auto"/>
              </w:rPr>
              <w:t>Lithium Argentina</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25,507</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2,301</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2"/>
        </w:trPr>
        <w:tc>
          <w:tcPr>
            <w:tcW w:w="2660" w:type="dxa"/>
            <w:vAlign w:val="bottom"/>
          </w:tcPr>
          <w:p>
            <w:pPr>
              <w:spacing w:after="0"/>
              <w:rPr>
                <w:sz w:val="20"/>
                <w:szCs w:val="20"/>
                <w:color w:val="auto"/>
              </w:rPr>
            </w:pPr>
            <w:r>
              <w:rPr>
                <w:rFonts w:ascii="Arial" w:cs="Arial" w:eastAsia="Arial" w:hAnsi="Arial"/>
                <w:sz w:val="18"/>
                <w:szCs w:val="18"/>
                <w:color w:val="auto"/>
              </w:rPr>
              <w:t>Pastos Grandes</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2"/>
        </w:trPr>
        <w:tc>
          <w:tcPr>
            <w:tcW w:w="2660" w:type="dxa"/>
            <w:vAlign w:val="bottom"/>
          </w:tcPr>
          <w:p>
            <w:pPr>
              <w:spacing w:after="0"/>
              <w:rPr>
                <w:sz w:val="20"/>
                <w:szCs w:val="20"/>
                <w:color w:val="auto"/>
              </w:rPr>
            </w:pPr>
            <w:r>
              <w:rPr>
                <w:rFonts w:ascii="Arial" w:cs="Arial" w:eastAsia="Arial" w:hAnsi="Arial"/>
                <w:sz w:val="18"/>
                <w:szCs w:val="18"/>
                <w:color w:val="auto"/>
              </w:rPr>
              <w:t>Litio Minera Argentina S.A.</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618</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2"/>
        </w:trPr>
        <w:tc>
          <w:tcPr>
            <w:tcW w:w="2660" w:type="dxa"/>
            <w:vAlign w:val="bottom"/>
          </w:tcPr>
          <w:p>
            <w:pPr>
              <w:spacing w:after="0"/>
              <w:rPr>
                <w:sz w:val="20"/>
                <w:szCs w:val="20"/>
                <w:color w:val="auto"/>
              </w:rPr>
            </w:pPr>
            <w:r>
              <w:rPr>
                <w:rFonts w:ascii="Arial" w:cs="Arial" w:eastAsia="Arial" w:hAnsi="Arial"/>
                <w:sz w:val="18"/>
                <w:szCs w:val="18"/>
                <w:color w:val="auto"/>
              </w:rPr>
              <w:t>Grupo Minero Los Boros</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(8,339)</w:t>
            </w:r>
          </w:p>
        </w:tc>
        <w:tc>
          <w:tcPr>
            <w:tcW w:w="0" w:type="dxa"/>
            <w:vAlign w:val="bottom"/>
          </w:tcPr>
          <w:p>
            <w:pPr>
              <w:spacing w:after="0"/>
              <w:rPr>
                <w:sz w:val="1"/>
                <w:szCs w:val="1"/>
                <w:color w:val="auto"/>
              </w:rPr>
            </w:pPr>
          </w:p>
        </w:tc>
      </w:tr>
      <w:tr>
        <w:trPr>
          <w:trHeight w:val="287"/>
        </w:trPr>
        <w:tc>
          <w:tcPr>
            <w:tcW w:w="2660" w:type="dxa"/>
            <w:vAlign w:val="bottom"/>
          </w:tcPr>
          <w:p>
            <w:pPr>
              <w:spacing w:after="0"/>
              <w:rPr>
                <w:sz w:val="20"/>
                <w:szCs w:val="20"/>
                <w:color w:val="auto"/>
              </w:rPr>
            </w:pPr>
            <w:r>
              <w:rPr>
                <w:rFonts w:ascii="Arial" w:cs="Arial" w:eastAsia="Arial" w:hAnsi="Arial"/>
                <w:sz w:val="18"/>
                <w:szCs w:val="18"/>
                <w:color w:val="auto"/>
              </w:rPr>
              <w:t>Entities associated with</w:t>
            </w:r>
          </w:p>
        </w:tc>
        <w:tc>
          <w:tcPr>
            <w:tcW w:w="168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ind w:right="70"/>
              <w:spacing w:after="0"/>
              <w:rPr>
                <w:sz w:val="20"/>
                <w:szCs w:val="20"/>
                <w:color w:val="auto"/>
              </w:rPr>
            </w:pPr>
            <w:r>
              <w:rPr>
                <w:rFonts w:ascii="Arial" w:cs="Arial" w:eastAsia="Arial" w:hAnsi="Arial"/>
                <w:sz w:val="18"/>
                <w:szCs w:val="18"/>
                <w:color w:val="auto"/>
              </w:rPr>
              <w:t>89</w:t>
            </w:r>
          </w:p>
        </w:tc>
        <w:tc>
          <w:tcPr>
            <w:tcW w:w="2120" w:type="dxa"/>
            <w:vAlign w:val="bottom"/>
            <w:vMerge w:val="restart"/>
          </w:tcPr>
          <w:p>
            <w:pPr>
              <w:jc w:val="right"/>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136"/>
        </w:trPr>
        <w:tc>
          <w:tcPr>
            <w:tcW w:w="2660" w:type="dxa"/>
            <w:vAlign w:val="bottom"/>
            <w:vMerge w:val="restart"/>
          </w:tcPr>
          <w:p>
            <w:pPr>
              <w:spacing w:after="0"/>
              <w:rPr>
                <w:sz w:val="20"/>
                <w:szCs w:val="20"/>
                <w:color w:val="auto"/>
              </w:rPr>
            </w:pPr>
            <w:r>
              <w:rPr>
                <w:rFonts w:ascii="Arial" w:cs="Arial" w:eastAsia="Arial" w:hAnsi="Arial"/>
                <w:sz w:val="18"/>
                <w:szCs w:val="18"/>
                <w:color w:val="auto"/>
              </w:rPr>
              <w:t>directors</w:t>
            </w:r>
          </w:p>
        </w:tc>
        <w:tc>
          <w:tcPr>
            <w:tcW w:w="168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2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60" w:type="dxa"/>
            <w:vAlign w:val="bottom"/>
            <w:vMerge w:val="continue"/>
          </w:tcPr>
          <w:p>
            <w:pPr>
              <w:spacing w:after="0"/>
              <w:rPr>
                <w:sz w:val="11"/>
                <w:szCs w:val="11"/>
                <w:color w:val="auto"/>
              </w:rPr>
            </w:pPr>
          </w:p>
        </w:tc>
        <w:tc>
          <w:tcPr>
            <w:tcW w:w="1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2660" w:type="dxa"/>
            <w:vAlign w:val="bottom"/>
          </w:tcPr>
          <w:p>
            <w:pPr>
              <w:spacing w:after="0"/>
              <w:rPr>
                <w:sz w:val="20"/>
                <w:szCs w:val="20"/>
                <w:color w:val="auto"/>
              </w:rPr>
            </w:pPr>
            <w:r>
              <w:rPr>
                <w:rFonts w:ascii="Arial" w:cs="Arial" w:eastAsia="Arial" w:hAnsi="Arial"/>
                <w:sz w:val="18"/>
                <w:szCs w:val="18"/>
                <w:b w:val="1"/>
                <w:bCs w:val="1"/>
                <w:color w:val="auto"/>
              </w:rPr>
              <w:t>As at December 31, 2025</w:t>
            </w:r>
          </w:p>
        </w:tc>
        <w:tc>
          <w:tcPr>
            <w:tcW w:w="1680" w:type="dxa"/>
            <w:vAlign w:val="bottom"/>
          </w:tcPr>
          <w:p>
            <w:pPr>
              <w:jc w:val="right"/>
              <w:ind w:right="150"/>
              <w:spacing w:after="0"/>
              <w:rPr>
                <w:sz w:val="20"/>
                <w:szCs w:val="20"/>
                <w:color w:val="auto"/>
              </w:rPr>
            </w:pPr>
            <w:r>
              <w:rPr>
                <w:rFonts w:ascii="Arial" w:cs="Arial" w:eastAsia="Arial" w:hAnsi="Arial"/>
                <w:sz w:val="18"/>
                <w:szCs w:val="18"/>
                <w:b w:val="1"/>
                <w:bCs w:val="1"/>
                <w:color w:val="auto"/>
              </w:rPr>
              <w:t>50,830</w:t>
            </w: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4,915</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(40,113)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-1855470</wp:posOffset>
            </wp:positionV>
            <wp:extent cx="5849620" cy="189166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93">
                      <a:extLst>
                        <a:ext uri="{28A0092B-C50C-407E-A947-70E740481C1C}"/>
                      </a:extLst>
                    </a:blip>
                    <a:srcRect/>
                    <a:stretch>
                      <a:fillRect/>
                    </a:stretch>
                  </pic:blipFill>
                  <pic:spPr bwMode="auto">
                    <a:xfrm>
                      <a:off x="0" y="0"/>
                      <a:ext cx="5849620" cy="18916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109220</wp:posOffset>
            </wp:positionV>
            <wp:extent cx="730250" cy="1270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94">
                      <a:extLst>
                        <a:ext uri="{28A0092B-C50C-407E-A947-70E740481C1C}"/>
                      </a:extLst>
                    </a:blip>
                    <a:srcRect/>
                    <a:stretch>
                      <a:fillRect/>
                    </a:stretch>
                  </pic:blipFill>
                  <pic:spPr bwMode="auto">
                    <a:xfrm>
                      <a:off x="0" y="0"/>
                      <a:ext cx="730250" cy="12700"/>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-241300</wp:posOffset>
            </wp:positionV>
            <wp:extent cx="730250" cy="635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95">
                      <a:extLst>
                        <a:ext uri="{28A0092B-C50C-407E-A947-70E740481C1C}"/>
                      </a:extLst>
                    </a:blip>
                    <a:srcRect/>
                    <a:stretch>
                      <a:fillRect/>
                    </a:stretch>
                  </pic:blipFill>
                  <pic:spPr bwMode="auto">
                    <a:xfrm>
                      <a:off x="0" y="0"/>
                      <a:ext cx="73025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(920,687</w:t>
      </w:r>
    </w:p>
    <w:p>
      <w:pPr>
        <w:spacing w:after="0" w:line="3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(72,802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(993,489</w:t>
      </w:r>
    </w:p>
    <w:p>
      <w:pPr>
        <w:spacing w:after="0" w:line="129" w:lineRule="exact"/>
        <w:rPr>
          <w:sz w:val="20"/>
          <w:szCs w:val="20"/>
          <w:color w:val="auto"/>
        </w:rPr>
      </w:pPr>
    </w:p>
    <w:p>
      <w:pPr>
        <w:sectPr>
          <w:pgSz w:w="11900" w:h="16838" w:orient="portrait"/>
          <w:cols w:equalWidth="0" w:num="2">
            <w:col w:w="9340" w:space="400"/>
            <w:col w:w="720"/>
          </w:cols>
          <w:pgMar w:left="1440" w:top="1440" w:right="6" w:bottom="0" w:gutter="0" w:footer="0" w:header="0"/>
        </w:sectPr>
      </w:pPr>
    </w:p>
    <w:p>
      <w:pPr>
        <w:jc w:val="both"/>
        <w:ind w:left="1260" w:right="180" w:hanging="6"/>
        <w:spacing w:after="0" w:line="386" w:lineRule="auto"/>
        <w:tabs>
          <w:tab w:leader="none" w:pos="1473" w:val="left"/>
        </w:tabs>
        <w:numPr>
          <w:ilvl w:val="0"/>
          <w:numId w:val="302"/>
        </w:numPr>
        <w:rPr>
          <w:rFonts w:ascii="Arial" w:cs="Arial" w:eastAsia="Arial" w:hAnsi="Arial"/>
          <w:sz w:val="16"/>
          <w:szCs w:val="16"/>
          <w:color w:val="auto"/>
        </w:rPr>
      </w:pPr>
      <w:r>
        <w:rPr>
          <w:rFonts w:ascii="Arial" w:cs="Arial" w:eastAsia="Arial" w:hAnsi="Arial"/>
          <w:sz w:val="16"/>
          <w:szCs w:val="16"/>
          <w:color w:val="auto"/>
        </w:rPr>
        <w:t>As at December 31, 2025, Minera Exar has payables to Exar Capital amounting to $28,550, primarily related to procurement support. Exar Capital facilitates the purchase of certain materials and supplies on behalf of Minera Exar. These transactions are settled by Minera Exar upon delivery of the goods and receipt of supplier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2560" w:type="dxa"/>
            <w:vAlign w:val="bottom"/>
          </w:tcPr>
          <w:p>
            <w:pPr>
              <w:spacing w:after="0"/>
              <w:rPr>
                <w:sz w:val="18"/>
                <w:szCs w:val="18"/>
                <w:color w:val="auto"/>
              </w:rPr>
            </w:pPr>
          </w:p>
        </w:tc>
        <w:tc>
          <w:tcPr>
            <w:tcW w:w="5260" w:type="dxa"/>
            <w:vAlign w:val="bottom"/>
            <w:gridSpan w:val="3"/>
          </w:tcPr>
          <w:p>
            <w:pPr>
              <w:jc w:val="right"/>
              <w:ind w:right="2090"/>
              <w:spacing w:after="0"/>
              <w:rPr>
                <w:sz w:val="20"/>
                <w:szCs w:val="20"/>
                <w:color w:val="auto"/>
              </w:rPr>
            </w:pPr>
            <w:r>
              <w:rPr>
                <w:rFonts w:ascii="Arial" w:cs="Arial" w:eastAsia="Arial" w:hAnsi="Arial"/>
                <w:sz w:val="18"/>
                <w:szCs w:val="18"/>
                <w:b w:val="1"/>
                <w:bCs w:val="1"/>
                <w:color w:val="auto"/>
              </w:rPr>
              <w:t>As of December 31, 2024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2560" w:type="dxa"/>
            <w:vAlign w:val="bottom"/>
            <w:vMerge w:val="restart"/>
          </w:tcPr>
          <w:p>
            <w:pPr>
              <w:spacing w:after="0"/>
              <w:rPr>
                <w:sz w:val="20"/>
                <w:szCs w:val="20"/>
                <w:color w:val="auto"/>
              </w:rPr>
            </w:pPr>
            <w:r>
              <w:rPr>
                <w:rFonts w:ascii="Arial" w:cs="Arial" w:eastAsia="Arial" w:hAnsi="Arial"/>
                <w:sz w:val="18"/>
                <w:szCs w:val="18"/>
                <w:b w:val="1"/>
                <w:bCs w:val="1"/>
                <w:color w:val="auto"/>
              </w:rPr>
              <w:t>Related party</w:t>
            </w: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Accounts</w:t>
            </w: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Other</w:t>
            </w:r>
          </w:p>
        </w:tc>
        <w:tc>
          <w:tcPr>
            <w:tcW w:w="2480" w:type="dxa"/>
            <w:vAlign w:val="bottom"/>
          </w:tcPr>
          <w:p>
            <w:pPr>
              <w:jc w:val="right"/>
              <w:ind w:right="350"/>
              <w:spacing w:after="0"/>
              <w:rPr>
                <w:sz w:val="20"/>
                <w:szCs w:val="20"/>
                <w:color w:val="auto"/>
              </w:rPr>
            </w:pPr>
            <w:r>
              <w:rPr>
                <w:rFonts w:ascii="Arial" w:cs="Arial" w:eastAsia="Arial" w:hAnsi="Arial"/>
                <w:sz w:val="18"/>
                <w:szCs w:val="18"/>
                <w:b w:val="1"/>
                <w:bCs w:val="1"/>
                <w:color w:val="auto"/>
              </w:rPr>
              <w:t>Accounts payable and</w:t>
            </w:r>
          </w:p>
        </w:tc>
        <w:tc>
          <w:tcPr>
            <w:tcW w:w="1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Loans</w:t>
            </w:r>
          </w:p>
        </w:tc>
        <w:tc>
          <w:tcPr>
            <w:tcW w:w="0" w:type="dxa"/>
            <w:vAlign w:val="bottom"/>
          </w:tcPr>
          <w:p>
            <w:pPr>
              <w:spacing w:after="0"/>
              <w:rPr>
                <w:sz w:val="1"/>
                <w:szCs w:val="1"/>
                <w:color w:val="auto"/>
              </w:rPr>
            </w:pPr>
          </w:p>
        </w:tc>
      </w:tr>
      <w:tr>
        <w:trPr>
          <w:trHeight w:val="136"/>
        </w:trPr>
        <w:tc>
          <w:tcPr>
            <w:tcW w:w="2560" w:type="dxa"/>
            <w:vAlign w:val="bottom"/>
            <w:vMerge w:val="continue"/>
          </w:tcPr>
          <w:p>
            <w:pPr>
              <w:spacing w:after="0"/>
              <w:rPr>
                <w:sz w:val="11"/>
                <w:szCs w:val="11"/>
                <w:color w:val="auto"/>
              </w:rPr>
            </w:pPr>
          </w:p>
        </w:tc>
        <w:tc>
          <w:tcPr>
            <w:tcW w:w="15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receivable</w:t>
            </w:r>
          </w:p>
        </w:tc>
        <w:tc>
          <w:tcPr>
            <w:tcW w:w="12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receivables</w:t>
            </w:r>
          </w:p>
        </w:tc>
        <w:tc>
          <w:tcPr>
            <w:tcW w:w="24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other liabilities</w:t>
            </w: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56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248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1"/>
        </w:trPr>
        <w:tc>
          <w:tcPr>
            <w:tcW w:w="2560" w:type="dxa"/>
            <w:vAlign w:val="bottom"/>
          </w:tcPr>
          <w:p>
            <w:pPr>
              <w:spacing w:after="0"/>
              <w:rPr>
                <w:sz w:val="20"/>
                <w:szCs w:val="20"/>
                <w:color w:val="auto"/>
              </w:rPr>
            </w:pPr>
            <w:r>
              <w:rPr>
                <w:rFonts w:ascii="Arial" w:cs="Arial" w:eastAsia="Arial" w:hAnsi="Arial"/>
                <w:sz w:val="18"/>
                <w:szCs w:val="18"/>
                <w:color w:val="auto"/>
              </w:rPr>
              <w:t>Ganfeng</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19,079</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1,659</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60" w:type="dxa"/>
            <w:vAlign w:val="bottom"/>
          </w:tcPr>
          <w:p>
            <w:pPr>
              <w:spacing w:after="0"/>
              <w:rPr>
                <w:sz w:val="20"/>
                <w:szCs w:val="20"/>
                <w:color w:val="auto"/>
              </w:rPr>
            </w:pPr>
            <w:r>
              <w:rPr>
                <w:rFonts w:ascii="Arial" w:cs="Arial" w:eastAsia="Arial" w:hAnsi="Arial"/>
                <w:sz w:val="18"/>
                <w:szCs w:val="18"/>
                <w:color w:val="auto"/>
              </w:rPr>
              <w:t>Ontario Inc.</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560" w:type="dxa"/>
            <w:vAlign w:val="bottom"/>
            <w:vMerge w:val="restart"/>
          </w:tcPr>
          <w:p>
            <w:pPr>
              <w:spacing w:after="0"/>
              <w:rPr>
                <w:sz w:val="20"/>
                <w:szCs w:val="20"/>
                <w:color w:val="auto"/>
              </w:rPr>
            </w:pPr>
            <w:r>
              <w:rPr>
                <w:rFonts w:ascii="Arial" w:cs="Arial" w:eastAsia="Arial" w:hAnsi="Arial"/>
                <w:sz w:val="18"/>
                <w:szCs w:val="18"/>
                <w:color w:val="auto"/>
              </w:rPr>
              <w:t>Exar Capital*</w:t>
            </w:r>
          </w:p>
        </w:tc>
        <w:tc>
          <w:tcPr>
            <w:tcW w:w="15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480" w:type="dxa"/>
            <w:vAlign w:val="bottom"/>
            <w:vMerge w:val="restart"/>
          </w:tcPr>
          <w:p>
            <w:pPr>
              <w:jc w:val="right"/>
              <w:ind w:right="310"/>
              <w:spacing w:after="0"/>
              <w:rPr>
                <w:sz w:val="20"/>
                <w:szCs w:val="20"/>
                <w:color w:val="auto"/>
              </w:rPr>
            </w:pPr>
            <w:r>
              <w:rPr>
                <w:rFonts w:ascii="Arial" w:cs="Arial" w:eastAsia="Arial" w:hAnsi="Arial"/>
                <w:sz w:val="18"/>
                <w:szCs w:val="18"/>
                <w:color w:val="auto"/>
              </w:rPr>
              <w:t>(33,292)</w:t>
            </w:r>
          </w:p>
        </w:tc>
        <w:tc>
          <w:tcPr>
            <w:tcW w:w="1280" w:type="dxa"/>
            <w:vAlign w:val="bottom"/>
          </w:tcPr>
          <w:p>
            <w:pPr>
              <w:jc w:val="right"/>
              <w:spacing w:after="0"/>
              <w:rPr>
                <w:sz w:val="20"/>
                <w:szCs w:val="20"/>
                <w:color w:val="auto"/>
              </w:rPr>
            </w:pPr>
            <w:r>
              <w:rPr>
                <w:rFonts w:ascii="Arial" w:cs="Arial" w:eastAsia="Arial" w:hAnsi="Arial"/>
                <w:sz w:val="18"/>
                <w:szCs w:val="18"/>
                <w:color w:val="auto"/>
              </w:rPr>
              <w:t>(1,131,824</w:t>
            </w:r>
          </w:p>
        </w:tc>
        <w:tc>
          <w:tcPr>
            <w:tcW w:w="0" w:type="dxa"/>
            <w:vAlign w:val="bottom"/>
          </w:tcPr>
          <w:p>
            <w:pPr>
              <w:spacing w:after="0"/>
              <w:rPr>
                <w:sz w:val="1"/>
                <w:szCs w:val="1"/>
                <w:color w:val="auto"/>
              </w:rPr>
            </w:pPr>
          </w:p>
        </w:tc>
      </w:tr>
      <w:tr>
        <w:trPr>
          <w:trHeight w:val="80"/>
        </w:trPr>
        <w:tc>
          <w:tcPr>
            <w:tcW w:w="25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48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2"/>
        </w:trPr>
        <w:tc>
          <w:tcPr>
            <w:tcW w:w="2560" w:type="dxa"/>
            <w:vAlign w:val="bottom"/>
          </w:tcPr>
          <w:p>
            <w:pPr>
              <w:spacing w:after="0"/>
              <w:rPr>
                <w:sz w:val="20"/>
                <w:szCs w:val="20"/>
                <w:color w:val="auto"/>
              </w:rPr>
            </w:pPr>
            <w:r>
              <w:rPr>
                <w:rFonts w:ascii="Arial" w:cs="Arial" w:eastAsia="Arial" w:hAnsi="Arial"/>
                <w:sz w:val="18"/>
                <w:szCs w:val="18"/>
                <w:color w:val="auto"/>
              </w:rPr>
              <w:t>Lithium Argentina</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21,152</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1,553</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(427)</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560" w:type="dxa"/>
            <w:vAlign w:val="bottom"/>
            <w:vMerge w:val="restart"/>
          </w:tcPr>
          <w:p>
            <w:pPr>
              <w:spacing w:after="0"/>
              <w:rPr>
                <w:sz w:val="20"/>
                <w:szCs w:val="20"/>
                <w:color w:val="auto"/>
              </w:rPr>
            </w:pPr>
            <w:r>
              <w:rPr>
                <w:rFonts w:ascii="Arial" w:cs="Arial" w:eastAsia="Arial" w:hAnsi="Arial"/>
                <w:sz w:val="18"/>
                <w:szCs w:val="18"/>
                <w:color w:val="auto"/>
              </w:rPr>
              <w:t>Pastos Grandes</w:t>
            </w:r>
          </w:p>
        </w:tc>
        <w:tc>
          <w:tcPr>
            <w:tcW w:w="15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4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(76,388</w:t>
            </w:r>
          </w:p>
        </w:tc>
        <w:tc>
          <w:tcPr>
            <w:tcW w:w="0" w:type="dxa"/>
            <w:vAlign w:val="bottom"/>
          </w:tcPr>
          <w:p>
            <w:pPr>
              <w:spacing w:after="0"/>
              <w:rPr>
                <w:sz w:val="1"/>
                <w:szCs w:val="1"/>
                <w:color w:val="auto"/>
              </w:rPr>
            </w:pPr>
          </w:p>
        </w:tc>
      </w:tr>
      <w:tr>
        <w:trPr>
          <w:trHeight w:val="80"/>
        </w:trPr>
        <w:tc>
          <w:tcPr>
            <w:tcW w:w="25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48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2"/>
        </w:trPr>
        <w:tc>
          <w:tcPr>
            <w:tcW w:w="2560" w:type="dxa"/>
            <w:vAlign w:val="bottom"/>
          </w:tcPr>
          <w:p>
            <w:pPr>
              <w:spacing w:after="0"/>
              <w:rPr>
                <w:sz w:val="20"/>
                <w:szCs w:val="20"/>
                <w:color w:val="auto"/>
              </w:rPr>
            </w:pPr>
            <w:r>
              <w:rPr>
                <w:rFonts w:ascii="Arial" w:cs="Arial" w:eastAsia="Arial" w:hAnsi="Arial"/>
                <w:sz w:val="18"/>
                <w:szCs w:val="18"/>
                <w:color w:val="auto"/>
              </w:rPr>
              <w:t>Litio Minera Argentina S.A.</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228</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60" w:type="dxa"/>
            <w:vAlign w:val="bottom"/>
          </w:tcPr>
          <w:p>
            <w:pPr>
              <w:spacing w:after="0"/>
              <w:rPr>
                <w:sz w:val="20"/>
                <w:szCs w:val="20"/>
                <w:color w:val="auto"/>
              </w:rPr>
            </w:pPr>
            <w:r>
              <w:rPr>
                <w:rFonts w:ascii="Arial" w:cs="Arial" w:eastAsia="Arial" w:hAnsi="Arial"/>
                <w:sz w:val="18"/>
                <w:szCs w:val="18"/>
                <w:color w:val="auto"/>
              </w:rPr>
              <w:t>Grupo Minero Los Boros</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(6,887)</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-2328545</wp:posOffset>
            </wp:positionV>
            <wp:extent cx="5849620" cy="48450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96">
                      <a:extLst>
                        <a:ext uri="{28A0092B-C50C-407E-A947-70E740481C1C}"/>
                      </a:extLst>
                    </a:blip>
                    <a:srcRect/>
                    <a:stretch>
                      <a:fillRect/>
                    </a:stretch>
                  </pic:blipFill>
                  <pic:spPr bwMode="auto">
                    <a:xfrm>
                      <a:off x="0" y="0"/>
                      <a:ext cx="5849620" cy="484505"/>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37 / 58</w:t>
      </w:r>
    </w:p>
    <w:p>
      <w:pPr>
        <w:sectPr>
          <w:pgSz w:w="11900" w:h="16838" w:orient="portrait"/>
          <w:cols w:equalWidth="0" w:num="1">
            <w:col w:w="10460"/>
          </w:cols>
          <w:pgMar w:left="1440" w:top="1440" w:right="6" w:bottom="0" w:gutter="0" w:footer="0" w:header="0"/>
          <w:type w:val="continuous"/>
        </w:sectPr>
      </w:pPr>
    </w:p>
    <w:bookmarkStart w:id="649" w:name="page650"/>
    <w:bookmarkEnd w:id="649"/>
    <w:tbl>
      <w:tblPr>
        <w:tblLayout w:type="fixed"/>
        <w:tblInd w:w="1360" w:type="dxa"/>
        <w:tblCellMar>
          <w:top w:w="0" w:type="dxa"/>
          <w:left w:w="0" w:type="dxa"/>
          <w:bottom w:w="0" w:type="dxa"/>
          <w:right w:w="0" w:type="dxa"/>
        </w:tblCellMar>
      </w:tblPr>
      <w:tr>
        <w:trPr>
          <w:trHeight w:val="207"/>
        </w:trPr>
        <w:tc>
          <w:tcPr>
            <w:tcW w:w="2700" w:type="dxa"/>
            <w:vAlign w:val="bottom"/>
          </w:tcPr>
          <w:p>
            <w:pPr>
              <w:spacing w:after="0"/>
              <w:rPr>
                <w:sz w:val="20"/>
                <w:szCs w:val="20"/>
                <w:color w:val="auto"/>
              </w:rPr>
            </w:pPr>
            <w:r>
              <w:rPr>
                <w:rFonts w:ascii="Arial" w:cs="Arial" w:eastAsia="Arial" w:hAnsi="Arial"/>
                <w:sz w:val="18"/>
                <w:szCs w:val="18"/>
                <w:color w:val="auto"/>
              </w:rPr>
              <w:t>Entities associated with</w:t>
            </w:r>
          </w:p>
        </w:tc>
        <w:tc>
          <w:tcPr>
            <w:tcW w:w="16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680" w:type="dxa"/>
            <w:vAlign w:val="bottom"/>
            <w:vMerge w:val="restart"/>
          </w:tcPr>
          <w:p>
            <w:pPr>
              <w:jc w:val="right"/>
              <w:ind w:right="690"/>
              <w:spacing w:after="0"/>
              <w:rPr>
                <w:sz w:val="20"/>
                <w:szCs w:val="20"/>
                <w:color w:val="auto"/>
              </w:rPr>
            </w:pPr>
            <w:r>
              <w:rPr>
                <w:rFonts w:ascii="Arial" w:cs="Arial" w:eastAsia="Arial" w:hAnsi="Arial"/>
                <w:sz w:val="18"/>
                <w:szCs w:val="18"/>
                <w:color w:val="auto"/>
              </w:rPr>
              <w:t>232</w:t>
            </w:r>
          </w:p>
        </w:tc>
        <w:tc>
          <w:tcPr>
            <w:tcW w:w="1820" w:type="dxa"/>
            <w:vAlign w:val="bottom"/>
            <w:vMerge w:val="restart"/>
          </w:tcPr>
          <w:p>
            <w:pPr>
              <w:jc w:val="right"/>
              <w:ind w:right="310"/>
              <w:spacing w:after="0"/>
              <w:rPr>
                <w:sz w:val="20"/>
                <w:szCs w:val="20"/>
                <w:color w:val="auto"/>
              </w:rPr>
            </w:pPr>
            <w:r>
              <w:rPr>
                <w:rFonts w:ascii="Arial" w:cs="Arial" w:eastAsia="Arial" w:hAnsi="Arial"/>
                <w:sz w:val="18"/>
                <w:szCs w:val="18"/>
                <w:color w:val="auto"/>
              </w:rPr>
              <w:t>(6,399)</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700" w:type="dxa"/>
            <w:vAlign w:val="bottom"/>
            <w:vMerge w:val="restart"/>
          </w:tcPr>
          <w:p>
            <w:pPr>
              <w:spacing w:after="0"/>
              <w:rPr>
                <w:sz w:val="20"/>
                <w:szCs w:val="20"/>
                <w:color w:val="auto"/>
              </w:rPr>
            </w:pPr>
            <w:r>
              <w:rPr>
                <w:rFonts w:ascii="Arial" w:cs="Arial" w:eastAsia="Arial" w:hAnsi="Arial"/>
                <w:sz w:val="18"/>
                <w:szCs w:val="18"/>
                <w:color w:val="auto"/>
              </w:rPr>
              <w:t>directors</w:t>
            </w:r>
          </w:p>
        </w:tc>
        <w:tc>
          <w:tcPr>
            <w:tcW w:w="162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2"/>
        </w:trPr>
        <w:tc>
          <w:tcPr>
            <w:tcW w:w="2700" w:type="dxa"/>
            <w:vAlign w:val="bottom"/>
          </w:tcPr>
          <w:p>
            <w:pPr>
              <w:spacing w:after="0"/>
              <w:rPr>
                <w:sz w:val="20"/>
                <w:szCs w:val="20"/>
                <w:color w:val="auto"/>
              </w:rPr>
            </w:pPr>
            <w:r>
              <w:rPr>
                <w:rFonts w:ascii="Arial" w:cs="Arial" w:eastAsia="Arial" w:hAnsi="Arial"/>
                <w:sz w:val="18"/>
                <w:szCs w:val="18"/>
                <w:b w:val="1"/>
                <w:bCs w:val="1"/>
                <w:color w:val="auto"/>
              </w:rPr>
              <w:t>As at December 31, 2024</w:t>
            </w:r>
          </w:p>
        </w:tc>
        <w:tc>
          <w:tcPr>
            <w:tcW w:w="1620" w:type="dxa"/>
            <w:vAlign w:val="bottom"/>
          </w:tcPr>
          <w:p>
            <w:pPr>
              <w:jc w:val="right"/>
              <w:ind w:right="370"/>
              <w:spacing w:after="0"/>
              <w:rPr>
                <w:sz w:val="20"/>
                <w:szCs w:val="20"/>
                <w:color w:val="auto"/>
              </w:rPr>
            </w:pPr>
            <w:r>
              <w:rPr>
                <w:rFonts w:ascii="Arial" w:cs="Arial" w:eastAsia="Arial" w:hAnsi="Arial"/>
                <w:sz w:val="18"/>
                <w:szCs w:val="18"/>
                <w:b w:val="1"/>
                <w:bCs w:val="1"/>
                <w:color w:val="auto"/>
              </w:rPr>
              <w:t>40,459</w:t>
            </w:r>
          </w:p>
        </w:tc>
        <w:tc>
          <w:tcPr>
            <w:tcW w:w="1680" w:type="dxa"/>
            <w:vAlign w:val="bottom"/>
          </w:tcPr>
          <w:p>
            <w:pPr>
              <w:jc w:val="right"/>
              <w:ind w:right="690"/>
              <w:spacing w:after="0"/>
              <w:rPr>
                <w:sz w:val="20"/>
                <w:szCs w:val="20"/>
                <w:color w:val="auto"/>
              </w:rPr>
            </w:pPr>
            <w:r>
              <w:rPr>
                <w:rFonts w:ascii="Arial" w:cs="Arial" w:eastAsia="Arial" w:hAnsi="Arial"/>
                <w:sz w:val="18"/>
                <w:szCs w:val="18"/>
                <w:b w:val="1"/>
                <w:bCs w:val="1"/>
                <w:color w:val="auto"/>
              </w:rPr>
              <w:t>3,506</w:t>
            </w:r>
          </w:p>
        </w:tc>
        <w:tc>
          <w:tcPr>
            <w:tcW w:w="1820" w:type="dxa"/>
            <w:vAlign w:val="bottom"/>
          </w:tcPr>
          <w:p>
            <w:pPr>
              <w:jc w:val="right"/>
              <w:ind w:right="310"/>
              <w:spacing w:after="0"/>
              <w:rPr>
                <w:sz w:val="20"/>
                <w:szCs w:val="20"/>
                <w:color w:val="auto"/>
              </w:rPr>
            </w:pPr>
            <w:r>
              <w:rPr>
                <w:rFonts w:ascii="Arial" w:cs="Arial" w:eastAsia="Arial" w:hAnsi="Arial"/>
                <w:sz w:val="18"/>
                <w:szCs w:val="18"/>
                <w:b w:val="1"/>
                <w:bCs w:val="1"/>
                <w:color w:val="auto"/>
              </w:rPr>
              <w:t>(47,014)</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(1,208,212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-161290</wp:posOffset>
            </wp:positionV>
            <wp:extent cx="5849620" cy="1270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7">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22860</wp:posOffset>
            </wp:positionV>
            <wp:extent cx="5849620" cy="1270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8">
                      <a:extLst>
                        <a:ext uri="{28A0092B-C50C-407E-A947-70E740481C1C}"/>
                      </a:extLst>
                    </a:blip>
                    <a:srcRect/>
                    <a:stretch>
                      <a:fillRect/>
                    </a:stretch>
                  </pic:blipFill>
                  <pic:spPr bwMode="auto">
                    <a:xfrm>
                      <a:off x="0" y="0"/>
                      <a:ext cx="5849620" cy="12700"/>
                    </a:xfrm>
                    <a:prstGeom prst="rect">
                      <a:avLst/>
                    </a:prstGeom>
                    <a:noFill/>
                  </pic:spPr>
                </pic:pic>
              </a:graphicData>
            </a:graphic>
          </wp:anchor>
        </w:drawing>
      </w:r>
    </w:p>
    <w:p>
      <w:pPr>
        <w:spacing w:after="0" w:line="109" w:lineRule="exact"/>
        <w:rPr>
          <w:sz w:val="20"/>
          <w:szCs w:val="20"/>
          <w:color w:val="auto"/>
        </w:rPr>
      </w:pPr>
    </w:p>
    <w:p>
      <w:pPr>
        <w:jc w:val="both"/>
        <w:ind w:left="1260" w:right="160" w:hanging="6"/>
        <w:spacing w:after="0" w:line="386" w:lineRule="auto"/>
        <w:tabs>
          <w:tab w:leader="none" w:pos="1473"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As at December 31, 2024, Minera Exar has payables to Exar Capital amounting to $33,292, primarily related to procurement support. Exar Capital facilitates the purchase of certain materials and supplies on behalf of Minera Exar. These transactions are settled by Minera Exar upon delivery of the goods and receipt of supplier documentation.</w:t>
      </w:r>
    </w:p>
    <w:p>
      <w:pPr>
        <w:spacing w:after="0" w:line="103"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40"/>
          </w:cols>
          <w:pgMar w:left="1440" w:top="1162" w:right="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38 / 58</w:t>
      </w:r>
    </w:p>
    <w:p>
      <w:pPr>
        <w:sectPr>
          <w:pgSz w:w="11900" w:h="16838" w:orient="portrait"/>
          <w:cols w:equalWidth="0" w:num="1">
            <w:col w:w="10440"/>
          </w:cols>
          <w:pgMar w:left="1440" w:top="1162" w:right="26" w:bottom="0" w:gutter="0" w:footer="0" w:header="0"/>
          <w:type w:val="continuous"/>
        </w:sectPr>
      </w:pPr>
    </w:p>
    <w:bookmarkStart w:id="650" w:name="page651"/>
    <w:bookmarkEnd w:id="650"/>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17. RELATED PARTIES </w:t>
      </w:r>
      <w:r>
        <w:rPr>
          <w:rFonts w:ascii="Arial" w:cs="Arial" w:eastAsia="Arial" w:hAnsi="Arial"/>
          <w:sz w:val="20"/>
          <w:szCs w:val="20"/>
          <w:i w:val="1"/>
          <w:iCs w:val="1"/>
          <w:color w:val="auto"/>
        </w:rPr>
        <w:t>(continued)</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b) Related party transactions</w:t>
      </w:r>
    </w:p>
    <w:p>
      <w:pPr>
        <w:spacing w:after="0" w:line="200" w:lineRule="exact"/>
        <w:rPr>
          <w:sz w:val="20"/>
          <w:szCs w:val="20"/>
          <w:color w:val="auto"/>
        </w:rPr>
      </w:pPr>
    </w:p>
    <w:p>
      <w:pPr>
        <w:spacing w:after="0" w:line="24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47625</wp:posOffset>
            </wp:positionV>
            <wp:extent cx="5849620" cy="1270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400">
                      <a:extLst>
                        <a:ext uri="{28A0092B-C50C-407E-A947-70E740481C1C}"/>
                      </a:extLst>
                    </a:blip>
                    <a:srcRect/>
                    <a:stretch>
                      <a:fillRect/>
                    </a:stretch>
                  </pic:blipFill>
                  <pic:spPr bwMode="auto">
                    <a:xfrm>
                      <a:off x="0" y="0"/>
                      <a:ext cx="5849620" cy="12700"/>
                    </a:xfrm>
                    <a:prstGeom prst="rect">
                      <a:avLst/>
                    </a:prstGeom>
                    <a:noFill/>
                  </pic:spPr>
                </pic:pic>
              </a:graphicData>
            </a:graphic>
          </wp:anchor>
        </w:drawing>
      </w:r>
    </w:p>
    <w:p>
      <w:pPr>
        <w:spacing w:after="0" w:line="55" w:lineRule="exact"/>
        <w:rPr>
          <w:sz w:val="20"/>
          <w:szCs w:val="20"/>
          <w:color w:val="auto"/>
        </w:rPr>
      </w:pPr>
    </w:p>
    <w:tbl>
      <w:tblPr>
        <w:tblLayout w:type="fixed"/>
        <w:tblInd w:w="1260" w:type="dxa"/>
        <w:tblCellMar>
          <w:top w:w="0" w:type="dxa"/>
          <w:left w:w="0" w:type="dxa"/>
          <w:bottom w:w="0" w:type="dxa"/>
          <w:right w:w="0" w:type="dxa"/>
        </w:tblCellMar>
      </w:tblPr>
      <w:tr>
        <w:trPr>
          <w:trHeight w:val="422"/>
        </w:trPr>
        <w:tc>
          <w:tcPr>
            <w:tcW w:w="2860" w:type="dxa"/>
            <w:vAlign w:val="bottom"/>
            <w:shd w:val="clear" w:color="auto" w:fill="DAE9F8"/>
          </w:tcPr>
          <w:p>
            <w:pPr>
              <w:ind w:left="60"/>
              <w:spacing w:after="0"/>
              <w:rPr>
                <w:sz w:val="20"/>
                <w:szCs w:val="20"/>
                <w:color w:val="auto"/>
              </w:rPr>
            </w:pPr>
            <w:r>
              <w:rPr>
                <w:rFonts w:ascii="Arial" w:cs="Arial" w:eastAsia="Arial" w:hAnsi="Arial"/>
                <w:sz w:val="18"/>
                <w:szCs w:val="18"/>
                <w:b w:val="1"/>
                <w:bCs w:val="1"/>
                <w:color w:val="auto"/>
              </w:rPr>
              <w:t>Related party</w:t>
            </w:r>
          </w:p>
        </w:tc>
        <w:tc>
          <w:tcPr>
            <w:tcW w:w="1080" w:type="dxa"/>
            <w:vAlign w:val="bottom"/>
            <w:shd w:val="clear" w:color="auto" w:fill="DAE9F8"/>
          </w:tcPr>
          <w:p>
            <w:pPr>
              <w:jc w:val="right"/>
              <w:ind w:right="90"/>
              <w:spacing w:after="0"/>
              <w:rPr>
                <w:sz w:val="20"/>
                <w:szCs w:val="20"/>
                <w:color w:val="auto"/>
              </w:rPr>
            </w:pPr>
            <w:r>
              <w:rPr>
                <w:rFonts w:ascii="Arial" w:cs="Arial" w:eastAsia="Arial" w:hAnsi="Arial"/>
                <w:sz w:val="18"/>
                <w:szCs w:val="18"/>
                <w:b w:val="1"/>
                <w:bCs w:val="1"/>
                <w:color w:val="auto"/>
              </w:rPr>
              <w:t>Loans</w:t>
            </w:r>
          </w:p>
        </w:tc>
        <w:tc>
          <w:tcPr>
            <w:tcW w:w="1200" w:type="dxa"/>
            <w:vAlign w:val="bottom"/>
            <w:shd w:val="clear" w:color="auto" w:fill="DAE9F8"/>
          </w:tcPr>
          <w:p>
            <w:pPr>
              <w:jc w:val="right"/>
              <w:spacing w:after="0"/>
              <w:rPr>
                <w:sz w:val="20"/>
                <w:szCs w:val="20"/>
                <w:color w:val="auto"/>
              </w:rPr>
            </w:pPr>
            <w:r>
              <w:rPr>
                <w:rFonts w:ascii="Arial" w:cs="Arial" w:eastAsia="Arial" w:hAnsi="Arial"/>
                <w:sz w:val="18"/>
                <w:szCs w:val="18"/>
                <w:b w:val="1"/>
                <w:bCs w:val="1"/>
                <w:color w:val="auto"/>
              </w:rPr>
              <w:t>Collection</w:t>
            </w:r>
          </w:p>
        </w:tc>
        <w:tc>
          <w:tcPr>
            <w:tcW w:w="1020" w:type="dxa"/>
            <w:vAlign w:val="bottom"/>
            <w:shd w:val="clear" w:color="auto" w:fill="DAE9F8"/>
          </w:tcPr>
          <w:p>
            <w:pPr>
              <w:jc w:val="right"/>
              <w:ind w:right="210"/>
              <w:spacing w:after="0"/>
              <w:rPr>
                <w:sz w:val="20"/>
                <w:szCs w:val="20"/>
                <w:color w:val="auto"/>
              </w:rPr>
            </w:pPr>
            <w:r>
              <w:rPr>
                <w:rFonts w:ascii="Arial" w:cs="Arial" w:eastAsia="Arial" w:hAnsi="Arial"/>
                <w:sz w:val="18"/>
                <w:szCs w:val="18"/>
                <w:b w:val="1"/>
                <w:bCs w:val="1"/>
                <w:color w:val="auto"/>
              </w:rPr>
              <w:t>Interest</w:t>
            </w:r>
          </w:p>
        </w:tc>
        <w:tc>
          <w:tcPr>
            <w:tcW w:w="1120" w:type="dxa"/>
            <w:vAlign w:val="bottom"/>
            <w:shd w:val="clear" w:color="auto" w:fill="DAE9F8"/>
          </w:tcPr>
          <w:p>
            <w:pPr>
              <w:jc w:val="right"/>
              <w:ind w:right="70"/>
              <w:spacing w:after="0"/>
              <w:rPr>
                <w:sz w:val="20"/>
                <w:szCs w:val="20"/>
                <w:color w:val="auto"/>
              </w:rPr>
            </w:pPr>
            <w:r>
              <w:rPr>
                <w:rFonts w:ascii="Arial" w:cs="Arial" w:eastAsia="Arial" w:hAnsi="Arial"/>
                <w:sz w:val="18"/>
                <w:szCs w:val="18"/>
                <w:b w:val="1"/>
                <w:bCs w:val="1"/>
                <w:color w:val="auto"/>
              </w:rPr>
              <w:t>Interest</w:t>
            </w:r>
          </w:p>
        </w:tc>
        <w:tc>
          <w:tcPr>
            <w:tcW w:w="1160" w:type="dxa"/>
            <w:vAlign w:val="bottom"/>
            <w:shd w:val="clear" w:color="auto" w:fill="DAE9F8"/>
          </w:tcPr>
          <w:p>
            <w:pPr>
              <w:jc w:val="right"/>
              <w:ind w:right="110"/>
              <w:spacing w:after="0"/>
              <w:rPr>
                <w:sz w:val="20"/>
                <w:szCs w:val="20"/>
                <w:color w:val="auto"/>
              </w:rPr>
            </w:pPr>
            <w:r>
              <w:rPr>
                <w:rFonts w:ascii="Arial" w:cs="Arial" w:eastAsia="Arial" w:hAnsi="Arial"/>
                <w:sz w:val="18"/>
                <w:szCs w:val="18"/>
                <w:b w:val="1"/>
                <w:bCs w:val="1"/>
                <w:color w:val="auto"/>
              </w:rPr>
              <w:t>Sales</w:t>
            </w:r>
          </w:p>
        </w:tc>
        <w:tc>
          <w:tcPr>
            <w:tcW w:w="760" w:type="dxa"/>
            <w:vAlign w:val="bottom"/>
            <w:shd w:val="clear" w:color="auto" w:fill="DAE9F8"/>
          </w:tcPr>
          <w:p>
            <w:pPr>
              <w:jc w:val="right"/>
              <w:spacing w:after="0"/>
              <w:rPr>
                <w:sz w:val="20"/>
                <w:szCs w:val="20"/>
                <w:color w:val="auto"/>
              </w:rPr>
            </w:pPr>
            <w:r>
              <w:rPr>
                <w:rFonts w:ascii="Arial" w:cs="Arial" w:eastAsia="Arial" w:hAnsi="Arial"/>
                <w:sz w:val="18"/>
                <w:szCs w:val="18"/>
                <w:b w:val="1"/>
                <w:bCs w:val="1"/>
                <w:color w:val="auto"/>
              </w:rPr>
              <w:t>Other</w:t>
            </w:r>
          </w:p>
        </w:tc>
      </w:tr>
      <w:tr>
        <w:trPr>
          <w:trHeight w:val="201"/>
        </w:trPr>
        <w:tc>
          <w:tcPr>
            <w:tcW w:w="2860" w:type="dxa"/>
            <w:vAlign w:val="bottom"/>
            <w:shd w:val="clear" w:color="auto" w:fill="DAE9F8"/>
          </w:tcPr>
          <w:p>
            <w:pPr>
              <w:spacing w:after="0"/>
              <w:rPr>
                <w:sz w:val="17"/>
                <w:szCs w:val="17"/>
                <w:color w:val="auto"/>
              </w:rPr>
            </w:pPr>
          </w:p>
        </w:tc>
        <w:tc>
          <w:tcPr>
            <w:tcW w:w="1080" w:type="dxa"/>
            <w:vAlign w:val="bottom"/>
            <w:shd w:val="clear" w:color="auto" w:fill="DAE9F8"/>
          </w:tcPr>
          <w:p>
            <w:pPr>
              <w:jc w:val="right"/>
              <w:ind w:right="50"/>
              <w:spacing w:after="0" w:line="201" w:lineRule="exact"/>
              <w:rPr>
                <w:sz w:val="20"/>
                <w:szCs w:val="20"/>
                <w:color w:val="auto"/>
              </w:rPr>
            </w:pPr>
            <w:r>
              <w:rPr>
                <w:rFonts w:ascii="Arial" w:cs="Arial" w:eastAsia="Arial" w:hAnsi="Arial"/>
                <w:sz w:val="18"/>
                <w:szCs w:val="18"/>
                <w:b w:val="1"/>
                <w:bCs w:val="1"/>
                <w:color w:val="auto"/>
              </w:rPr>
              <w:t>obtained</w:t>
            </w:r>
          </w:p>
        </w:tc>
        <w:tc>
          <w:tcPr>
            <w:tcW w:w="1200" w:type="dxa"/>
            <w:vAlign w:val="bottom"/>
            <w:shd w:val="clear" w:color="auto" w:fill="DAE9F8"/>
          </w:tcPr>
          <w:p>
            <w:pPr>
              <w:spacing w:after="0"/>
              <w:rPr>
                <w:sz w:val="17"/>
                <w:szCs w:val="17"/>
                <w:color w:val="auto"/>
              </w:rPr>
            </w:pPr>
          </w:p>
        </w:tc>
        <w:tc>
          <w:tcPr>
            <w:tcW w:w="1020" w:type="dxa"/>
            <w:vAlign w:val="bottom"/>
            <w:shd w:val="clear" w:color="auto" w:fill="DAE9F8"/>
          </w:tcPr>
          <w:p>
            <w:pPr>
              <w:jc w:val="right"/>
              <w:ind w:right="150"/>
              <w:spacing w:after="0" w:line="201" w:lineRule="exact"/>
              <w:rPr>
                <w:sz w:val="20"/>
                <w:szCs w:val="20"/>
                <w:color w:val="auto"/>
              </w:rPr>
            </w:pPr>
            <w:r>
              <w:rPr>
                <w:rFonts w:ascii="Arial" w:cs="Arial" w:eastAsia="Arial" w:hAnsi="Arial"/>
                <w:sz w:val="18"/>
                <w:szCs w:val="18"/>
                <w:b w:val="1"/>
                <w:bCs w:val="1"/>
                <w:color w:val="auto"/>
              </w:rPr>
              <w:t>settled</w:t>
            </w:r>
          </w:p>
        </w:tc>
        <w:tc>
          <w:tcPr>
            <w:tcW w:w="1120" w:type="dxa"/>
            <w:vAlign w:val="bottom"/>
            <w:shd w:val="clear" w:color="auto" w:fill="DAE9F8"/>
          </w:tcPr>
          <w:p>
            <w:pPr>
              <w:jc w:val="right"/>
              <w:ind w:right="30"/>
              <w:spacing w:after="0" w:line="201" w:lineRule="exact"/>
              <w:rPr>
                <w:sz w:val="20"/>
                <w:szCs w:val="20"/>
                <w:color w:val="auto"/>
              </w:rPr>
            </w:pPr>
            <w:r>
              <w:rPr>
                <w:rFonts w:ascii="Arial" w:cs="Arial" w:eastAsia="Arial" w:hAnsi="Arial"/>
                <w:sz w:val="18"/>
                <w:szCs w:val="18"/>
                <w:b w:val="1"/>
                <w:bCs w:val="1"/>
                <w:color w:val="auto"/>
              </w:rPr>
              <w:t>accrued</w:t>
            </w:r>
          </w:p>
        </w:tc>
        <w:tc>
          <w:tcPr>
            <w:tcW w:w="1160" w:type="dxa"/>
            <w:vAlign w:val="bottom"/>
            <w:shd w:val="clear" w:color="auto" w:fill="DAE9F8"/>
          </w:tcPr>
          <w:p>
            <w:pPr>
              <w:jc w:val="right"/>
              <w:ind w:right="110"/>
              <w:spacing w:after="0" w:line="201" w:lineRule="exact"/>
              <w:rPr>
                <w:sz w:val="20"/>
                <w:szCs w:val="20"/>
                <w:color w:val="auto"/>
              </w:rPr>
            </w:pPr>
            <w:r>
              <w:rPr>
                <w:rFonts w:ascii="Arial" w:cs="Arial" w:eastAsia="Arial" w:hAnsi="Arial"/>
                <w:sz w:val="18"/>
                <w:szCs w:val="18"/>
                <w:b w:val="1"/>
                <w:bCs w:val="1"/>
                <w:color w:val="auto"/>
              </w:rPr>
              <w:t>/purchase</w:t>
            </w:r>
          </w:p>
        </w:tc>
        <w:tc>
          <w:tcPr>
            <w:tcW w:w="760" w:type="dxa"/>
            <w:vAlign w:val="bottom"/>
            <w:shd w:val="clear" w:color="auto" w:fill="DAE9F8"/>
          </w:tcPr>
          <w:p>
            <w:pPr>
              <w:spacing w:after="0"/>
              <w:rPr>
                <w:sz w:val="17"/>
                <w:szCs w:val="17"/>
                <w:color w:val="auto"/>
              </w:rPr>
            </w:pPr>
          </w:p>
        </w:tc>
      </w:tr>
      <w:tr>
        <w:trPr>
          <w:trHeight w:val="333"/>
        </w:trPr>
        <w:tc>
          <w:tcPr>
            <w:tcW w:w="2860" w:type="dxa"/>
            <w:vAlign w:val="bottom"/>
            <w:shd w:val="clear" w:color="auto" w:fill="DAE9F8"/>
          </w:tcPr>
          <w:p>
            <w:pPr>
              <w:ind w:left="60"/>
              <w:spacing w:after="0"/>
              <w:rPr>
                <w:sz w:val="20"/>
                <w:szCs w:val="20"/>
                <w:color w:val="auto"/>
              </w:rPr>
            </w:pPr>
            <w:r>
              <w:rPr>
                <w:rFonts w:ascii="Arial" w:cs="Arial" w:eastAsia="Arial" w:hAnsi="Arial"/>
                <w:sz w:val="18"/>
                <w:szCs w:val="18"/>
                <w:color w:val="auto"/>
              </w:rPr>
              <w:t>Ganfeng</w:t>
            </w:r>
          </w:p>
        </w:tc>
        <w:tc>
          <w:tcPr>
            <w:tcW w:w="1080" w:type="dxa"/>
            <w:vAlign w:val="bottom"/>
            <w:shd w:val="clear" w:color="auto" w:fill="DAE9F8"/>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(132,559)</w:t>
            </w:r>
          </w:p>
        </w:tc>
        <w:tc>
          <w:tcPr>
            <w:tcW w:w="1020" w:type="dxa"/>
            <w:vAlign w:val="bottom"/>
            <w:shd w:val="clear" w:color="auto" w:fill="DAE9F8"/>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AE9F8"/>
          </w:tcPr>
          <w:p>
            <w:pPr>
              <w:jc w:val="right"/>
              <w:ind w:right="110"/>
              <w:spacing w:after="0"/>
              <w:rPr>
                <w:sz w:val="20"/>
                <w:szCs w:val="20"/>
                <w:color w:val="auto"/>
              </w:rPr>
            </w:pPr>
            <w:r>
              <w:rPr>
                <w:rFonts w:ascii="Arial" w:cs="Arial" w:eastAsia="Arial" w:hAnsi="Arial"/>
                <w:sz w:val="18"/>
                <w:szCs w:val="18"/>
                <w:color w:val="auto"/>
              </w:rPr>
              <w:t>137,276</w:t>
            </w:r>
          </w:p>
        </w:tc>
        <w:tc>
          <w:tcPr>
            <w:tcW w:w="760" w:type="dxa"/>
            <w:vAlign w:val="bottom"/>
            <w:shd w:val="clear" w:color="auto" w:fill="DAE9F8"/>
          </w:tcPr>
          <w:p>
            <w:pPr>
              <w:jc w:val="right"/>
              <w:spacing w:after="0"/>
              <w:rPr>
                <w:sz w:val="20"/>
                <w:szCs w:val="20"/>
                <w:color w:val="auto"/>
              </w:rPr>
            </w:pPr>
            <w:r>
              <w:rPr>
                <w:rFonts w:ascii="Arial" w:cs="Arial" w:eastAsia="Arial" w:hAnsi="Arial"/>
                <w:sz w:val="18"/>
                <w:szCs w:val="18"/>
                <w:color w:val="auto"/>
              </w:rPr>
              <w:t>1,36</w:t>
            </w:r>
          </w:p>
        </w:tc>
      </w:tr>
      <w:tr>
        <w:trPr>
          <w:trHeight w:val="272"/>
        </w:trPr>
        <w:tc>
          <w:tcPr>
            <w:tcW w:w="2860" w:type="dxa"/>
            <w:vAlign w:val="bottom"/>
            <w:shd w:val="clear" w:color="auto" w:fill="DAE9F8"/>
          </w:tcPr>
          <w:p>
            <w:pPr>
              <w:ind w:left="60"/>
              <w:spacing w:after="0"/>
              <w:rPr>
                <w:sz w:val="20"/>
                <w:szCs w:val="20"/>
                <w:color w:val="auto"/>
              </w:rPr>
            </w:pPr>
            <w:r>
              <w:rPr>
                <w:rFonts w:ascii="Arial" w:cs="Arial" w:eastAsia="Arial" w:hAnsi="Arial"/>
                <w:sz w:val="18"/>
                <w:szCs w:val="18"/>
                <w:color w:val="auto"/>
              </w:rPr>
              <w:t>Ontario</w:t>
            </w:r>
          </w:p>
        </w:tc>
        <w:tc>
          <w:tcPr>
            <w:tcW w:w="1080" w:type="dxa"/>
            <w:vAlign w:val="bottom"/>
            <w:shd w:val="clear" w:color="auto" w:fill="DAE9F8"/>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AE9F8"/>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AE9F8"/>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DAE9F8"/>
          </w:tcPr>
          <w:p>
            <w:pPr>
              <w:jc w:val="right"/>
              <w:spacing w:after="0"/>
              <w:rPr>
                <w:sz w:val="20"/>
                <w:szCs w:val="20"/>
                <w:color w:val="auto"/>
              </w:rPr>
            </w:pPr>
            <w:r>
              <w:rPr>
                <w:rFonts w:ascii="Arial" w:cs="Arial" w:eastAsia="Arial" w:hAnsi="Arial"/>
                <w:sz w:val="18"/>
                <w:szCs w:val="18"/>
                <w:color w:val="auto"/>
              </w:rPr>
              <w:t>2</w:t>
            </w:r>
          </w:p>
        </w:tc>
      </w:tr>
      <w:tr>
        <w:trPr>
          <w:trHeight w:val="272"/>
        </w:trPr>
        <w:tc>
          <w:tcPr>
            <w:tcW w:w="2860" w:type="dxa"/>
            <w:vAlign w:val="bottom"/>
            <w:shd w:val="clear" w:color="auto" w:fill="DAE9F8"/>
          </w:tcPr>
          <w:p>
            <w:pPr>
              <w:ind w:left="60"/>
              <w:spacing w:after="0"/>
              <w:rPr>
                <w:sz w:val="20"/>
                <w:szCs w:val="20"/>
                <w:color w:val="auto"/>
              </w:rPr>
            </w:pPr>
            <w:r>
              <w:rPr>
                <w:rFonts w:ascii="Arial" w:cs="Arial" w:eastAsia="Arial" w:hAnsi="Arial"/>
                <w:sz w:val="18"/>
                <w:szCs w:val="18"/>
                <w:color w:val="auto"/>
              </w:rPr>
              <w:t>Exar Capital*</w:t>
            </w:r>
          </w:p>
        </w:tc>
        <w:tc>
          <w:tcPr>
            <w:tcW w:w="1080" w:type="dxa"/>
            <w:vAlign w:val="bottom"/>
            <w:shd w:val="clear" w:color="auto" w:fill="DAE9F8"/>
          </w:tcPr>
          <w:p>
            <w:pPr>
              <w:jc w:val="right"/>
              <w:ind w:right="50"/>
              <w:spacing w:after="0"/>
              <w:rPr>
                <w:sz w:val="20"/>
                <w:szCs w:val="20"/>
                <w:color w:val="auto"/>
              </w:rPr>
            </w:pPr>
            <w:r>
              <w:rPr>
                <w:rFonts w:ascii="Arial" w:cs="Arial" w:eastAsia="Arial" w:hAnsi="Arial"/>
                <w:sz w:val="18"/>
                <w:szCs w:val="18"/>
                <w:color w:val="auto"/>
              </w:rPr>
              <w:t>(5,052)</w:t>
            </w:r>
          </w:p>
        </w:tc>
        <w:tc>
          <w:tcPr>
            <w:tcW w:w="120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AE9F8"/>
          </w:tcPr>
          <w:p>
            <w:pPr>
              <w:jc w:val="right"/>
              <w:ind w:right="150"/>
              <w:spacing w:after="0"/>
              <w:rPr>
                <w:sz w:val="20"/>
                <w:szCs w:val="20"/>
                <w:color w:val="auto"/>
              </w:rPr>
            </w:pPr>
            <w:r>
              <w:rPr>
                <w:rFonts w:ascii="Arial" w:cs="Arial" w:eastAsia="Arial" w:hAnsi="Arial"/>
                <w:sz w:val="18"/>
                <w:szCs w:val="18"/>
                <w:color w:val="auto"/>
              </w:rPr>
              <w:t>14,994</w:t>
            </w:r>
          </w:p>
        </w:tc>
        <w:tc>
          <w:tcPr>
            <w:tcW w:w="112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(115,232)</w:t>
            </w:r>
          </w:p>
        </w:tc>
        <w:tc>
          <w:tcPr>
            <w:tcW w:w="1160" w:type="dxa"/>
            <w:vAlign w:val="bottom"/>
            <w:shd w:val="clear" w:color="auto" w:fill="DAE9F8"/>
          </w:tcPr>
          <w:p>
            <w:pPr>
              <w:jc w:val="right"/>
              <w:ind w:right="110"/>
              <w:spacing w:after="0"/>
              <w:rPr>
                <w:sz w:val="20"/>
                <w:szCs w:val="20"/>
                <w:color w:val="auto"/>
              </w:rPr>
            </w:pPr>
            <w:r>
              <w:rPr>
                <w:rFonts w:ascii="Arial" w:cs="Arial" w:eastAsia="Arial" w:hAnsi="Arial"/>
                <w:sz w:val="18"/>
                <w:szCs w:val="18"/>
                <w:color w:val="auto"/>
              </w:rPr>
              <w:t>(41,483)</w:t>
            </w:r>
          </w:p>
        </w:tc>
        <w:tc>
          <w:tcPr>
            <w:tcW w:w="760" w:type="dxa"/>
            <w:vAlign w:val="bottom"/>
            <w:shd w:val="clear" w:color="auto" w:fill="DAE9F8"/>
          </w:tcPr>
          <w:p>
            <w:pPr>
              <w:jc w:val="right"/>
              <w:spacing w:after="0"/>
              <w:rPr>
                <w:sz w:val="20"/>
                <w:szCs w:val="20"/>
                <w:color w:val="auto"/>
              </w:rPr>
            </w:pPr>
            <w:r>
              <w:rPr>
                <w:rFonts w:ascii="Arial" w:cs="Arial" w:eastAsia="Arial" w:hAnsi="Arial"/>
                <w:sz w:val="18"/>
                <w:szCs w:val="18"/>
                <w:color w:val="auto"/>
              </w:rPr>
              <w:t>362,65</w:t>
            </w:r>
          </w:p>
        </w:tc>
      </w:tr>
      <w:tr>
        <w:trPr>
          <w:trHeight w:val="272"/>
        </w:trPr>
        <w:tc>
          <w:tcPr>
            <w:tcW w:w="2860" w:type="dxa"/>
            <w:vAlign w:val="bottom"/>
            <w:shd w:val="clear" w:color="auto" w:fill="DAE9F8"/>
          </w:tcPr>
          <w:p>
            <w:pPr>
              <w:ind w:left="60"/>
              <w:spacing w:after="0"/>
              <w:rPr>
                <w:sz w:val="20"/>
                <w:szCs w:val="20"/>
                <w:color w:val="auto"/>
              </w:rPr>
            </w:pPr>
            <w:r>
              <w:rPr>
                <w:rFonts w:ascii="Arial" w:cs="Arial" w:eastAsia="Arial" w:hAnsi="Arial"/>
                <w:sz w:val="18"/>
                <w:szCs w:val="18"/>
                <w:color w:val="auto"/>
              </w:rPr>
              <w:t>Lithium Argentina</w:t>
            </w:r>
          </w:p>
        </w:tc>
        <w:tc>
          <w:tcPr>
            <w:tcW w:w="1080" w:type="dxa"/>
            <w:vAlign w:val="bottom"/>
            <w:shd w:val="clear" w:color="auto" w:fill="DAE9F8"/>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(128,925)</w:t>
            </w:r>
          </w:p>
        </w:tc>
        <w:tc>
          <w:tcPr>
            <w:tcW w:w="1020" w:type="dxa"/>
            <w:vAlign w:val="bottom"/>
            <w:shd w:val="clear" w:color="auto" w:fill="DAE9F8"/>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AE9F8"/>
          </w:tcPr>
          <w:p>
            <w:pPr>
              <w:jc w:val="right"/>
              <w:ind w:right="110"/>
              <w:spacing w:after="0"/>
              <w:rPr>
                <w:sz w:val="20"/>
                <w:szCs w:val="20"/>
                <w:color w:val="auto"/>
              </w:rPr>
            </w:pPr>
            <w:r>
              <w:rPr>
                <w:rFonts w:ascii="Arial" w:cs="Arial" w:eastAsia="Arial" w:hAnsi="Arial"/>
                <w:sz w:val="18"/>
                <w:szCs w:val="18"/>
                <w:color w:val="auto"/>
              </w:rPr>
              <w:t>133,281</w:t>
            </w:r>
          </w:p>
        </w:tc>
        <w:tc>
          <w:tcPr>
            <w:tcW w:w="760" w:type="dxa"/>
            <w:vAlign w:val="bottom"/>
            <w:shd w:val="clear" w:color="auto" w:fill="DAE9F8"/>
          </w:tcPr>
          <w:p>
            <w:pPr>
              <w:jc w:val="right"/>
              <w:spacing w:after="0"/>
              <w:rPr>
                <w:sz w:val="20"/>
                <w:szCs w:val="20"/>
                <w:color w:val="auto"/>
              </w:rPr>
            </w:pPr>
            <w:r>
              <w:rPr>
                <w:rFonts w:ascii="Arial" w:cs="Arial" w:eastAsia="Arial" w:hAnsi="Arial"/>
                <w:sz w:val="18"/>
                <w:szCs w:val="18"/>
                <w:color w:val="auto"/>
              </w:rPr>
              <w:t>1,17</w:t>
            </w:r>
          </w:p>
        </w:tc>
      </w:tr>
      <w:tr>
        <w:trPr>
          <w:trHeight w:val="272"/>
        </w:trPr>
        <w:tc>
          <w:tcPr>
            <w:tcW w:w="2860" w:type="dxa"/>
            <w:vAlign w:val="bottom"/>
            <w:shd w:val="clear" w:color="auto" w:fill="DAE9F8"/>
          </w:tcPr>
          <w:p>
            <w:pPr>
              <w:ind w:left="60"/>
              <w:spacing w:after="0"/>
              <w:rPr>
                <w:sz w:val="20"/>
                <w:szCs w:val="20"/>
                <w:color w:val="auto"/>
              </w:rPr>
            </w:pPr>
            <w:r>
              <w:rPr>
                <w:rFonts w:ascii="Arial" w:cs="Arial" w:eastAsia="Arial" w:hAnsi="Arial"/>
                <w:sz w:val="18"/>
                <w:szCs w:val="18"/>
                <w:color w:val="auto"/>
              </w:rPr>
              <w:t>Pastos Grandes</w:t>
            </w:r>
          </w:p>
        </w:tc>
        <w:tc>
          <w:tcPr>
            <w:tcW w:w="1080" w:type="dxa"/>
            <w:vAlign w:val="bottom"/>
            <w:shd w:val="clear" w:color="auto" w:fill="DAE9F8"/>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AE9F8"/>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(5,892)</w:t>
            </w:r>
          </w:p>
        </w:tc>
        <w:tc>
          <w:tcPr>
            <w:tcW w:w="1160" w:type="dxa"/>
            <w:vAlign w:val="bottom"/>
            <w:shd w:val="clear" w:color="auto" w:fill="DAE9F8"/>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DAE9F8"/>
          </w:tcPr>
          <w:p>
            <w:pPr>
              <w:jc w:val="right"/>
              <w:spacing w:after="0"/>
              <w:rPr>
                <w:sz w:val="20"/>
                <w:szCs w:val="20"/>
                <w:color w:val="auto"/>
              </w:rPr>
            </w:pPr>
            <w:r>
              <w:rPr>
                <w:rFonts w:ascii="Arial" w:cs="Arial" w:eastAsia="Arial" w:hAnsi="Arial"/>
                <w:sz w:val="18"/>
                <w:szCs w:val="18"/>
                <w:color w:val="auto"/>
              </w:rPr>
              <w:t>9,47</w:t>
            </w:r>
          </w:p>
        </w:tc>
      </w:tr>
      <w:tr>
        <w:trPr>
          <w:trHeight w:val="272"/>
        </w:trPr>
        <w:tc>
          <w:tcPr>
            <w:tcW w:w="2860" w:type="dxa"/>
            <w:vAlign w:val="bottom"/>
            <w:shd w:val="clear" w:color="auto" w:fill="DAE9F8"/>
          </w:tcPr>
          <w:p>
            <w:pPr>
              <w:ind w:left="60"/>
              <w:spacing w:after="0"/>
              <w:rPr>
                <w:sz w:val="20"/>
                <w:szCs w:val="20"/>
                <w:color w:val="auto"/>
              </w:rPr>
            </w:pPr>
            <w:r>
              <w:rPr>
                <w:rFonts w:ascii="Arial" w:cs="Arial" w:eastAsia="Arial" w:hAnsi="Arial"/>
                <w:sz w:val="18"/>
                <w:szCs w:val="18"/>
                <w:color w:val="auto"/>
              </w:rPr>
              <w:t>Litio Minera Argentina S.A.</w:t>
            </w:r>
          </w:p>
        </w:tc>
        <w:tc>
          <w:tcPr>
            <w:tcW w:w="1080" w:type="dxa"/>
            <w:vAlign w:val="bottom"/>
            <w:shd w:val="clear" w:color="auto" w:fill="DAE9F8"/>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AE9F8"/>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AE9F8"/>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DAE9F8"/>
          </w:tcPr>
          <w:p>
            <w:pPr>
              <w:jc w:val="right"/>
              <w:spacing w:after="0"/>
              <w:rPr>
                <w:sz w:val="20"/>
                <w:szCs w:val="20"/>
                <w:color w:val="auto"/>
              </w:rPr>
            </w:pPr>
            <w:r>
              <w:rPr>
                <w:rFonts w:ascii="Arial" w:cs="Arial" w:eastAsia="Arial" w:hAnsi="Arial"/>
                <w:sz w:val="18"/>
                <w:szCs w:val="18"/>
                <w:color w:val="auto"/>
              </w:rPr>
              <w:t>39</w:t>
            </w:r>
          </w:p>
        </w:tc>
      </w:tr>
      <w:tr>
        <w:trPr>
          <w:trHeight w:val="272"/>
        </w:trPr>
        <w:tc>
          <w:tcPr>
            <w:tcW w:w="2860" w:type="dxa"/>
            <w:vAlign w:val="bottom"/>
            <w:shd w:val="clear" w:color="auto" w:fill="DAE9F8"/>
          </w:tcPr>
          <w:p>
            <w:pPr>
              <w:ind w:left="60"/>
              <w:spacing w:after="0"/>
              <w:rPr>
                <w:sz w:val="20"/>
                <w:szCs w:val="20"/>
                <w:color w:val="auto"/>
              </w:rPr>
            </w:pPr>
            <w:r>
              <w:rPr>
                <w:rFonts w:ascii="Arial" w:cs="Arial" w:eastAsia="Arial" w:hAnsi="Arial"/>
                <w:sz w:val="18"/>
                <w:szCs w:val="18"/>
                <w:color w:val="auto"/>
              </w:rPr>
              <w:t>Grupo Mineros los Boros</w:t>
            </w:r>
          </w:p>
        </w:tc>
        <w:tc>
          <w:tcPr>
            <w:tcW w:w="1080" w:type="dxa"/>
            <w:vAlign w:val="bottom"/>
            <w:shd w:val="clear" w:color="auto" w:fill="DAE9F8"/>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AE9F8"/>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(1,452)</w:t>
            </w:r>
          </w:p>
        </w:tc>
        <w:tc>
          <w:tcPr>
            <w:tcW w:w="1160" w:type="dxa"/>
            <w:vAlign w:val="bottom"/>
            <w:shd w:val="clear" w:color="auto" w:fill="DAE9F8"/>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DAE9F8"/>
          </w:tcPr>
          <w:p>
            <w:pPr>
              <w:spacing w:after="0"/>
              <w:rPr>
                <w:sz w:val="23"/>
                <w:szCs w:val="23"/>
                <w:color w:val="auto"/>
              </w:rPr>
            </w:pPr>
          </w:p>
        </w:tc>
      </w:tr>
      <w:tr>
        <w:trPr>
          <w:trHeight w:val="272"/>
        </w:trPr>
        <w:tc>
          <w:tcPr>
            <w:tcW w:w="2860" w:type="dxa"/>
            <w:vAlign w:val="bottom"/>
            <w:shd w:val="clear" w:color="auto" w:fill="DAE9F8"/>
          </w:tcPr>
          <w:p>
            <w:pPr>
              <w:ind w:left="60"/>
              <w:spacing w:after="0"/>
              <w:rPr>
                <w:sz w:val="20"/>
                <w:szCs w:val="20"/>
                <w:color w:val="auto"/>
              </w:rPr>
            </w:pPr>
            <w:r>
              <w:rPr>
                <w:rFonts w:ascii="Arial" w:cs="Arial" w:eastAsia="Arial" w:hAnsi="Arial"/>
                <w:sz w:val="18"/>
                <w:szCs w:val="18"/>
                <w:color w:val="auto"/>
              </w:rPr>
              <w:t>Entities associated with directors</w:t>
            </w:r>
          </w:p>
        </w:tc>
        <w:tc>
          <w:tcPr>
            <w:tcW w:w="1080" w:type="dxa"/>
            <w:vAlign w:val="bottom"/>
            <w:shd w:val="clear" w:color="auto" w:fill="DAE9F8"/>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AE9F8"/>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AE9F8"/>
          </w:tcPr>
          <w:p>
            <w:pPr>
              <w:jc w:val="right"/>
              <w:ind w:right="110"/>
              <w:spacing w:after="0"/>
              <w:rPr>
                <w:sz w:val="20"/>
                <w:szCs w:val="20"/>
                <w:color w:val="auto"/>
              </w:rPr>
            </w:pPr>
            <w:r>
              <w:rPr>
                <w:rFonts w:ascii="Arial" w:cs="Arial" w:eastAsia="Arial" w:hAnsi="Arial"/>
                <w:sz w:val="18"/>
                <w:szCs w:val="18"/>
                <w:color w:val="auto"/>
              </w:rPr>
              <w:t>(34,069)</w:t>
            </w:r>
          </w:p>
        </w:tc>
        <w:tc>
          <w:tcPr>
            <w:tcW w:w="760" w:type="dxa"/>
            <w:vAlign w:val="bottom"/>
            <w:shd w:val="clear" w:color="auto" w:fill="DAE9F8"/>
          </w:tcPr>
          <w:p>
            <w:pPr>
              <w:jc w:val="right"/>
              <w:spacing w:after="0"/>
              <w:rPr>
                <w:sz w:val="20"/>
                <w:szCs w:val="20"/>
                <w:color w:val="auto"/>
              </w:rPr>
            </w:pPr>
            <w:r>
              <w:rPr>
                <w:rFonts w:ascii="Arial" w:cs="Arial" w:eastAsia="Arial" w:hAnsi="Arial"/>
                <w:sz w:val="18"/>
                <w:szCs w:val="18"/>
                <w:color w:val="auto"/>
              </w:rPr>
              <w:t>37,43</w:t>
            </w:r>
          </w:p>
        </w:tc>
      </w:tr>
      <w:tr>
        <w:trPr>
          <w:trHeight w:val="286"/>
        </w:trPr>
        <w:tc>
          <w:tcPr>
            <w:tcW w:w="2860" w:type="dxa"/>
            <w:vAlign w:val="bottom"/>
            <w:shd w:val="clear" w:color="auto" w:fill="DAE9F8"/>
          </w:tcPr>
          <w:p>
            <w:pPr>
              <w:ind w:left="60"/>
              <w:spacing w:after="0"/>
              <w:rPr>
                <w:sz w:val="20"/>
                <w:szCs w:val="20"/>
                <w:color w:val="auto"/>
              </w:rPr>
            </w:pPr>
            <w:r>
              <w:rPr>
                <w:rFonts w:ascii="Arial" w:cs="Arial" w:eastAsia="Arial" w:hAnsi="Arial"/>
                <w:sz w:val="18"/>
                <w:szCs w:val="18"/>
                <w:b w:val="1"/>
                <w:bCs w:val="1"/>
                <w:color w:val="auto"/>
              </w:rPr>
              <w:t>Total</w:t>
            </w:r>
          </w:p>
        </w:tc>
        <w:tc>
          <w:tcPr>
            <w:tcW w:w="1080" w:type="dxa"/>
            <w:vAlign w:val="bottom"/>
            <w:shd w:val="clear" w:color="auto" w:fill="DAE9F8"/>
          </w:tcPr>
          <w:p>
            <w:pPr>
              <w:jc w:val="right"/>
              <w:ind w:right="50"/>
              <w:spacing w:after="0"/>
              <w:rPr>
                <w:sz w:val="20"/>
                <w:szCs w:val="20"/>
                <w:color w:val="auto"/>
              </w:rPr>
            </w:pPr>
            <w:r>
              <w:rPr>
                <w:rFonts w:ascii="Arial" w:cs="Arial" w:eastAsia="Arial" w:hAnsi="Arial"/>
                <w:sz w:val="18"/>
                <w:szCs w:val="18"/>
                <w:b w:val="1"/>
                <w:bCs w:val="1"/>
                <w:color w:val="auto"/>
              </w:rPr>
              <w:t>(5,052)</w:t>
            </w:r>
          </w:p>
        </w:tc>
        <w:tc>
          <w:tcPr>
            <w:tcW w:w="1200" w:type="dxa"/>
            <w:vAlign w:val="bottom"/>
            <w:shd w:val="clear" w:color="auto" w:fill="DAE9F8"/>
          </w:tcPr>
          <w:p>
            <w:pPr>
              <w:jc w:val="right"/>
              <w:spacing w:after="0"/>
              <w:rPr>
                <w:sz w:val="20"/>
                <w:szCs w:val="20"/>
                <w:color w:val="auto"/>
              </w:rPr>
            </w:pPr>
            <w:r>
              <w:rPr>
                <w:rFonts w:ascii="Arial" w:cs="Arial" w:eastAsia="Arial" w:hAnsi="Arial"/>
                <w:sz w:val="18"/>
                <w:szCs w:val="18"/>
                <w:b w:val="1"/>
                <w:bCs w:val="1"/>
                <w:color w:val="auto"/>
              </w:rPr>
              <w:t>(261,484)</w:t>
            </w:r>
          </w:p>
        </w:tc>
        <w:tc>
          <w:tcPr>
            <w:tcW w:w="1020" w:type="dxa"/>
            <w:vAlign w:val="bottom"/>
            <w:shd w:val="clear" w:color="auto" w:fill="DAE9F8"/>
          </w:tcPr>
          <w:p>
            <w:pPr>
              <w:jc w:val="right"/>
              <w:ind w:right="150"/>
              <w:spacing w:after="0"/>
              <w:rPr>
                <w:sz w:val="20"/>
                <w:szCs w:val="20"/>
                <w:color w:val="auto"/>
              </w:rPr>
            </w:pPr>
            <w:r>
              <w:rPr>
                <w:rFonts w:ascii="Arial" w:cs="Arial" w:eastAsia="Arial" w:hAnsi="Arial"/>
                <w:sz w:val="18"/>
                <w:szCs w:val="18"/>
                <w:b w:val="1"/>
                <w:bCs w:val="1"/>
                <w:color w:val="auto"/>
              </w:rPr>
              <w:t>14,994</w:t>
            </w:r>
          </w:p>
        </w:tc>
        <w:tc>
          <w:tcPr>
            <w:tcW w:w="1120" w:type="dxa"/>
            <w:vAlign w:val="bottom"/>
            <w:shd w:val="clear" w:color="auto" w:fill="DAE9F8"/>
          </w:tcPr>
          <w:p>
            <w:pPr>
              <w:jc w:val="right"/>
              <w:ind w:right="30"/>
              <w:spacing w:after="0"/>
              <w:rPr>
                <w:sz w:val="20"/>
                <w:szCs w:val="20"/>
                <w:color w:val="auto"/>
              </w:rPr>
            </w:pPr>
            <w:r>
              <w:rPr>
                <w:rFonts w:ascii="Arial" w:cs="Arial" w:eastAsia="Arial" w:hAnsi="Arial"/>
                <w:sz w:val="18"/>
                <w:szCs w:val="18"/>
                <w:b w:val="1"/>
                <w:bCs w:val="1"/>
                <w:color w:val="auto"/>
              </w:rPr>
              <w:t>(122,576)</w:t>
            </w:r>
          </w:p>
        </w:tc>
        <w:tc>
          <w:tcPr>
            <w:tcW w:w="1160" w:type="dxa"/>
            <w:vAlign w:val="bottom"/>
            <w:shd w:val="clear" w:color="auto" w:fill="DAE9F8"/>
          </w:tcPr>
          <w:p>
            <w:pPr>
              <w:jc w:val="right"/>
              <w:ind w:right="110"/>
              <w:spacing w:after="0"/>
              <w:rPr>
                <w:sz w:val="20"/>
                <w:szCs w:val="20"/>
                <w:color w:val="auto"/>
              </w:rPr>
            </w:pPr>
            <w:r>
              <w:rPr>
                <w:rFonts w:ascii="Arial" w:cs="Arial" w:eastAsia="Arial" w:hAnsi="Arial"/>
                <w:sz w:val="18"/>
                <w:szCs w:val="18"/>
                <w:b w:val="1"/>
                <w:bCs w:val="1"/>
                <w:color w:val="auto"/>
              </w:rPr>
              <w:t>195,005</w:t>
            </w:r>
          </w:p>
        </w:tc>
        <w:tc>
          <w:tcPr>
            <w:tcW w:w="760" w:type="dxa"/>
            <w:vAlign w:val="bottom"/>
            <w:shd w:val="clear" w:color="auto" w:fill="DAE9F8"/>
          </w:tcPr>
          <w:p>
            <w:pPr>
              <w:jc w:val="right"/>
              <w:spacing w:after="0"/>
              <w:rPr>
                <w:sz w:val="20"/>
                <w:szCs w:val="20"/>
                <w:color w:val="auto"/>
              </w:rPr>
            </w:pPr>
            <w:r>
              <w:rPr>
                <w:rFonts w:ascii="Arial" w:cs="Arial" w:eastAsia="Arial" w:hAnsi="Arial"/>
                <w:sz w:val="18"/>
                <w:szCs w:val="18"/>
                <w:b w:val="1"/>
                <w:bCs w:val="1"/>
                <w:color w:val="auto"/>
              </w:rPr>
              <w:t>412,51</w:t>
            </w:r>
          </w:p>
        </w:tc>
      </w:tr>
      <w:tr>
        <w:trPr>
          <w:trHeight w:val="52"/>
        </w:trPr>
        <w:tc>
          <w:tcPr>
            <w:tcW w:w="2860" w:type="dxa"/>
            <w:vAlign w:val="bottom"/>
            <w:shd w:val="clear" w:color="auto" w:fill="DAE9F8"/>
          </w:tcPr>
          <w:p>
            <w:pPr>
              <w:spacing w:after="0"/>
              <w:rPr>
                <w:sz w:val="4"/>
                <w:szCs w:val="4"/>
                <w:color w:val="auto"/>
              </w:rPr>
            </w:pPr>
          </w:p>
        </w:tc>
        <w:tc>
          <w:tcPr>
            <w:tcW w:w="1080" w:type="dxa"/>
            <w:vAlign w:val="bottom"/>
            <w:shd w:val="clear" w:color="auto" w:fill="DAE9F8"/>
          </w:tcPr>
          <w:p>
            <w:pPr>
              <w:spacing w:after="0"/>
              <w:rPr>
                <w:sz w:val="4"/>
                <w:szCs w:val="4"/>
                <w:color w:val="auto"/>
              </w:rPr>
            </w:pPr>
          </w:p>
        </w:tc>
        <w:tc>
          <w:tcPr>
            <w:tcW w:w="1200" w:type="dxa"/>
            <w:vAlign w:val="bottom"/>
            <w:shd w:val="clear" w:color="auto" w:fill="DAE9F8"/>
          </w:tcPr>
          <w:p>
            <w:pPr>
              <w:spacing w:after="0"/>
              <w:rPr>
                <w:sz w:val="4"/>
                <w:szCs w:val="4"/>
                <w:color w:val="auto"/>
              </w:rPr>
            </w:pPr>
          </w:p>
        </w:tc>
        <w:tc>
          <w:tcPr>
            <w:tcW w:w="1020" w:type="dxa"/>
            <w:vAlign w:val="bottom"/>
            <w:shd w:val="clear" w:color="auto" w:fill="DAE9F8"/>
          </w:tcPr>
          <w:p>
            <w:pPr>
              <w:spacing w:after="0"/>
              <w:rPr>
                <w:sz w:val="4"/>
                <w:szCs w:val="4"/>
                <w:color w:val="auto"/>
              </w:rPr>
            </w:pPr>
          </w:p>
        </w:tc>
        <w:tc>
          <w:tcPr>
            <w:tcW w:w="1120" w:type="dxa"/>
            <w:vAlign w:val="bottom"/>
            <w:shd w:val="clear" w:color="auto" w:fill="DAE9F8"/>
          </w:tcPr>
          <w:p>
            <w:pPr>
              <w:spacing w:after="0"/>
              <w:rPr>
                <w:sz w:val="4"/>
                <w:szCs w:val="4"/>
                <w:color w:val="auto"/>
              </w:rPr>
            </w:pPr>
          </w:p>
        </w:tc>
        <w:tc>
          <w:tcPr>
            <w:tcW w:w="1160" w:type="dxa"/>
            <w:vAlign w:val="bottom"/>
            <w:shd w:val="clear" w:color="auto" w:fill="DAE9F8"/>
          </w:tcPr>
          <w:p>
            <w:pPr>
              <w:spacing w:after="0"/>
              <w:rPr>
                <w:sz w:val="4"/>
                <w:szCs w:val="4"/>
                <w:color w:val="auto"/>
              </w:rPr>
            </w:pPr>
          </w:p>
        </w:tc>
        <w:tc>
          <w:tcPr>
            <w:tcW w:w="760" w:type="dxa"/>
            <w:vAlign w:val="bottom"/>
            <w:shd w:val="clear" w:color="auto" w:fill="DAE9F8"/>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-1583690</wp:posOffset>
            </wp:positionV>
            <wp:extent cx="5849620" cy="1270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401">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-191135</wp:posOffset>
            </wp:positionV>
            <wp:extent cx="5849620" cy="19177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402">
                      <a:extLst>
                        <a:ext uri="{28A0092B-C50C-407E-A947-70E740481C1C}"/>
                      </a:extLst>
                    </a:blip>
                    <a:srcRect/>
                    <a:stretch>
                      <a:fillRect/>
                    </a:stretch>
                  </pic:blipFill>
                  <pic:spPr bwMode="auto">
                    <a:xfrm>
                      <a:off x="0" y="0"/>
                      <a:ext cx="5849620" cy="191770"/>
                    </a:xfrm>
                    <a:prstGeom prst="rect">
                      <a:avLst/>
                    </a:prstGeom>
                    <a:noFill/>
                  </pic:spPr>
                </pic:pic>
              </a:graphicData>
            </a:graphic>
          </wp:anchor>
        </w:drawing>
      </w:r>
    </w:p>
    <w:p>
      <w:pPr>
        <w:spacing w:after="0" w:line="53" w:lineRule="exact"/>
        <w:rPr>
          <w:sz w:val="20"/>
          <w:szCs w:val="20"/>
          <w:color w:val="auto"/>
        </w:rPr>
      </w:pPr>
    </w:p>
    <w:p>
      <w:pPr>
        <w:ind w:left="1260" w:right="80"/>
        <w:spacing w:after="0" w:line="388" w:lineRule="auto"/>
        <w:rPr>
          <w:sz w:val="20"/>
          <w:szCs w:val="20"/>
          <w:color w:val="auto"/>
        </w:rPr>
      </w:pPr>
      <w:r>
        <w:rPr>
          <w:rFonts w:ascii="Arial" w:cs="Arial" w:eastAsia="Arial" w:hAnsi="Arial"/>
          <w:sz w:val="16"/>
          <w:szCs w:val="16"/>
          <w:color w:val="auto"/>
        </w:rPr>
        <w:t>*The "Others" balance for Exar Capital of $362,651 comprises: (i) $234,246 relating to the conversion of loans to equity as part of the debt restructuring, being a non-cash transaction (Note 17c); (ii) $82,182 relating to foreign exchange effects arising from the Blue-Chip Swap differential on outstanding loan balances (Note 17c); (iii) $47,183 relating to supplier payments made by Exar Capital on behalf of the Company in the ordinary course of operations; and (iv) $(960) of other miscellaneous items.</w:t>
      </w:r>
    </w:p>
    <w:p>
      <w:pPr>
        <w:spacing w:after="0" w:line="346"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2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Year ended December 31, 2024</w:t>
            </w: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8"/>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Related party</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Loans</w:t>
            </w:r>
          </w:p>
        </w:tc>
        <w:tc>
          <w:tcPr>
            <w:tcW w:w="14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Collection</w:t>
            </w: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Interest</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Interest</w:t>
            </w: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Sales</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136"/>
        </w:trPr>
        <w:tc>
          <w:tcPr>
            <w:tcW w:w="2180" w:type="dxa"/>
            <w:vAlign w:val="bottom"/>
            <w:vMerge w:val="continue"/>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obtained</w:t>
            </w:r>
          </w:p>
        </w:tc>
        <w:tc>
          <w:tcPr>
            <w:tcW w:w="1420" w:type="dxa"/>
            <w:vAlign w:val="bottom"/>
            <w:vMerge w:val="continue"/>
          </w:tcPr>
          <w:p>
            <w:pPr>
              <w:spacing w:after="0"/>
              <w:rPr>
                <w:sz w:val="11"/>
                <w:szCs w:val="11"/>
                <w:color w:val="auto"/>
              </w:rPr>
            </w:pPr>
          </w:p>
        </w:tc>
        <w:tc>
          <w:tcPr>
            <w:tcW w:w="13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payment</w:t>
            </w: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accrued</w:t>
            </w:r>
          </w:p>
        </w:tc>
        <w:tc>
          <w:tcPr>
            <w:tcW w:w="12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/purchase</w:t>
            </w: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2180" w:type="dxa"/>
            <w:vAlign w:val="bottom"/>
          </w:tcPr>
          <w:p>
            <w:pPr>
              <w:spacing w:after="0"/>
              <w:rPr>
                <w:sz w:val="20"/>
                <w:szCs w:val="20"/>
                <w:color w:val="auto"/>
              </w:rPr>
            </w:pPr>
            <w:r>
              <w:rPr>
                <w:rFonts w:ascii="Arial" w:cs="Arial" w:eastAsia="Arial" w:hAnsi="Arial"/>
                <w:sz w:val="18"/>
                <w:szCs w:val="18"/>
                <w:color w:val="auto"/>
              </w:rPr>
              <w:t>Ganfeng</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(80,604)</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102,890</w:t>
            </w: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00"/>
        </w:trPr>
        <w:tc>
          <w:tcPr>
            <w:tcW w:w="2180" w:type="dxa"/>
            <w:vAlign w:val="bottom"/>
          </w:tcPr>
          <w:p>
            <w:pPr>
              <w:spacing w:after="0"/>
              <w:rPr>
                <w:sz w:val="20"/>
                <w:szCs w:val="20"/>
                <w:color w:val="auto"/>
              </w:rPr>
            </w:pPr>
            <w:r>
              <w:rPr>
                <w:rFonts w:ascii="Arial" w:cs="Arial" w:eastAsia="Arial" w:hAnsi="Arial"/>
                <w:sz w:val="18"/>
                <w:szCs w:val="18"/>
                <w:color w:val="auto"/>
              </w:rPr>
              <w:t>Ontario</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0"/>
        </w:trPr>
        <w:tc>
          <w:tcPr>
            <w:tcW w:w="2180" w:type="dxa"/>
            <w:vAlign w:val="bottom"/>
          </w:tcPr>
          <w:p>
            <w:pPr>
              <w:spacing w:after="0"/>
              <w:rPr>
                <w:sz w:val="20"/>
                <w:szCs w:val="20"/>
                <w:color w:val="auto"/>
              </w:rPr>
            </w:pPr>
            <w:r>
              <w:rPr>
                <w:rFonts w:ascii="Arial" w:cs="Arial" w:eastAsia="Arial" w:hAnsi="Arial"/>
                <w:sz w:val="18"/>
                <w:szCs w:val="18"/>
                <w:color w:val="auto"/>
              </w:rPr>
              <w:t>Exar Capital</w:t>
            </w:r>
          </w:p>
        </w:tc>
        <w:tc>
          <w:tcPr>
            <w:tcW w:w="1100" w:type="dxa"/>
            <w:vAlign w:val="bottom"/>
          </w:tcPr>
          <w:p>
            <w:pPr>
              <w:jc w:val="right"/>
              <w:spacing w:after="0"/>
              <w:rPr>
                <w:sz w:val="20"/>
                <w:szCs w:val="20"/>
                <w:color w:val="auto"/>
              </w:rPr>
            </w:pPr>
            <w:r>
              <w:rPr>
                <w:rFonts w:ascii="Arial" w:cs="Arial" w:eastAsia="Arial" w:hAnsi="Arial"/>
                <w:sz w:val="18"/>
                <w:szCs w:val="18"/>
                <w:color w:val="auto"/>
              </w:rPr>
              <w:t>(187,384)</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23,697</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(113,364)</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(33,293)</w:t>
            </w:r>
          </w:p>
        </w:tc>
        <w:tc>
          <w:tcPr>
            <w:tcW w:w="820" w:type="dxa"/>
            <w:vAlign w:val="bottom"/>
          </w:tcPr>
          <w:p>
            <w:pPr>
              <w:jc w:val="right"/>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300"/>
        </w:trPr>
        <w:tc>
          <w:tcPr>
            <w:tcW w:w="2180" w:type="dxa"/>
            <w:vAlign w:val="bottom"/>
          </w:tcPr>
          <w:p>
            <w:pPr>
              <w:spacing w:after="0"/>
              <w:rPr>
                <w:sz w:val="20"/>
                <w:szCs w:val="20"/>
                <w:color w:val="auto"/>
              </w:rPr>
            </w:pPr>
            <w:r>
              <w:rPr>
                <w:rFonts w:ascii="Arial" w:cs="Arial" w:eastAsia="Arial" w:hAnsi="Arial"/>
                <w:sz w:val="18"/>
                <w:szCs w:val="18"/>
                <w:color w:val="auto"/>
              </w:rPr>
              <w:t>Lithium Argentina</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(66,970)</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94,795</w:t>
            </w: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0"/>
        </w:trPr>
        <w:tc>
          <w:tcPr>
            <w:tcW w:w="2180" w:type="dxa"/>
            <w:vAlign w:val="bottom"/>
          </w:tcPr>
          <w:p>
            <w:pPr>
              <w:spacing w:after="0"/>
              <w:rPr>
                <w:sz w:val="20"/>
                <w:szCs w:val="20"/>
                <w:color w:val="auto"/>
              </w:rPr>
            </w:pPr>
            <w:r>
              <w:rPr>
                <w:rFonts w:ascii="Arial" w:cs="Arial" w:eastAsia="Arial" w:hAnsi="Arial"/>
                <w:sz w:val="18"/>
                <w:szCs w:val="18"/>
                <w:color w:val="auto"/>
              </w:rPr>
              <w:t>Pastos Grandes</w:t>
            </w:r>
          </w:p>
        </w:tc>
        <w:tc>
          <w:tcPr>
            <w:tcW w:w="1100" w:type="dxa"/>
            <w:vAlign w:val="bottom"/>
          </w:tcPr>
          <w:p>
            <w:pPr>
              <w:jc w:val="right"/>
              <w:spacing w:after="0"/>
              <w:rPr>
                <w:sz w:val="20"/>
                <w:szCs w:val="20"/>
                <w:color w:val="auto"/>
              </w:rPr>
            </w:pPr>
            <w:r>
              <w:rPr>
                <w:rFonts w:ascii="Arial" w:cs="Arial" w:eastAsia="Arial" w:hAnsi="Arial"/>
                <w:sz w:val="18"/>
                <w:szCs w:val="18"/>
                <w:color w:val="auto"/>
              </w:rPr>
              <w:t>(65,000)</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(2,355)</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300"/>
        </w:trPr>
        <w:tc>
          <w:tcPr>
            <w:tcW w:w="2180" w:type="dxa"/>
            <w:vAlign w:val="bottom"/>
          </w:tcPr>
          <w:p>
            <w:pPr>
              <w:spacing w:after="0"/>
              <w:rPr>
                <w:sz w:val="20"/>
                <w:szCs w:val="20"/>
                <w:color w:val="auto"/>
              </w:rPr>
            </w:pPr>
            <w:r>
              <w:rPr>
                <w:rFonts w:ascii="Arial" w:cs="Arial" w:eastAsia="Arial" w:hAnsi="Arial"/>
                <w:sz w:val="18"/>
                <w:szCs w:val="18"/>
                <w:color w:val="auto"/>
              </w:rPr>
              <w:t>Litio Minera Argentina</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36"/>
        </w:trPr>
        <w:tc>
          <w:tcPr>
            <w:tcW w:w="2180" w:type="dxa"/>
            <w:vAlign w:val="bottom"/>
            <w:vMerge w:val="restart"/>
          </w:tcPr>
          <w:p>
            <w:pPr>
              <w:spacing w:after="0"/>
              <w:rPr>
                <w:sz w:val="20"/>
                <w:szCs w:val="20"/>
                <w:color w:val="auto"/>
              </w:rPr>
            </w:pPr>
            <w:r>
              <w:rPr>
                <w:rFonts w:ascii="Arial" w:cs="Arial" w:eastAsia="Arial" w:hAnsi="Arial"/>
                <w:sz w:val="18"/>
                <w:szCs w:val="18"/>
                <w:color w:val="auto"/>
              </w:rPr>
              <w:t>S.A.</w:t>
            </w:r>
          </w:p>
        </w:tc>
        <w:tc>
          <w:tcPr>
            <w:tcW w:w="110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0"/>
        </w:trPr>
        <w:tc>
          <w:tcPr>
            <w:tcW w:w="2180" w:type="dxa"/>
            <w:vAlign w:val="bottom"/>
          </w:tcPr>
          <w:p>
            <w:pPr>
              <w:spacing w:after="0"/>
              <w:rPr>
                <w:sz w:val="20"/>
                <w:szCs w:val="20"/>
                <w:color w:val="auto"/>
              </w:rPr>
            </w:pPr>
            <w:r>
              <w:rPr>
                <w:rFonts w:ascii="Arial" w:cs="Arial" w:eastAsia="Arial" w:hAnsi="Arial"/>
                <w:sz w:val="18"/>
                <w:szCs w:val="18"/>
                <w:color w:val="auto"/>
              </w:rPr>
              <w:t>Grupo Mineros los</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color w:val="auto"/>
              </w:rPr>
              <w:t>(630)</w:t>
            </w:r>
          </w:p>
        </w:tc>
        <w:tc>
          <w:tcPr>
            <w:tcW w:w="126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180" w:type="dxa"/>
            <w:vAlign w:val="bottom"/>
            <w:vMerge w:val="restart"/>
          </w:tcPr>
          <w:p>
            <w:pPr>
              <w:spacing w:after="0"/>
              <w:rPr>
                <w:sz w:val="20"/>
                <w:szCs w:val="20"/>
                <w:color w:val="auto"/>
              </w:rPr>
            </w:pPr>
            <w:r>
              <w:rPr>
                <w:rFonts w:ascii="Arial" w:cs="Arial" w:eastAsia="Arial" w:hAnsi="Arial"/>
                <w:sz w:val="18"/>
                <w:szCs w:val="18"/>
                <w:color w:val="auto"/>
              </w:rPr>
              <w:t>Boros</w:t>
            </w:r>
          </w:p>
        </w:tc>
        <w:tc>
          <w:tcPr>
            <w:tcW w:w="110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0"/>
        </w:trPr>
        <w:tc>
          <w:tcPr>
            <w:tcW w:w="2180" w:type="dxa"/>
            <w:vAlign w:val="bottom"/>
          </w:tcPr>
          <w:p>
            <w:pPr>
              <w:spacing w:after="0"/>
              <w:rPr>
                <w:sz w:val="20"/>
                <w:szCs w:val="20"/>
                <w:color w:val="auto"/>
              </w:rPr>
            </w:pPr>
            <w:r>
              <w:rPr>
                <w:rFonts w:ascii="Arial" w:cs="Arial" w:eastAsia="Arial" w:hAnsi="Arial"/>
                <w:sz w:val="18"/>
                <w:szCs w:val="18"/>
                <w:color w:val="auto"/>
              </w:rPr>
              <w:t>Entities associated with</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ind w:right="130"/>
              <w:spacing w:after="0"/>
              <w:rPr>
                <w:sz w:val="20"/>
                <w:szCs w:val="20"/>
                <w:color w:val="auto"/>
              </w:rPr>
            </w:pPr>
            <w:r>
              <w:rPr>
                <w:rFonts w:ascii="Arial" w:cs="Arial" w:eastAsia="Arial" w:hAnsi="Arial"/>
                <w:sz w:val="18"/>
                <w:szCs w:val="18"/>
                <w:color w:val="auto"/>
              </w:rPr>
              <w:t>27,688</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(33,776</w:t>
            </w:r>
          </w:p>
        </w:tc>
        <w:tc>
          <w:tcPr>
            <w:tcW w:w="0" w:type="dxa"/>
            <w:vAlign w:val="bottom"/>
          </w:tcPr>
          <w:p>
            <w:pPr>
              <w:spacing w:after="0"/>
              <w:rPr>
                <w:sz w:val="1"/>
                <w:szCs w:val="1"/>
                <w:color w:val="auto"/>
              </w:rPr>
            </w:pPr>
          </w:p>
        </w:tc>
      </w:tr>
      <w:tr>
        <w:trPr>
          <w:trHeight w:val="136"/>
        </w:trPr>
        <w:tc>
          <w:tcPr>
            <w:tcW w:w="2180" w:type="dxa"/>
            <w:vAlign w:val="bottom"/>
            <w:vMerge w:val="restart"/>
          </w:tcPr>
          <w:p>
            <w:pPr>
              <w:spacing w:after="0"/>
              <w:rPr>
                <w:sz w:val="20"/>
                <w:szCs w:val="20"/>
                <w:color w:val="auto"/>
              </w:rPr>
            </w:pPr>
            <w:r>
              <w:rPr>
                <w:rFonts w:ascii="Arial" w:cs="Arial" w:eastAsia="Arial" w:hAnsi="Arial"/>
                <w:sz w:val="18"/>
                <w:szCs w:val="18"/>
                <w:color w:val="auto"/>
              </w:rPr>
              <w:t>directors</w:t>
            </w:r>
          </w:p>
        </w:tc>
        <w:tc>
          <w:tcPr>
            <w:tcW w:w="110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21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(252,384)</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(147,574)</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23,697</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(116,349)</w:t>
            </w: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192,080</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-2817495</wp:posOffset>
            </wp:positionV>
            <wp:extent cx="5849620" cy="635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403">
                      <a:extLst>
                        <a:ext uri="{28A0092B-C50C-407E-A947-70E740481C1C}"/>
                      </a:extLst>
                    </a:blip>
                    <a:srcRect/>
                    <a:stretch>
                      <a:fillRect/>
                    </a:stretch>
                  </pic:blipFill>
                  <pic:spPr bwMode="auto">
                    <a:xfrm>
                      <a:off x="0" y="0"/>
                      <a:ext cx="5849620"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-2221230</wp:posOffset>
            </wp:positionV>
            <wp:extent cx="5849620" cy="1270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404">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-164465</wp:posOffset>
            </wp:positionV>
            <wp:extent cx="5849620" cy="20955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405">
                      <a:extLst>
                        <a:ext uri="{28A0092B-C50C-407E-A947-70E740481C1C}"/>
                      </a:extLst>
                    </a:blip>
                    <a:srcRect/>
                    <a:stretch>
                      <a:fillRect/>
                    </a:stretch>
                  </pic:blipFill>
                  <pic:spPr bwMode="auto">
                    <a:xfrm>
                      <a:off x="0" y="0"/>
                      <a:ext cx="5849620" cy="2095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39 / 58</w:t>
      </w:r>
    </w:p>
    <w:p>
      <w:pPr>
        <w:sectPr>
          <w:pgSz w:w="11900" w:h="16838" w:orient="portrait"/>
          <w:cols w:equalWidth="0" w:num="1">
            <w:col w:w="10460"/>
          </w:cols>
          <w:pgMar w:left="1440" w:top="1440" w:right="6" w:bottom="0" w:gutter="0" w:footer="0" w:header="0"/>
          <w:type w:val="continuous"/>
        </w:sectPr>
      </w:pPr>
    </w:p>
    <w:bookmarkStart w:id="651" w:name="page652"/>
    <w:bookmarkEnd w:id="651"/>
    <w:p>
      <w:pPr>
        <w:ind w:left="1260"/>
        <w:spacing w:after="0"/>
        <w:rPr>
          <w:sz w:val="20"/>
          <w:szCs w:val="20"/>
          <w:color w:val="auto"/>
        </w:rPr>
      </w:pPr>
      <w:r>
        <w:rPr>
          <w:rFonts w:ascii="Arial" w:cs="Arial" w:eastAsia="Arial" w:hAnsi="Arial"/>
          <w:sz w:val="20"/>
          <w:szCs w:val="20"/>
          <w:b w:val="1"/>
          <w:bCs w:val="1"/>
          <w:color w:val="auto"/>
        </w:rPr>
        <w:t>c) Related parties loan agreements</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Exar Capital B.V.</w:t>
      </w:r>
    </w:p>
    <w:p>
      <w:pPr>
        <w:spacing w:after="0" w:line="319" w:lineRule="exact"/>
        <w:rPr>
          <w:sz w:val="20"/>
          <w:szCs w:val="20"/>
          <w:color w:val="auto"/>
        </w:rPr>
      </w:pPr>
    </w:p>
    <w:p>
      <w:pPr>
        <w:jc w:val="both"/>
        <w:ind w:left="1260"/>
        <w:spacing w:after="0" w:line="311" w:lineRule="auto"/>
        <w:rPr>
          <w:sz w:val="20"/>
          <w:szCs w:val="20"/>
          <w:color w:val="auto"/>
        </w:rPr>
      </w:pPr>
      <w:r>
        <w:rPr>
          <w:rFonts w:ascii="Arial" w:cs="Arial" w:eastAsia="Arial" w:hAnsi="Arial"/>
          <w:sz w:val="20"/>
          <w:szCs w:val="20"/>
          <w:color w:val="auto"/>
        </w:rPr>
        <w:t>The Company entered into a series of loan agreements with Exar Capital to finance the construction an development of the Cauchari-Olaroz project (Note 1). These facilities continue to form the primary sourc of the Company's long-term financing.</w:t>
      </w:r>
    </w:p>
    <w:p>
      <w:pPr>
        <w:spacing w:after="0" w:line="137"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40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40"/>
          </w:cols>
          <w:pgMar w:left="1440" w:top="1165" w:right="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40 / 58</w:t>
      </w:r>
    </w:p>
    <w:p>
      <w:pPr>
        <w:sectPr>
          <w:pgSz w:w="11900" w:h="16838" w:orient="portrait"/>
          <w:cols w:equalWidth="0" w:num="1">
            <w:col w:w="10440"/>
          </w:cols>
          <w:pgMar w:left="1440" w:top="1165" w:right="26" w:bottom="0" w:gutter="0" w:footer="0" w:header="0"/>
          <w:type w:val="continuous"/>
        </w:sectPr>
      </w:pPr>
    </w:p>
    <w:bookmarkStart w:id="652" w:name="page653"/>
    <w:bookmarkEnd w:id="652"/>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17. RELATED PARTIES </w:t>
      </w:r>
      <w:r>
        <w:rPr>
          <w:rFonts w:ascii="Arial" w:cs="Arial" w:eastAsia="Arial" w:hAnsi="Arial"/>
          <w:sz w:val="20"/>
          <w:szCs w:val="20"/>
          <w:i w:val="1"/>
          <w:iCs w:val="1"/>
          <w:color w:val="auto"/>
        </w:rPr>
        <w:t>(continued)</w:t>
      </w:r>
    </w:p>
    <w:p>
      <w:pPr>
        <w:spacing w:after="0" w:line="319" w:lineRule="exact"/>
        <w:rPr>
          <w:sz w:val="20"/>
          <w:szCs w:val="20"/>
          <w:color w:val="auto"/>
        </w:rPr>
      </w:pPr>
    </w:p>
    <w:p>
      <w:pPr>
        <w:ind w:left="1260" w:right="40"/>
        <w:spacing w:after="0" w:line="307" w:lineRule="auto"/>
        <w:rPr>
          <w:sz w:val="20"/>
          <w:szCs w:val="20"/>
          <w:color w:val="auto"/>
        </w:rPr>
      </w:pPr>
      <w:r>
        <w:rPr>
          <w:rFonts w:ascii="Arial" w:cs="Arial" w:eastAsia="Arial" w:hAnsi="Arial"/>
          <w:sz w:val="20"/>
          <w:szCs w:val="20"/>
          <w:color w:val="auto"/>
        </w:rPr>
        <w:t>During the year ended December 31, 2025, loan additions from Exar Capital amounted to $5,052 (2024 $187,384).</w:t>
      </w:r>
    </w:p>
    <w:p>
      <w:pPr>
        <w:spacing w:after="0" w:line="2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Debt Restructuring</w:t>
      </w:r>
    </w:p>
    <w:p>
      <w:pPr>
        <w:spacing w:after="0" w:line="319" w:lineRule="exact"/>
        <w:rPr>
          <w:sz w:val="20"/>
          <w:szCs w:val="20"/>
          <w:color w:val="auto"/>
        </w:rPr>
      </w:pPr>
    </w:p>
    <w:p>
      <w:pPr>
        <w:jc w:val="both"/>
        <w:ind w:left="1260"/>
        <w:spacing w:after="0" w:line="307" w:lineRule="auto"/>
        <w:rPr>
          <w:sz w:val="20"/>
          <w:szCs w:val="20"/>
          <w:color w:val="auto"/>
        </w:rPr>
      </w:pPr>
      <w:r>
        <w:rPr>
          <w:rFonts w:ascii="Arial" w:cs="Arial" w:eastAsia="Arial" w:hAnsi="Arial"/>
          <w:sz w:val="20"/>
          <w:szCs w:val="20"/>
          <w:color w:val="auto"/>
        </w:rPr>
        <w:t>On August 27, 2025, Minera Exar and Exar Capital completed a comprehensive restructuring of the intercompany loan arrangements (the "Restructuring").</w:t>
      </w:r>
    </w:p>
    <w:p>
      <w:pPr>
        <w:spacing w:after="0" w:line="255" w:lineRule="exact"/>
        <w:rPr>
          <w:sz w:val="20"/>
          <w:szCs w:val="20"/>
          <w:color w:val="auto"/>
        </w:rPr>
      </w:pPr>
    </w:p>
    <w:p>
      <w:pPr>
        <w:jc w:val="both"/>
        <w:ind w:left="1260"/>
        <w:spacing w:after="0" w:line="314" w:lineRule="auto"/>
        <w:rPr>
          <w:sz w:val="20"/>
          <w:szCs w:val="20"/>
          <w:color w:val="auto"/>
        </w:rPr>
      </w:pPr>
      <w:r>
        <w:rPr>
          <w:rFonts w:ascii="Arial" w:cs="Arial" w:eastAsia="Arial" w:hAnsi="Arial"/>
          <w:sz w:val="20"/>
          <w:szCs w:val="20"/>
          <w:color w:val="auto"/>
        </w:rPr>
        <w:t>As part of the Restructuring, Exar Capital assigned certain loan receivables from Minera Exar to it shareholders, Lithium Argentina and Ganfeng who subsequently contributed those receivables as equity Prior to capitalization, Argentine withholding tax of $5,247 was settled in cash on the notional interes component of the assigned loans. Minera Exar issued 198,588 new shares to Lithium Argentina Ganfeng, and JEMSE in proportion of 44.8%, 46.7%, and 8.5%, respectively. The total equity impact o $229,000 was recognised directly in equity, comprising $147 in share capital, $198,441 in contribute surplus, and $30,412 in other reserves, with no gain or loss recognised in profit or loss. To maintai JEMSE’s 8.5% equity interest, shares were issued to JEMSE without immediate cash consideration JEMSE has agreed to repay this amount via assignment of one-third of its future dividends to Lithium Argentina and Ganfeng.</w:t>
      </w:r>
    </w:p>
    <w:p>
      <w:pPr>
        <w:spacing w:after="0" w:line="250" w:lineRule="exact"/>
        <w:rPr>
          <w:sz w:val="20"/>
          <w:szCs w:val="20"/>
          <w:color w:val="auto"/>
        </w:rPr>
      </w:pPr>
    </w:p>
    <w:p>
      <w:pPr>
        <w:jc w:val="both"/>
        <w:ind w:left="1260"/>
        <w:spacing w:after="0" w:line="312" w:lineRule="auto"/>
        <w:rPr>
          <w:sz w:val="20"/>
          <w:szCs w:val="20"/>
          <w:color w:val="auto"/>
        </w:rPr>
      </w:pPr>
      <w:r>
        <w:rPr>
          <w:rFonts w:ascii="Arial" w:cs="Arial" w:eastAsia="Arial" w:hAnsi="Arial"/>
          <w:sz w:val="20"/>
          <w:szCs w:val="20"/>
          <w:color w:val="auto"/>
        </w:rPr>
        <w:t>The remaining loans payable to Exar Capital were restructured into ten fixed-rate bullet tranches wit maturities from 2028 to 2035 and interest rates of 8.28% to 9.11% per annum. The difference arising fro the retroactive application of revised interest rates was recognised directly in equity as a shareholde contribution, with no gain or loss recognised in profit or loss.</w:t>
      </w:r>
    </w:p>
    <w:p>
      <w:pPr>
        <w:spacing w:after="0" w:line="252"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Certain loan agreements may contain a settlement mechanism linked to the Blue-Chip Swap exchang rate, which gives rise to an embedded derivative separated from the host loan and measured at fair valu through profit or loss (Note 18). As of December 31, 2025, the carrying value of loans payable to Exa Capital is $920,687, comprising the host loan measured at amortised cost and an embedded derivativ liability of $9,348 measured at fair value through profit or loss (Note 18).</w:t>
      </w:r>
    </w:p>
    <w:p>
      <w:pPr>
        <w:spacing w:after="0" w:line="243"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Pastos Grandes S.A. projects: (14.9% owned by Ganfeng and 85.1% owned by Lithium Argentina)</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Loan agreement</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41 / 58</w:t>
      </w:r>
    </w:p>
    <w:p>
      <w:pPr>
        <w:sectPr>
          <w:pgSz w:w="11900" w:h="16838" w:orient="portrait"/>
          <w:cols w:equalWidth="0" w:num="1">
            <w:col w:w="10460"/>
          </w:cols>
          <w:pgMar w:left="1440" w:top="1440" w:right="6" w:bottom="0" w:gutter="0" w:footer="0" w:header="0"/>
          <w:type w:val="continuous"/>
        </w:sectPr>
      </w:pPr>
    </w:p>
    <w:bookmarkStart w:id="653" w:name="page654"/>
    <w:bookmarkEnd w:id="653"/>
    <w:p>
      <w:pPr>
        <w:jc w:val="both"/>
        <w:ind w:left="1260"/>
        <w:spacing w:after="0" w:line="312" w:lineRule="auto"/>
        <w:rPr>
          <w:sz w:val="20"/>
          <w:szCs w:val="20"/>
          <w:color w:val="auto"/>
        </w:rPr>
      </w:pPr>
      <w:r>
        <w:rPr>
          <w:rFonts w:ascii="Arial" w:cs="Arial" w:eastAsia="Arial" w:hAnsi="Arial"/>
          <w:sz w:val="20"/>
          <w:szCs w:val="20"/>
          <w:color w:val="auto"/>
        </w:rPr>
        <w:t>On July 19, 2024, the Company entered into a loan agreement with PGCo for a total facility of $65,000 During the year ended December 31, 2024, the Company received disbursements of $15,200 in Jul 2024 and $49,800 in August 2024, fully drawing the facility. Both principal and interest mature five year from the date of each disbursement.</w:t>
      </w:r>
    </w:p>
    <w:p>
      <w:pPr>
        <w:spacing w:after="0" w:line="252" w:lineRule="exact"/>
        <w:rPr>
          <w:sz w:val="20"/>
          <w:szCs w:val="20"/>
          <w:color w:val="auto"/>
        </w:rPr>
      </w:pPr>
    </w:p>
    <w:p>
      <w:pPr>
        <w:jc w:val="both"/>
        <w:ind w:left="1260" w:right="40"/>
        <w:spacing w:after="0" w:line="311" w:lineRule="auto"/>
        <w:rPr>
          <w:sz w:val="20"/>
          <w:szCs w:val="20"/>
          <w:color w:val="auto"/>
        </w:rPr>
      </w:pPr>
      <w:r>
        <w:rPr>
          <w:rFonts w:ascii="Arial" w:cs="Arial" w:eastAsia="Arial" w:hAnsi="Arial"/>
          <w:sz w:val="20"/>
          <w:szCs w:val="20"/>
          <w:color w:val="auto"/>
        </w:rPr>
        <w:t>The loans are denominated in USD but repayable in Argentine pesos at the exchange rate at the dat prevailing at the date of repayment. This settlement mechanism gives rise to an embedded derivativ separated from the host loan and measured at fair value through profit or loss (Note 18).</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In October 2025, the parties amended the loan agreement, revising the interest rate to 6.18%, applicabl</w:t>
      </w:r>
    </w:p>
    <w:p>
      <w:pPr>
        <w:spacing w:after="0" w:line="72" w:lineRule="exact"/>
        <w:rPr>
          <w:sz w:val="20"/>
          <w:szCs w:val="20"/>
          <w:color w:val="auto"/>
        </w:rPr>
      </w:pPr>
    </w:p>
    <w:p>
      <w:pPr>
        <w:ind w:left="1260"/>
        <w:spacing w:after="0"/>
        <w:tabs>
          <w:tab w:leader="none" w:pos="2300" w:val="left"/>
          <w:tab w:leader="none" w:pos="3560" w:val="left"/>
          <w:tab w:leader="none" w:pos="4780" w:val="left"/>
          <w:tab w:leader="none" w:pos="6040" w:val="left"/>
          <w:tab w:leader="none" w:pos="7200" w:val="left"/>
          <w:tab w:leader="none" w:pos="9060" w:val="left"/>
        </w:tabs>
        <w:rPr>
          <w:sz w:val="20"/>
          <w:szCs w:val="20"/>
          <w:color w:val="auto"/>
        </w:rPr>
      </w:pPr>
      <w:r>
        <w:rPr>
          <w:rFonts w:ascii="Arial" w:cs="Arial" w:eastAsia="Arial" w:hAnsi="Arial"/>
          <w:sz w:val="20"/>
          <w:szCs w:val="20"/>
          <w:color w:val="auto"/>
        </w:rPr>
        <w:t>for</w:t>
      </w:r>
      <w:r>
        <w:rPr>
          <w:sz w:val="20"/>
          <w:szCs w:val="20"/>
          <w:color w:val="auto"/>
        </w:rPr>
        <w:tab/>
      </w:r>
      <w:r>
        <w:rPr>
          <w:rFonts w:ascii="Arial" w:cs="Arial" w:eastAsia="Arial" w:hAnsi="Arial"/>
          <w:sz w:val="20"/>
          <w:szCs w:val="20"/>
          <w:color w:val="auto"/>
        </w:rPr>
        <w:t>fiscal</w:t>
      </w:r>
      <w:r>
        <w:rPr>
          <w:sz w:val="20"/>
          <w:szCs w:val="20"/>
          <w:color w:val="auto"/>
        </w:rPr>
        <w:tab/>
      </w:r>
      <w:r>
        <w:rPr>
          <w:rFonts w:ascii="Arial" w:cs="Arial" w:eastAsia="Arial" w:hAnsi="Arial"/>
          <w:sz w:val="20"/>
          <w:szCs w:val="20"/>
          <w:color w:val="auto"/>
        </w:rPr>
        <w:t>year</w:t>
      </w:r>
      <w:r>
        <w:rPr>
          <w:sz w:val="20"/>
          <w:szCs w:val="20"/>
          <w:color w:val="auto"/>
        </w:rPr>
        <w:tab/>
      </w:r>
      <w:r>
        <w:rPr>
          <w:rFonts w:ascii="Arial" w:cs="Arial" w:eastAsia="Arial" w:hAnsi="Arial"/>
          <w:sz w:val="20"/>
          <w:szCs w:val="20"/>
          <w:color w:val="auto"/>
        </w:rPr>
        <w:t>2025</w:t>
      </w:r>
      <w:r>
        <w:rPr>
          <w:sz w:val="20"/>
          <w:szCs w:val="20"/>
          <w:color w:val="auto"/>
        </w:rPr>
        <w:tab/>
      </w:r>
      <w:r>
        <w:rPr>
          <w:rFonts w:ascii="Arial" w:cs="Arial" w:eastAsia="Arial" w:hAnsi="Arial"/>
          <w:sz w:val="20"/>
          <w:szCs w:val="20"/>
          <w:color w:val="auto"/>
        </w:rPr>
        <w:t>and</w:t>
      </w:r>
      <w:r>
        <w:rPr>
          <w:sz w:val="20"/>
          <w:szCs w:val="20"/>
          <w:color w:val="auto"/>
        </w:rPr>
        <w:tab/>
      </w:r>
      <w:r>
        <w:rPr>
          <w:rFonts w:ascii="Arial" w:cs="Arial" w:eastAsia="Arial" w:hAnsi="Arial"/>
          <w:sz w:val="20"/>
          <w:szCs w:val="20"/>
          <w:color w:val="auto"/>
        </w:rPr>
        <w:t>subsequent</w:t>
      </w:r>
      <w:r>
        <w:rPr>
          <w:sz w:val="20"/>
          <w:szCs w:val="20"/>
          <w:color w:val="auto"/>
        </w:rPr>
        <w:tab/>
      </w:r>
      <w:r>
        <w:rPr>
          <w:rFonts w:ascii="Arial" w:cs="Arial" w:eastAsia="Arial" w:hAnsi="Arial"/>
          <w:sz w:val="20"/>
          <w:szCs w:val="20"/>
          <w:color w:val="auto"/>
        </w:rPr>
        <w:t>periods.</w:t>
      </w:r>
    </w:p>
    <w:p>
      <w:pPr>
        <w:spacing w:after="0" w:line="79" w:lineRule="exact"/>
        <w:rPr>
          <w:sz w:val="20"/>
          <w:szCs w:val="20"/>
          <w:color w:val="auto"/>
        </w:rPr>
      </w:pPr>
    </w:p>
    <w:p>
      <w:pPr>
        <w:jc w:val="both"/>
        <w:ind w:left="1260"/>
        <w:spacing w:after="0" w:line="312" w:lineRule="auto"/>
        <w:rPr>
          <w:sz w:val="20"/>
          <w:szCs w:val="20"/>
          <w:color w:val="auto"/>
        </w:rPr>
      </w:pPr>
      <w:r>
        <w:rPr>
          <w:rFonts w:ascii="Arial" w:cs="Arial" w:eastAsia="Arial" w:hAnsi="Arial"/>
          <w:sz w:val="20"/>
          <w:szCs w:val="20"/>
          <w:color w:val="auto"/>
        </w:rPr>
        <w:t>The amendment was accounted for as extinguishment of the existing loan with a carrying amount o $72,445 and the recognition of a new loan at the revised terms at its fair value of $70,735. As the transaction was between entities under common control, the resulting gain of $1,710 was recognise directly in equity, with no impact on profit or loss.</w:t>
      </w:r>
    </w:p>
    <w:p>
      <w:pPr>
        <w:spacing w:after="0" w:line="137"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7">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42 / 58</w:t>
      </w:r>
    </w:p>
    <w:p>
      <w:pPr>
        <w:sectPr>
          <w:pgSz w:w="11900" w:h="16838" w:orient="portrait"/>
          <w:cols w:equalWidth="0" w:num="1">
            <w:col w:w="10460"/>
          </w:cols>
          <w:pgMar w:left="1440" w:top="1172" w:right="6" w:bottom="0" w:gutter="0" w:footer="0" w:header="0"/>
          <w:type w:val="continuous"/>
        </w:sectPr>
      </w:pPr>
    </w:p>
    <w:bookmarkStart w:id="654" w:name="page655"/>
    <w:bookmarkEnd w:id="654"/>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17. RELATED PARTIES </w:t>
      </w:r>
      <w:r>
        <w:rPr>
          <w:rFonts w:ascii="Arial" w:cs="Arial" w:eastAsia="Arial" w:hAnsi="Arial"/>
          <w:sz w:val="20"/>
          <w:szCs w:val="20"/>
          <w:i w:val="1"/>
          <w:iCs w:val="1"/>
          <w:color w:val="auto"/>
        </w:rPr>
        <w:t>(continued)</w:t>
      </w:r>
    </w:p>
    <w:p>
      <w:pPr>
        <w:spacing w:after="0" w:line="319" w:lineRule="exact"/>
        <w:rPr>
          <w:sz w:val="20"/>
          <w:szCs w:val="20"/>
          <w:color w:val="auto"/>
        </w:rPr>
      </w:pPr>
    </w:p>
    <w:p>
      <w:pPr>
        <w:jc w:val="both"/>
        <w:ind w:left="1260"/>
        <w:spacing w:after="0" w:line="311" w:lineRule="auto"/>
        <w:rPr>
          <w:sz w:val="20"/>
          <w:szCs w:val="20"/>
          <w:color w:val="auto"/>
        </w:rPr>
      </w:pPr>
      <w:r>
        <w:rPr>
          <w:rFonts w:ascii="Arial" w:cs="Arial" w:eastAsia="Arial" w:hAnsi="Arial"/>
          <w:sz w:val="20"/>
          <w:szCs w:val="20"/>
          <w:color w:val="auto"/>
        </w:rPr>
        <w:t>As of December 31, 2025, the carrying value of loans payable to PGCo is $72,802, comprising the hos loan measured at amortised cost and an embedded derivative liability of $1,267 measured at fair valu through profit or loss (Note 18). The loan was fully repaid in February 2026 (Note 24).</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d) Other agreements with related parties</w:t>
      </w:r>
    </w:p>
    <w:p>
      <w:pPr>
        <w:spacing w:after="0" w:line="319" w:lineRule="exact"/>
        <w:rPr>
          <w:sz w:val="20"/>
          <w:szCs w:val="20"/>
          <w:color w:val="auto"/>
        </w:rPr>
      </w:pPr>
    </w:p>
    <w:p>
      <w:pPr>
        <w:ind w:left="1260" w:right="20"/>
        <w:spacing w:after="0" w:line="307" w:lineRule="auto"/>
        <w:rPr>
          <w:sz w:val="20"/>
          <w:szCs w:val="20"/>
          <w:color w:val="auto"/>
        </w:rPr>
      </w:pPr>
      <w:r>
        <w:rPr>
          <w:rFonts w:ascii="Arial" w:cs="Arial" w:eastAsia="Arial" w:hAnsi="Arial"/>
          <w:sz w:val="20"/>
          <w:szCs w:val="20"/>
          <w:color w:val="auto"/>
        </w:rPr>
        <w:t>Additionally, the Company has entered into the following transactions with controlled companies relate to its president, who is also a director of Lithium Argentina:</w:t>
      </w:r>
    </w:p>
    <w:p>
      <w:pPr>
        <w:spacing w:after="0" w:line="299" w:lineRule="exact"/>
        <w:rPr>
          <w:sz w:val="20"/>
          <w:szCs w:val="20"/>
          <w:color w:val="auto"/>
        </w:rPr>
      </w:pPr>
    </w:p>
    <w:p>
      <w:pPr>
        <w:jc w:val="both"/>
        <w:ind w:left="1980" w:hanging="366"/>
        <w:spacing w:after="0" w:line="372" w:lineRule="auto"/>
        <w:tabs>
          <w:tab w:leader="none" w:pos="198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Los Boros Option Agreement, entered into with Grupo Minero Los Boros on March 28, 2016, for the transfer of ownership of certain mining properties comprising a portion of the Cauchari-Olaro project to the Company (see Note 19).</w:t>
      </w:r>
    </w:p>
    <w:p>
      <w:pPr>
        <w:spacing w:after="0" w:line="250" w:lineRule="exact"/>
        <w:rPr>
          <w:rFonts w:ascii="Arial" w:cs="Arial" w:eastAsia="Arial" w:hAnsi="Arial"/>
          <w:sz w:val="20"/>
          <w:szCs w:val="20"/>
          <w:color w:val="auto"/>
        </w:rPr>
      </w:pPr>
    </w:p>
    <w:p>
      <w:pPr>
        <w:jc w:val="both"/>
        <w:ind w:left="1980" w:right="460" w:hanging="366"/>
        <w:spacing w:after="0" w:line="372" w:lineRule="auto"/>
        <w:tabs>
          <w:tab w:leader="none" w:pos="198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Construction services contract for the Cauchari-Olaroz project with Magna Construcciones S.R.L., amounting to $42 during the year ended December 31, 2025 (December 31, 2024 - $596).</w:t>
      </w:r>
    </w:p>
    <w:p>
      <w:pPr>
        <w:spacing w:after="0" w:line="250" w:lineRule="exact"/>
        <w:rPr>
          <w:rFonts w:ascii="Arial" w:cs="Arial" w:eastAsia="Arial" w:hAnsi="Arial"/>
          <w:sz w:val="20"/>
          <w:szCs w:val="20"/>
          <w:color w:val="auto"/>
        </w:rPr>
      </w:pPr>
    </w:p>
    <w:p>
      <w:pPr>
        <w:ind w:left="1980" w:hanging="366"/>
        <w:spacing w:after="0" w:line="373" w:lineRule="auto"/>
        <w:tabs>
          <w:tab w:leader="none" w:pos="198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Salt harvesting service contract with Servicios Mineros Cauchari S.A. (in which Magna holds a 49% stake), the purpose of which is to extract the salts deposited in the pools according to a harvesting program that meets operational requirements and transport them to storage points (stockpiles). As of December 31, 2025, the transaction amount is $24,122 (December 31, 2024 - $22,313)</w:t>
      </w:r>
    </w:p>
    <w:p>
      <w:pPr>
        <w:spacing w:after="0" w:line="209" w:lineRule="exact"/>
        <w:rPr>
          <w:sz w:val="20"/>
          <w:szCs w:val="20"/>
          <w:color w:val="auto"/>
        </w:rPr>
      </w:pPr>
    </w:p>
    <w:p>
      <w:pPr>
        <w:ind w:left="1260" w:right="140"/>
        <w:spacing w:after="0" w:line="307" w:lineRule="auto"/>
        <w:rPr>
          <w:sz w:val="20"/>
          <w:szCs w:val="20"/>
          <w:color w:val="auto"/>
        </w:rPr>
      </w:pPr>
      <w:r>
        <w:rPr>
          <w:rFonts w:ascii="Arial" w:cs="Arial" w:eastAsia="Arial" w:hAnsi="Arial"/>
          <w:sz w:val="20"/>
          <w:szCs w:val="20"/>
          <w:color w:val="auto"/>
        </w:rPr>
        <w:t>The Company has also entered into the following transactions with entities under common shareholder control:</w:t>
      </w:r>
    </w:p>
    <w:p>
      <w:pPr>
        <w:spacing w:after="0" w:line="299" w:lineRule="exact"/>
        <w:rPr>
          <w:sz w:val="20"/>
          <w:szCs w:val="20"/>
          <w:color w:val="auto"/>
        </w:rPr>
      </w:pPr>
    </w:p>
    <w:p>
      <w:pPr>
        <w:jc w:val="both"/>
        <w:ind w:left="1980" w:right="60" w:hanging="366"/>
        <w:spacing w:after="0" w:line="373" w:lineRule="auto"/>
        <w:tabs>
          <w:tab w:leader="none" w:pos="198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On October 8, 2025, the Company acquired promissory notes issued by Litio Minera Argentina for a total consideration of $30,000. The instruments were acquired at market value matured on December 15, 2025, and were repaid in full at maturity. There were no balances outstanding in respect of these instruments at December 31, 2025.</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43 / 58</w:t>
      </w:r>
    </w:p>
    <w:p>
      <w:pPr>
        <w:sectPr>
          <w:pgSz w:w="11900" w:h="16838" w:orient="portrait"/>
          <w:cols w:equalWidth="0" w:num="1">
            <w:col w:w="10460"/>
          </w:cols>
          <w:pgMar w:left="1440" w:top="1440" w:right="6" w:bottom="0" w:gutter="0" w:footer="0" w:header="0"/>
          <w:type w:val="continuous"/>
        </w:sectPr>
      </w:pPr>
    </w:p>
    <w:bookmarkStart w:id="655" w:name="page656"/>
    <w:bookmarkEnd w:id="655"/>
    <w:p>
      <w:pPr>
        <w:spacing w:after="0" w:line="16" w:lineRule="exact"/>
        <w:rPr>
          <w:sz w:val="20"/>
          <w:szCs w:val="20"/>
          <w:color w:val="auto"/>
        </w:rPr>
      </w:pPr>
    </w:p>
    <w:p>
      <w:pPr>
        <w:ind w:left="1980" w:right="40" w:hanging="366"/>
        <w:spacing w:after="0" w:line="374" w:lineRule="auto"/>
        <w:tabs>
          <w:tab w:leader="none" w:pos="1980" w:val="left"/>
        </w:tabs>
        <w:numPr>
          <w:ilvl w:val="1"/>
          <w:numId w:val="306"/>
        </w:numPr>
        <w:rPr>
          <w:rFonts w:ascii="Arial" w:cs="Arial" w:eastAsia="Arial" w:hAnsi="Arial"/>
          <w:sz w:val="20"/>
          <w:szCs w:val="20"/>
          <w:color w:val="auto"/>
        </w:rPr>
      </w:pPr>
      <w:r>
        <w:rPr>
          <w:rFonts w:ascii="Arial" w:cs="Arial" w:eastAsia="Arial" w:hAnsi="Arial"/>
          <w:sz w:val="20"/>
          <w:szCs w:val="20"/>
          <w:color w:val="auto"/>
        </w:rPr>
        <w:t>On September 23, 2025, the Company entered into an agreement to acquire the full rights over the mining concessions collectively referred to as the properties known as Cauchari East (Gemi Mine and Mercury Mine), located in the Province of Jujuy, from Pastos Grandes. The total purchase price amounted to $3,027 and was fully paid as of the date of these financial statements. The related asset has been recognized within Mineral Properties assets, under Exploration bucket (Note 10).</w:t>
      </w:r>
    </w:p>
    <w:p>
      <w:pPr>
        <w:spacing w:after="0" w:line="198" w:lineRule="exact"/>
        <w:rPr>
          <w:rFonts w:ascii="Arial" w:cs="Arial" w:eastAsia="Arial" w:hAnsi="Arial"/>
          <w:sz w:val="20"/>
          <w:szCs w:val="20"/>
          <w:color w:val="auto"/>
        </w:rPr>
      </w:pPr>
    </w:p>
    <w:p>
      <w:pPr>
        <w:ind w:left="1480" w:hanging="226"/>
        <w:spacing w:after="0"/>
        <w:tabs>
          <w:tab w:leader="none" w:pos="1480" w:val="left"/>
        </w:tabs>
        <w:numPr>
          <w:ilvl w:val="0"/>
          <w:numId w:val="306"/>
        </w:numPr>
        <w:rPr>
          <w:rFonts w:ascii="Arial" w:cs="Arial" w:eastAsia="Arial" w:hAnsi="Arial"/>
          <w:sz w:val="20"/>
          <w:szCs w:val="20"/>
          <w:b w:val="1"/>
          <w:bCs w:val="1"/>
          <w:color w:val="auto"/>
        </w:rPr>
      </w:pPr>
      <w:r>
        <w:rPr>
          <w:rFonts w:ascii="Arial" w:cs="Arial" w:eastAsia="Arial" w:hAnsi="Arial"/>
          <w:sz w:val="20"/>
          <w:szCs w:val="20"/>
          <w:b w:val="1"/>
          <w:bCs w:val="1"/>
          <w:color w:val="auto"/>
        </w:rPr>
        <w:t>Key management personnel compensation</w:t>
      </w:r>
    </w:p>
    <w:p>
      <w:pPr>
        <w:spacing w:after="0" w:line="319" w:lineRule="exact"/>
        <w:rPr>
          <w:sz w:val="20"/>
          <w:szCs w:val="20"/>
          <w:color w:val="auto"/>
        </w:rPr>
      </w:pPr>
    </w:p>
    <w:p>
      <w:pPr>
        <w:jc w:val="both"/>
        <w:ind w:left="1260"/>
        <w:spacing w:after="0" w:line="311" w:lineRule="auto"/>
        <w:rPr>
          <w:sz w:val="20"/>
          <w:szCs w:val="20"/>
          <w:color w:val="auto"/>
        </w:rPr>
      </w:pPr>
      <w:r>
        <w:rPr>
          <w:rFonts w:ascii="Arial" w:cs="Arial" w:eastAsia="Arial" w:hAnsi="Arial"/>
          <w:sz w:val="20"/>
          <w:szCs w:val="20"/>
          <w:color w:val="auto"/>
        </w:rPr>
        <w:t>Key management personnel comprise the senior managers of Minera Exar with authority and responsibility for planning, directing and controlling the activities of the entity. Total compensation paid t key management personnel during the year amounted to $2,057 (2024 - $1,522).</w:t>
      </w:r>
    </w:p>
    <w:p>
      <w:pPr>
        <w:spacing w:after="0" w:line="137"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8">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44 / 58</w:t>
      </w:r>
    </w:p>
    <w:p>
      <w:pPr>
        <w:sectPr>
          <w:pgSz w:w="11900" w:h="16838" w:orient="portrait"/>
          <w:cols w:equalWidth="0" w:num="1">
            <w:col w:w="10460"/>
          </w:cols>
          <w:pgMar w:left="1440" w:top="1440" w:right="6" w:bottom="0" w:gutter="0" w:footer="0" w:header="0"/>
          <w:type w:val="continuous"/>
        </w:sectPr>
      </w:pPr>
    </w:p>
    <w:bookmarkStart w:id="656" w:name="page657"/>
    <w:bookmarkEnd w:id="656"/>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18. EMBEDDED DERIVATIVE ON RELATED PARTY LOANS</w:t>
      </w:r>
    </w:p>
    <w:p>
      <w:pPr>
        <w:spacing w:after="0" w:line="319" w:lineRule="exact"/>
        <w:rPr>
          <w:sz w:val="20"/>
          <w:szCs w:val="20"/>
          <w:color w:val="auto"/>
        </w:rPr>
      </w:pPr>
    </w:p>
    <w:p>
      <w:pPr>
        <w:jc w:val="both"/>
        <w:ind w:left="1260"/>
        <w:spacing w:after="0" w:line="332" w:lineRule="auto"/>
        <w:rPr>
          <w:sz w:val="20"/>
          <w:szCs w:val="20"/>
          <w:color w:val="auto"/>
        </w:rPr>
      </w:pPr>
      <w:r>
        <w:rPr>
          <w:rFonts w:ascii="Arial" w:cs="Arial" w:eastAsia="Arial" w:hAnsi="Arial"/>
          <w:sz w:val="19"/>
          <w:szCs w:val="19"/>
          <w:color w:val="auto"/>
        </w:rPr>
        <w:t>As of December 31, 2025, Minera Exar has loans payable to Exar Capital and PGCo. (collectively, th “Related Party Loans”) denominated in US dollars. Under the terms of the loan agreements, the Compan may settle these loans in US dollars by providing Argentine Pesos at the implied market exchange rat prevailing in Argentina, commonly referred to as the BCS rate, an implied exchange rate derived from th simultaneous purchase and sale of USD-denominated Argentine securities in domestic and internationa markets. The BCS rate differs from the official exchange rate published by the Argentine Central Bank.</w:t>
      </w:r>
    </w:p>
    <w:p>
      <w:pPr>
        <w:spacing w:after="0" w:line="238"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This settlement mechanism gives rise to an embedded derivative within the loan contracts. The Relate Party Loans comprise a host loan accounted for at amortized cost and an embedded derivative, which i separated from the host and measured at fair value through profit or loss. Changes in the fair value of th embedded derivative are recognized in the statement of comprehensive loss under “Derivative gai (loss).” During the year ended December 31, 2025, the Company recognised a derivative gain of $89,94 (2024 - loss of $3,713).</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Valuation Assumptions</w:t>
      </w:r>
    </w:p>
    <w:p>
      <w:pPr>
        <w:spacing w:after="0" w:line="319" w:lineRule="exact"/>
        <w:rPr>
          <w:sz w:val="20"/>
          <w:szCs w:val="20"/>
          <w:color w:val="auto"/>
        </w:rPr>
      </w:pPr>
    </w:p>
    <w:p>
      <w:pPr>
        <w:jc w:val="both"/>
        <w:ind w:left="1260" w:right="20"/>
        <w:spacing w:after="0" w:line="313" w:lineRule="auto"/>
        <w:rPr>
          <w:sz w:val="20"/>
          <w:szCs w:val="20"/>
          <w:color w:val="auto"/>
        </w:rPr>
      </w:pPr>
      <w:r>
        <w:rPr>
          <w:rFonts w:ascii="Arial" w:cs="Arial" w:eastAsia="Arial" w:hAnsi="Arial"/>
          <w:sz w:val="20"/>
          <w:szCs w:val="20"/>
          <w:color w:val="auto"/>
        </w:rPr>
        <w:t>The fair value of the embedded derivative is estimated by applying the spread between BCS rate and th official Argentine Central Bank exchange rate to the outstanding USD loan balance, representing th incremental settlement cost attributable to the BCS mechanism. This valuation is classified as Level 2 i the fair value hierarchy as both rates represent observable market inputs. The key assumptions used i the fair value calculation as of December 31, 2025, and 2024 are as follows:</w:t>
      </w:r>
    </w:p>
    <w:p>
      <w:pPr>
        <w:spacing w:after="0" w:line="390"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3700" w:type="dxa"/>
            <w:vAlign w:val="bottom"/>
          </w:tcPr>
          <w:p>
            <w:pPr>
              <w:jc w:val="right"/>
              <w:ind w:right="130"/>
              <w:spacing w:after="0"/>
              <w:rPr>
                <w:sz w:val="20"/>
                <w:szCs w:val="20"/>
                <w:color w:val="auto"/>
              </w:rPr>
            </w:pPr>
            <w:r>
              <w:rPr>
                <w:rFonts w:ascii="Arial" w:cs="Arial" w:eastAsia="Arial" w:hAnsi="Arial"/>
                <w:sz w:val="18"/>
                <w:szCs w:val="18"/>
                <w:b w:val="1"/>
                <w:bCs w:val="1"/>
                <w:color w:val="auto"/>
              </w:rPr>
              <w:t>As at December 31,</w:t>
            </w:r>
          </w:p>
        </w:tc>
        <w:tc>
          <w:tcPr>
            <w:tcW w:w="780" w:type="dxa"/>
            <w:vAlign w:val="bottom"/>
          </w:tcPr>
          <w:p>
            <w:pPr>
              <w:spacing w:after="0"/>
              <w:rPr>
                <w:sz w:val="18"/>
                <w:szCs w:val="18"/>
                <w:color w:val="auto"/>
              </w:rPr>
            </w:pPr>
          </w:p>
        </w:tc>
      </w:tr>
      <w:tr>
        <w:trPr>
          <w:trHeight w:val="292"/>
        </w:trPr>
        <w:tc>
          <w:tcPr>
            <w:tcW w:w="4620" w:type="dxa"/>
            <w:vAlign w:val="bottom"/>
          </w:tcPr>
          <w:p>
            <w:pPr>
              <w:spacing w:after="0"/>
              <w:rPr>
                <w:sz w:val="24"/>
                <w:szCs w:val="24"/>
                <w:color w:val="auto"/>
              </w:rPr>
            </w:pPr>
          </w:p>
        </w:tc>
        <w:tc>
          <w:tcPr>
            <w:tcW w:w="3700" w:type="dxa"/>
            <w:vAlign w:val="bottom"/>
          </w:tcPr>
          <w:p>
            <w:pPr>
              <w:jc w:val="right"/>
              <w:ind w:right="930"/>
              <w:spacing w:after="0"/>
              <w:rPr>
                <w:sz w:val="20"/>
                <w:szCs w:val="20"/>
                <w:color w:val="auto"/>
              </w:rPr>
            </w:pPr>
            <w:r>
              <w:rPr>
                <w:rFonts w:ascii="Arial" w:cs="Arial" w:eastAsia="Arial" w:hAnsi="Arial"/>
                <w:sz w:val="18"/>
                <w:szCs w:val="18"/>
                <w:b w:val="1"/>
                <w:bCs w:val="1"/>
                <w:color w:val="auto"/>
              </w:rPr>
              <w:t>2025</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r>
      <w:tr>
        <w:trPr>
          <w:trHeight w:val="292"/>
        </w:trPr>
        <w:tc>
          <w:tcPr>
            <w:tcW w:w="4620" w:type="dxa"/>
            <w:vAlign w:val="bottom"/>
          </w:tcPr>
          <w:p>
            <w:pPr>
              <w:spacing w:after="0"/>
              <w:rPr>
                <w:sz w:val="20"/>
                <w:szCs w:val="20"/>
                <w:color w:val="auto"/>
              </w:rPr>
            </w:pPr>
            <w:r>
              <w:rPr>
                <w:rFonts w:ascii="Arial" w:cs="Arial" w:eastAsia="Arial" w:hAnsi="Arial"/>
                <w:sz w:val="18"/>
                <w:szCs w:val="18"/>
                <w:color w:val="auto"/>
              </w:rPr>
              <w:t>Official exchange rate (ARS$/US$)</w:t>
            </w:r>
          </w:p>
        </w:tc>
        <w:tc>
          <w:tcPr>
            <w:tcW w:w="3700" w:type="dxa"/>
            <w:vAlign w:val="bottom"/>
          </w:tcPr>
          <w:p>
            <w:pPr>
              <w:jc w:val="right"/>
              <w:ind w:right="930"/>
              <w:spacing w:after="0"/>
              <w:rPr>
                <w:sz w:val="20"/>
                <w:szCs w:val="20"/>
                <w:color w:val="auto"/>
              </w:rPr>
            </w:pPr>
            <w:r>
              <w:rPr>
                <w:rFonts w:ascii="Arial" w:cs="Arial" w:eastAsia="Arial" w:hAnsi="Arial"/>
                <w:sz w:val="18"/>
                <w:szCs w:val="18"/>
                <w:color w:val="auto"/>
              </w:rPr>
              <w:t>1,455.0</w:t>
            </w:r>
          </w:p>
        </w:tc>
        <w:tc>
          <w:tcPr>
            <w:tcW w:w="780" w:type="dxa"/>
            <w:vAlign w:val="bottom"/>
          </w:tcPr>
          <w:p>
            <w:pPr>
              <w:jc w:val="right"/>
              <w:spacing w:after="0"/>
              <w:rPr>
                <w:sz w:val="20"/>
                <w:szCs w:val="20"/>
                <w:color w:val="auto"/>
              </w:rPr>
            </w:pPr>
            <w:r>
              <w:rPr>
                <w:rFonts w:ascii="Arial" w:cs="Arial" w:eastAsia="Arial" w:hAnsi="Arial"/>
                <w:sz w:val="18"/>
                <w:szCs w:val="18"/>
                <w:color w:val="auto"/>
              </w:rPr>
              <w:t>1,032.0</w:t>
            </w:r>
          </w:p>
        </w:tc>
      </w:tr>
      <w:tr>
        <w:trPr>
          <w:trHeight w:val="272"/>
        </w:trPr>
        <w:tc>
          <w:tcPr>
            <w:tcW w:w="4620" w:type="dxa"/>
            <w:vAlign w:val="bottom"/>
          </w:tcPr>
          <w:p>
            <w:pPr>
              <w:spacing w:after="0"/>
              <w:rPr>
                <w:sz w:val="20"/>
                <w:szCs w:val="20"/>
                <w:color w:val="auto"/>
              </w:rPr>
            </w:pPr>
            <w:r>
              <w:rPr>
                <w:rFonts w:ascii="Arial" w:cs="Arial" w:eastAsia="Arial" w:hAnsi="Arial"/>
                <w:sz w:val="18"/>
                <w:szCs w:val="18"/>
                <w:color w:val="auto"/>
              </w:rPr>
              <w:t>BCS exchange rate (ARS$/US$)</w:t>
            </w:r>
          </w:p>
        </w:tc>
        <w:tc>
          <w:tcPr>
            <w:tcW w:w="3700" w:type="dxa"/>
            <w:vAlign w:val="bottom"/>
          </w:tcPr>
          <w:p>
            <w:pPr>
              <w:jc w:val="right"/>
              <w:ind w:right="930"/>
              <w:spacing w:after="0"/>
              <w:rPr>
                <w:sz w:val="20"/>
                <w:szCs w:val="20"/>
                <w:color w:val="auto"/>
              </w:rPr>
            </w:pPr>
            <w:r>
              <w:rPr>
                <w:rFonts w:ascii="Arial" w:cs="Arial" w:eastAsia="Arial" w:hAnsi="Arial"/>
                <w:sz w:val="18"/>
                <w:szCs w:val="18"/>
                <w:color w:val="auto"/>
              </w:rPr>
              <w:t>1,480.7</w:t>
            </w:r>
          </w:p>
        </w:tc>
        <w:tc>
          <w:tcPr>
            <w:tcW w:w="780" w:type="dxa"/>
            <w:vAlign w:val="bottom"/>
          </w:tcPr>
          <w:p>
            <w:pPr>
              <w:jc w:val="right"/>
              <w:spacing w:after="0"/>
              <w:rPr>
                <w:sz w:val="20"/>
                <w:szCs w:val="20"/>
                <w:color w:val="auto"/>
              </w:rPr>
            </w:pPr>
            <w:r>
              <w:rPr>
                <w:rFonts w:ascii="Arial" w:cs="Arial" w:eastAsia="Arial" w:hAnsi="Arial"/>
                <w:sz w:val="18"/>
                <w:szCs w:val="18"/>
                <w:color w:val="auto"/>
              </w:rPr>
              <w:t>1,170.4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-519430</wp:posOffset>
            </wp:positionV>
            <wp:extent cx="2428240" cy="1270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9">
                      <a:extLst>
                        <a:ext uri="{28A0092B-C50C-407E-A947-70E740481C1C}"/>
                      </a:extLst>
                    </a:blip>
                    <a:srcRect/>
                    <a:stretch>
                      <a:fillRect/>
                    </a:stretch>
                  </pic:blipFill>
                  <pic:spPr bwMode="auto">
                    <a:xfrm>
                      <a:off x="0" y="0"/>
                      <a:ext cx="2428240"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-334010</wp:posOffset>
            </wp:positionV>
            <wp:extent cx="5849620" cy="1270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10">
                      <a:extLst>
                        <a:ext uri="{28A0092B-C50C-407E-A947-70E740481C1C}"/>
                      </a:extLst>
                    </a:blip>
                    <a:srcRect/>
                    <a:stretch>
                      <a:fillRect/>
                    </a:stretch>
                  </pic:blipFill>
                  <pic:spPr bwMode="auto">
                    <a:xfrm>
                      <a:off x="0" y="0"/>
                      <a:ext cx="5849620" cy="127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Breakdown of Related Party Loans and Derivative Liabilities</w:t>
      </w:r>
    </w:p>
    <w:p>
      <w:pPr>
        <w:spacing w:after="0" w:line="200" w:lineRule="exact"/>
        <w:rPr>
          <w:sz w:val="20"/>
          <w:szCs w:val="20"/>
          <w:color w:val="auto"/>
        </w:rPr>
      </w:pPr>
    </w:p>
    <w:p>
      <w:pPr>
        <w:spacing w:after="0" w:line="201"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5000" w:type="dxa"/>
            <w:vAlign w:val="bottom"/>
          </w:tcPr>
          <w:p>
            <w:pPr>
              <w:spacing w:after="0"/>
              <w:rPr>
                <w:sz w:val="18"/>
                <w:szCs w:val="18"/>
                <w:color w:val="auto"/>
              </w:rPr>
            </w:pPr>
          </w:p>
        </w:tc>
        <w:tc>
          <w:tcPr>
            <w:tcW w:w="31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56"/>
        </w:trPr>
        <w:tc>
          <w:tcPr>
            <w:tcW w:w="50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5000" w:type="dxa"/>
            <w:vAlign w:val="bottom"/>
          </w:tcPr>
          <w:p>
            <w:pPr>
              <w:spacing w:after="0"/>
              <w:rPr>
                <w:sz w:val="21"/>
                <w:szCs w:val="21"/>
                <w:color w:val="auto"/>
              </w:rPr>
            </w:pPr>
          </w:p>
        </w:tc>
        <w:tc>
          <w:tcPr>
            <w:tcW w:w="1540" w:type="dxa"/>
            <w:vAlign w:val="bottom"/>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69"/>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1540" w:type="dxa"/>
            <w:vAlign w:val="bottom"/>
            <w:shd w:val="clear" w:color="auto" w:fill="DAE9F8"/>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5000" w:type="dxa"/>
            <w:vAlign w:val="bottom"/>
            <w:vMerge w:val="continue"/>
          </w:tcPr>
          <w:p>
            <w:pPr>
              <w:spacing w:after="0"/>
              <w:rPr>
                <w:sz w:val="22"/>
                <w:szCs w:val="22"/>
                <w:color w:val="auto"/>
              </w:rPr>
            </w:pPr>
          </w:p>
        </w:tc>
        <w:tc>
          <w:tcPr>
            <w:tcW w:w="1540" w:type="dxa"/>
            <w:vAlign w:val="bottom"/>
            <w:shd w:val="clear" w:color="auto" w:fill="DAE9F8"/>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5000" w:type="dxa"/>
            <w:vAlign w:val="bottom"/>
          </w:tcPr>
          <w:p>
            <w:pPr>
              <w:spacing w:after="0"/>
              <w:rPr>
                <w:sz w:val="20"/>
                <w:szCs w:val="20"/>
                <w:color w:val="auto"/>
              </w:rPr>
            </w:pPr>
            <w:r>
              <w:rPr>
                <w:rFonts w:ascii="Arial" w:cs="Arial" w:eastAsia="Arial" w:hAnsi="Arial"/>
                <w:sz w:val="18"/>
                <w:szCs w:val="18"/>
                <w:color w:val="auto"/>
              </w:rPr>
              <w:t>Loans from Exar Capital (host loan)</w:t>
            </w:r>
          </w:p>
        </w:tc>
        <w:tc>
          <w:tcPr>
            <w:tcW w:w="154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(584,474)</w:t>
            </w:r>
          </w:p>
        </w:tc>
        <w:tc>
          <w:tcPr>
            <w:tcW w:w="0" w:type="dxa"/>
            <w:vAlign w:val="bottom"/>
          </w:tcPr>
          <w:p>
            <w:pPr>
              <w:spacing w:after="0"/>
              <w:rPr>
                <w:sz w:val="1"/>
                <w:szCs w:val="1"/>
                <w:color w:val="auto"/>
              </w:rPr>
            </w:pPr>
          </w:p>
        </w:tc>
      </w:tr>
      <w:tr>
        <w:trPr>
          <w:trHeight w:val="277"/>
        </w:trPr>
        <w:tc>
          <w:tcPr>
            <w:tcW w:w="5000" w:type="dxa"/>
            <w:vAlign w:val="bottom"/>
          </w:tcPr>
          <w:p>
            <w:pPr>
              <w:spacing w:after="0"/>
              <w:rPr>
                <w:sz w:val="20"/>
                <w:szCs w:val="20"/>
                <w:color w:val="auto"/>
              </w:rPr>
            </w:pPr>
            <w:r>
              <w:rPr>
                <w:rFonts w:ascii="Arial" w:cs="Arial" w:eastAsia="Arial" w:hAnsi="Arial"/>
                <w:sz w:val="18"/>
                <w:szCs w:val="18"/>
                <w:color w:val="auto"/>
              </w:rPr>
              <w:t>Derivative liability on loans from Exar Capital</w:t>
            </w:r>
          </w:p>
        </w:tc>
        <w:tc>
          <w:tcPr>
            <w:tcW w:w="154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(53,211)</w:t>
            </w:r>
          </w:p>
        </w:tc>
        <w:tc>
          <w:tcPr>
            <w:tcW w:w="0" w:type="dxa"/>
            <w:vAlign w:val="bottom"/>
          </w:tcPr>
          <w:p>
            <w:pPr>
              <w:spacing w:after="0"/>
              <w:rPr>
                <w:sz w:val="1"/>
                <w:szCs w:val="1"/>
                <w:color w:val="auto"/>
              </w:rPr>
            </w:pPr>
          </w:p>
        </w:tc>
      </w:tr>
      <w:tr>
        <w:trPr>
          <w:trHeight w:val="41"/>
        </w:trPr>
        <w:tc>
          <w:tcPr>
            <w:tcW w:w="5000" w:type="dxa"/>
            <w:vAlign w:val="bottom"/>
          </w:tcPr>
          <w:p>
            <w:pPr>
              <w:spacing w:after="0"/>
              <w:rPr>
                <w:sz w:val="3"/>
                <w:szCs w:val="3"/>
                <w:color w:val="auto"/>
              </w:rPr>
            </w:pPr>
          </w:p>
        </w:tc>
        <w:tc>
          <w:tcPr>
            <w:tcW w:w="1540" w:type="dxa"/>
            <w:vAlign w:val="bottom"/>
            <w:shd w:val="clear" w:color="auto" w:fill="DAE9F8"/>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5000" w:type="dxa"/>
            <w:vAlign w:val="bottom"/>
          </w:tcPr>
          <w:p>
            <w:pPr>
              <w:spacing w:after="0"/>
              <w:rPr>
                <w:sz w:val="20"/>
                <w:szCs w:val="20"/>
                <w:color w:val="auto"/>
              </w:rPr>
            </w:pPr>
            <w:r>
              <w:rPr>
                <w:rFonts w:ascii="Arial" w:cs="Arial" w:eastAsia="Arial" w:hAnsi="Arial"/>
                <w:sz w:val="18"/>
                <w:szCs w:val="18"/>
                <w:b w:val="1"/>
                <w:bCs w:val="1"/>
                <w:color w:val="auto"/>
              </w:rPr>
              <w:t>Total current related party loans (Note 18)</w:t>
            </w:r>
          </w:p>
        </w:tc>
        <w:tc>
          <w:tcPr>
            <w:tcW w:w="154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(637,685)</w:t>
            </w:r>
          </w:p>
        </w:tc>
        <w:tc>
          <w:tcPr>
            <w:tcW w:w="0" w:type="dxa"/>
            <w:vAlign w:val="bottom"/>
          </w:tcPr>
          <w:p>
            <w:pPr>
              <w:spacing w:after="0"/>
              <w:rPr>
                <w:sz w:val="1"/>
                <w:szCs w:val="1"/>
                <w:color w:val="auto"/>
              </w:rPr>
            </w:pPr>
          </w:p>
        </w:tc>
      </w:tr>
      <w:tr>
        <w:trPr>
          <w:trHeight w:val="46"/>
        </w:trPr>
        <w:tc>
          <w:tcPr>
            <w:tcW w:w="5000" w:type="dxa"/>
            <w:vAlign w:val="bottom"/>
          </w:tcPr>
          <w:p>
            <w:pPr>
              <w:spacing w:after="0"/>
              <w:rPr>
                <w:sz w:val="4"/>
                <w:szCs w:val="4"/>
                <w:color w:val="auto"/>
              </w:rPr>
            </w:pPr>
          </w:p>
        </w:tc>
        <w:tc>
          <w:tcPr>
            <w:tcW w:w="1540" w:type="dxa"/>
            <w:vAlign w:val="bottom"/>
            <w:shd w:val="clear" w:color="auto" w:fill="DAE9F8"/>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-951230</wp:posOffset>
            </wp:positionV>
            <wp:extent cx="2052320" cy="1270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11">
                      <a:extLst>
                        <a:ext uri="{28A0092B-C50C-407E-A947-70E740481C1C}"/>
                      </a:extLst>
                    </a:blip>
                    <a:srcRect/>
                    <a:stretch>
                      <a:fillRect/>
                    </a:stretch>
                  </pic:blipFill>
                  <pic:spPr bwMode="auto">
                    <a:xfrm>
                      <a:off x="0" y="0"/>
                      <a:ext cx="2052320" cy="1270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-749935</wp:posOffset>
            </wp:positionV>
            <wp:extent cx="2052320" cy="1270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12">
                      <a:extLst>
                        <a:ext uri="{28A0092B-C50C-407E-A947-70E740481C1C}"/>
                      </a:extLst>
                    </a:blip>
                    <a:srcRect/>
                    <a:stretch>
                      <a:fillRect/>
                    </a:stretch>
                  </pic:blipFill>
                  <pic:spPr bwMode="auto">
                    <a:xfrm>
                      <a:off x="0" y="0"/>
                      <a:ext cx="2052320" cy="1270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-363220</wp:posOffset>
            </wp:positionV>
            <wp:extent cx="2052320" cy="17907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13">
                      <a:extLst>
                        <a:ext uri="{28A0092B-C50C-407E-A947-70E740481C1C}"/>
                      </a:extLst>
                    </a:blip>
                    <a:srcRect/>
                    <a:stretch>
                      <a:fillRect/>
                    </a:stretch>
                  </pic:blipFill>
                  <pic:spPr bwMode="auto">
                    <a:xfrm>
                      <a:off x="0" y="0"/>
                      <a:ext cx="2052320" cy="17907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-12065</wp:posOffset>
            </wp:positionV>
            <wp:extent cx="2052320" cy="1270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14">
                      <a:extLst>
                        <a:ext uri="{28A0092B-C50C-407E-A947-70E740481C1C}"/>
                      </a:extLst>
                    </a:blip>
                    <a:srcRect/>
                    <a:stretch>
                      <a:fillRect/>
                    </a:stretch>
                  </pic:blipFill>
                  <pic:spPr bwMode="auto">
                    <a:xfrm>
                      <a:off x="0" y="0"/>
                      <a:ext cx="2052320" cy="1270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45 / 58</w:t>
      </w:r>
    </w:p>
    <w:p>
      <w:pPr>
        <w:sectPr>
          <w:pgSz w:w="11900" w:h="16838" w:orient="portrait"/>
          <w:cols w:equalWidth="0" w:num="1">
            <w:col w:w="10460"/>
          </w:cols>
          <w:pgMar w:left="1440" w:top="1440" w:right="6" w:bottom="0" w:gutter="0" w:footer="0" w:header="0"/>
          <w:type w:val="continuous"/>
        </w:sectPr>
      </w:pPr>
    </w:p>
    <w:bookmarkStart w:id="657" w:name="page658"/>
    <w:bookmarkEnd w:id="657"/>
    <w:tbl>
      <w:tblPr>
        <w:tblLayout w:type="fixed"/>
        <w:tblInd w:w="1360" w:type="dxa"/>
        <w:tblCellMar>
          <w:top w:w="0" w:type="dxa"/>
          <w:left w:w="0" w:type="dxa"/>
          <w:bottom w:w="0" w:type="dxa"/>
          <w:right w:w="0" w:type="dxa"/>
        </w:tblCellMar>
      </w:tblPr>
      <w:tr>
        <w:trPr>
          <w:trHeight w:val="207"/>
        </w:trPr>
        <w:tc>
          <w:tcPr>
            <w:tcW w:w="500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5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6"/>
        </w:trPr>
        <w:tc>
          <w:tcPr>
            <w:tcW w:w="50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5"/>
        </w:trPr>
        <w:tc>
          <w:tcPr>
            <w:tcW w:w="5000" w:type="dxa"/>
            <w:vAlign w:val="bottom"/>
          </w:tcPr>
          <w:p>
            <w:pPr>
              <w:spacing w:after="0"/>
              <w:rPr>
                <w:sz w:val="20"/>
                <w:szCs w:val="20"/>
                <w:color w:val="auto"/>
              </w:rPr>
            </w:pPr>
            <w:r>
              <w:rPr>
                <w:rFonts w:ascii="Arial" w:cs="Arial" w:eastAsia="Arial" w:hAnsi="Arial"/>
                <w:sz w:val="18"/>
                <w:szCs w:val="18"/>
                <w:color w:val="auto"/>
              </w:rPr>
              <w:t>Loans from Exar Capital (host loan)</w:t>
            </w:r>
          </w:p>
        </w:tc>
        <w:tc>
          <w:tcPr>
            <w:tcW w:w="154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(911,339)</w:t>
            </w:r>
          </w:p>
        </w:tc>
        <w:tc>
          <w:tcPr>
            <w:tcW w:w="1580" w:type="dxa"/>
            <w:vAlign w:val="bottom"/>
          </w:tcPr>
          <w:p>
            <w:pPr>
              <w:jc w:val="right"/>
              <w:spacing w:after="0"/>
              <w:rPr>
                <w:sz w:val="20"/>
                <w:szCs w:val="20"/>
                <w:color w:val="auto"/>
              </w:rPr>
            </w:pPr>
            <w:r>
              <w:rPr>
                <w:rFonts w:ascii="Arial" w:cs="Arial" w:eastAsia="Arial" w:hAnsi="Arial"/>
                <w:sz w:val="18"/>
                <w:szCs w:val="18"/>
                <w:color w:val="auto"/>
              </w:rPr>
              <w:t>(455,820)</w:t>
            </w:r>
          </w:p>
        </w:tc>
      </w:tr>
      <w:tr>
        <w:trPr>
          <w:trHeight w:val="277"/>
        </w:trPr>
        <w:tc>
          <w:tcPr>
            <w:tcW w:w="5000" w:type="dxa"/>
            <w:vAlign w:val="bottom"/>
          </w:tcPr>
          <w:p>
            <w:pPr>
              <w:spacing w:after="0"/>
              <w:rPr>
                <w:sz w:val="20"/>
                <w:szCs w:val="20"/>
                <w:color w:val="auto"/>
              </w:rPr>
            </w:pPr>
            <w:r>
              <w:rPr>
                <w:rFonts w:ascii="Arial" w:cs="Arial" w:eastAsia="Arial" w:hAnsi="Arial"/>
                <w:sz w:val="18"/>
                <w:szCs w:val="18"/>
                <w:color w:val="auto"/>
              </w:rPr>
              <w:t>Derivative liability on loans from Exar Capital</w:t>
            </w:r>
          </w:p>
        </w:tc>
        <w:tc>
          <w:tcPr>
            <w:tcW w:w="154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(9,348)</w:t>
            </w:r>
          </w:p>
        </w:tc>
        <w:tc>
          <w:tcPr>
            <w:tcW w:w="1580" w:type="dxa"/>
            <w:vAlign w:val="bottom"/>
          </w:tcPr>
          <w:p>
            <w:pPr>
              <w:jc w:val="right"/>
              <w:spacing w:after="0"/>
              <w:rPr>
                <w:sz w:val="20"/>
                <w:szCs w:val="20"/>
                <w:color w:val="auto"/>
              </w:rPr>
            </w:pPr>
            <w:r>
              <w:rPr>
                <w:rFonts w:ascii="Arial" w:cs="Arial" w:eastAsia="Arial" w:hAnsi="Arial"/>
                <w:sz w:val="18"/>
                <w:szCs w:val="18"/>
                <w:color w:val="auto"/>
              </w:rPr>
              <w:t>(38,319)</w:t>
            </w:r>
          </w:p>
        </w:tc>
      </w:tr>
      <w:tr>
        <w:trPr>
          <w:trHeight w:val="293"/>
        </w:trPr>
        <w:tc>
          <w:tcPr>
            <w:tcW w:w="5000" w:type="dxa"/>
            <w:vAlign w:val="bottom"/>
          </w:tcPr>
          <w:p>
            <w:pPr>
              <w:spacing w:after="0"/>
              <w:rPr>
                <w:sz w:val="24"/>
                <w:szCs w:val="24"/>
                <w:color w:val="auto"/>
              </w:rPr>
            </w:pPr>
          </w:p>
        </w:tc>
        <w:tc>
          <w:tcPr>
            <w:tcW w:w="1540" w:type="dxa"/>
            <w:vAlign w:val="bottom"/>
            <w:tcBorders>
              <w:bottom w:val="single" w:sz="8" w:color="DAE9F8"/>
            </w:tcBorders>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(920,687)</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(494,139)</w:t>
            </w:r>
          </w:p>
        </w:tc>
      </w:tr>
      <w:tr>
        <w:trPr>
          <w:trHeight w:val="272"/>
        </w:trPr>
        <w:tc>
          <w:tcPr>
            <w:tcW w:w="50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35"/>
        </w:trPr>
        <w:tc>
          <w:tcPr>
            <w:tcW w:w="5000" w:type="dxa"/>
            <w:vAlign w:val="bottom"/>
          </w:tcPr>
          <w:p>
            <w:pPr>
              <w:spacing w:after="0"/>
              <w:rPr>
                <w:sz w:val="20"/>
                <w:szCs w:val="20"/>
                <w:color w:val="auto"/>
              </w:rPr>
            </w:pPr>
            <w:r>
              <w:rPr>
                <w:rFonts w:ascii="Arial" w:cs="Arial" w:eastAsia="Arial" w:hAnsi="Arial"/>
                <w:sz w:val="18"/>
                <w:szCs w:val="18"/>
                <w:color w:val="auto"/>
              </w:rPr>
              <w:t>Loans from PGCo (host loan)</w:t>
            </w:r>
          </w:p>
        </w:tc>
        <w:tc>
          <w:tcPr>
            <w:tcW w:w="154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(71,535)</w:t>
            </w:r>
          </w:p>
        </w:tc>
        <w:tc>
          <w:tcPr>
            <w:tcW w:w="1580" w:type="dxa"/>
            <w:vAlign w:val="bottom"/>
          </w:tcPr>
          <w:p>
            <w:pPr>
              <w:jc w:val="right"/>
              <w:spacing w:after="0"/>
              <w:rPr>
                <w:sz w:val="20"/>
                <w:szCs w:val="20"/>
                <w:color w:val="auto"/>
              </w:rPr>
            </w:pPr>
            <w:r>
              <w:rPr>
                <w:rFonts w:ascii="Arial" w:cs="Arial" w:eastAsia="Arial" w:hAnsi="Arial"/>
                <w:sz w:val="18"/>
                <w:szCs w:val="18"/>
                <w:color w:val="auto"/>
              </w:rPr>
              <w:t>(67,354)</w:t>
            </w:r>
          </w:p>
        </w:tc>
      </w:tr>
      <w:tr>
        <w:trPr>
          <w:trHeight w:val="277"/>
        </w:trPr>
        <w:tc>
          <w:tcPr>
            <w:tcW w:w="5000" w:type="dxa"/>
            <w:vAlign w:val="bottom"/>
          </w:tcPr>
          <w:p>
            <w:pPr>
              <w:spacing w:after="0"/>
              <w:rPr>
                <w:sz w:val="20"/>
                <w:szCs w:val="20"/>
                <w:color w:val="auto"/>
              </w:rPr>
            </w:pPr>
            <w:r>
              <w:rPr>
                <w:rFonts w:ascii="Arial" w:cs="Arial" w:eastAsia="Arial" w:hAnsi="Arial"/>
                <w:sz w:val="18"/>
                <w:szCs w:val="18"/>
                <w:color w:val="auto"/>
              </w:rPr>
              <w:t>Derivative liability on loans from PGCo</w:t>
            </w:r>
          </w:p>
        </w:tc>
        <w:tc>
          <w:tcPr>
            <w:tcW w:w="154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(1,267)</w:t>
            </w:r>
          </w:p>
        </w:tc>
        <w:tc>
          <w:tcPr>
            <w:tcW w:w="1580" w:type="dxa"/>
            <w:vAlign w:val="bottom"/>
          </w:tcPr>
          <w:p>
            <w:pPr>
              <w:jc w:val="right"/>
              <w:spacing w:after="0"/>
              <w:rPr>
                <w:sz w:val="20"/>
                <w:szCs w:val="20"/>
                <w:color w:val="auto"/>
              </w:rPr>
            </w:pPr>
            <w:r>
              <w:rPr>
                <w:rFonts w:ascii="Arial" w:cs="Arial" w:eastAsia="Arial" w:hAnsi="Arial"/>
                <w:sz w:val="18"/>
                <w:szCs w:val="18"/>
                <w:color w:val="auto"/>
              </w:rPr>
              <w:t>(9,034)</w:t>
            </w:r>
          </w:p>
        </w:tc>
      </w:tr>
      <w:tr>
        <w:trPr>
          <w:trHeight w:val="313"/>
        </w:trPr>
        <w:tc>
          <w:tcPr>
            <w:tcW w:w="5000" w:type="dxa"/>
            <w:vAlign w:val="bottom"/>
          </w:tcPr>
          <w:p>
            <w:pPr>
              <w:spacing w:after="0"/>
              <w:rPr>
                <w:sz w:val="24"/>
                <w:szCs w:val="24"/>
                <w:color w:val="auto"/>
              </w:rPr>
            </w:pPr>
          </w:p>
        </w:tc>
        <w:tc>
          <w:tcPr>
            <w:tcW w:w="1540" w:type="dxa"/>
            <w:vAlign w:val="bottom"/>
            <w:tcBorders>
              <w:bottom w:val="single" w:sz="8" w:color="DAE9F8"/>
            </w:tcBorders>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(72,802)</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(76,388)</w:t>
            </w:r>
          </w:p>
        </w:tc>
      </w:tr>
      <w:tr>
        <w:trPr>
          <w:trHeight w:val="282"/>
        </w:trPr>
        <w:tc>
          <w:tcPr>
            <w:tcW w:w="5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45"/>
        </w:trPr>
        <w:tc>
          <w:tcPr>
            <w:tcW w:w="5000" w:type="dxa"/>
            <w:vAlign w:val="bottom"/>
          </w:tcPr>
          <w:p>
            <w:pPr>
              <w:spacing w:after="0"/>
              <w:rPr>
                <w:sz w:val="20"/>
                <w:szCs w:val="20"/>
                <w:color w:val="auto"/>
              </w:rPr>
            </w:pPr>
            <w:r>
              <w:rPr>
                <w:rFonts w:ascii="Arial" w:cs="Arial" w:eastAsia="Arial" w:hAnsi="Arial"/>
                <w:sz w:val="18"/>
                <w:szCs w:val="18"/>
                <w:b w:val="1"/>
                <w:bCs w:val="1"/>
                <w:color w:val="auto"/>
              </w:rPr>
              <w:t>Total non-current related party loans (Note 18)</w:t>
            </w:r>
          </w:p>
        </w:tc>
        <w:tc>
          <w:tcPr>
            <w:tcW w:w="1540" w:type="dxa"/>
            <w:vAlign w:val="bottom"/>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(993,489)</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(570,527)</w:t>
            </w:r>
          </w:p>
        </w:tc>
      </w:tr>
      <w:tr>
        <w:trPr>
          <w:trHeight w:val="46"/>
        </w:trPr>
        <w:tc>
          <w:tcPr>
            <w:tcW w:w="5000" w:type="dxa"/>
            <w:vAlign w:val="bottom"/>
          </w:tcPr>
          <w:p>
            <w:pPr>
              <w:spacing w:after="0"/>
              <w:rPr>
                <w:sz w:val="4"/>
                <w:szCs w:val="4"/>
                <w:color w:val="auto"/>
              </w:rPr>
            </w:pPr>
          </w:p>
        </w:tc>
        <w:tc>
          <w:tcPr>
            <w:tcW w:w="1540" w:type="dxa"/>
            <w:vAlign w:val="bottom"/>
            <w:shd w:val="clear" w:color="auto" w:fill="DAE9F8"/>
          </w:tcPr>
          <w:p>
            <w:pPr>
              <w:spacing w:after="0"/>
              <w:rPr>
                <w:sz w:val="4"/>
                <w:szCs w:val="4"/>
                <w:color w:val="auto"/>
              </w:rPr>
            </w:pPr>
          </w:p>
        </w:tc>
        <w:tc>
          <w:tcPr>
            <w:tcW w:w="158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-1251585</wp:posOffset>
            </wp:positionV>
            <wp:extent cx="2052320" cy="635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15">
                      <a:extLst>
                        <a:ext uri="{28A0092B-C50C-407E-A947-70E740481C1C}"/>
                      </a:extLst>
                    </a:blip>
                    <a:srcRect/>
                    <a:stretch>
                      <a:fillRect/>
                    </a:stretch>
                  </pic:blipFill>
                  <pic:spPr bwMode="auto">
                    <a:xfrm>
                      <a:off x="0" y="0"/>
                      <a:ext cx="2052320" cy="635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-554990</wp:posOffset>
            </wp:positionV>
            <wp:extent cx="2052320" cy="635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16">
                      <a:extLst>
                        <a:ext uri="{28A0092B-C50C-407E-A947-70E740481C1C}"/>
                      </a:extLst>
                    </a:blip>
                    <a:srcRect/>
                    <a:stretch>
                      <a:fillRect/>
                    </a:stretch>
                  </pic:blipFill>
                  <pic:spPr bwMode="auto">
                    <a:xfrm>
                      <a:off x="0" y="0"/>
                      <a:ext cx="2052320" cy="635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-375920</wp:posOffset>
            </wp:positionV>
            <wp:extent cx="2052320" cy="1270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7">
                      <a:extLst>
                        <a:ext uri="{28A0092B-C50C-407E-A947-70E740481C1C}"/>
                      </a:extLst>
                    </a:blip>
                    <a:srcRect/>
                    <a:stretch>
                      <a:fillRect/>
                    </a:stretch>
                  </pic:blipFill>
                  <pic:spPr bwMode="auto">
                    <a:xfrm>
                      <a:off x="0" y="0"/>
                      <a:ext cx="2052320" cy="1270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-191135</wp:posOffset>
            </wp:positionV>
            <wp:extent cx="2052320" cy="635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8">
                      <a:extLst>
                        <a:ext uri="{28A0092B-C50C-407E-A947-70E740481C1C}"/>
                      </a:extLst>
                    </a:blip>
                    <a:srcRect/>
                    <a:stretch>
                      <a:fillRect/>
                    </a:stretch>
                  </pic:blipFill>
                  <pic:spPr bwMode="auto">
                    <a:xfrm>
                      <a:off x="0" y="0"/>
                      <a:ext cx="2052320" cy="635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-12065</wp:posOffset>
            </wp:positionV>
            <wp:extent cx="2052320" cy="1270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9">
                      <a:extLst>
                        <a:ext uri="{28A0092B-C50C-407E-A947-70E740481C1C}"/>
                      </a:extLst>
                    </a:blip>
                    <a:srcRect/>
                    <a:stretch>
                      <a:fillRect/>
                    </a:stretch>
                  </pic:blipFill>
                  <pic:spPr bwMode="auto">
                    <a:xfrm>
                      <a:off x="0" y="0"/>
                      <a:ext cx="2052320" cy="1270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2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9480"/>
          </w:cols>
          <w:pgMar w:left="1440" w:top="1162" w:right="9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46 / 58</w:t>
      </w:r>
    </w:p>
    <w:p>
      <w:pPr>
        <w:sectPr>
          <w:pgSz w:w="11900" w:h="16838" w:orient="portrait"/>
          <w:cols w:equalWidth="0" w:num="1">
            <w:col w:w="9480"/>
          </w:cols>
          <w:pgMar w:left="1440" w:top="1162" w:right="986" w:bottom="0" w:gutter="0" w:footer="0" w:header="0"/>
          <w:type w:val="continuous"/>
        </w:sectPr>
      </w:pPr>
    </w:p>
    <w:bookmarkStart w:id="658" w:name="page659"/>
    <w:bookmarkEnd w:id="658"/>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18. EMBEDDED DERIVATIVE ON RELATED PARTY LOANS </w:t>
      </w:r>
      <w:r>
        <w:rPr>
          <w:rFonts w:ascii="Arial" w:cs="Arial" w:eastAsia="Arial" w:hAnsi="Arial"/>
          <w:sz w:val="20"/>
          <w:szCs w:val="20"/>
          <w:i w:val="1"/>
          <w:iCs w:val="1"/>
          <w:color w:val="auto"/>
        </w:rPr>
        <w:t>(continued)</w:t>
      </w:r>
    </w:p>
    <w:p>
      <w:pPr>
        <w:spacing w:after="0" w:line="319" w:lineRule="exact"/>
        <w:rPr>
          <w:sz w:val="20"/>
          <w:szCs w:val="20"/>
          <w:color w:val="auto"/>
        </w:rPr>
      </w:pPr>
    </w:p>
    <w:p>
      <w:pPr>
        <w:ind w:left="1260"/>
        <w:spacing w:after="0" w:line="307" w:lineRule="auto"/>
        <w:rPr>
          <w:sz w:val="20"/>
          <w:szCs w:val="20"/>
          <w:color w:val="auto"/>
        </w:rPr>
      </w:pPr>
      <w:r>
        <w:rPr>
          <w:rFonts w:ascii="Arial" w:cs="Arial" w:eastAsia="Arial" w:hAnsi="Arial"/>
          <w:sz w:val="20"/>
          <w:szCs w:val="20"/>
          <w:color w:val="auto"/>
        </w:rPr>
        <w:t>Following the debt restructuring on August 27, 2025, all loans payable to Exar Capital B.V. were reclassified as non-current, reflecting revised maturities extending from 2028 to 2035 (Note 17).</w:t>
      </w:r>
    </w:p>
    <w:p>
      <w:pPr>
        <w:spacing w:after="0" w:line="255" w:lineRule="exact"/>
        <w:rPr>
          <w:sz w:val="20"/>
          <w:szCs w:val="20"/>
          <w:color w:val="auto"/>
        </w:rPr>
      </w:pPr>
    </w:p>
    <w:p>
      <w:pPr>
        <w:ind w:left="1260" w:right="180" w:hanging="6"/>
        <w:spacing w:after="0" w:line="307" w:lineRule="auto"/>
        <w:tabs>
          <w:tab w:leader="none" w:pos="1594" w:val="left"/>
        </w:tabs>
        <w:numPr>
          <w:ilvl w:val="0"/>
          <w:numId w:val="307"/>
        </w:numPr>
        <w:rPr>
          <w:rFonts w:ascii="Arial" w:cs="Arial" w:eastAsia="Arial" w:hAnsi="Arial"/>
          <w:sz w:val="20"/>
          <w:szCs w:val="20"/>
          <w:b w:val="1"/>
          <w:bCs w:val="1"/>
          <w:color w:val="auto"/>
        </w:rPr>
      </w:pPr>
      <w:r>
        <w:rPr>
          <w:rFonts w:ascii="Arial" w:cs="Arial" w:eastAsia="Arial" w:hAnsi="Arial"/>
          <w:sz w:val="20"/>
          <w:szCs w:val="20"/>
          <w:b w:val="1"/>
          <w:bCs w:val="1"/>
          <w:color w:val="auto"/>
        </w:rPr>
        <w:t>PURCHASE OPTION AGREEMENT FOR MINING PROPERTIES OF THE LOS BOROS MINING GROUP</w:t>
      </w:r>
    </w:p>
    <w:p>
      <w:pPr>
        <w:spacing w:after="0" w:line="255" w:lineRule="exact"/>
        <w:rPr>
          <w:sz w:val="20"/>
          <w:szCs w:val="20"/>
          <w:color w:val="auto"/>
        </w:rPr>
      </w:pPr>
    </w:p>
    <w:p>
      <w:pPr>
        <w:jc w:val="both"/>
        <w:ind w:left="1260" w:right="20"/>
        <w:spacing w:after="0" w:line="311" w:lineRule="auto"/>
        <w:rPr>
          <w:sz w:val="20"/>
          <w:szCs w:val="20"/>
          <w:color w:val="auto"/>
        </w:rPr>
      </w:pPr>
      <w:r>
        <w:rPr>
          <w:rFonts w:ascii="Arial" w:cs="Arial" w:eastAsia="Arial" w:hAnsi="Arial"/>
          <w:sz w:val="20"/>
          <w:szCs w:val="20"/>
          <w:color w:val="auto"/>
        </w:rPr>
        <w:t>On September 11, 2018, Minera Exar exercised a purchase option agreement with Grupo Minero Lo Boros (“Los Boros”) for the transfer of certain mining properties forming part of the Cauchari-Olaro project.</w:t>
      </w:r>
    </w:p>
    <w:p>
      <w:pPr>
        <w:spacing w:after="0" w:line="252"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Under the terms of the agreement, the Company paid $300 upon signing and, upon exercising the option agreed to pay $12,000 in sixty quarterly instalments of $200 with the first instalment due on earlier of: (i September 11, 2021 (three years from the exercise date); or (ii) the commencement of commercia production at a minimum of 20,000 tons of lithium carbonate equivalent per year. As security for th transfer of the mining property title, Grupo Minero Los Boros granted the Company a mortgage on thes mining properties for $12,000.</w:t>
      </w:r>
    </w:p>
    <w:p>
      <w:pPr>
        <w:spacing w:after="0" w:line="252"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In addition, the Company is required to pay an annual royalty of 3% of net profits to Grupo Minero Lo Boros for 40 years, payable in Argentine pesos, annually within 10 business days after the end of eac year. The Company has the right to cancel the first 20 years of this royalty obligation for a single paymen of $7,000. No royalty expense has been recognised in respect of this obligation as the Company has no generated net profits since the commencement of commercial production.</w:t>
      </w:r>
    </w:p>
    <w:p>
      <w:pPr>
        <w:spacing w:after="0" w:line="250" w:lineRule="exact"/>
        <w:rPr>
          <w:sz w:val="20"/>
          <w:szCs w:val="20"/>
          <w:color w:val="auto"/>
        </w:rPr>
      </w:pPr>
    </w:p>
    <w:p>
      <w:pPr>
        <w:jc w:val="both"/>
        <w:ind w:left="1260"/>
        <w:spacing w:after="0" w:line="314" w:lineRule="auto"/>
        <w:rPr>
          <w:sz w:val="20"/>
          <w:szCs w:val="20"/>
          <w:color w:val="auto"/>
        </w:rPr>
      </w:pPr>
      <w:r>
        <w:rPr>
          <w:rFonts w:ascii="Arial" w:cs="Arial" w:eastAsia="Arial" w:hAnsi="Arial"/>
          <w:sz w:val="20"/>
          <w:szCs w:val="20"/>
          <w:color w:val="auto"/>
        </w:rPr>
        <w:t>As of December 31, 2025, four instalments totalling $800 have been paid. Fourteen instalments totallin $2,800 are contractually past due at December 31, 2025, deferred at the request of Grupo Minero Lo Boros; no formal amendment to the payment schedule has been executed at the reporting date. Th liability has been measured at its present value using a discount rate of 8.79% (December 31, 2024 — 13.19%) and amounts to $8,339 (December 31, 2024 — $6,900), presented in accrued liabilities o $3,566 and non-current other liabilities of $4,773. The change in discount rate resulted in a remeasurement gain of $868 recognised in financing income in profit or loss during the year ended December 31, 2025. Subsequent to December 31, 2025, the Company resumed discussions with Grup Minero Los Boros regarding the suspended payment schedule and made the fifth instalment payment o $200 in February 2026.</w:t>
      </w:r>
    </w:p>
    <w:p>
      <w:pPr>
        <w:spacing w:after="0" w:line="24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20. SUPPLEMENTAL CASH FLOW INFORMATION</w:t>
      </w:r>
    </w:p>
    <w:p>
      <w:pPr>
        <w:spacing w:after="0" w:line="200" w:lineRule="exact"/>
        <w:rPr>
          <w:sz w:val="20"/>
          <w:szCs w:val="20"/>
          <w:color w:val="auto"/>
        </w:rPr>
      </w:pPr>
    </w:p>
    <w:p>
      <w:pPr>
        <w:spacing w:after="0" w:line="259"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3244215</wp:posOffset>
            </wp:positionH>
            <wp:positionV relativeFrom="paragraph">
              <wp:posOffset>22860</wp:posOffset>
            </wp:positionV>
            <wp:extent cx="3401060" cy="1270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21">
                      <a:extLst>
                        <a:ext uri="{28A0092B-C50C-407E-A947-70E740481C1C}"/>
                      </a:extLst>
                    </a:blip>
                    <a:srcRect/>
                    <a:stretch>
                      <a:fillRect/>
                    </a:stretch>
                  </pic:blipFill>
                  <pic:spPr bwMode="auto">
                    <a:xfrm>
                      <a:off x="0" y="0"/>
                      <a:ext cx="3401060" cy="1270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47 / 58</w:t>
      </w:r>
    </w:p>
    <w:p>
      <w:pPr>
        <w:sectPr>
          <w:pgSz w:w="11900" w:h="16838" w:orient="portrait"/>
          <w:cols w:equalWidth="0" w:num="1">
            <w:col w:w="10460"/>
          </w:cols>
          <w:pgMar w:left="1440" w:top="1440" w:right="6" w:bottom="0" w:gutter="0" w:footer="0" w:header="0"/>
          <w:type w:val="continuous"/>
        </w:sectPr>
      </w:pPr>
    </w:p>
    <w:bookmarkStart w:id="659" w:name="page660"/>
    <w:bookmarkEnd w:id="659"/>
    <w:tbl>
      <w:tblPr>
        <w:tblLayout w:type="fixed"/>
        <w:tblInd w:w="1360" w:type="dxa"/>
        <w:tblCellMar>
          <w:top w:w="0" w:type="dxa"/>
          <w:left w:w="0" w:type="dxa"/>
          <w:bottom w:w="0" w:type="dxa"/>
          <w:right w:w="0" w:type="dxa"/>
        </w:tblCellMar>
      </w:tblPr>
      <w:tr>
        <w:trPr>
          <w:trHeight w:val="272"/>
        </w:trPr>
        <w:tc>
          <w:tcPr>
            <w:tcW w:w="3740" w:type="dxa"/>
            <w:vAlign w:val="bottom"/>
          </w:tcPr>
          <w:p>
            <w:pPr>
              <w:spacing w:after="0"/>
              <w:rPr>
                <w:sz w:val="23"/>
                <w:szCs w:val="23"/>
                <w:color w:val="auto"/>
              </w:rPr>
            </w:pPr>
          </w:p>
        </w:tc>
        <w:tc>
          <w:tcPr>
            <w:tcW w:w="1920" w:type="dxa"/>
            <w:vAlign w:val="bottom"/>
            <w:tcBorders>
              <w:bottom w:val="single" w:sz="8" w:color="DAE9F8"/>
            </w:tcBorders>
            <w:shd w:val="clear" w:color="auto" w:fill="DAE9F8"/>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22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30"/>
        </w:trPr>
        <w:tc>
          <w:tcPr>
            <w:tcW w:w="3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40" w:type="dxa"/>
            <w:vAlign w:val="bottom"/>
          </w:tcPr>
          <w:p>
            <w:pPr>
              <w:spacing w:after="0"/>
              <w:rPr>
                <w:sz w:val="20"/>
                <w:szCs w:val="20"/>
                <w:color w:val="auto"/>
              </w:rPr>
            </w:pPr>
            <w:r>
              <w:rPr>
                <w:rFonts w:ascii="Arial" w:cs="Arial" w:eastAsia="Arial" w:hAnsi="Arial"/>
                <w:sz w:val="18"/>
                <w:szCs w:val="18"/>
                <w:color w:val="auto"/>
              </w:rPr>
              <w:t>Accrued/ unpaid interest</w:t>
            </w:r>
          </w:p>
        </w:tc>
        <w:tc>
          <w:tcPr>
            <w:tcW w:w="192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132,770</w:t>
            </w:r>
          </w:p>
        </w:tc>
        <w:tc>
          <w:tcPr>
            <w:tcW w:w="2200" w:type="dxa"/>
            <w:vAlign w:val="bottom"/>
            <w:tcBorders>
              <w:left w:val="single" w:sz="8" w:color="DAE9F8"/>
            </w:tcBorders>
          </w:tcPr>
          <w:p>
            <w:pPr>
              <w:jc w:val="right"/>
              <w:ind w:right="430"/>
              <w:spacing w:after="0"/>
              <w:rPr>
                <w:sz w:val="20"/>
                <w:szCs w:val="20"/>
                <w:color w:val="auto"/>
              </w:rPr>
            </w:pPr>
            <w:r>
              <w:rPr>
                <w:rFonts w:ascii="Arial" w:cs="Arial" w:eastAsia="Arial" w:hAnsi="Arial"/>
                <w:sz w:val="18"/>
                <w:szCs w:val="18"/>
                <w:color w:val="auto"/>
              </w:rPr>
              <w:t>118,502</w:t>
            </w:r>
          </w:p>
        </w:tc>
        <w:tc>
          <w:tcPr>
            <w:tcW w:w="1240" w:type="dxa"/>
            <w:vAlign w:val="bottom"/>
          </w:tcPr>
          <w:p>
            <w:pPr>
              <w:jc w:val="right"/>
              <w:spacing w:after="0"/>
              <w:rPr>
                <w:sz w:val="20"/>
                <w:szCs w:val="20"/>
                <w:color w:val="auto"/>
              </w:rPr>
            </w:pPr>
            <w:r>
              <w:rPr>
                <w:rFonts w:ascii="Arial" w:cs="Arial" w:eastAsia="Arial" w:hAnsi="Arial"/>
                <w:sz w:val="18"/>
                <w:szCs w:val="18"/>
                <w:color w:val="auto"/>
              </w:rPr>
              <w:t>83,386</w:t>
            </w:r>
          </w:p>
        </w:tc>
        <w:tc>
          <w:tcPr>
            <w:tcW w:w="0" w:type="dxa"/>
            <w:vAlign w:val="bottom"/>
          </w:tcPr>
          <w:p>
            <w:pPr>
              <w:spacing w:after="0"/>
              <w:rPr>
                <w:sz w:val="1"/>
                <w:szCs w:val="1"/>
                <w:color w:val="auto"/>
              </w:rPr>
            </w:pPr>
          </w:p>
        </w:tc>
      </w:tr>
      <w:tr>
        <w:trPr>
          <w:trHeight w:val="300"/>
        </w:trPr>
        <w:tc>
          <w:tcPr>
            <w:tcW w:w="3740" w:type="dxa"/>
            <w:vAlign w:val="bottom"/>
          </w:tcPr>
          <w:p>
            <w:pPr>
              <w:spacing w:after="0"/>
              <w:rPr>
                <w:sz w:val="20"/>
                <w:szCs w:val="20"/>
                <w:color w:val="auto"/>
              </w:rPr>
            </w:pPr>
            <w:r>
              <w:rPr>
                <w:rFonts w:ascii="Arial" w:cs="Arial" w:eastAsia="Arial" w:hAnsi="Arial"/>
                <w:sz w:val="18"/>
                <w:szCs w:val="18"/>
                <w:color w:val="auto"/>
              </w:rPr>
              <w:t>Capitalized translation loss/(gain)</w:t>
            </w:r>
          </w:p>
        </w:tc>
        <w:tc>
          <w:tcPr>
            <w:tcW w:w="192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w:t>
            </w:r>
          </w:p>
        </w:tc>
        <w:tc>
          <w:tcPr>
            <w:tcW w:w="2200" w:type="dxa"/>
            <w:vAlign w:val="bottom"/>
            <w:tcBorders>
              <w:left w:val="single" w:sz="8" w:color="DAE9F8"/>
            </w:tcBorders>
          </w:tcPr>
          <w:p>
            <w:pPr>
              <w:jc w:val="right"/>
              <w:ind w:right="430"/>
              <w:spacing w:after="0"/>
              <w:rPr>
                <w:sz w:val="20"/>
                <w:szCs w:val="20"/>
                <w:color w:val="auto"/>
              </w:rPr>
            </w:pPr>
            <w:r>
              <w:rPr>
                <w:rFonts w:ascii="Arial" w:cs="Arial" w:eastAsia="Arial" w:hAnsi="Arial"/>
                <w:sz w:val="18"/>
                <w:szCs w:val="18"/>
                <w:color w:val="auto"/>
              </w:rPr>
              <w:t>76,202</w:t>
            </w:r>
          </w:p>
        </w:tc>
        <w:tc>
          <w:tcPr>
            <w:tcW w:w="1240" w:type="dxa"/>
            <w:vAlign w:val="bottom"/>
          </w:tcPr>
          <w:p>
            <w:pPr>
              <w:jc w:val="right"/>
              <w:spacing w:after="0"/>
              <w:rPr>
                <w:sz w:val="20"/>
                <w:szCs w:val="20"/>
                <w:color w:val="auto"/>
              </w:rPr>
            </w:pPr>
            <w:r>
              <w:rPr>
                <w:rFonts w:ascii="Arial" w:cs="Arial" w:eastAsia="Arial" w:hAnsi="Arial"/>
                <w:sz w:val="18"/>
                <w:szCs w:val="18"/>
                <w:color w:val="auto"/>
              </w:rPr>
              <w:t>(188,770</w:t>
            </w:r>
          </w:p>
        </w:tc>
        <w:tc>
          <w:tcPr>
            <w:tcW w:w="0" w:type="dxa"/>
            <w:vAlign w:val="bottom"/>
          </w:tcPr>
          <w:p>
            <w:pPr>
              <w:spacing w:after="0"/>
              <w:rPr>
                <w:sz w:val="1"/>
                <w:szCs w:val="1"/>
                <w:color w:val="auto"/>
              </w:rPr>
            </w:pPr>
          </w:p>
        </w:tc>
      </w:tr>
      <w:tr>
        <w:trPr>
          <w:trHeight w:val="286"/>
        </w:trPr>
        <w:tc>
          <w:tcPr>
            <w:tcW w:w="3740" w:type="dxa"/>
            <w:vAlign w:val="bottom"/>
          </w:tcPr>
          <w:p>
            <w:pPr>
              <w:spacing w:after="0"/>
              <w:rPr>
                <w:sz w:val="20"/>
                <w:szCs w:val="20"/>
                <w:color w:val="auto"/>
              </w:rPr>
            </w:pPr>
            <w:r>
              <w:rPr>
                <w:rFonts w:ascii="Arial" w:cs="Arial" w:eastAsia="Arial" w:hAnsi="Arial"/>
                <w:sz w:val="18"/>
                <w:szCs w:val="18"/>
                <w:color w:val="auto"/>
              </w:rPr>
              <w:t>Non-cash offset against other taxes</w:t>
            </w:r>
          </w:p>
        </w:tc>
        <w:tc>
          <w:tcPr>
            <w:tcW w:w="192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(9,640)</w:t>
            </w:r>
          </w:p>
        </w:tc>
        <w:tc>
          <w:tcPr>
            <w:tcW w:w="2200" w:type="dxa"/>
            <w:vAlign w:val="bottom"/>
            <w:tcBorders>
              <w:left w:val="single" w:sz="8" w:color="DAE9F8"/>
            </w:tcBorders>
          </w:tcPr>
          <w:p>
            <w:pPr>
              <w:jc w:val="right"/>
              <w:ind w:right="43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740" w:type="dxa"/>
            <w:vAlign w:val="bottom"/>
          </w:tcPr>
          <w:p>
            <w:pPr>
              <w:spacing w:after="0"/>
              <w:rPr>
                <w:sz w:val="20"/>
                <w:szCs w:val="20"/>
                <w:color w:val="auto"/>
              </w:rPr>
            </w:pPr>
            <w:r>
              <w:rPr>
                <w:rFonts w:ascii="Arial" w:cs="Arial" w:eastAsia="Arial" w:hAnsi="Arial"/>
                <w:sz w:val="18"/>
                <w:szCs w:val="18"/>
                <w:color w:val="auto"/>
              </w:rPr>
              <w:t>Additions to PP&amp;E included in trade and</w:t>
            </w:r>
          </w:p>
        </w:tc>
        <w:tc>
          <w:tcPr>
            <w:tcW w:w="1920" w:type="dxa"/>
            <w:vAlign w:val="bottom"/>
            <w:shd w:val="clear" w:color="auto" w:fill="DAE9F8"/>
          </w:tcPr>
          <w:p>
            <w:pPr>
              <w:jc w:val="right"/>
              <w:ind w:right="30"/>
              <w:spacing w:after="0"/>
              <w:rPr>
                <w:sz w:val="20"/>
                <w:szCs w:val="20"/>
                <w:color w:val="auto"/>
              </w:rPr>
            </w:pPr>
            <w:r>
              <w:rPr>
                <w:rFonts w:ascii="Arial" w:cs="Arial" w:eastAsia="Arial" w:hAnsi="Arial"/>
                <w:sz w:val="18"/>
                <w:szCs w:val="18"/>
                <w:color w:val="auto"/>
              </w:rPr>
              <w:t>2,635</w:t>
            </w:r>
          </w:p>
        </w:tc>
        <w:tc>
          <w:tcPr>
            <w:tcW w:w="2200" w:type="dxa"/>
            <w:vAlign w:val="bottom"/>
            <w:tcBorders>
              <w:left w:val="single" w:sz="8" w:color="DAE9F8"/>
            </w:tcBorders>
            <w:vMerge w:val="restart"/>
          </w:tcPr>
          <w:p>
            <w:pPr>
              <w:jc w:val="right"/>
              <w:ind w:right="43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3740" w:type="dxa"/>
            <w:vAlign w:val="bottom"/>
            <w:vMerge w:val="restart"/>
          </w:tcPr>
          <w:p>
            <w:pPr>
              <w:spacing w:after="0"/>
              <w:rPr>
                <w:sz w:val="20"/>
                <w:szCs w:val="20"/>
                <w:color w:val="auto"/>
              </w:rPr>
            </w:pPr>
            <w:r>
              <w:rPr>
                <w:rFonts w:ascii="Arial" w:cs="Arial" w:eastAsia="Arial" w:hAnsi="Arial"/>
                <w:sz w:val="18"/>
                <w:szCs w:val="18"/>
                <w:color w:val="auto"/>
              </w:rPr>
              <w:t>other payables and prepaids</w:t>
            </w:r>
          </w:p>
        </w:tc>
        <w:tc>
          <w:tcPr>
            <w:tcW w:w="1920" w:type="dxa"/>
            <w:vAlign w:val="bottom"/>
            <w:shd w:val="clear" w:color="auto" w:fill="DAE9F8"/>
          </w:tcPr>
          <w:p>
            <w:pPr>
              <w:spacing w:after="0"/>
              <w:rPr>
                <w:sz w:val="11"/>
                <w:szCs w:val="11"/>
                <w:color w:val="auto"/>
              </w:rPr>
            </w:pPr>
          </w:p>
        </w:tc>
        <w:tc>
          <w:tcPr>
            <w:tcW w:w="2200" w:type="dxa"/>
            <w:vAlign w:val="bottom"/>
            <w:tcBorders>
              <w:left w:val="single" w:sz="8" w:color="DAE9F8"/>
            </w:tcBorders>
            <w:vMerge w:val="continue"/>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740" w:type="dxa"/>
            <w:vAlign w:val="bottom"/>
            <w:vMerge w:val="continue"/>
          </w:tcPr>
          <w:p>
            <w:pPr>
              <w:spacing w:after="0"/>
              <w:rPr>
                <w:sz w:val="11"/>
                <w:szCs w:val="11"/>
                <w:color w:val="auto"/>
              </w:rPr>
            </w:pPr>
          </w:p>
        </w:tc>
        <w:tc>
          <w:tcPr>
            <w:tcW w:w="1920" w:type="dxa"/>
            <w:vAlign w:val="bottom"/>
            <w:shd w:val="clear" w:color="auto" w:fill="DAE9F8"/>
          </w:tcPr>
          <w:p>
            <w:pPr>
              <w:spacing w:after="0"/>
              <w:rPr>
                <w:sz w:val="11"/>
                <w:szCs w:val="11"/>
                <w:color w:val="auto"/>
              </w:rPr>
            </w:pPr>
          </w:p>
        </w:tc>
        <w:tc>
          <w:tcPr>
            <w:tcW w:w="2200" w:type="dxa"/>
            <w:vAlign w:val="bottom"/>
            <w:tcBorders>
              <w:left w:val="single" w:sz="8" w:color="DAE9F8"/>
            </w:tcBorders>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3740" w:type="dxa"/>
            <w:vAlign w:val="bottom"/>
          </w:tcPr>
          <w:p>
            <w:pPr>
              <w:spacing w:after="0"/>
              <w:rPr>
                <w:sz w:val="4"/>
                <w:szCs w:val="4"/>
                <w:color w:val="auto"/>
              </w:rPr>
            </w:pPr>
          </w:p>
        </w:tc>
        <w:tc>
          <w:tcPr>
            <w:tcW w:w="1920" w:type="dxa"/>
            <w:vAlign w:val="bottom"/>
            <w:shd w:val="clear" w:color="auto" w:fill="DAE9F8"/>
          </w:tcPr>
          <w:p>
            <w:pPr>
              <w:spacing w:after="0"/>
              <w:rPr>
                <w:sz w:val="4"/>
                <w:szCs w:val="4"/>
                <w:color w:val="auto"/>
              </w:rPr>
            </w:pPr>
          </w:p>
        </w:tc>
        <w:tc>
          <w:tcPr>
            <w:tcW w:w="2200" w:type="dxa"/>
            <w:vAlign w:val="bottom"/>
            <w:tcBorders>
              <w:left w:val="single" w:sz="8" w:color="DAE9F8"/>
            </w:tcBorders>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-1126490</wp:posOffset>
            </wp:positionV>
            <wp:extent cx="5849620" cy="1270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22">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-5715</wp:posOffset>
            </wp:positionV>
            <wp:extent cx="5849620" cy="635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23">
                      <a:extLst>
                        <a:ext uri="{28A0092B-C50C-407E-A947-70E740481C1C}"/>
                      </a:extLst>
                    </a:blip>
                    <a:srcRect/>
                    <a:stretch>
                      <a:fillRect/>
                    </a:stretch>
                  </pic:blipFill>
                  <pic:spPr bwMode="auto">
                    <a:xfrm>
                      <a:off x="0" y="0"/>
                      <a:ext cx="5849620" cy="63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24">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33"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48 / 58</w:t>
      </w:r>
    </w:p>
    <w:p>
      <w:pPr>
        <w:sectPr>
          <w:pgSz w:w="11900" w:h="16838" w:orient="portrait"/>
          <w:cols w:equalWidth="0" w:num="1">
            <w:col w:w="10460"/>
          </w:cols>
          <w:pgMar w:left="1440" w:top="1133" w:right="6" w:bottom="0" w:gutter="0" w:footer="0" w:header="0"/>
          <w:type w:val="continuous"/>
        </w:sectPr>
      </w:pPr>
    </w:p>
    <w:bookmarkStart w:id="660" w:name="page661"/>
    <w:bookmarkEnd w:id="660"/>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21. DEFERRED INCOME TAX</w:t>
      </w:r>
    </w:p>
    <w:p>
      <w:pPr>
        <w:spacing w:after="0" w:line="319" w:lineRule="exact"/>
        <w:rPr>
          <w:sz w:val="20"/>
          <w:szCs w:val="20"/>
          <w:color w:val="auto"/>
        </w:rPr>
      </w:pPr>
    </w:p>
    <w:p>
      <w:pPr>
        <w:jc w:val="both"/>
        <w:ind w:left="1260" w:right="40"/>
        <w:spacing w:after="0" w:line="311" w:lineRule="auto"/>
        <w:rPr>
          <w:sz w:val="20"/>
          <w:szCs w:val="20"/>
          <w:color w:val="auto"/>
        </w:rPr>
      </w:pPr>
      <w:r>
        <w:rPr>
          <w:rFonts w:ascii="Arial" w:cs="Arial" w:eastAsia="Arial" w:hAnsi="Arial"/>
          <w:sz w:val="20"/>
          <w:szCs w:val="20"/>
          <w:color w:val="auto"/>
        </w:rPr>
        <w:t>The composition of income tax and deferred tax is as follows. Below is a reconciliation between th income tax charged to results and the amount that would result from applying the current tax rate t accounting profit:</w:t>
      </w:r>
    </w:p>
    <w:p>
      <w:pPr>
        <w:spacing w:after="0" w:line="338"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As at December 31,</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4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080" w:type="dxa"/>
            <w:vAlign w:val="bottom"/>
            <w:gridSpan w:val="2"/>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4400" w:type="dxa"/>
            <w:vAlign w:val="bottom"/>
          </w:tcPr>
          <w:p>
            <w:pPr>
              <w:spacing w:after="0"/>
              <w:rPr>
                <w:sz w:val="20"/>
                <w:szCs w:val="20"/>
                <w:color w:val="auto"/>
              </w:rPr>
            </w:pPr>
          </w:p>
        </w:tc>
        <w:tc>
          <w:tcPr>
            <w:tcW w:w="1540" w:type="dxa"/>
            <w:vAlign w:val="bottom"/>
            <w:shd w:val="clear" w:color="auto" w:fill="DAE9F8"/>
          </w:tcPr>
          <w:p>
            <w:pPr>
              <w:jc w:val="right"/>
              <w:spacing w:after="0"/>
              <w:rPr>
                <w:sz w:val="20"/>
                <w:szCs w:val="20"/>
                <w:color w:val="auto"/>
              </w:rPr>
            </w:pPr>
            <w:r>
              <w:rPr>
                <w:rFonts w:ascii="Arial" w:cs="Arial" w:eastAsia="Arial" w:hAnsi="Arial"/>
                <w:sz w:val="18"/>
                <w:szCs w:val="18"/>
                <w:b w:val="1"/>
                <w:bCs w:val="1"/>
                <w:color w:val="auto"/>
              </w:rPr>
              <w:t>2025</w:t>
            </w:r>
          </w:p>
        </w:tc>
        <w:tc>
          <w:tcPr>
            <w:tcW w:w="80" w:type="dxa"/>
            <w:vAlign w:val="bottom"/>
            <w:shd w:val="clear" w:color="auto" w:fill="DAE9F8"/>
          </w:tcPr>
          <w:p>
            <w:pPr>
              <w:spacing w:after="0"/>
              <w:rPr>
                <w:sz w:val="20"/>
                <w:szCs w:val="20"/>
                <w:color w:val="auto"/>
              </w:rPr>
            </w:pPr>
          </w:p>
        </w:tc>
        <w:tc>
          <w:tcPr>
            <w:tcW w:w="2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06"/>
        </w:trPr>
        <w:tc>
          <w:tcPr>
            <w:tcW w:w="4400" w:type="dxa"/>
            <w:vAlign w:val="bottom"/>
          </w:tcPr>
          <w:p>
            <w:pPr>
              <w:spacing w:after="0"/>
              <w:rPr>
                <w:sz w:val="20"/>
                <w:szCs w:val="20"/>
                <w:color w:val="auto"/>
              </w:rPr>
            </w:pPr>
            <w:r>
              <w:rPr>
                <w:rFonts w:ascii="Arial" w:cs="Arial" w:eastAsia="Arial" w:hAnsi="Arial"/>
                <w:sz w:val="18"/>
                <w:szCs w:val="18"/>
                <w:b w:val="1"/>
                <w:bCs w:val="1"/>
                <w:color w:val="auto"/>
              </w:rPr>
              <w:t>Deferred tax assets</w:t>
            </w:r>
          </w:p>
        </w:tc>
        <w:tc>
          <w:tcPr>
            <w:tcW w:w="1540" w:type="dxa"/>
            <w:vAlign w:val="bottom"/>
            <w:shd w:val="clear" w:color="auto" w:fill="DAE9F8"/>
          </w:tcPr>
          <w:p>
            <w:pPr>
              <w:spacing w:after="0"/>
              <w:rPr>
                <w:sz w:val="24"/>
                <w:szCs w:val="24"/>
                <w:color w:val="auto"/>
              </w:rPr>
            </w:pPr>
          </w:p>
        </w:tc>
        <w:tc>
          <w:tcPr>
            <w:tcW w:w="80" w:type="dxa"/>
            <w:vAlign w:val="bottom"/>
            <w:shd w:val="clear" w:color="auto" w:fill="DAE9F8"/>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0" w:type="dxa"/>
            <w:vAlign w:val="bottom"/>
          </w:tcPr>
          <w:p>
            <w:pPr>
              <w:spacing w:after="0"/>
              <w:rPr>
                <w:sz w:val="20"/>
                <w:szCs w:val="20"/>
                <w:color w:val="auto"/>
              </w:rPr>
            </w:pPr>
            <w:r>
              <w:rPr>
                <w:rFonts w:ascii="Arial" w:cs="Arial" w:eastAsia="Arial" w:hAnsi="Arial"/>
                <w:sz w:val="18"/>
                <w:szCs w:val="18"/>
                <w:color w:val="auto"/>
              </w:rPr>
              <w:t>Accounts receivable and other receivables</w:t>
            </w:r>
          </w:p>
        </w:tc>
        <w:tc>
          <w:tcPr>
            <w:tcW w:w="154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DAE9F8"/>
          </w:tcPr>
          <w:p>
            <w:pPr>
              <w:spacing w:after="0"/>
              <w:rPr>
                <w:sz w:val="24"/>
                <w:szCs w:val="24"/>
                <w:color w:val="auto"/>
              </w:rPr>
            </w:pP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8,865</w:t>
            </w:r>
          </w:p>
        </w:tc>
        <w:tc>
          <w:tcPr>
            <w:tcW w:w="1080" w:type="dxa"/>
            <w:vAlign w:val="bottom"/>
          </w:tcPr>
          <w:p>
            <w:pPr>
              <w:jc w:val="right"/>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72"/>
        </w:trPr>
        <w:tc>
          <w:tcPr>
            <w:tcW w:w="4400" w:type="dxa"/>
            <w:vAlign w:val="bottom"/>
          </w:tcPr>
          <w:p>
            <w:pPr>
              <w:spacing w:after="0"/>
              <w:rPr>
                <w:sz w:val="20"/>
                <w:szCs w:val="20"/>
                <w:color w:val="auto"/>
              </w:rPr>
            </w:pPr>
            <w:r>
              <w:rPr>
                <w:rFonts w:ascii="Arial" w:cs="Arial" w:eastAsia="Arial" w:hAnsi="Arial"/>
                <w:sz w:val="18"/>
                <w:szCs w:val="18"/>
                <w:color w:val="auto"/>
              </w:rPr>
              <w:t>Interests and currency translation effects</w:t>
            </w:r>
          </w:p>
        </w:tc>
        <w:tc>
          <w:tcPr>
            <w:tcW w:w="1540" w:type="dxa"/>
            <w:vAlign w:val="bottom"/>
            <w:shd w:val="clear" w:color="auto" w:fill="DAE9F8"/>
          </w:tcPr>
          <w:p>
            <w:pPr>
              <w:jc w:val="right"/>
              <w:spacing w:after="0"/>
              <w:rPr>
                <w:sz w:val="20"/>
                <w:szCs w:val="20"/>
                <w:color w:val="auto"/>
              </w:rPr>
            </w:pPr>
            <w:r>
              <w:rPr>
                <w:rFonts w:ascii="Arial" w:cs="Arial" w:eastAsia="Arial" w:hAnsi="Arial"/>
                <w:sz w:val="18"/>
                <w:szCs w:val="18"/>
                <w:color w:val="auto"/>
              </w:rPr>
              <w:t>105,056</w:t>
            </w:r>
          </w:p>
        </w:tc>
        <w:tc>
          <w:tcPr>
            <w:tcW w:w="80" w:type="dxa"/>
            <w:vAlign w:val="bottom"/>
            <w:shd w:val="clear" w:color="auto" w:fill="DAE9F8"/>
          </w:tcPr>
          <w:p>
            <w:pPr>
              <w:spacing w:after="0"/>
              <w:rPr>
                <w:sz w:val="23"/>
                <w:szCs w:val="23"/>
                <w:color w:val="auto"/>
              </w:rPr>
            </w:pP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110,086</w:t>
            </w:r>
          </w:p>
        </w:tc>
        <w:tc>
          <w:tcPr>
            <w:tcW w:w="1080" w:type="dxa"/>
            <w:vAlign w:val="bottom"/>
          </w:tcPr>
          <w:p>
            <w:pPr>
              <w:jc w:val="right"/>
              <w:spacing w:after="0"/>
              <w:rPr>
                <w:sz w:val="20"/>
                <w:szCs w:val="20"/>
                <w:color w:val="auto"/>
              </w:rPr>
            </w:pPr>
            <w:r>
              <w:rPr>
                <w:rFonts w:ascii="Arial" w:cs="Arial" w:eastAsia="Arial" w:hAnsi="Arial"/>
                <w:sz w:val="18"/>
                <w:szCs w:val="18"/>
                <w:color w:val="auto"/>
              </w:rPr>
              <w:t>71,513</w:t>
            </w:r>
          </w:p>
        </w:tc>
        <w:tc>
          <w:tcPr>
            <w:tcW w:w="0" w:type="dxa"/>
            <w:vAlign w:val="bottom"/>
          </w:tcPr>
          <w:p>
            <w:pPr>
              <w:spacing w:after="0"/>
              <w:rPr>
                <w:sz w:val="1"/>
                <w:szCs w:val="1"/>
                <w:color w:val="auto"/>
              </w:rPr>
            </w:pPr>
          </w:p>
        </w:tc>
      </w:tr>
      <w:tr>
        <w:trPr>
          <w:trHeight w:val="272"/>
        </w:trPr>
        <w:tc>
          <w:tcPr>
            <w:tcW w:w="4400" w:type="dxa"/>
            <w:vAlign w:val="bottom"/>
          </w:tcPr>
          <w:p>
            <w:pPr>
              <w:spacing w:after="0"/>
              <w:rPr>
                <w:sz w:val="20"/>
                <w:szCs w:val="20"/>
                <w:color w:val="auto"/>
              </w:rPr>
            </w:pPr>
            <w:r>
              <w:rPr>
                <w:rFonts w:ascii="Arial" w:cs="Arial" w:eastAsia="Arial" w:hAnsi="Arial"/>
                <w:sz w:val="18"/>
                <w:szCs w:val="18"/>
                <w:color w:val="auto"/>
              </w:rPr>
              <w:t>Inflation effects</w:t>
            </w:r>
          </w:p>
        </w:tc>
        <w:tc>
          <w:tcPr>
            <w:tcW w:w="154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DAE9F8"/>
          </w:tcPr>
          <w:p>
            <w:pPr>
              <w:spacing w:after="0"/>
              <w:rPr>
                <w:sz w:val="23"/>
                <w:szCs w:val="23"/>
                <w:color w:val="auto"/>
              </w:rPr>
            </w:pP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81,322</w:t>
            </w:r>
          </w:p>
        </w:tc>
        <w:tc>
          <w:tcPr>
            <w:tcW w:w="0" w:type="dxa"/>
            <w:vAlign w:val="bottom"/>
          </w:tcPr>
          <w:p>
            <w:pPr>
              <w:spacing w:after="0"/>
              <w:rPr>
                <w:sz w:val="1"/>
                <w:szCs w:val="1"/>
                <w:color w:val="auto"/>
              </w:rPr>
            </w:pPr>
          </w:p>
        </w:tc>
      </w:tr>
      <w:tr>
        <w:trPr>
          <w:trHeight w:val="272"/>
        </w:trPr>
        <w:tc>
          <w:tcPr>
            <w:tcW w:w="4400" w:type="dxa"/>
            <w:vAlign w:val="bottom"/>
          </w:tcPr>
          <w:p>
            <w:pPr>
              <w:spacing w:after="0"/>
              <w:rPr>
                <w:sz w:val="20"/>
                <w:szCs w:val="20"/>
                <w:color w:val="auto"/>
              </w:rPr>
            </w:pPr>
            <w:r>
              <w:rPr>
                <w:rFonts w:ascii="Arial" w:cs="Arial" w:eastAsia="Arial" w:hAnsi="Arial"/>
                <w:sz w:val="18"/>
                <w:szCs w:val="18"/>
                <w:color w:val="auto"/>
              </w:rPr>
              <w:t>Mineral Properties</w:t>
            </w:r>
          </w:p>
        </w:tc>
        <w:tc>
          <w:tcPr>
            <w:tcW w:w="1540" w:type="dxa"/>
            <w:vAlign w:val="bottom"/>
            <w:shd w:val="clear" w:color="auto" w:fill="DAE9F8"/>
          </w:tcPr>
          <w:p>
            <w:pPr>
              <w:jc w:val="right"/>
              <w:spacing w:after="0"/>
              <w:rPr>
                <w:sz w:val="20"/>
                <w:szCs w:val="20"/>
                <w:color w:val="auto"/>
              </w:rPr>
            </w:pPr>
            <w:r>
              <w:rPr>
                <w:rFonts w:ascii="Arial" w:cs="Arial" w:eastAsia="Arial" w:hAnsi="Arial"/>
                <w:sz w:val="18"/>
                <w:szCs w:val="18"/>
                <w:color w:val="auto"/>
              </w:rPr>
              <w:t>21,995</w:t>
            </w:r>
          </w:p>
        </w:tc>
        <w:tc>
          <w:tcPr>
            <w:tcW w:w="80" w:type="dxa"/>
            <w:vAlign w:val="bottom"/>
            <w:shd w:val="clear" w:color="auto" w:fill="DAE9F8"/>
          </w:tcPr>
          <w:p>
            <w:pPr>
              <w:spacing w:after="0"/>
              <w:rPr>
                <w:sz w:val="23"/>
                <w:szCs w:val="23"/>
                <w:color w:val="auto"/>
              </w:rPr>
            </w:pP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28,548</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
        </w:trPr>
        <w:tc>
          <w:tcPr>
            <w:tcW w:w="4400" w:type="dxa"/>
            <w:vAlign w:val="bottom"/>
          </w:tcPr>
          <w:p>
            <w:pPr>
              <w:spacing w:after="0"/>
              <w:rPr>
                <w:sz w:val="3"/>
                <w:szCs w:val="3"/>
                <w:color w:val="auto"/>
              </w:rPr>
            </w:pPr>
          </w:p>
        </w:tc>
        <w:tc>
          <w:tcPr>
            <w:tcW w:w="1540" w:type="dxa"/>
            <w:vAlign w:val="bottom"/>
            <w:shd w:val="clear" w:color="auto" w:fill="DAE9F8"/>
          </w:tcPr>
          <w:p>
            <w:pPr>
              <w:spacing w:after="0"/>
              <w:rPr>
                <w:sz w:val="3"/>
                <w:szCs w:val="3"/>
                <w:color w:val="auto"/>
              </w:rPr>
            </w:pPr>
          </w:p>
        </w:tc>
        <w:tc>
          <w:tcPr>
            <w:tcW w:w="80" w:type="dxa"/>
            <w:vAlign w:val="bottom"/>
            <w:shd w:val="clear" w:color="auto" w:fill="DAE9F8"/>
          </w:tcPr>
          <w:p>
            <w:pPr>
              <w:spacing w:after="0"/>
              <w:rPr>
                <w:sz w:val="3"/>
                <w:szCs w:val="3"/>
                <w:color w:val="auto"/>
              </w:rPr>
            </w:pPr>
          </w:p>
        </w:tc>
        <w:tc>
          <w:tcPr>
            <w:tcW w:w="2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4400" w:type="dxa"/>
            <w:vAlign w:val="bottom"/>
          </w:tcPr>
          <w:p>
            <w:pPr>
              <w:spacing w:after="0"/>
              <w:rPr>
                <w:sz w:val="20"/>
                <w:szCs w:val="20"/>
                <w:color w:val="auto"/>
              </w:rPr>
            </w:pPr>
            <w:r>
              <w:rPr>
                <w:rFonts w:ascii="Arial" w:cs="Arial" w:eastAsia="Arial" w:hAnsi="Arial"/>
                <w:sz w:val="18"/>
                <w:szCs w:val="18"/>
                <w:color w:val="auto"/>
              </w:rPr>
              <w:t>Deferred tax results and losses</w:t>
            </w:r>
          </w:p>
        </w:tc>
        <w:tc>
          <w:tcPr>
            <w:tcW w:w="1540" w:type="dxa"/>
            <w:vAlign w:val="bottom"/>
            <w:shd w:val="clear" w:color="auto" w:fill="DAE9F8"/>
          </w:tcPr>
          <w:p>
            <w:pPr>
              <w:jc w:val="right"/>
              <w:spacing w:after="0"/>
              <w:rPr>
                <w:sz w:val="20"/>
                <w:szCs w:val="20"/>
                <w:color w:val="auto"/>
              </w:rPr>
            </w:pPr>
            <w:r>
              <w:rPr>
                <w:rFonts w:ascii="Arial" w:cs="Arial" w:eastAsia="Arial" w:hAnsi="Arial"/>
                <w:sz w:val="18"/>
                <w:szCs w:val="18"/>
                <w:color w:val="auto"/>
              </w:rPr>
              <w:t>12,090</w:t>
            </w:r>
          </w:p>
        </w:tc>
        <w:tc>
          <w:tcPr>
            <w:tcW w:w="80" w:type="dxa"/>
            <w:vAlign w:val="bottom"/>
            <w:shd w:val="clear" w:color="auto" w:fill="DAE9F8"/>
          </w:tcPr>
          <w:p>
            <w:pPr>
              <w:spacing w:after="0"/>
              <w:rPr>
                <w:sz w:val="20"/>
                <w:szCs w:val="20"/>
                <w:color w:val="auto"/>
              </w:rPr>
            </w:pPr>
          </w:p>
        </w:tc>
        <w:tc>
          <w:tcPr>
            <w:tcW w:w="20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
        </w:trPr>
        <w:tc>
          <w:tcPr>
            <w:tcW w:w="4400" w:type="dxa"/>
            <w:vAlign w:val="bottom"/>
          </w:tcPr>
          <w:p>
            <w:pPr>
              <w:spacing w:after="0"/>
              <w:rPr>
                <w:sz w:val="3"/>
                <w:szCs w:val="3"/>
                <w:color w:val="auto"/>
              </w:rPr>
            </w:pPr>
          </w:p>
        </w:tc>
        <w:tc>
          <w:tcPr>
            <w:tcW w:w="1540" w:type="dxa"/>
            <w:vAlign w:val="bottom"/>
            <w:shd w:val="clear" w:color="auto" w:fill="DAE9F8"/>
          </w:tcPr>
          <w:p>
            <w:pPr>
              <w:spacing w:after="0"/>
              <w:rPr>
                <w:sz w:val="3"/>
                <w:szCs w:val="3"/>
                <w:color w:val="auto"/>
              </w:rPr>
            </w:pPr>
          </w:p>
        </w:tc>
        <w:tc>
          <w:tcPr>
            <w:tcW w:w="80" w:type="dxa"/>
            <w:vAlign w:val="bottom"/>
            <w:shd w:val="clear" w:color="auto" w:fill="DAE9F8"/>
          </w:tcPr>
          <w:p>
            <w:pPr>
              <w:spacing w:after="0"/>
              <w:rPr>
                <w:sz w:val="3"/>
                <w:szCs w:val="3"/>
                <w:color w:val="auto"/>
              </w:rPr>
            </w:pPr>
          </w:p>
        </w:tc>
        <w:tc>
          <w:tcPr>
            <w:tcW w:w="2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400" w:type="dxa"/>
            <w:vAlign w:val="bottom"/>
          </w:tcPr>
          <w:p>
            <w:pPr>
              <w:spacing w:after="0"/>
              <w:rPr>
                <w:sz w:val="22"/>
                <w:szCs w:val="22"/>
                <w:color w:val="auto"/>
              </w:rPr>
            </w:pPr>
          </w:p>
        </w:tc>
        <w:tc>
          <w:tcPr>
            <w:tcW w:w="1540" w:type="dxa"/>
            <w:vAlign w:val="bottom"/>
            <w:shd w:val="clear" w:color="auto" w:fill="DAE9F8"/>
          </w:tcPr>
          <w:p>
            <w:pPr>
              <w:jc w:val="right"/>
              <w:spacing w:after="0"/>
              <w:rPr>
                <w:sz w:val="20"/>
                <w:szCs w:val="20"/>
                <w:color w:val="auto"/>
              </w:rPr>
            </w:pPr>
            <w:r>
              <w:rPr>
                <w:rFonts w:ascii="Arial" w:cs="Arial" w:eastAsia="Arial" w:hAnsi="Arial"/>
                <w:sz w:val="18"/>
                <w:szCs w:val="18"/>
                <w:color w:val="auto"/>
              </w:rPr>
              <w:t>139,141</w:t>
            </w:r>
          </w:p>
        </w:tc>
        <w:tc>
          <w:tcPr>
            <w:tcW w:w="80" w:type="dxa"/>
            <w:vAlign w:val="bottom"/>
            <w:shd w:val="clear" w:color="auto" w:fill="DAE9F8"/>
          </w:tcPr>
          <w:p>
            <w:pPr>
              <w:spacing w:after="0"/>
              <w:rPr>
                <w:sz w:val="22"/>
                <w:szCs w:val="22"/>
                <w:color w:val="auto"/>
              </w:rPr>
            </w:pP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147,499</w:t>
            </w:r>
          </w:p>
        </w:tc>
        <w:tc>
          <w:tcPr>
            <w:tcW w:w="1080" w:type="dxa"/>
            <w:vAlign w:val="bottom"/>
          </w:tcPr>
          <w:p>
            <w:pPr>
              <w:jc w:val="right"/>
              <w:spacing w:after="0"/>
              <w:rPr>
                <w:sz w:val="20"/>
                <w:szCs w:val="20"/>
                <w:color w:val="auto"/>
              </w:rPr>
            </w:pPr>
            <w:r>
              <w:rPr>
                <w:rFonts w:ascii="Arial" w:cs="Arial" w:eastAsia="Arial" w:hAnsi="Arial"/>
                <w:sz w:val="18"/>
                <w:szCs w:val="18"/>
                <w:color w:val="auto"/>
              </w:rPr>
              <w:t>161,324</w:t>
            </w:r>
          </w:p>
        </w:tc>
        <w:tc>
          <w:tcPr>
            <w:tcW w:w="0" w:type="dxa"/>
            <w:vAlign w:val="bottom"/>
          </w:tcPr>
          <w:p>
            <w:pPr>
              <w:spacing w:after="0"/>
              <w:rPr>
                <w:sz w:val="1"/>
                <w:szCs w:val="1"/>
                <w:color w:val="auto"/>
              </w:rPr>
            </w:pPr>
          </w:p>
        </w:tc>
      </w:tr>
      <w:tr>
        <w:trPr>
          <w:trHeight w:val="45"/>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1540" w:type="dxa"/>
            <w:vAlign w:val="bottom"/>
            <w:shd w:val="clear" w:color="auto" w:fill="DAE9F8"/>
          </w:tcPr>
          <w:p>
            <w:pPr>
              <w:spacing w:after="0"/>
              <w:rPr>
                <w:sz w:val="3"/>
                <w:szCs w:val="3"/>
                <w:color w:val="auto"/>
              </w:rPr>
            </w:pPr>
          </w:p>
        </w:tc>
        <w:tc>
          <w:tcPr>
            <w:tcW w:w="80" w:type="dxa"/>
            <w:vAlign w:val="bottom"/>
            <w:shd w:val="clear" w:color="auto" w:fill="DAE9F8"/>
          </w:tcPr>
          <w:p>
            <w:pPr>
              <w:spacing w:after="0"/>
              <w:rPr>
                <w:sz w:val="3"/>
                <w:szCs w:val="3"/>
                <w:color w:val="auto"/>
              </w:rPr>
            </w:pPr>
          </w:p>
        </w:tc>
        <w:tc>
          <w:tcPr>
            <w:tcW w:w="2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400" w:type="dxa"/>
            <w:vAlign w:val="bottom"/>
            <w:vMerge w:val="continue"/>
          </w:tcPr>
          <w:p>
            <w:pPr>
              <w:spacing w:after="0"/>
              <w:rPr>
                <w:sz w:val="21"/>
                <w:szCs w:val="21"/>
                <w:color w:val="auto"/>
              </w:rPr>
            </w:pPr>
          </w:p>
        </w:tc>
        <w:tc>
          <w:tcPr>
            <w:tcW w:w="1540" w:type="dxa"/>
            <w:vAlign w:val="bottom"/>
            <w:shd w:val="clear" w:color="auto" w:fill="DAE9F8"/>
          </w:tcPr>
          <w:p>
            <w:pPr>
              <w:spacing w:after="0"/>
              <w:rPr>
                <w:sz w:val="21"/>
                <w:szCs w:val="21"/>
                <w:color w:val="auto"/>
              </w:rPr>
            </w:pPr>
          </w:p>
        </w:tc>
        <w:tc>
          <w:tcPr>
            <w:tcW w:w="80" w:type="dxa"/>
            <w:vAlign w:val="bottom"/>
            <w:shd w:val="clear" w:color="auto" w:fill="DAE9F8"/>
          </w:tcPr>
          <w:p>
            <w:pPr>
              <w:spacing w:after="0"/>
              <w:rPr>
                <w:sz w:val="21"/>
                <w:szCs w:val="21"/>
                <w:color w:val="auto"/>
              </w:rPr>
            </w:pPr>
          </w:p>
        </w:tc>
        <w:tc>
          <w:tcPr>
            <w:tcW w:w="20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4400" w:type="dxa"/>
            <w:vAlign w:val="bottom"/>
          </w:tcPr>
          <w:p>
            <w:pPr>
              <w:spacing w:after="0"/>
              <w:rPr>
                <w:sz w:val="4"/>
                <w:szCs w:val="4"/>
                <w:color w:val="auto"/>
              </w:rPr>
            </w:pPr>
          </w:p>
        </w:tc>
        <w:tc>
          <w:tcPr>
            <w:tcW w:w="1540" w:type="dxa"/>
            <w:vAlign w:val="bottom"/>
            <w:shd w:val="clear" w:color="auto" w:fill="DAE9F8"/>
          </w:tcPr>
          <w:p>
            <w:pPr>
              <w:spacing w:after="0"/>
              <w:rPr>
                <w:sz w:val="4"/>
                <w:szCs w:val="4"/>
                <w:color w:val="auto"/>
              </w:rPr>
            </w:pPr>
          </w:p>
        </w:tc>
        <w:tc>
          <w:tcPr>
            <w:tcW w:w="80" w:type="dxa"/>
            <w:vAlign w:val="bottom"/>
            <w:shd w:val="clear" w:color="auto" w:fill="DAE9F8"/>
          </w:tcPr>
          <w:p>
            <w:pPr>
              <w:spacing w:after="0"/>
              <w:rPr>
                <w:sz w:val="4"/>
                <w:szCs w:val="4"/>
                <w:color w:val="auto"/>
              </w:rPr>
            </w:pPr>
          </w:p>
        </w:tc>
        <w:tc>
          <w:tcPr>
            <w:tcW w:w="20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4400" w:type="dxa"/>
            <w:vAlign w:val="bottom"/>
          </w:tcPr>
          <w:p>
            <w:pPr>
              <w:spacing w:after="0"/>
              <w:rPr>
                <w:sz w:val="20"/>
                <w:szCs w:val="20"/>
                <w:color w:val="auto"/>
              </w:rPr>
            </w:pPr>
            <w:r>
              <w:rPr>
                <w:rFonts w:ascii="Arial" w:cs="Arial" w:eastAsia="Arial" w:hAnsi="Arial"/>
                <w:sz w:val="18"/>
                <w:szCs w:val="18"/>
                <w:color w:val="auto"/>
              </w:rPr>
              <w:t>Accounts receivable</w:t>
            </w:r>
          </w:p>
        </w:tc>
        <w:tc>
          <w:tcPr>
            <w:tcW w:w="1540" w:type="dxa"/>
            <w:vAlign w:val="bottom"/>
            <w:shd w:val="clear" w:color="auto" w:fill="DAE9F8"/>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DAE9F8"/>
          </w:tcPr>
          <w:p>
            <w:pPr>
              <w:spacing w:after="0"/>
              <w:rPr>
                <w:sz w:val="20"/>
                <w:szCs w:val="20"/>
                <w:color w:val="auto"/>
              </w:rPr>
            </w:pPr>
          </w:p>
        </w:tc>
        <w:tc>
          <w:tcPr>
            <w:tcW w:w="20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400" w:type="dxa"/>
            <w:vAlign w:val="bottom"/>
          </w:tcPr>
          <w:p>
            <w:pPr>
              <w:spacing w:after="0"/>
              <w:rPr>
                <w:sz w:val="3"/>
                <w:szCs w:val="3"/>
                <w:color w:val="auto"/>
              </w:rPr>
            </w:pPr>
          </w:p>
        </w:tc>
        <w:tc>
          <w:tcPr>
            <w:tcW w:w="1540" w:type="dxa"/>
            <w:vAlign w:val="bottom"/>
            <w:shd w:val="clear" w:color="auto" w:fill="DAE9F8"/>
          </w:tcPr>
          <w:p>
            <w:pPr>
              <w:spacing w:after="0"/>
              <w:rPr>
                <w:sz w:val="3"/>
                <w:szCs w:val="3"/>
                <w:color w:val="auto"/>
              </w:rPr>
            </w:pPr>
          </w:p>
        </w:tc>
        <w:tc>
          <w:tcPr>
            <w:tcW w:w="80" w:type="dxa"/>
            <w:vAlign w:val="bottom"/>
            <w:shd w:val="clear" w:color="auto" w:fill="DAE9F8"/>
          </w:tcPr>
          <w:p>
            <w:pPr>
              <w:spacing w:after="0"/>
              <w:rPr>
                <w:sz w:val="3"/>
                <w:szCs w:val="3"/>
                <w:color w:val="auto"/>
              </w:rPr>
            </w:pPr>
          </w:p>
        </w:tc>
        <w:tc>
          <w:tcPr>
            <w:tcW w:w="2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44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540" w:type="dxa"/>
            <w:vAlign w:val="bottom"/>
            <w:shd w:val="clear" w:color="auto" w:fill="DAE9F8"/>
          </w:tcPr>
          <w:p>
            <w:pPr>
              <w:jc w:val="right"/>
              <w:spacing w:after="0"/>
              <w:rPr>
                <w:sz w:val="20"/>
                <w:szCs w:val="20"/>
                <w:color w:val="auto"/>
              </w:rPr>
            </w:pPr>
            <w:r>
              <w:rPr>
                <w:rFonts w:ascii="Arial" w:cs="Arial" w:eastAsia="Arial" w:hAnsi="Arial"/>
                <w:sz w:val="18"/>
                <w:szCs w:val="18"/>
                <w:color w:val="auto"/>
              </w:rPr>
              <w:t>(184,342)</w:t>
            </w:r>
          </w:p>
        </w:tc>
        <w:tc>
          <w:tcPr>
            <w:tcW w:w="80" w:type="dxa"/>
            <w:vAlign w:val="bottom"/>
            <w:shd w:val="clear" w:color="auto" w:fill="DAE9F8"/>
          </w:tcPr>
          <w:p>
            <w:pPr>
              <w:spacing w:after="0"/>
              <w:rPr>
                <w:sz w:val="20"/>
                <w:szCs w:val="20"/>
                <w:color w:val="auto"/>
              </w:rPr>
            </w:pPr>
          </w:p>
        </w:tc>
        <w:tc>
          <w:tcPr>
            <w:tcW w:w="2000" w:type="dxa"/>
            <w:vAlign w:val="bottom"/>
          </w:tcPr>
          <w:p>
            <w:pPr>
              <w:jc w:val="right"/>
              <w:ind w:right="410"/>
              <w:spacing w:after="0"/>
              <w:rPr>
                <w:sz w:val="20"/>
                <w:szCs w:val="20"/>
                <w:color w:val="auto"/>
              </w:rPr>
            </w:pPr>
            <w:r>
              <w:rPr>
                <w:rFonts w:ascii="Arial" w:cs="Arial" w:eastAsia="Arial" w:hAnsi="Arial"/>
                <w:sz w:val="18"/>
                <w:szCs w:val="18"/>
                <w:color w:val="auto"/>
              </w:rPr>
              <w:t>(214,942)</w:t>
            </w:r>
          </w:p>
        </w:tc>
        <w:tc>
          <w:tcPr>
            <w:tcW w:w="1080" w:type="dxa"/>
            <w:vAlign w:val="bottom"/>
          </w:tcPr>
          <w:p>
            <w:pPr>
              <w:jc w:val="right"/>
              <w:spacing w:after="0"/>
              <w:rPr>
                <w:sz w:val="20"/>
                <w:szCs w:val="20"/>
                <w:color w:val="auto"/>
              </w:rPr>
            </w:pPr>
            <w:r>
              <w:rPr>
                <w:rFonts w:ascii="Arial" w:cs="Arial" w:eastAsia="Arial" w:hAnsi="Arial"/>
                <w:sz w:val="18"/>
                <w:szCs w:val="18"/>
                <w:color w:val="auto"/>
              </w:rPr>
              <w:t>(123,270</w:t>
            </w:r>
          </w:p>
        </w:tc>
        <w:tc>
          <w:tcPr>
            <w:tcW w:w="0" w:type="dxa"/>
            <w:vAlign w:val="bottom"/>
          </w:tcPr>
          <w:p>
            <w:pPr>
              <w:spacing w:after="0"/>
              <w:rPr>
                <w:sz w:val="1"/>
                <w:szCs w:val="1"/>
                <w:color w:val="auto"/>
              </w:rPr>
            </w:pPr>
          </w:p>
        </w:tc>
      </w:tr>
      <w:tr>
        <w:trPr>
          <w:trHeight w:val="36"/>
        </w:trPr>
        <w:tc>
          <w:tcPr>
            <w:tcW w:w="4400" w:type="dxa"/>
            <w:vAlign w:val="bottom"/>
          </w:tcPr>
          <w:p>
            <w:pPr>
              <w:spacing w:after="0"/>
              <w:rPr>
                <w:sz w:val="3"/>
                <w:szCs w:val="3"/>
                <w:color w:val="auto"/>
              </w:rPr>
            </w:pPr>
          </w:p>
        </w:tc>
        <w:tc>
          <w:tcPr>
            <w:tcW w:w="1540" w:type="dxa"/>
            <w:vAlign w:val="bottom"/>
            <w:shd w:val="clear" w:color="auto" w:fill="DAE9F8"/>
          </w:tcPr>
          <w:p>
            <w:pPr>
              <w:spacing w:after="0"/>
              <w:rPr>
                <w:sz w:val="3"/>
                <w:szCs w:val="3"/>
                <w:color w:val="auto"/>
              </w:rPr>
            </w:pPr>
          </w:p>
        </w:tc>
        <w:tc>
          <w:tcPr>
            <w:tcW w:w="80" w:type="dxa"/>
            <w:vAlign w:val="bottom"/>
            <w:shd w:val="clear" w:color="auto" w:fill="DAE9F8"/>
          </w:tcPr>
          <w:p>
            <w:pPr>
              <w:spacing w:after="0"/>
              <w:rPr>
                <w:sz w:val="3"/>
                <w:szCs w:val="3"/>
                <w:color w:val="auto"/>
              </w:rPr>
            </w:pPr>
          </w:p>
        </w:tc>
        <w:tc>
          <w:tcPr>
            <w:tcW w:w="2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4400" w:type="dxa"/>
            <w:vAlign w:val="bottom"/>
          </w:tcPr>
          <w:p>
            <w:pPr>
              <w:spacing w:after="0"/>
              <w:rPr>
                <w:sz w:val="20"/>
                <w:szCs w:val="20"/>
                <w:color w:val="auto"/>
              </w:rPr>
            </w:pPr>
            <w:r>
              <w:rPr>
                <w:rFonts w:ascii="Arial" w:cs="Arial" w:eastAsia="Arial" w:hAnsi="Arial"/>
                <w:sz w:val="18"/>
                <w:szCs w:val="18"/>
                <w:color w:val="auto"/>
              </w:rPr>
              <w:t>Mineral Properties</w:t>
            </w:r>
          </w:p>
        </w:tc>
        <w:tc>
          <w:tcPr>
            <w:tcW w:w="1540" w:type="dxa"/>
            <w:vAlign w:val="bottom"/>
            <w:shd w:val="clear" w:color="auto" w:fill="DAE9F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AE9F8"/>
          </w:tcPr>
          <w:p>
            <w:pPr>
              <w:spacing w:after="0"/>
              <w:rPr>
                <w:sz w:val="20"/>
                <w:szCs w:val="20"/>
                <w:color w:val="auto"/>
              </w:rPr>
            </w:pPr>
          </w:p>
        </w:tc>
        <w:tc>
          <w:tcPr>
            <w:tcW w:w="20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(15,111</w:t>
            </w:r>
          </w:p>
        </w:tc>
        <w:tc>
          <w:tcPr>
            <w:tcW w:w="0" w:type="dxa"/>
            <w:vAlign w:val="bottom"/>
          </w:tcPr>
          <w:p>
            <w:pPr>
              <w:spacing w:after="0"/>
              <w:rPr>
                <w:sz w:val="1"/>
                <w:szCs w:val="1"/>
                <w:color w:val="auto"/>
              </w:rPr>
            </w:pPr>
          </w:p>
        </w:tc>
      </w:tr>
      <w:tr>
        <w:trPr>
          <w:trHeight w:val="36"/>
        </w:trPr>
        <w:tc>
          <w:tcPr>
            <w:tcW w:w="4400" w:type="dxa"/>
            <w:vAlign w:val="bottom"/>
          </w:tcPr>
          <w:p>
            <w:pPr>
              <w:spacing w:after="0"/>
              <w:rPr>
                <w:sz w:val="3"/>
                <w:szCs w:val="3"/>
                <w:color w:val="auto"/>
              </w:rPr>
            </w:pPr>
          </w:p>
        </w:tc>
        <w:tc>
          <w:tcPr>
            <w:tcW w:w="1540" w:type="dxa"/>
            <w:vAlign w:val="bottom"/>
            <w:shd w:val="clear" w:color="auto" w:fill="DAE9F8"/>
          </w:tcPr>
          <w:p>
            <w:pPr>
              <w:spacing w:after="0"/>
              <w:rPr>
                <w:sz w:val="3"/>
                <w:szCs w:val="3"/>
                <w:color w:val="auto"/>
              </w:rPr>
            </w:pPr>
          </w:p>
        </w:tc>
        <w:tc>
          <w:tcPr>
            <w:tcW w:w="80" w:type="dxa"/>
            <w:vAlign w:val="bottom"/>
            <w:shd w:val="clear" w:color="auto" w:fill="DAE9F8"/>
          </w:tcPr>
          <w:p>
            <w:pPr>
              <w:spacing w:after="0"/>
              <w:rPr>
                <w:sz w:val="3"/>
                <w:szCs w:val="3"/>
                <w:color w:val="auto"/>
              </w:rPr>
            </w:pPr>
          </w:p>
        </w:tc>
        <w:tc>
          <w:tcPr>
            <w:tcW w:w="2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4400" w:type="dxa"/>
            <w:vAlign w:val="bottom"/>
          </w:tcPr>
          <w:p>
            <w:pPr>
              <w:spacing w:after="0"/>
              <w:rPr>
                <w:sz w:val="20"/>
                <w:szCs w:val="20"/>
                <w:color w:val="auto"/>
              </w:rPr>
            </w:pPr>
            <w:r>
              <w:rPr>
                <w:rFonts w:ascii="Arial" w:cs="Arial" w:eastAsia="Arial" w:hAnsi="Arial"/>
                <w:sz w:val="18"/>
                <w:szCs w:val="18"/>
                <w:color w:val="auto"/>
              </w:rPr>
              <w:t>Inventories</w:t>
            </w:r>
          </w:p>
        </w:tc>
        <w:tc>
          <w:tcPr>
            <w:tcW w:w="1540" w:type="dxa"/>
            <w:vAlign w:val="bottom"/>
            <w:shd w:val="clear" w:color="auto" w:fill="DAE9F8"/>
          </w:tcPr>
          <w:p>
            <w:pPr>
              <w:jc w:val="right"/>
              <w:spacing w:after="0"/>
              <w:rPr>
                <w:sz w:val="20"/>
                <w:szCs w:val="20"/>
                <w:color w:val="auto"/>
              </w:rPr>
            </w:pPr>
            <w:r>
              <w:rPr>
                <w:rFonts w:ascii="Arial" w:cs="Arial" w:eastAsia="Arial" w:hAnsi="Arial"/>
                <w:sz w:val="18"/>
                <w:szCs w:val="18"/>
                <w:color w:val="auto"/>
              </w:rPr>
              <w:t>(38,255)</w:t>
            </w:r>
          </w:p>
        </w:tc>
        <w:tc>
          <w:tcPr>
            <w:tcW w:w="80" w:type="dxa"/>
            <w:vAlign w:val="bottom"/>
            <w:shd w:val="clear" w:color="auto" w:fill="DAE9F8"/>
          </w:tcPr>
          <w:p>
            <w:pPr>
              <w:spacing w:after="0"/>
              <w:rPr>
                <w:sz w:val="20"/>
                <w:szCs w:val="20"/>
                <w:color w:val="auto"/>
              </w:rPr>
            </w:pPr>
          </w:p>
        </w:tc>
        <w:tc>
          <w:tcPr>
            <w:tcW w:w="2000" w:type="dxa"/>
            <w:vAlign w:val="bottom"/>
          </w:tcPr>
          <w:p>
            <w:pPr>
              <w:jc w:val="right"/>
              <w:ind w:right="410"/>
              <w:spacing w:after="0"/>
              <w:rPr>
                <w:sz w:val="20"/>
                <w:szCs w:val="20"/>
                <w:color w:val="auto"/>
              </w:rPr>
            </w:pPr>
            <w:r>
              <w:rPr>
                <w:rFonts w:ascii="Arial" w:cs="Arial" w:eastAsia="Arial" w:hAnsi="Arial"/>
                <w:sz w:val="18"/>
                <w:szCs w:val="18"/>
                <w:color w:val="auto"/>
              </w:rPr>
              <w:t>(30,732)</w:t>
            </w:r>
          </w:p>
        </w:tc>
        <w:tc>
          <w:tcPr>
            <w:tcW w:w="1080" w:type="dxa"/>
            <w:vAlign w:val="bottom"/>
          </w:tcPr>
          <w:p>
            <w:pPr>
              <w:jc w:val="right"/>
              <w:spacing w:after="0"/>
              <w:rPr>
                <w:sz w:val="20"/>
                <w:szCs w:val="20"/>
                <w:color w:val="auto"/>
              </w:rPr>
            </w:pPr>
            <w:r>
              <w:rPr>
                <w:rFonts w:ascii="Arial" w:cs="Arial" w:eastAsia="Arial" w:hAnsi="Arial"/>
                <w:sz w:val="18"/>
                <w:szCs w:val="18"/>
                <w:color w:val="auto"/>
              </w:rPr>
              <w:t>(48,050</w:t>
            </w:r>
          </w:p>
        </w:tc>
        <w:tc>
          <w:tcPr>
            <w:tcW w:w="0" w:type="dxa"/>
            <w:vAlign w:val="bottom"/>
          </w:tcPr>
          <w:p>
            <w:pPr>
              <w:spacing w:after="0"/>
              <w:rPr>
                <w:sz w:val="1"/>
                <w:szCs w:val="1"/>
                <w:color w:val="auto"/>
              </w:rPr>
            </w:pPr>
          </w:p>
        </w:tc>
      </w:tr>
      <w:tr>
        <w:trPr>
          <w:trHeight w:val="36"/>
        </w:trPr>
        <w:tc>
          <w:tcPr>
            <w:tcW w:w="4400" w:type="dxa"/>
            <w:vAlign w:val="bottom"/>
          </w:tcPr>
          <w:p>
            <w:pPr>
              <w:spacing w:after="0"/>
              <w:rPr>
                <w:sz w:val="3"/>
                <w:szCs w:val="3"/>
                <w:color w:val="auto"/>
              </w:rPr>
            </w:pPr>
          </w:p>
        </w:tc>
        <w:tc>
          <w:tcPr>
            <w:tcW w:w="1540" w:type="dxa"/>
            <w:vAlign w:val="bottom"/>
            <w:shd w:val="clear" w:color="auto" w:fill="DAE9F8"/>
          </w:tcPr>
          <w:p>
            <w:pPr>
              <w:spacing w:after="0"/>
              <w:rPr>
                <w:sz w:val="3"/>
                <w:szCs w:val="3"/>
                <w:color w:val="auto"/>
              </w:rPr>
            </w:pPr>
          </w:p>
        </w:tc>
        <w:tc>
          <w:tcPr>
            <w:tcW w:w="80" w:type="dxa"/>
            <w:vAlign w:val="bottom"/>
            <w:shd w:val="clear" w:color="auto" w:fill="DAE9F8"/>
          </w:tcPr>
          <w:p>
            <w:pPr>
              <w:spacing w:after="0"/>
              <w:rPr>
                <w:sz w:val="3"/>
                <w:szCs w:val="3"/>
                <w:color w:val="auto"/>
              </w:rPr>
            </w:pPr>
          </w:p>
        </w:tc>
        <w:tc>
          <w:tcPr>
            <w:tcW w:w="2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4400" w:type="dxa"/>
            <w:vAlign w:val="bottom"/>
          </w:tcPr>
          <w:p>
            <w:pPr>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DAE9F8"/>
          </w:tcPr>
          <w:p>
            <w:pPr>
              <w:spacing w:after="0"/>
              <w:rPr>
                <w:sz w:val="20"/>
                <w:szCs w:val="20"/>
                <w:color w:val="auto"/>
              </w:rPr>
            </w:pPr>
          </w:p>
        </w:tc>
        <w:tc>
          <w:tcPr>
            <w:tcW w:w="2000" w:type="dxa"/>
            <w:vAlign w:val="bottom"/>
          </w:tcPr>
          <w:p>
            <w:pPr>
              <w:jc w:val="right"/>
              <w:ind w:right="410"/>
              <w:spacing w:after="0"/>
              <w:rPr>
                <w:sz w:val="20"/>
                <w:szCs w:val="20"/>
                <w:color w:val="auto"/>
              </w:rPr>
            </w:pPr>
            <w:r>
              <w:rPr>
                <w:rFonts w:ascii="Arial" w:cs="Arial" w:eastAsia="Arial" w:hAnsi="Arial"/>
                <w:sz w:val="18"/>
                <w:szCs w:val="18"/>
                <w:color w:val="auto"/>
              </w:rPr>
              <w:t>(127)</w:t>
            </w:r>
          </w:p>
        </w:tc>
        <w:tc>
          <w:tcPr>
            <w:tcW w:w="108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36"/>
        </w:trPr>
        <w:tc>
          <w:tcPr>
            <w:tcW w:w="4400" w:type="dxa"/>
            <w:vAlign w:val="bottom"/>
          </w:tcPr>
          <w:p>
            <w:pPr>
              <w:spacing w:after="0"/>
              <w:rPr>
                <w:sz w:val="3"/>
                <w:szCs w:val="3"/>
                <w:color w:val="auto"/>
              </w:rPr>
            </w:pPr>
          </w:p>
        </w:tc>
        <w:tc>
          <w:tcPr>
            <w:tcW w:w="1540" w:type="dxa"/>
            <w:vAlign w:val="bottom"/>
            <w:shd w:val="clear" w:color="auto" w:fill="DAE9F8"/>
          </w:tcPr>
          <w:p>
            <w:pPr>
              <w:spacing w:after="0"/>
              <w:rPr>
                <w:sz w:val="3"/>
                <w:szCs w:val="3"/>
                <w:color w:val="auto"/>
              </w:rPr>
            </w:pPr>
          </w:p>
        </w:tc>
        <w:tc>
          <w:tcPr>
            <w:tcW w:w="80" w:type="dxa"/>
            <w:vAlign w:val="bottom"/>
            <w:shd w:val="clear" w:color="auto" w:fill="DAE9F8"/>
          </w:tcPr>
          <w:p>
            <w:pPr>
              <w:spacing w:after="0"/>
              <w:rPr>
                <w:sz w:val="3"/>
                <w:szCs w:val="3"/>
                <w:color w:val="auto"/>
              </w:rPr>
            </w:pPr>
          </w:p>
        </w:tc>
        <w:tc>
          <w:tcPr>
            <w:tcW w:w="2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400" w:type="dxa"/>
            <w:vAlign w:val="bottom"/>
          </w:tcPr>
          <w:p>
            <w:pPr>
              <w:spacing w:after="0"/>
              <w:rPr>
                <w:sz w:val="22"/>
                <w:szCs w:val="22"/>
                <w:color w:val="auto"/>
              </w:rPr>
            </w:pPr>
          </w:p>
        </w:tc>
        <w:tc>
          <w:tcPr>
            <w:tcW w:w="1540" w:type="dxa"/>
            <w:vAlign w:val="bottom"/>
            <w:shd w:val="clear" w:color="auto" w:fill="DAE9F8"/>
          </w:tcPr>
          <w:p>
            <w:pPr>
              <w:jc w:val="right"/>
              <w:spacing w:after="0"/>
              <w:rPr>
                <w:sz w:val="20"/>
                <w:szCs w:val="20"/>
                <w:color w:val="auto"/>
              </w:rPr>
            </w:pPr>
            <w:r>
              <w:rPr>
                <w:rFonts w:ascii="Arial" w:cs="Arial" w:eastAsia="Arial" w:hAnsi="Arial"/>
                <w:sz w:val="18"/>
                <w:szCs w:val="18"/>
                <w:color w:val="auto"/>
              </w:rPr>
              <w:t>(222,830)</w:t>
            </w:r>
          </w:p>
        </w:tc>
        <w:tc>
          <w:tcPr>
            <w:tcW w:w="80" w:type="dxa"/>
            <w:vAlign w:val="bottom"/>
            <w:shd w:val="clear" w:color="auto" w:fill="DAE9F8"/>
          </w:tcPr>
          <w:p>
            <w:pPr>
              <w:spacing w:after="0"/>
              <w:rPr>
                <w:sz w:val="22"/>
                <w:szCs w:val="22"/>
                <w:color w:val="auto"/>
              </w:rPr>
            </w:pPr>
          </w:p>
        </w:tc>
        <w:tc>
          <w:tcPr>
            <w:tcW w:w="2000" w:type="dxa"/>
            <w:vAlign w:val="bottom"/>
          </w:tcPr>
          <w:p>
            <w:pPr>
              <w:jc w:val="right"/>
              <w:ind w:right="410"/>
              <w:spacing w:after="0"/>
              <w:rPr>
                <w:sz w:val="20"/>
                <w:szCs w:val="20"/>
                <w:color w:val="auto"/>
              </w:rPr>
            </w:pPr>
            <w:r>
              <w:rPr>
                <w:rFonts w:ascii="Arial" w:cs="Arial" w:eastAsia="Arial" w:hAnsi="Arial"/>
                <w:sz w:val="18"/>
                <w:szCs w:val="18"/>
                <w:color w:val="auto"/>
              </w:rPr>
              <w:t>(245,801)</w:t>
            </w:r>
          </w:p>
        </w:tc>
        <w:tc>
          <w:tcPr>
            <w:tcW w:w="1080" w:type="dxa"/>
            <w:vAlign w:val="bottom"/>
          </w:tcPr>
          <w:p>
            <w:pPr>
              <w:jc w:val="right"/>
              <w:spacing w:after="0"/>
              <w:rPr>
                <w:sz w:val="20"/>
                <w:szCs w:val="20"/>
                <w:color w:val="auto"/>
              </w:rPr>
            </w:pPr>
            <w:r>
              <w:rPr>
                <w:rFonts w:ascii="Arial" w:cs="Arial" w:eastAsia="Arial" w:hAnsi="Arial"/>
                <w:sz w:val="18"/>
                <w:szCs w:val="18"/>
                <w:color w:val="auto"/>
              </w:rPr>
              <w:t>(186,793</w:t>
            </w:r>
          </w:p>
        </w:tc>
        <w:tc>
          <w:tcPr>
            <w:tcW w:w="0" w:type="dxa"/>
            <w:vAlign w:val="bottom"/>
          </w:tcPr>
          <w:p>
            <w:pPr>
              <w:spacing w:after="0"/>
              <w:rPr>
                <w:sz w:val="1"/>
                <w:szCs w:val="1"/>
                <w:color w:val="auto"/>
              </w:rPr>
            </w:pPr>
          </w:p>
        </w:tc>
      </w:tr>
      <w:tr>
        <w:trPr>
          <w:trHeight w:val="45"/>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shd w:val="clear" w:color="auto" w:fill="DAE9F8"/>
          </w:tcPr>
          <w:p>
            <w:pPr>
              <w:spacing w:after="0"/>
              <w:rPr>
                <w:sz w:val="3"/>
                <w:szCs w:val="3"/>
                <w:color w:val="auto"/>
              </w:rPr>
            </w:pPr>
          </w:p>
        </w:tc>
        <w:tc>
          <w:tcPr>
            <w:tcW w:w="80" w:type="dxa"/>
            <w:vAlign w:val="bottom"/>
            <w:shd w:val="clear" w:color="auto" w:fill="DAE9F8"/>
          </w:tcPr>
          <w:p>
            <w:pPr>
              <w:spacing w:after="0"/>
              <w:rPr>
                <w:sz w:val="3"/>
                <w:szCs w:val="3"/>
                <w:color w:val="auto"/>
              </w:rPr>
            </w:pPr>
          </w:p>
        </w:tc>
        <w:tc>
          <w:tcPr>
            <w:tcW w:w="2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0"/>
        </w:trPr>
        <w:tc>
          <w:tcPr>
            <w:tcW w:w="4400" w:type="dxa"/>
            <w:vAlign w:val="bottom"/>
            <w:vMerge w:val="continue"/>
          </w:tcPr>
          <w:p>
            <w:pPr>
              <w:spacing w:after="0"/>
              <w:rPr>
                <w:sz w:val="24"/>
                <w:szCs w:val="24"/>
                <w:color w:val="auto"/>
              </w:rPr>
            </w:pPr>
          </w:p>
        </w:tc>
        <w:tc>
          <w:tcPr>
            <w:tcW w:w="1540" w:type="dxa"/>
            <w:vAlign w:val="bottom"/>
            <w:shd w:val="clear" w:color="auto" w:fill="DAE9F8"/>
          </w:tcPr>
          <w:p>
            <w:pPr>
              <w:spacing w:after="0"/>
              <w:rPr>
                <w:sz w:val="24"/>
                <w:szCs w:val="24"/>
                <w:color w:val="auto"/>
              </w:rPr>
            </w:pPr>
          </w:p>
        </w:tc>
        <w:tc>
          <w:tcPr>
            <w:tcW w:w="80" w:type="dxa"/>
            <w:vAlign w:val="bottom"/>
            <w:shd w:val="clear" w:color="auto" w:fill="DAE9F8"/>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00" w:type="dxa"/>
            <w:vAlign w:val="bottom"/>
            <w:vMerge w:val="continue"/>
          </w:tcPr>
          <w:p>
            <w:pPr>
              <w:spacing w:after="0"/>
              <w:rPr>
                <w:sz w:val="21"/>
                <w:szCs w:val="21"/>
                <w:color w:val="auto"/>
              </w:rPr>
            </w:pPr>
          </w:p>
        </w:tc>
        <w:tc>
          <w:tcPr>
            <w:tcW w:w="1540" w:type="dxa"/>
            <w:vAlign w:val="bottom"/>
            <w:shd w:val="clear" w:color="auto" w:fill="DAE9F8"/>
          </w:tcPr>
          <w:p>
            <w:pPr>
              <w:jc w:val="right"/>
              <w:spacing w:after="0"/>
              <w:rPr>
                <w:sz w:val="20"/>
                <w:szCs w:val="20"/>
                <w:color w:val="auto"/>
              </w:rPr>
            </w:pPr>
            <w:r>
              <w:rPr>
                <w:rFonts w:ascii="Arial" w:cs="Arial" w:eastAsia="Arial" w:hAnsi="Arial"/>
                <w:sz w:val="18"/>
                <w:szCs w:val="18"/>
                <w:b w:val="1"/>
                <w:bCs w:val="1"/>
                <w:color w:val="auto"/>
              </w:rPr>
              <w:t>(83,689)</w:t>
            </w:r>
          </w:p>
        </w:tc>
        <w:tc>
          <w:tcPr>
            <w:tcW w:w="80" w:type="dxa"/>
            <w:vAlign w:val="bottom"/>
            <w:shd w:val="clear" w:color="auto" w:fill="DAE9F8"/>
          </w:tcPr>
          <w:p>
            <w:pPr>
              <w:spacing w:after="0"/>
              <w:rPr>
                <w:sz w:val="21"/>
                <w:szCs w:val="21"/>
                <w:color w:val="auto"/>
              </w:rPr>
            </w:pPr>
          </w:p>
        </w:tc>
        <w:tc>
          <w:tcPr>
            <w:tcW w:w="2000" w:type="dxa"/>
            <w:vAlign w:val="bottom"/>
          </w:tcPr>
          <w:p>
            <w:pPr>
              <w:jc w:val="right"/>
              <w:ind w:right="410"/>
              <w:spacing w:after="0"/>
              <w:rPr>
                <w:sz w:val="20"/>
                <w:szCs w:val="20"/>
                <w:color w:val="auto"/>
              </w:rPr>
            </w:pPr>
            <w:r>
              <w:rPr>
                <w:rFonts w:ascii="Arial" w:cs="Arial" w:eastAsia="Arial" w:hAnsi="Arial"/>
                <w:sz w:val="18"/>
                <w:szCs w:val="18"/>
                <w:b w:val="1"/>
                <w:bCs w:val="1"/>
                <w:color w:val="auto"/>
              </w:rPr>
              <w:t>(98,302)</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(25,469</w:t>
            </w:r>
          </w:p>
        </w:tc>
        <w:tc>
          <w:tcPr>
            <w:tcW w:w="0" w:type="dxa"/>
            <w:vAlign w:val="bottom"/>
          </w:tcPr>
          <w:p>
            <w:pPr>
              <w:spacing w:after="0"/>
              <w:rPr>
                <w:sz w:val="1"/>
                <w:szCs w:val="1"/>
                <w:color w:val="auto"/>
              </w:rPr>
            </w:pPr>
          </w:p>
        </w:tc>
      </w:tr>
      <w:tr>
        <w:trPr>
          <w:trHeight w:val="56"/>
        </w:trPr>
        <w:tc>
          <w:tcPr>
            <w:tcW w:w="4400" w:type="dxa"/>
            <w:vAlign w:val="bottom"/>
          </w:tcPr>
          <w:p>
            <w:pPr>
              <w:spacing w:after="0"/>
              <w:rPr>
                <w:sz w:val="4"/>
                <w:szCs w:val="4"/>
                <w:color w:val="auto"/>
              </w:rPr>
            </w:pPr>
          </w:p>
        </w:tc>
        <w:tc>
          <w:tcPr>
            <w:tcW w:w="1540" w:type="dxa"/>
            <w:vAlign w:val="bottom"/>
            <w:shd w:val="clear" w:color="auto" w:fill="DAE9F8"/>
          </w:tcPr>
          <w:p>
            <w:pPr>
              <w:spacing w:after="0"/>
              <w:rPr>
                <w:sz w:val="4"/>
                <w:szCs w:val="4"/>
                <w:color w:val="auto"/>
              </w:rPr>
            </w:pPr>
          </w:p>
        </w:tc>
        <w:tc>
          <w:tcPr>
            <w:tcW w:w="80" w:type="dxa"/>
            <w:vAlign w:val="bottom"/>
            <w:shd w:val="clear" w:color="auto" w:fill="DAE9F8"/>
          </w:tcPr>
          <w:p>
            <w:pPr>
              <w:spacing w:after="0"/>
              <w:rPr>
                <w:sz w:val="4"/>
                <w:szCs w:val="4"/>
                <w:color w:val="auto"/>
              </w:rPr>
            </w:pPr>
          </w:p>
        </w:tc>
        <w:tc>
          <w:tcPr>
            <w:tcW w:w="20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-3066415</wp:posOffset>
            </wp:positionV>
            <wp:extent cx="2994025" cy="1270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25">
                      <a:extLst>
                        <a:ext uri="{28A0092B-C50C-407E-A947-70E740481C1C}"/>
                      </a:extLst>
                    </a:blip>
                    <a:srcRect/>
                    <a:stretch>
                      <a:fillRect/>
                    </a:stretch>
                  </pic:blipFill>
                  <pic:spPr bwMode="auto">
                    <a:xfrm>
                      <a:off x="0" y="0"/>
                      <a:ext cx="2994025"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-2880995</wp:posOffset>
            </wp:positionV>
            <wp:extent cx="5849620" cy="1270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26">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-1815465</wp:posOffset>
            </wp:positionV>
            <wp:extent cx="2994025" cy="635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7">
                      <a:extLst>
                        <a:ext uri="{28A0092B-C50C-407E-A947-70E740481C1C}"/>
                      </a:extLst>
                    </a:blip>
                    <a:srcRect/>
                    <a:stretch>
                      <a:fillRect/>
                    </a:stretch>
                  </pic:blipFill>
                  <pic:spPr bwMode="auto">
                    <a:xfrm>
                      <a:off x="0" y="0"/>
                      <a:ext cx="2994025" cy="6350"/>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-572135</wp:posOffset>
            </wp:positionV>
            <wp:extent cx="2994025" cy="635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8">
                      <a:extLst>
                        <a:ext uri="{28A0092B-C50C-407E-A947-70E740481C1C}"/>
                      </a:extLst>
                    </a:blip>
                    <a:srcRect/>
                    <a:stretch>
                      <a:fillRect/>
                    </a:stretch>
                  </pic:blipFill>
                  <pic:spPr bwMode="auto">
                    <a:xfrm>
                      <a:off x="0" y="0"/>
                      <a:ext cx="2994025" cy="635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-191135</wp:posOffset>
            </wp:positionV>
            <wp:extent cx="5849620" cy="19177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9">
                      <a:extLst>
                        <a:ext uri="{28A0092B-C50C-407E-A947-70E740481C1C}"/>
                      </a:extLst>
                    </a:blip>
                    <a:srcRect/>
                    <a:stretch>
                      <a:fillRect/>
                    </a:stretch>
                  </pic:blipFill>
                  <pic:spPr bwMode="auto">
                    <a:xfrm>
                      <a:off x="0" y="0"/>
                      <a:ext cx="5849620" cy="191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386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92"/>
        </w:trPr>
        <w:tc>
          <w:tcPr>
            <w:tcW w:w="52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5240" w:type="dxa"/>
            <w:vAlign w:val="bottom"/>
          </w:tcPr>
          <w:p>
            <w:pPr>
              <w:spacing w:after="0"/>
              <w:rPr>
                <w:sz w:val="20"/>
                <w:szCs w:val="20"/>
                <w:color w:val="auto"/>
              </w:rPr>
            </w:pPr>
          </w:p>
        </w:tc>
        <w:tc>
          <w:tcPr>
            <w:tcW w:w="1360" w:type="dxa"/>
            <w:vAlign w:val="bottom"/>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56"/>
        </w:trPr>
        <w:tc>
          <w:tcPr>
            <w:tcW w:w="5240" w:type="dxa"/>
            <w:vAlign w:val="bottom"/>
          </w:tcPr>
          <w:p>
            <w:pPr>
              <w:spacing w:after="0"/>
              <w:rPr>
                <w:sz w:val="4"/>
                <w:szCs w:val="4"/>
                <w:color w:val="auto"/>
              </w:rPr>
            </w:pPr>
          </w:p>
        </w:tc>
        <w:tc>
          <w:tcPr>
            <w:tcW w:w="1360" w:type="dxa"/>
            <w:vAlign w:val="bottom"/>
            <w:shd w:val="clear" w:color="auto" w:fill="DAE9F8"/>
          </w:tcPr>
          <w:p>
            <w:pPr>
              <w:spacing w:after="0"/>
              <w:rPr>
                <w:sz w:val="4"/>
                <w:szCs w:val="4"/>
                <w:color w:val="auto"/>
              </w:rPr>
            </w:pPr>
          </w:p>
        </w:tc>
        <w:tc>
          <w:tcPr>
            <w:tcW w:w="1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5240" w:type="dxa"/>
            <w:vAlign w:val="bottom"/>
          </w:tcPr>
          <w:p>
            <w:pPr>
              <w:spacing w:after="0"/>
              <w:rPr>
                <w:sz w:val="20"/>
                <w:szCs w:val="20"/>
                <w:color w:val="auto"/>
              </w:rPr>
            </w:pPr>
            <w:r>
              <w:rPr>
                <w:rFonts w:ascii="Arial" w:cs="Arial" w:eastAsia="Arial" w:hAnsi="Arial"/>
                <w:sz w:val="18"/>
                <w:szCs w:val="18"/>
                <w:color w:val="auto"/>
              </w:rPr>
              <w:t>(Loss)/income before income taxes</w:t>
            </w:r>
          </w:p>
        </w:tc>
        <w:tc>
          <w:tcPr>
            <w:tcW w:w="136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(53,375)</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39,998</w:t>
            </w:r>
          </w:p>
        </w:tc>
        <w:tc>
          <w:tcPr>
            <w:tcW w:w="1000" w:type="dxa"/>
            <w:vAlign w:val="bottom"/>
          </w:tcPr>
          <w:p>
            <w:pPr>
              <w:jc w:val="right"/>
              <w:spacing w:after="0"/>
              <w:rPr>
                <w:sz w:val="20"/>
                <w:szCs w:val="20"/>
                <w:color w:val="auto"/>
              </w:rPr>
            </w:pPr>
            <w:r>
              <w:rPr>
                <w:rFonts w:ascii="Arial" w:cs="Arial" w:eastAsia="Arial" w:hAnsi="Arial"/>
                <w:sz w:val="18"/>
                <w:szCs w:val="18"/>
                <w:color w:val="auto"/>
              </w:rPr>
              <w:t>254,129</w:t>
            </w:r>
          </w:p>
        </w:tc>
        <w:tc>
          <w:tcPr>
            <w:tcW w:w="0" w:type="dxa"/>
            <w:vAlign w:val="bottom"/>
          </w:tcPr>
          <w:p>
            <w:pPr>
              <w:spacing w:after="0"/>
              <w:rPr>
                <w:sz w:val="1"/>
                <w:szCs w:val="1"/>
                <w:color w:val="auto"/>
              </w:rPr>
            </w:pPr>
          </w:p>
        </w:tc>
      </w:tr>
      <w:tr>
        <w:trPr>
          <w:trHeight w:val="36"/>
        </w:trPr>
        <w:tc>
          <w:tcPr>
            <w:tcW w:w="5240" w:type="dxa"/>
            <w:vAlign w:val="bottom"/>
          </w:tcPr>
          <w:p>
            <w:pPr>
              <w:spacing w:after="0"/>
              <w:rPr>
                <w:sz w:val="3"/>
                <w:szCs w:val="3"/>
                <w:color w:val="auto"/>
              </w:rPr>
            </w:pPr>
          </w:p>
        </w:tc>
        <w:tc>
          <w:tcPr>
            <w:tcW w:w="1360" w:type="dxa"/>
            <w:vAlign w:val="bottom"/>
            <w:shd w:val="clear" w:color="auto" w:fill="DAE9F8"/>
          </w:tcPr>
          <w:p>
            <w:pPr>
              <w:spacing w:after="0"/>
              <w:rPr>
                <w:sz w:val="3"/>
                <w:szCs w:val="3"/>
                <w:color w:val="auto"/>
              </w:rPr>
            </w:pPr>
          </w:p>
        </w:tc>
        <w:tc>
          <w:tcPr>
            <w:tcW w:w="1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5240" w:type="dxa"/>
            <w:vAlign w:val="bottom"/>
          </w:tcPr>
          <w:p>
            <w:pPr>
              <w:spacing w:after="0"/>
              <w:rPr>
                <w:sz w:val="20"/>
                <w:szCs w:val="20"/>
                <w:color w:val="auto"/>
              </w:rPr>
            </w:pPr>
            <w:r>
              <w:rPr>
                <w:rFonts w:ascii="Arial" w:cs="Arial" w:eastAsia="Arial" w:hAnsi="Arial"/>
                <w:sz w:val="18"/>
                <w:szCs w:val="18"/>
                <w:color w:val="auto"/>
              </w:rPr>
              <w:t>Applicable tax rate</w:t>
            </w:r>
          </w:p>
        </w:tc>
        <w:tc>
          <w:tcPr>
            <w:tcW w:w="136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35%</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35%</w:t>
            </w: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6"/>
        </w:trPr>
        <w:tc>
          <w:tcPr>
            <w:tcW w:w="5240" w:type="dxa"/>
            <w:vAlign w:val="bottom"/>
            <w:vMerge w:val="restart"/>
          </w:tcPr>
          <w:p>
            <w:pPr>
              <w:spacing w:after="0"/>
              <w:rPr>
                <w:sz w:val="20"/>
                <w:szCs w:val="20"/>
                <w:color w:val="auto"/>
              </w:rPr>
            </w:pPr>
            <w:r>
              <w:rPr>
                <w:rFonts w:ascii="Arial" w:cs="Arial" w:eastAsia="Arial" w:hAnsi="Arial"/>
                <w:sz w:val="18"/>
                <w:szCs w:val="18"/>
                <w:color w:val="auto"/>
              </w:rPr>
              <w:t>Expected income tax recovery/(expense) for the year at the tax</w:t>
            </w:r>
          </w:p>
        </w:tc>
        <w:tc>
          <w:tcPr>
            <w:tcW w:w="1360" w:type="dxa"/>
            <w:vAlign w:val="bottom"/>
            <w:shd w:val="clear" w:color="auto" w:fill="DAE9F8"/>
          </w:tcPr>
          <w:p>
            <w:pPr>
              <w:spacing w:after="0"/>
              <w:rPr>
                <w:sz w:val="3"/>
                <w:szCs w:val="3"/>
                <w:color w:val="auto"/>
              </w:rPr>
            </w:pPr>
          </w:p>
        </w:tc>
        <w:tc>
          <w:tcPr>
            <w:tcW w:w="1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5240" w:type="dxa"/>
            <w:vAlign w:val="bottom"/>
            <w:vMerge w:val="continue"/>
          </w:tcPr>
          <w:p>
            <w:pPr>
              <w:spacing w:after="0"/>
              <w:rPr>
                <w:sz w:val="20"/>
                <w:szCs w:val="20"/>
                <w:color w:val="auto"/>
              </w:rPr>
            </w:pPr>
          </w:p>
        </w:tc>
        <w:tc>
          <w:tcPr>
            <w:tcW w:w="1360" w:type="dxa"/>
            <w:vAlign w:val="bottom"/>
            <w:vMerge w:val="restart"/>
            <w:shd w:val="clear" w:color="auto" w:fill="DAE9F8"/>
          </w:tcPr>
          <w:p>
            <w:pPr>
              <w:jc w:val="right"/>
              <w:ind w:right="10"/>
              <w:spacing w:after="0"/>
              <w:rPr>
                <w:sz w:val="20"/>
                <w:szCs w:val="20"/>
                <w:color w:val="auto"/>
              </w:rPr>
            </w:pPr>
            <w:r>
              <w:rPr>
                <w:rFonts w:ascii="Arial" w:cs="Arial" w:eastAsia="Arial" w:hAnsi="Arial"/>
                <w:sz w:val="18"/>
                <w:szCs w:val="18"/>
                <w:color w:val="auto"/>
              </w:rPr>
              <w:t>18,681</w:t>
            </w:r>
          </w:p>
        </w:tc>
        <w:tc>
          <w:tcPr>
            <w:tcW w:w="1500" w:type="dxa"/>
            <w:vAlign w:val="bottom"/>
            <w:vMerge w:val="restart"/>
          </w:tcPr>
          <w:p>
            <w:pPr>
              <w:jc w:val="right"/>
              <w:ind w:right="190"/>
              <w:spacing w:after="0"/>
              <w:rPr>
                <w:sz w:val="20"/>
                <w:szCs w:val="20"/>
                <w:color w:val="auto"/>
              </w:rPr>
            </w:pPr>
            <w:r>
              <w:rPr>
                <w:rFonts w:ascii="Arial" w:cs="Arial" w:eastAsia="Arial" w:hAnsi="Arial"/>
                <w:sz w:val="18"/>
                <w:szCs w:val="18"/>
                <w:color w:val="auto"/>
              </w:rPr>
              <w:t>(13,999)</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(88,945</w:t>
            </w:r>
          </w:p>
        </w:tc>
        <w:tc>
          <w:tcPr>
            <w:tcW w:w="0" w:type="dxa"/>
            <w:vAlign w:val="bottom"/>
          </w:tcPr>
          <w:p>
            <w:pPr>
              <w:spacing w:after="0"/>
              <w:rPr>
                <w:sz w:val="1"/>
                <w:szCs w:val="1"/>
                <w:color w:val="auto"/>
              </w:rPr>
            </w:pPr>
          </w:p>
        </w:tc>
      </w:tr>
      <w:tr>
        <w:trPr>
          <w:trHeight w:val="141"/>
        </w:trPr>
        <w:tc>
          <w:tcPr>
            <w:tcW w:w="5240" w:type="dxa"/>
            <w:vAlign w:val="bottom"/>
            <w:vMerge w:val="restart"/>
          </w:tcPr>
          <w:p>
            <w:pPr>
              <w:spacing w:after="0"/>
              <w:rPr>
                <w:sz w:val="20"/>
                <w:szCs w:val="20"/>
                <w:color w:val="auto"/>
              </w:rPr>
            </w:pPr>
            <w:r>
              <w:rPr>
                <w:rFonts w:ascii="Arial" w:cs="Arial" w:eastAsia="Arial" w:hAnsi="Arial"/>
                <w:sz w:val="18"/>
                <w:szCs w:val="18"/>
                <w:color w:val="auto"/>
              </w:rPr>
              <w:t>rate</w:t>
            </w:r>
          </w:p>
        </w:tc>
        <w:tc>
          <w:tcPr>
            <w:tcW w:w="1360" w:type="dxa"/>
            <w:vAlign w:val="bottom"/>
            <w:vMerge w:val="continue"/>
            <w:shd w:val="clear" w:color="auto" w:fill="DAE9F8"/>
          </w:tcPr>
          <w:p>
            <w:pPr>
              <w:spacing w:after="0"/>
              <w:rPr>
                <w:sz w:val="12"/>
                <w:szCs w:val="12"/>
                <w:color w:val="auto"/>
              </w:rPr>
            </w:pPr>
          </w:p>
        </w:tc>
        <w:tc>
          <w:tcPr>
            <w:tcW w:w="150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240" w:type="dxa"/>
            <w:vAlign w:val="bottom"/>
            <w:vMerge w:val="continue"/>
          </w:tcPr>
          <w:p>
            <w:pPr>
              <w:spacing w:after="0"/>
              <w:rPr>
                <w:sz w:val="11"/>
                <w:szCs w:val="11"/>
                <w:color w:val="auto"/>
              </w:rPr>
            </w:pPr>
          </w:p>
        </w:tc>
        <w:tc>
          <w:tcPr>
            <w:tcW w:w="1360" w:type="dxa"/>
            <w:vAlign w:val="bottom"/>
            <w:shd w:val="clear" w:color="auto" w:fill="DAE9F8"/>
          </w:tcPr>
          <w:p>
            <w:pPr>
              <w:spacing w:after="0"/>
              <w:rPr>
                <w:sz w:val="11"/>
                <w:szCs w:val="11"/>
                <w:color w:val="auto"/>
              </w:rPr>
            </w:pPr>
          </w:p>
        </w:tc>
        <w:tc>
          <w:tcPr>
            <w:tcW w:w="1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5240" w:type="dxa"/>
            <w:vAlign w:val="bottom"/>
            <w:vMerge w:val="restart"/>
          </w:tcPr>
          <w:p>
            <w:pPr>
              <w:spacing w:after="0"/>
              <w:rPr>
                <w:sz w:val="20"/>
                <w:szCs w:val="20"/>
                <w:color w:val="auto"/>
              </w:rPr>
            </w:pPr>
            <w:r>
              <w:rPr>
                <w:rFonts w:ascii="Arial" w:cs="Arial" w:eastAsia="Arial" w:hAnsi="Arial"/>
                <w:sz w:val="18"/>
                <w:szCs w:val="18"/>
                <w:color w:val="auto"/>
              </w:rPr>
              <w:t>Increase/(decrease) in income tax provision resulting from:</w:t>
            </w:r>
          </w:p>
        </w:tc>
        <w:tc>
          <w:tcPr>
            <w:tcW w:w="1360" w:type="dxa"/>
            <w:vAlign w:val="bottom"/>
            <w:shd w:val="clear" w:color="auto" w:fill="DAE9F8"/>
          </w:tcPr>
          <w:p>
            <w:pPr>
              <w:spacing w:after="0"/>
              <w:rPr>
                <w:sz w:val="3"/>
                <w:szCs w:val="3"/>
                <w:color w:val="auto"/>
              </w:rPr>
            </w:pPr>
          </w:p>
        </w:tc>
        <w:tc>
          <w:tcPr>
            <w:tcW w:w="1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vMerge w:val="continue"/>
          </w:tcPr>
          <w:p>
            <w:pPr>
              <w:spacing w:after="0"/>
              <w:rPr>
                <w:sz w:val="21"/>
                <w:szCs w:val="21"/>
                <w:color w:val="auto"/>
              </w:rPr>
            </w:pPr>
          </w:p>
        </w:tc>
        <w:tc>
          <w:tcPr>
            <w:tcW w:w="1360" w:type="dxa"/>
            <w:vAlign w:val="bottom"/>
            <w:shd w:val="clear" w:color="auto" w:fill="DAE9F8"/>
          </w:tcPr>
          <w:p>
            <w:pPr>
              <w:spacing w:after="0"/>
              <w:rPr>
                <w:sz w:val="21"/>
                <w:szCs w:val="21"/>
                <w:color w:val="auto"/>
              </w:rPr>
            </w:pPr>
          </w:p>
        </w:tc>
        <w:tc>
          <w:tcPr>
            <w:tcW w:w="1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
        </w:trPr>
        <w:tc>
          <w:tcPr>
            <w:tcW w:w="5240" w:type="dxa"/>
            <w:vAlign w:val="bottom"/>
          </w:tcPr>
          <w:p>
            <w:pPr>
              <w:spacing w:after="0"/>
              <w:rPr>
                <w:sz w:val="4"/>
                <w:szCs w:val="4"/>
                <w:color w:val="auto"/>
              </w:rPr>
            </w:pPr>
          </w:p>
        </w:tc>
        <w:tc>
          <w:tcPr>
            <w:tcW w:w="1360" w:type="dxa"/>
            <w:vAlign w:val="bottom"/>
            <w:shd w:val="clear" w:color="auto" w:fill="DAE9F8"/>
          </w:tcPr>
          <w:p>
            <w:pPr>
              <w:spacing w:after="0"/>
              <w:rPr>
                <w:sz w:val="4"/>
                <w:szCs w:val="4"/>
                <w:color w:val="auto"/>
              </w:rPr>
            </w:pPr>
          </w:p>
        </w:tc>
        <w:tc>
          <w:tcPr>
            <w:tcW w:w="1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5240" w:type="dxa"/>
            <w:vAlign w:val="bottom"/>
          </w:tcPr>
          <w:p>
            <w:pPr>
              <w:spacing w:after="0"/>
              <w:rPr>
                <w:sz w:val="20"/>
                <w:szCs w:val="20"/>
                <w:color w:val="auto"/>
              </w:rPr>
            </w:pPr>
            <w:r>
              <w:rPr>
                <w:rFonts w:ascii="Arial" w:cs="Arial" w:eastAsia="Arial" w:hAnsi="Arial"/>
                <w:sz w:val="18"/>
                <w:szCs w:val="18"/>
                <w:color w:val="auto"/>
              </w:rPr>
              <w:t>Tax inflation adjustment, impact of rate changes and others*</w:t>
            </w:r>
          </w:p>
        </w:tc>
        <w:tc>
          <w:tcPr>
            <w:tcW w:w="136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(4,067)</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(58,834)</w:t>
            </w:r>
          </w:p>
        </w:tc>
        <w:tc>
          <w:tcPr>
            <w:tcW w:w="1000" w:type="dxa"/>
            <w:vAlign w:val="bottom"/>
          </w:tcPr>
          <w:p>
            <w:pPr>
              <w:jc w:val="right"/>
              <w:spacing w:after="0"/>
              <w:rPr>
                <w:sz w:val="20"/>
                <w:szCs w:val="20"/>
                <w:color w:val="auto"/>
              </w:rPr>
            </w:pPr>
            <w:r>
              <w:rPr>
                <w:rFonts w:ascii="Arial" w:cs="Arial" w:eastAsia="Arial" w:hAnsi="Arial"/>
                <w:sz w:val="18"/>
                <w:szCs w:val="18"/>
                <w:color w:val="auto"/>
              </w:rPr>
              <w:t>(35,641</w:t>
            </w:r>
          </w:p>
        </w:tc>
        <w:tc>
          <w:tcPr>
            <w:tcW w:w="0" w:type="dxa"/>
            <w:vAlign w:val="bottom"/>
          </w:tcPr>
          <w:p>
            <w:pPr>
              <w:spacing w:after="0"/>
              <w:rPr>
                <w:sz w:val="1"/>
                <w:szCs w:val="1"/>
                <w:color w:val="auto"/>
              </w:rPr>
            </w:pPr>
          </w:p>
        </w:tc>
      </w:tr>
      <w:tr>
        <w:trPr>
          <w:trHeight w:val="36"/>
        </w:trPr>
        <w:tc>
          <w:tcPr>
            <w:tcW w:w="5240" w:type="dxa"/>
            <w:vAlign w:val="bottom"/>
          </w:tcPr>
          <w:p>
            <w:pPr>
              <w:spacing w:after="0"/>
              <w:rPr>
                <w:sz w:val="3"/>
                <w:szCs w:val="3"/>
                <w:color w:val="auto"/>
              </w:rPr>
            </w:pPr>
          </w:p>
        </w:tc>
        <w:tc>
          <w:tcPr>
            <w:tcW w:w="1360" w:type="dxa"/>
            <w:vAlign w:val="bottom"/>
            <w:shd w:val="clear" w:color="auto" w:fill="DAE9F8"/>
          </w:tcPr>
          <w:p>
            <w:pPr>
              <w:spacing w:after="0"/>
              <w:rPr>
                <w:sz w:val="3"/>
                <w:szCs w:val="3"/>
                <w:color w:val="auto"/>
              </w:rPr>
            </w:pPr>
          </w:p>
        </w:tc>
        <w:tc>
          <w:tcPr>
            <w:tcW w:w="1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5240" w:type="dxa"/>
            <w:vAlign w:val="bottom"/>
          </w:tcPr>
          <w:p>
            <w:pPr>
              <w:spacing w:after="0"/>
              <w:rPr>
                <w:sz w:val="20"/>
                <w:szCs w:val="20"/>
                <w:color w:val="auto"/>
              </w:rPr>
            </w:pPr>
            <w:r>
              <w:rPr>
                <w:rFonts w:ascii="Arial" w:cs="Arial" w:eastAsia="Arial" w:hAnsi="Arial"/>
                <w:sz w:val="18"/>
                <w:szCs w:val="18"/>
                <w:b w:val="1"/>
                <w:bCs w:val="1"/>
                <w:color w:val="auto"/>
              </w:rPr>
              <w:t>Total income tax recovery/(expense) for the fiscal year</w:t>
            </w:r>
          </w:p>
        </w:tc>
        <w:tc>
          <w:tcPr>
            <w:tcW w:w="1360" w:type="dxa"/>
            <w:vAlign w:val="bottom"/>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14,614</w:t>
            </w: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(72,833)</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(124,586</w:t>
            </w:r>
          </w:p>
        </w:tc>
        <w:tc>
          <w:tcPr>
            <w:tcW w:w="0" w:type="dxa"/>
            <w:vAlign w:val="bottom"/>
          </w:tcPr>
          <w:p>
            <w:pPr>
              <w:spacing w:after="0"/>
              <w:rPr>
                <w:sz w:val="1"/>
                <w:szCs w:val="1"/>
                <w:color w:val="auto"/>
              </w:rPr>
            </w:pPr>
          </w:p>
        </w:tc>
      </w:tr>
      <w:tr>
        <w:trPr>
          <w:trHeight w:val="282"/>
        </w:trPr>
        <w:tc>
          <w:tcPr>
            <w:tcW w:w="5240" w:type="dxa"/>
            <w:vAlign w:val="bottom"/>
          </w:tcPr>
          <w:p>
            <w:pPr>
              <w:spacing w:after="0"/>
              <w:rPr>
                <w:sz w:val="20"/>
                <w:szCs w:val="20"/>
                <w:color w:val="auto"/>
              </w:rPr>
            </w:pPr>
            <w:r>
              <w:rPr>
                <w:rFonts w:ascii="Arial" w:cs="Arial" w:eastAsia="Arial" w:hAnsi="Arial"/>
                <w:sz w:val="18"/>
                <w:szCs w:val="18"/>
                <w:color w:val="auto"/>
              </w:rPr>
              <w:t>Current income taxes</w:t>
            </w:r>
          </w:p>
        </w:tc>
        <w:tc>
          <w:tcPr>
            <w:tcW w:w="136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240" w:type="dxa"/>
            <w:vAlign w:val="bottom"/>
          </w:tcPr>
          <w:p>
            <w:pPr>
              <w:spacing w:after="0"/>
              <w:rPr>
                <w:sz w:val="20"/>
                <w:szCs w:val="20"/>
                <w:color w:val="auto"/>
              </w:rPr>
            </w:pPr>
            <w:r>
              <w:rPr>
                <w:rFonts w:ascii="Arial" w:cs="Arial" w:eastAsia="Arial" w:hAnsi="Arial"/>
                <w:sz w:val="18"/>
                <w:szCs w:val="18"/>
                <w:color w:val="auto"/>
              </w:rPr>
              <w:t>Deferred income tax recovery/(expense)</w:t>
            </w:r>
          </w:p>
        </w:tc>
        <w:tc>
          <w:tcPr>
            <w:tcW w:w="1360" w:type="dxa"/>
            <w:vAlign w:val="bottom"/>
            <w:shd w:val="clear" w:color="auto" w:fill="DAE9F8"/>
          </w:tcPr>
          <w:p>
            <w:pPr>
              <w:jc w:val="right"/>
              <w:ind w:right="10"/>
              <w:spacing w:after="0"/>
              <w:rPr>
                <w:sz w:val="20"/>
                <w:szCs w:val="20"/>
                <w:color w:val="auto"/>
              </w:rPr>
            </w:pPr>
            <w:r>
              <w:rPr>
                <w:rFonts w:ascii="Arial" w:cs="Arial" w:eastAsia="Arial" w:hAnsi="Arial"/>
                <w:sz w:val="18"/>
                <w:szCs w:val="18"/>
                <w:color w:val="auto"/>
              </w:rPr>
              <w:t>14,614</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(72,833)</w:t>
            </w:r>
          </w:p>
        </w:tc>
        <w:tc>
          <w:tcPr>
            <w:tcW w:w="1000" w:type="dxa"/>
            <w:vAlign w:val="bottom"/>
          </w:tcPr>
          <w:p>
            <w:pPr>
              <w:jc w:val="right"/>
              <w:spacing w:after="0"/>
              <w:rPr>
                <w:sz w:val="20"/>
                <w:szCs w:val="20"/>
                <w:color w:val="auto"/>
              </w:rPr>
            </w:pPr>
            <w:r>
              <w:rPr>
                <w:rFonts w:ascii="Arial" w:cs="Arial" w:eastAsia="Arial" w:hAnsi="Arial"/>
                <w:sz w:val="18"/>
                <w:szCs w:val="18"/>
                <w:color w:val="auto"/>
              </w:rPr>
              <w:t>(124,586</w:t>
            </w:r>
          </w:p>
        </w:tc>
        <w:tc>
          <w:tcPr>
            <w:tcW w:w="0" w:type="dxa"/>
            <w:vAlign w:val="bottom"/>
          </w:tcPr>
          <w:p>
            <w:pPr>
              <w:spacing w:after="0"/>
              <w:rPr>
                <w:sz w:val="1"/>
                <w:szCs w:val="1"/>
                <w:color w:val="auto"/>
              </w:rPr>
            </w:pPr>
          </w:p>
        </w:tc>
      </w:tr>
      <w:tr>
        <w:trPr>
          <w:trHeight w:val="282"/>
        </w:trPr>
        <w:tc>
          <w:tcPr>
            <w:tcW w:w="5240" w:type="dxa"/>
            <w:vAlign w:val="bottom"/>
          </w:tcPr>
          <w:p>
            <w:pPr>
              <w:spacing w:after="0"/>
              <w:rPr>
                <w:sz w:val="20"/>
                <w:szCs w:val="20"/>
                <w:color w:val="auto"/>
              </w:rPr>
            </w:pPr>
            <w:r>
              <w:rPr>
                <w:rFonts w:ascii="Arial" w:cs="Arial" w:eastAsia="Arial" w:hAnsi="Arial"/>
                <w:sz w:val="18"/>
                <w:szCs w:val="18"/>
                <w:b w:val="1"/>
                <w:bCs w:val="1"/>
                <w:color w:val="auto"/>
              </w:rPr>
              <w:t>Total income tax recovery/(expense)</w:t>
            </w:r>
          </w:p>
        </w:tc>
        <w:tc>
          <w:tcPr>
            <w:tcW w:w="1360" w:type="dxa"/>
            <w:vAlign w:val="bottom"/>
            <w:shd w:val="clear" w:color="auto" w:fill="DAE9F8"/>
          </w:tcPr>
          <w:p>
            <w:pPr>
              <w:jc w:val="right"/>
              <w:ind w:right="10"/>
              <w:spacing w:after="0"/>
              <w:rPr>
                <w:sz w:val="20"/>
                <w:szCs w:val="20"/>
                <w:color w:val="auto"/>
              </w:rPr>
            </w:pPr>
            <w:r>
              <w:rPr>
                <w:rFonts w:ascii="Arial" w:cs="Arial" w:eastAsia="Arial" w:hAnsi="Arial"/>
                <w:sz w:val="18"/>
                <w:szCs w:val="18"/>
                <w:b w:val="1"/>
                <w:bCs w:val="1"/>
                <w:color w:val="auto"/>
              </w:rPr>
              <w:t>14,614</w:t>
            </w: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(72,833)</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(124,586</w:t>
            </w:r>
          </w:p>
        </w:tc>
        <w:tc>
          <w:tcPr>
            <w:tcW w:w="0" w:type="dxa"/>
            <w:vAlign w:val="bottom"/>
          </w:tcPr>
          <w:p>
            <w:pPr>
              <w:spacing w:after="0"/>
              <w:rPr>
                <w:sz w:val="1"/>
                <w:szCs w:val="1"/>
                <w:color w:val="auto"/>
              </w:rPr>
            </w:pPr>
          </w:p>
        </w:tc>
      </w:tr>
      <w:tr>
        <w:trPr>
          <w:trHeight w:val="56"/>
        </w:trPr>
        <w:tc>
          <w:tcPr>
            <w:tcW w:w="5240" w:type="dxa"/>
            <w:vAlign w:val="bottom"/>
          </w:tcPr>
          <w:p>
            <w:pPr>
              <w:spacing w:after="0"/>
              <w:rPr>
                <w:sz w:val="4"/>
                <w:szCs w:val="4"/>
                <w:color w:val="auto"/>
              </w:rPr>
            </w:pPr>
          </w:p>
        </w:tc>
        <w:tc>
          <w:tcPr>
            <w:tcW w:w="1360" w:type="dxa"/>
            <w:vAlign w:val="bottom"/>
            <w:shd w:val="clear" w:color="auto" w:fill="DAE9F8"/>
          </w:tcPr>
          <w:p>
            <w:pPr>
              <w:spacing w:after="0"/>
              <w:rPr>
                <w:sz w:val="4"/>
                <w:szCs w:val="4"/>
                <w:color w:val="auto"/>
              </w:rPr>
            </w:pPr>
          </w:p>
        </w:tc>
        <w:tc>
          <w:tcPr>
            <w:tcW w:w="1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-1973580</wp:posOffset>
            </wp:positionV>
            <wp:extent cx="2455545" cy="1270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30">
                      <a:extLst>
                        <a:ext uri="{28A0092B-C50C-407E-A947-70E740481C1C}"/>
                      </a:extLst>
                    </a:blip>
                    <a:srcRect/>
                    <a:stretch>
                      <a:fillRect/>
                    </a:stretch>
                  </pic:blipFill>
                  <pic:spPr bwMode="auto">
                    <a:xfrm>
                      <a:off x="0" y="0"/>
                      <a:ext cx="2455545" cy="1270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-1788160</wp:posOffset>
            </wp:positionV>
            <wp:extent cx="5849620" cy="1270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31">
                      <a:extLst>
                        <a:ext uri="{28A0092B-C50C-407E-A947-70E740481C1C}"/>
                      </a:extLst>
                    </a:blip>
                    <a:srcRect/>
                    <a:stretch>
                      <a:fillRect/>
                    </a:stretch>
                  </pic:blipFill>
                  <pic:spPr bwMode="auto">
                    <a:xfrm>
                      <a:off x="0" y="0"/>
                      <a:ext cx="5849620" cy="12700"/>
                    </a:xfrm>
                    <a:prstGeom prst="rect">
                      <a:avLst/>
                    </a:prstGeom>
                    <a:noFill/>
                  </pic:spPr>
                </pic:pic>
              </a:graphicData>
            </a:graphic>
          </wp:anchor>
        </w:drawing>
        <w:drawing>
          <wp:anchor simplePos="0" relativeHeight="251657728" behindDoc="1" locked="0" layoutInCell="0" allowOverlap="1">
            <wp:simplePos x="0" y="0"/>
            <wp:positionH relativeFrom="column">
              <wp:posOffset>4189730</wp:posOffset>
            </wp:positionH>
            <wp:positionV relativeFrom="paragraph">
              <wp:posOffset>-1430655</wp:posOffset>
            </wp:positionV>
            <wp:extent cx="2455545" cy="635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32">
                      <a:extLst>
                        <a:ext uri="{28A0092B-C50C-407E-A947-70E740481C1C}"/>
                      </a:extLst>
                    </a:blip>
                    <a:srcRect/>
                    <a:stretch>
                      <a:fillRect/>
                    </a:stretch>
                  </pic:blipFill>
                  <pic:spPr bwMode="auto">
                    <a:xfrm>
                      <a:off x="0" y="0"/>
                      <a:ext cx="2455545" cy="6350"/>
                    </a:xfrm>
                    <a:prstGeom prst="rect">
                      <a:avLst/>
                    </a:prstGeom>
                    <a:noFill/>
                  </pic:spPr>
                </pic:pic>
              </a:graphicData>
            </a:graphic>
          </wp:anchor>
        </w:drawing>
        <w:drawing>
          <wp:anchor simplePos="0" relativeHeight="251657728" behindDoc="1" locked="0" layoutInCell="0" allowOverlap="1">
            <wp:simplePos x="0" y="0"/>
            <wp:positionH relativeFrom="column">
              <wp:posOffset>4189730</wp:posOffset>
            </wp:positionH>
            <wp:positionV relativeFrom="paragraph">
              <wp:posOffset>-721360</wp:posOffset>
            </wp:positionV>
            <wp:extent cx="2455545" cy="18542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33">
                      <a:extLst>
                        <a:ext uri="{28A0092B-C50C-407E-A947-70E740481C1C}"/>
                      </a:extLst>
                    </a:blip>
                    <a:srcRect/>
                    <a:stretch>
                      <a:fillRect/>
                    </a:stretch>
                  </pic:blipFill>
                  <pic:spPr bwMode="auto">
                    <a:xfrm>
                      <a:off x="0" y="0"/>
                      <a:ext cx="2455545" cy="18542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-191135</wp:posOffset>
            </wp:positionV>
            <wp:extent cx="5849620" cy="19177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34">
                      <a:extLst>
                        <a:ext uri="{28A0092B-C50C-407E-A947-70E740481C1C}"/>
                      </a:extLst>
                    </a:blip>
                    <a:srcRect/>
                    <a:stretch>
                      <a:fillRect/>
                    </a:stretch>
                  </pic:blipFill>
                  <pic:spPr bwMode="auto">
                    <a:xfrm>
                      <a:off x="0" y="0"/>
                      <a:ext cx="5849620" cy="191770"/>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 Includes adjustment for tax inflation, conversion differences, and other permanent differences.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49 / 58</w:t>
      </w:r>
    </w:p>
    <w:p>
      <w:pPr>
        <w:sectPr>
          <w:pgSz w:w="11900" w:h="16838" w:orient="portrait"/>
          <w:cols w:equalWidth="0" w:num="1">
            <w:col w:w="10460"/>
          </w:cols>
          <w:pgMar w:left="1440" w:top="1440" w:right="6" w:bottom="0" w:gutter="0" w:footer="0" w:header="0"/>
          <w:type w:val="continuous"/>
        </w:sectPr>
      </w:pPr>
    </w:p>
    <w:bookmarkStart w:id="661" w:name="page662"/>
    <w:bookmarkEnd w:id="661"/>
    <w:p>
      <w:pPr>
        <w:ind w:left="1260"/>
        <w:spacing w:after="0"/>
        <w:rPr>
          <w:sz w:val="20"/>
          <w:szCs w:val="20"/>
          <w:color w:val="auto"/>
        </w:rPr>
      </w:pPr>
      <w:r>
        <w:rPr>
          <w:rFonts w:ascii="Arial" w:cs="Arial" w:eastAsia="Arial" w:hAnsi="Arial"/>
          <w:sz w:val="20"/>
          <w:szCs w:val="20"/>
          <w:b w:val="1"/>
          <w:bCs w:val="1"/>
          <w:color w:val="auto"/>
        </w:rPr>
        <w:t>22. GLOBAL PROGRAM FOR THE ISSUANCE OF NEGOTIABLE BONDS</w:t>
      </w:r>
    </w:p>
    <w:p>
      <w:pPr>
        <w:spacing w:after="0" w:line="319"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On February 21, 2024, the shareholders of the Company approved the creation of a Global Program fo the issuance of non-convertible Negotiable Bonds for a maximum amount of $500,000 or its equivalent i other currencies (“the Program”). On February 22, 2024, the Board of Directors approved the terms an conditions of the Program. The Program was authorised by the National Securities Commission on August 14, 2024.</w:t>
      </w:r>
    </w:p>
    <w:p>
      <w:pPr>
        <w:spacing w:after="0" w:line="135"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35">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65"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50 / 58</w:t>
      </w:r>
    </w:p>
    <w:p>
      <w:pPr>
        <w:sectPr>
          <w:pgSz w:w="11900" w:h="16838" w:orient="portrait"/>
          <w:cols w:equalWidth="0" w:num="1">
            <w:col w:w="10460"/>
          </w:cols>
          <w:pgMar w:left="1440" w:top="1165" w:right="6" w:bottom="0" w:gutter="0" w:footer="0" w:header="0"/>
          <w:type w:val="continuous"/>
        </w:sectPr>
      </w:pPr>
    </w:p>
    <w:bookmarkStart w:id="662" w:name="page663"/>
    <w:bookmarkEnd w:id="662"/>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22. GLOBAL PROGRAM FOR THE ISSUANCE OF NEGOTIABLE BONDS </w:t>
      </w:r>
      <w:r>
        <w:rPr>
          <w:rFonts w:ascii="Arial" w:cs="Arial" w:eastAsia="Arial" w:hAnsi="Arial"/>
          <w:sz w:val="20"/>
          <w:szCs w:val="20"/>
          <w:i w:val="1"/>
          <w:iCs w:val="1"/>
          <w:color w:val="auto"/>
        </w:rPr>
        <w:t>(continued)</w:t>
      </w:r>
    </w:p>
    <w:p>
      <w:pPr>
        <w:spacing w:after="0" w:line="319"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On November 7, 2024, the Company issued Class I negotiable bonds for total proceeds of $50,000 (th “Bonds”). Class I bonds are denominated and payable in US dollars in Argentina, at a fixed annua nominal interest rate of 8% with semi-annual interest payments, and are unsecured. The Bonds principa will mature in two equal tranches of $25,000: the first tranche on May 11, 2027, and the second tranch on November 11, 2027.</w:t>
      </w:r>
    </w:p>
    <w:p>
      <w:pPr>
        <w:spacing w:after="0" w:line="250" w:lineRule="exact"/>
        <w:rPr>
          <w:sz w:val="20"/>
          <w:szCs w:val="20"/>
          <w:color w:val="auto"/>
        </w:rPr>
      </w:pPr>
    </w:p>
    <w:p>
      <w:pPr>
        <w:jc w:val="both"/>
        <w:ind w:left="1260" w:right="40"/>
        <w:spacing w:after="0" w:line="311" w:lineRule="auto"/>
        <w:rPr>
          <w:sz w:val="20"/>
          <w:szCs w:val="20"/>
          <w:color w:val="auto"/>
        </w:rPr>
      </w:pPr>
      <w:r>
        <w:rPr>
          <w:rFonts w:ascii="Arial" w:cs="Arial" w:eastAsia="Arial" w:hAnsi="Arial"/>
          <w:sz w:val="20"/>
          <w:szCs w:val="20"/>
          <w:color w:val="auto"/>
        </w:rPr>
        <w:t>As at December 31, 2025 the carrying value of the Bonds is $50,109 measured at amortised cost. Th fair value of the Bonds as of December 31, 2025, determined by reference to quoted market prices (Lev 1), was $48,826.</w:t>
      </w:r>
    </w:p>
    <w:p>
      <w:pPr>
        <w:spacing w:after="0" w:line="252" w:lineRule="exact"/>
        <w:rPr>
          <w:sz w:val="20"/>
          <w:szCs w:val="20"/>
          <w:color w:val="auto"/>
        </w:rPr>
      </w:pPr>
    </w:p>
    <w:p>
      <w:pPr>
        <w:ind w:left="1260" w:right="6300" w:hanging="6"/>
        <w:spacing w:after="0" w:line="595" w:lineRule="auto"/>
        <w:tabs>
          <w:tab w:leader="none" w:pos="1594" w:val="left"/>
        </w:tabs>
        <w:numPr>
          <w:ilvl w:val="0"/>
          <w:numId w:val="308"/>
        </w:numPr>
        <w:rPr>
          <w:rFonts w:ascii="Arial" w:cs="Arial" w:eastAsia="Arial" w:hAnsi="Arial"/>
          <w:sz w:val="19"/>
          <w:szCs w:val="19"/>
          <w:b w:val="1"/>
          <w:bCs w:val="1"/>
          <w:color w:val="auto"/>
        </w:rPr>
      </w:pPr>
      <w:r>
        <w:rPr>
          <w:rFonts w:ascii="Arial" w:cs="Arial" w:eastAsia="Arial" w:hAnsi="Arial"/>
          <w:sz w:val="19"/>
          <w:szCs w:val="19"/>
          <w:b w:val="1"/>
          <w:bCs w:val="1"/>
          <w:color w:val="auto"/>
        </w:rPr>
        <w:t>FINANCIAL INSTRUMENTS a) Fair value measurements</w:t>
      </w:r>
    </w:p>
    <w:p>
      <w:pPr>
        <w:jc w:val="both"/>
        <w:ind w:left="1260"/>
        <w:spacing w:after="0" w:line="311" w:lineRule="auto"/>
        <w:rPr>
          <w:sz w:val="20"/>
          <w:szCs w:val="20"/>
          <w:color w:val="auto"/>
        </w:rPr>
      </w:pPr>
      <w:r>
        <w:rPr>
          <w:rFonts w:ascii="Arial" w:cs="Arial" w:eastAsia="Arial" w:hAnsi="Arial"/>
          <w:sz w:val="20"/>
          <w:szCs w:val="20"/>
          <w:color w:val="auto"/>
        </w:rPr>
        <w:t>Financial instruments recorded at fair value on the statements of financial position and presented in fai value disclosures are classified using a fair value hierarchy that reflects the significance of the inputs use in making the measurements. The fair value hierarchy has the following levels:</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Level 1 – Unadjusted quoted prices in active markets for identical assets or liabilities;</w:t>
      </w:r>
    </w:p>
    <w:p>
      <w:pPr>
        <w:spacing w:after="0" w:line="79" w:lineRule="exact"/>
        <w:rPr>
          <w:sz w:val="20"/>
          <w:szCs w:val="20"/>
          <w:color w:val="auto"/>
        </w:rPr>
      </w:pPr>
    </w:p>
    <w:p>
      <w:pPr>
        <w:jc w:val="both"/>
        <w:ind w:left="1260"/>
        <w:spacing w:after="0" w:line="307" w:lineRule="auto"/>
        <w:rPr>
          <w:sz w:val="20"/>
          <w:szCs w:val="20"/>
          <w:color w:val="auto"/>
        </w:rPr>
      </w:pPr>
      <w:r>
        <w:rPr>
          <w:rFonts w:ascii="Arial" w:cs="Arial" w:eastAsia="Arial" w:hAnsi="Arial"/>
          <w:sz w:val="20"/>
          <w:szCs w:val="20"/>
          <w:color w:val="auto"/>
        </w:rPr>
        <w:t>Level 2 – Inputs other than quoted prices that are observable for assets or liabilities, either directly o indirectly; and</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Level 3 – Inputs for assets and liabilities that are not based on observable market data.</w:t>
      </w:r>
    </w:p>
    <w:p>
      <w:pPr>
        <w:spacing w:after="0" w:line="319" w:lineRule="exact"/>
        <w:rPr>
          <w:sz w:val="20"/>
          <w:szCs w:val="20"/>
          <w:color w:val="auto"/>
        </w:rPr>
      </w:pPr>
    </w:p>
    <w:p>
      <w:pPr>
        <w:jc w:val="both"/>
        <w:ind w:left="1260" w:right="20"/>
        <w:spacing w:after="0" w:line="311" w:lineRule="auto"/>
        <w:rPr>
          <w:sz w:val="20"/>
          <w:szCs w:val="20"/>
          <w:color w:val="auto"/>
        </w:rPr>
      </w:pPr>
      <w:r>
        <w:rPr>
          <w:rFonts w:ascii="Arial" w:cs="Arial" w:eastAsia="Arial" w:hAnsi="Arial"/>
          <w:sz w:val="20"/>
          <w:szCs w:val="20"/>
          <w:color w:val="auto"/>
        </w:rPr>
        <w:t>The fair value hierarchy requires the use of observable market inputs whenever such inputs are availabl A financial instrument is classified at the lowest level of the hierarchy for which a significant input ha been used in measuring fair value.</w:t>
      </w:r>
    </w:p>
    <w:p>
      <w:pPr>
        <w:spacing w:after="0" w:line="252" w:lineRule="exact"/>
        <w:rPr>
          <w:sz w:val="20"/>
          <w:szCs w:val="20"/>
          <w:color w:val="auto"/>
        </w:rPr>
      </w:pPr>
    </w:p>
    <w:p>
      <w:pPr>
        <w:jc w:val="both"/>
        <w:ind w:left="1260" w:right="40"/>
        <w:spacing w:after="0" w:line="311" w:lineRule="auto"/>
        <w:rPr>
          <w:sz w:val="20"/>
          <w:szCs w:val="20"/>
          <w:color w:val="auto"/>
        </w:rPr>
      </w:pPr>
      <w:r>
        <w:rPr>
          <w:rFonts w:ascii="Arial" w:cs="Arial" w:eastAsia="Arial" w:hAnsi="Arial"/>
          <w:sz w:val="20"/>
          <w:szCs w:val="20"/>
          <w:color w:val="auto"/>
        </w:rPr>
        <w:t>Cash and cash equivalents, trade and other receivables, accounts payable, negotiable bonds, and th Los Boros royalty obligation are measured at amortized cost, with carrying amounts disclosed in th respective notes.</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Financial investments and the embedded derivative on the related party loans are measured at FVTPL.</w:t>
      </w:r>
    </w:p>
    <w:p>
      <w:pPr>
        <w:spacing w:after="0" w:line="319" w:lineRule="exact"/>
        <w:rPr>
          <w:sz w:val="20"/>
          <w:szCs w:val="20"/>
          <w:color w:val="auto"/>
        </w:rPr>
      </w:pPr>
    </w:p>
    <w:p>
      <w:pPr>
        <w:jc w:val="both"/>
        <w:ind w:left="1260" w:right="20"/>
        <w:spacing w:after="0" w:line="312" w:lineRule="auto"/>
        <w:rPr>
          <w:sz w:val="20"/>
          <w:szCs w:val="20"/>
          <w:color w:val="auto"/>
        </w:rPr>
      </w:pPr>
      <w:r>
        <w:rPr>
          <w:rFonts w:ascii="Arial" w:cs="Arial" w:eastAsia="Arial" w:hAnsi="Arial"/>
          <w:sz w:val="20"/>
          <w:szCs w:val="20"/>
          <w:color w:val="auto"/>
        </w:rPr>
        <w:t>Financial investments comprise short-term instruments denominated in Argentine pesos, held to partiall offset the Company's net ARS monetary exposure. Sovereign bonds and other financial instruments ar classified at Level 1 with fair value determined using quoted market prices; mutual fund holdings ar classified at Level 2 with fair value determined using observable net asset values published by fun</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51 / 58</w:t>
      </w:r>
    </w:p>
    <w:p>
      <w:pPr>
        <w:sectPr>
          <w:pgSz w:w="11900" w:h="16838" w:orient="portrait"/>
          <w:cols w:equalWidth="0" w:num="1">
            <w:col w:w="10460"/>
          </w:cols>
          <w:pgMar w:left="1440" w:top="1440" w:right="6" w:bottom="0" w:gutter="0" w:footer="0" w:header="0"/>
          <w:type w:val="continuous"/>
        </w:sectPr>
      </w:pPr>
    </w:p>
    <w:bookmarkStart w:id="663" w:name="page664"/>
    <w:bookmarkEnd w:id="663"/>
    <w:p>
      <w:pPr>
        <w:jc w:val="both"/>
        <w:ind w:left="1260"/>
        <w:spacing w:after="0" w:line="311" w:lineRule="auto"/>
        <w:rPr>
          <w:sz w:val="20"/>
          <w:szCs w:val="20"/>
          <w:color w:val="auto"/>
        </w:rPr>
      </w:pPr>
      <w:r>
        <w:rPr>
          <w:rFonts w:ascii="Arial" w:cs="Arial" w:eastAsia="Arial" w:hAnsi="Arial"/>
          <w:sz w:val="20"/>
          <w:szCs w:val="20"/>
          <w:color w:val="auto"/>
        </w:rPr>
        <w:t>managers. The embedded derivative on related party loans is classified at Level 2 with fair value determined using the spread between the Blue-Chip Swap rate and the official Argentine Central Ban exchange rate applied to the outstanding USD loan balance (Note 18).</w:t>
      </w:r>
    </w:p>
    <w:p>
      <w:pPr>
        <w:spacing w:after="0" w:line="252" w:lineRule="exact"/>
        <w:rPr>
          <w:sz w:val="20"/>
          <w:szCs w:val="20"/>
          <w:color w:val="auto"/>
        </w:rPr>
      </w:pPr>
    </w:p>
    <w:p>
      <w:pPr>
        <w:ind w:left="1260" w:right="60"/>
        <w:spacing w:after="0" w:line="307" w:lineRule="auto"/>
        <w:rPr>
          <w:sz w:val="20"/>
          <w:szCs w:val="20"/>
          <w:color w:val="auto"/>
        </w:rPr>
      </w:pPr>
      <w:r>
        <w:rPr>
          <w:rFonts w:ascii="Arial" w:cs="Arial" w:eastAsia="Arial" w:hAnsi="Arial"/>
          <w:sz w:val="20"/>
          <w:szCs w:val="20"/>
          <w:color w:val="auto"/>
        </w:rPr>
        <w:t>During the year ended December 31, 2025, net fair value gains/(losses) on financial investments of $75 (2024: $nil) were recognized in profit or loss.</w:t>
      </w:r>
    </w:p>
    <w:p>
      <w:pPr>
        <w:spacing w:after="0" w:line="255" w:lineRule="exact"/>
        <w:rPr>
          <w:sz w:val="20"/>
          <w:szCs w:val="20"/>
          <w:color w:val="auto"/>
        </w:rPr>
      </w:pPr>
    </w:p>
    <w:p>
      <w:pPr>
        <w:ind w:left="1260" w:right="60"/>
        <w:spacing w:after="0" w:line="311" w:lineRule="auto"/>
        <w:rPr>
          <w:sz w:val="20"/>
          <w:szCs w:val="20"/>
          <w:color w:val="auto"/>
        </w:rPr>
      </w:pPr>
      <w:r>
        <w:rPr>
          <w:rFonts w:ascii="Arial" w:cs="Arial" w:eastAsia="Arial" w:hAnsi="Arial"/>
          <w:sz w:val="20"/>
          <w:szCs w:val="20"/>
          <w:color w:val="auto"/>
        </w:rPr>
        <w:t>The negotiable bonds (Note 22) are carried at amortized cost; their fair value based on quoted market prices (Level 1) was $48,826 as at December 31, 2025 (2024 - $43,361). The carrying value of all other financial instruments measured at amortized cost approximates their fair value.</w:t>
      </w:r>
    </w:p>
    <w:p>
      <w:pPr>
        <w:spacing w:after="0" w:line="137"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36">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52 / 58</w:t>
      </w:r>
    </w:p>
    <w:p>
      <w:pPr>
        <w:sectPr>
          <w:pgSz w:w="11900" w:h="16838" w:orient="portrait"/>
          <w:cols w:equalWidth="0" w:num="1">
            <w:col w:w="10460"/>
          </w:cols>
          <w:pgMar w:left="1440" w:top="1172" w:right="6" w:bottom="0" w:gutter="0" w:footer="0" w:header="0"/>
          <w:type w:val="continuous"/>
        </w:sectPr>
      </w:pPr>
    </w:p>
    <w:bookmarkStart w:id="664" w:name="page665"/>
    <w:bookmarkEnd w:id="664"/>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 xml:space="preserve">23. FINANCIAL INSTRUMENTS </w:t>
      </w:r>
      <w:r>
        <w:rPr>
          <w:rFonts w:ascii="Arial" w:cs="Arial" w:eastAsia="Arial" w:hAnsi="Arial"/>
          <w:sz w:val="20"/>
          <w:szCs w:val="20"/>
          <w:i w:val="1"/>
          <w:iCs w:val="1"/>
          <w:color w:val="auto"/>
        </w:rPr>
        <w:t>(continued)</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b) Financial risk management</w:t>
      </w:r>
    </w:p>
    <w:p>
      <w:pPr>
        <w:spacing w:after="0" w:line="319" w:lineRule="exact"/>
        <w:rPr>
          <w:sz w:val="20"/>
          <w:szCs w:val="20"/>
          <w:color w:val="auto"/>
        </w:rPr>
      </w:pPr>
    </w:p>
    <w:p>
      <w:pPr>
        <w:jc w:val="both"/>
        <w:ind w:left="1260" w:right="20"/>
        <w:spacing w:after="0" w:line="311" w:lineRule="auto"/>
        <w:rPr>
          <w:sz w:val="20"/>
          <w:szCs w:val="20"/>
          <w:color w:val="auto"/>
        </w:rPr>
      </w:pPr>
      <w:r>
        <w:rPr>
          <w:rFonts w:ascii="Arial" w:cs="Arial" w:eastAsia="Arial" w:hAnsi="Arial"/>
          <w:sz w:val="20"/>
          <w:szCs w:val="20"/>
          <w:color w:val="auto"/>
        </w:rPr>
        <w:t>The Company manages risks to minimize potential losses. The primary objective of the Company’s ris management process is to ensure that the risks are properly identified and monitored, and that the capit base maintained by the Company is adequate in relation to those risks.</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The principal risks impacting the Company’s financial instruments are described below.</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Credit Risk</w:t>
      </w:r>
    </w:p>
    <w:p>
      <w:pPr>
        <w:spacing w:after="0" w:line="319" w:lineRule="exact"/>
        <w:rPr>
          <w:sz w:val="20"/>
          <w:szCs w:val="20"/>
          <w:color w:val="auto"/>
        </w:rPr>
      </w:pPr>
    </w:p>
    <w:p>
      <w:pPr>
        <w:jc w:val="both"/>
        <w:ind w:left="1260"/>
        <w:spacing w:after="0" w:line="312" w:lineRule="auto"/>
        <w:rPr>
          <w:sz w:val="20"/>
          <w:szCs w:val="20"/>
          <w:color w:val="auto"/>
        </w:rPr>
      </w:pPr>
      <w:r>
        <w:rPr>
          <w:rFonts w:ascii="Arial" w:cs="Arial" w:eastAsia="Arial" w:hAnsi="Arial"/>
          <w:sz w:val="20"/>
          <w:szCs w:val="20"/>
          <w:color w:val="auto"/>
        </w:rPr>
        <w:t>Credit risk is the risk of loss associated with a counterparty’s inability to fulfill its payment obligations. Th Company's accounts receivable arise primarily from lithium carbonate sales to its shareholders, Lithium Argentina and Ganfeng (Note 17). Given the related party nature of these receivables and the settlemen history, the Company's exposure to customer credit risk is considered low.</w:t>
      </w:r>
    </w:p>
    <w:p>
      <w:pPr>
        <w:spacing w:after="0" w:line="252" w:lineRule="exact"/>
        <w:rPr>
          <w:sz w:val="20"/>
          <w:szCs w:val="20"/>
          <w:color w:val="auto"/>
        </w:rPr>
      </w:pPr>
    </w:p>
    <w:p>
      <w:pPr>
        <w:jc w:val="both"/>
        <w:ind w:left="1260"/>
        <w:spacing w:after="0" w:line="312" w:lineRule="auto"/>
        <w:rPr>
          <w:sz w:val="20"/>
          <w:szCs w:val="20"/>
          <w:color w:val="auto"/>
        </w:rPr>
      </w:pPr>
      <w:r>
        <w:rPr>
          <w:rFonts w:ascii="Arial" w:cs="Arial" w:eastAsia="Arial" w:hAnsi="Arial"/>
          <w:sz w:val="20"/>
          <w:szCs w:val="20"/>
          <w:color w:val="auto"/>
        </w:rPr>
        <w:t>The Company's cash and cash equivalents are held through large financial institutions, with expecte credit losses estimated to be negligible. The Company performed an expected credit loss assessment fo its trade and other receivables, which did not indicate any significant credit risk, as the majority of th outstanding balances were settled subsequent to the year-end.</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Liquidity risk</w:t>
      </w:r>
    </w:p>
    <w:p>
      <w:pPr>
        <w:spacing w:after="0" w:line="319" w:lineRule="exact"/>
        <w:rPr>
          <w:sz w:val="20"/>
          <w:szCs w:val="20"/>
          <w:color w:val="auto"/>
        </w:rPr>
      </w:pPr>
    </w:p>
    <w:p>
      <w:pPr>
        <w:jc w:val="both"/>
        <w:ind w:left="1260"/>
        <w:spacing w:after="0" w:line="312" w:lineRule="auto"/>
        <w:rPr>
          <w:sz w:val="20"/>
          <w:szCs w:val="20"/>
          <w:color w:val="auto"/>
        </w:rPr>
      </w:pPr>
      <w:r>
        <w:rPr>
          <w:rFonts w:ascii="Arial" w:cs="Arial" w:eastAsia="Arial" w:hAnsi="Arial"/>
          <w:sz w:val="20"/>
          <w:szCs w:val="20"/>
          <w:color w:val="auto"/>
        </w:rPr>
        <w:t>Liquidity risk is the risk that the Company will be unable to meet its financial obligations as they fall due The Company manages liquidity risk by maintaining sufficient cash and cash equivalents and by preparing annual budgets approved by the Board of Directors, supported by regular cash flow and liquidity forecasts.</w:t>
      </w:r>
    </w:p>
    <w:p>
      <w:pPr>
        <w:spacing w:after="0" w:line="252" w:lineRule="exact"/>
        <w:rPr>
          <w:sz w:val="20"/>
          <w:szCs w:val="20"/>
          <w:color w:val="auto"/>
        </w:rPr>
      </w:pPr>
    </w:p>
    <w:p>
      <w:pPr>
        <w:ind w:left="1260" w:right="40"/>
        <w:spacing w:after="0" w:line="307" w:lineRule="auto"/>
        <w:rPr>
          <w:sz w:val="20"/>
          <w:szCs w:val="20"/>
          <w:color w:val="auto"/>
        </w:rPr>
      </w:pPr>
      <w:r>
        <w:rPr>
          <w:rFonts w:ascii="Arial" w:cs="Arial" w:eastAsia="Arial" w:hAnsi="Arial"/>
          <w:sz w:val="20"/>
          <w:szCs w:val="20"/>
          <w:color w:val="auto"/>
        </w:rPr>
        <w:t>The Company’s operations have been financed by companies within the group, and during 2025 th Company continued to generate cash inflows from sales. Based on its current cash position, forecasted</w:t>
      </w:r>
    </w:p>
    <w:p>
      <w:pPr>
        <w:spacing w:after="0" w:line="255" w:lineRule="exact"/>
        <w:rPr>
          <w:sz w:val="20"/>
          <w:szCs w:val="20"/>
          <w:color w:val="auto"/>
        </w:rPr>
      </w:pPr>
    </w:p>
    <w:p>
      <w:pPr>
        <w:ind w:left="1260"/>
        <w:spacing w:after="0" w:line="307" w:lineRule="auto"/>
        <w:rPr>
          <w:sz w:val="20"/>
          <w:szCs w:val="20"/>
          <w:color w:val="auto"/>
        </w:rPr>
      </w:pPr>
      <w:r>
        <w:rPr>
          <w:rFonts w:ascii="Arial" w:cs="Arial" w:eastAsia="Arial" w:hAnsi="Arial"/>
          <w:sz w:val="20"/>
          <w:szCs w:val="20"/>
          <w:color w:val="auto"/>
        </w:rPr>
        <w:t>cash flows, and ongoing financial support from the group, management believes the Company has sufficient liquidity to meet its obligations for the foreseeable future.</w:t>
      </w:r>
    </w:p>
    <w:p>
      <w:pPr>
        <w:spacing w:after="0" w:line="255" w:lineRule="exact"/>
        <w:rPr>
          <w:sz w:val="20"/>
          <w:szCs w:val="20"/>
          <w:color w:val="auto"/>
        </w:rPr>
      </w:pPr>
    </w:p>
    <w:p>
      <w:pPr>
        <w:ind w:left="1260"/>
        <w:spacing w:after="0" w:line="307" w:lineRule="auto"/>
        <w:rPr>
          <w:sz w:val="20"/>
          <w:szCs w:val="20"/>
          <w:color w:val="auto"/>
        </w:rPr>
      </w:pPr>
      <w:r>
        <w:rPr>
          <w:rFonts w:ascii="Arial" w:cs="Arial" w:eastAsia="Arial" w:hAnsi="Arial"/>
          <w:sz w:val="20"/>
          <w:szCs w:val="20"/>
          <w:color w:val="auto"/>
        </w:rPr>
        <w:t>The following table presents the contractual undiscounted cash flows of the Company's financial liabilitie by remaining maturity at December 31, 2025:</w:t>
      </w:r>
    </w:p>
    <w:p>
      <w:pPr>
        <w:spacing w:after="0" w:line="395" w:lineRule="exact"/>
        <w:rPr>
          <w:sz w:val="20"/>
          <w:szCs w:val="20"/>
          <w:color w:val="auto"/>
        </w:rPr>
      </w:pPr>
    </w:p>
    <w:p>
      <w:pPr>
        <w:ind w:left="5520"/>
        <w:spacing w:after="0"/>
        <w:tabs>
          <w:tab w:leader="none" w:pos="6780" w:val="left"/>
          <w:tab w:leader="none" w:pos="8160" w:val="left"/>
          <w:tab w:leader="none" w:pos="9700" w:val="left"/>
        </w:tabs>
        <w:rPr>
          <w:sz w:val="20"/>
          <w:szCs w:val="20"/>
          <w:color w:val="auto"/>
        </w:rPr>
      </w:pPr>
      <w:r>
        <w:rPr>
          <w:rFonts w:ascii="Arial" w:cs="Arial" w:eastAsia="Arial" w:hAnsi="Arial"/>
          <w:sz w:val="18"/>
          <w:szCs w:val="18"/>
          <w:b w:val="1"/>
          <w:bCs w:val="1"/>
          <w:color w:val="auto"/>
        </w:rPr>
        <w:t>&lt; 1 Year</w:t>
      </w:r>
      <w:r>
        <w:rPr>
          <w:sz w:val="20"/>
          <w:szCs w:val="20"/>
          <w:color w:val="auto"/>
        </w:rPr>
        <w:tab/>
      </w:r>
      <w:r>
        <w:rPr>
          <w:rFonts w:ascii="Arial" w:cs="Arial" w:eastAsia="Arial" w:hAnsi="Arial"/>
          <w:sz w:val="18"/>
          <w:szCs w:val="18"/>
          <w:b w:val="1"/>
          <w:bCs w:val="1"/>
          <w:color w:val="auto"/>
        </w:rPr>
        <w:t>1–5 Years</w:t>
      </w:r>
      <w:r>
        <w:rPr>
          <w:sz w:val="20"/>
          <w:szCs w:val="20"/>
          <w:color w:val="auto"/>
        </w:rPr>
        <w:tab/>
      </w:r>
      <w:r>
        <w:rPr>
          <w:rFonts w:ascii="Arial" w:cs="Arial" w:eastAsia="Arial" w:hAnsi="Arial"/>
          <w:sz w:val="18"/>
          <w:szCs w:val="18"/>
          <w:b w:val="1"/>
          <w:bCs w:val="1"/>
          <w:color w:val="auto"/>
        </w:rPr>
        <w:t>&gt; 5 Years</w:t>
      </w:r>
      <w:r>
        <w:rPr>
          <w:sz w:val="20"/>
          <w:szCs w:val="20"/>
          <w:color w:val="auto"/>
        </w:rPr>
        <w:tab/>
      </w:r>
      <w:r>
        <w:rPr>
          <w:rFonts w:ascii="Arial" w:cs="Arial" w:eastAsia="Arial" w:hAnsi="Arial"/>
          <w:sz w:val="17"/>
          <w:szCs w:val="17"/>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22860</wp:posOffset>
            </wp:positionV>
            <wp:extent cx="5849620" cy="635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7">
                      <a:extLst>
                        <a:ext uri="{28A0092B-C50C-407E-A947-70E740481C1C}"/>
                      </a:extLst>
                    </a:blip>
                    <a:srcRect/>
                    <a:stretch>
                      <a:fillRect/>
                    </a:stretch>
                  </pic:blipFill>
                  <pic:spPr bwMode="auto">
                    <a:xfrm>
                      <a:off x="0" y="0"/>
                      <a:ext cx="5849620" cy="6350"/>
                    </a:xfrm>
                    <a:prstGeom prst="rect">
                      <a:avLst/>
                    </a:prstGeom>
                    <a:noFill/>
                  </pic:spPr>
                </pic:pic>
              </a:graphicData>
            </a:graphic>
          </wp:anchor>
        </w:drawing>
      </w:r>
    </w:p>
    <w:p>
      <w:pPr>
        <w:spacing w:after="0" w:line="55" w:lineRule="exact"/>
        <w:rPr>
          <w:sz w:val="20"/>
          <w:szCs w:val="20"/>
          <w:color w:val="auto"/>
        </w:rPr>
      </w:pPr>
    </w:p>
    <w:p>
      <w:pPr>
        <w:ind w:left="1360"/>
        <w:spacing w:after="0"/>
        <w:tabs>
          <w:tab w:leader="none" w:pos="5860" w:val="left"/>
          <w:tab w:leader="none" w:pos="7700" w:val="left"/>
          <w:tab w:leader="none" w:pos="9060" w:val="left"/>
          <w:tab w:leader="none" w:pos="9940" w:val="left"/>
        </w:tabs>
        <w:rPr>
          <w:sz w:val="20"/>
          <w:szCs w:val="20"/>
          <w:color w:val="auto"/>
        </w:rPr>
      </w:pPr>
      <w:r>
        <w:rPr>
          <w:rFonts w:ascii="Arial" w:cs="Arial" w:eastAsia="Arial" w:hAnsi="Arial"/>
          <w:sz w:val="18"/>
          <w:szCs w:val="18"/>
          <w:color w:val="auto"/>
        </w:rPr>
        <w:t>Accounts payable and accrued liabilities</w:t>
      </w:r>
      <w:r>
        <w:rPr>
          <w:sz w:val="20"/>
          <w:szCs w:val="20"/>
          <w:color w:val="auto"/>
        </w:rPr>
        <w:tab/>
      </w:r>
      <w:r>
        <w:rPr>
          <w:rFonts w:ascii="Arial" w:cs="Arial" w:eastAsia="Arial" w:hAnsi="Arial"/>
          <w:sz w:val="18"/>
          <w:szCs w:val="18"/>
          <w:color w:val="auto"/>
        </w:rPr>
        <w:t>53,238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53,238</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36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53 / 58</w:t>
      </w:r>
    </w:p>
    <w:p>
      <w:pPr>
        <w:sectPr>
          <w:pgSz w:w="11900" w:h="16838" w:orient="portrait"/>
          <w:cols w:equalWidth="0" w:num="1">
            <w:col w:w="10460"/>
          </w:cols>
          <w:pgMar w:left="1440" w:top="1440" w:right="6" w:bottom="0" w:gutter="0" w:footer="0" w:header="0"/>
          <w:type w:val="continuous"/>
        </w:sectPr>
      </w:pPr>
    </w:p>
    <w:bookmarkStart w:id="665" w:name="page666"/>
    <w:bookmarkEnd w:id="665"/>
    <w:tbl>
      <w:tblPr>
        <w:tblLayout w:type="fixed"/>
        <w:tblInd w:w="1360" w:type="dxa"/>
        <w:tblCellMar>
          <w:top w:w="0" w:type="dxa"/>
          <w:left w:w="0" w:type="dxa"/>
          <w:bottom w:w="0" w:type="dxa"/>
          <w:right w:w="0" w:type="dxa"/>
        </w:tblCellMar>
      </w:tblPr>
      <w:tr>
        <w:trPr>
          <w:trHeight w:val="207"/>
        </w:trPr>
        <w:tc>
          <w:tcPr>
            <w:tcW w:w="4020" w:type="dxa"/>
            <w:vAlign w:val="bottom"/>
          </w:tcPr>
          <w:p>
            <w:pPr>
              <w:spacing w:after="0"/>
              <w:rPr>
                <w:sz w:val="20"/>
                <w:szCs w:val="20"/>
                <w:color w:val="auto"/>
              </w:rPr>
            </w:pPr>
            <w:r>
              <w:rPr>
                <w:rFonts w:ascii="Arial" w:cs="Arial" w:eastAsia="Arial" w:hAnsi="Arial"/>
                <w:sz w:val="18"/>
                <w:szCs w:val="18"/>
                <w:color w:val="auto"/>
              </w:rPr>
              <w:t>Loans payable — Exar Capital B.V. (Note 17)</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299,632</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1,377,630</w:t>
            </w:r>
          </w:p>
        </w:tc>
        <w:tc>
          <w:tcPr>
            <w:tcW w:w="1040" w:type="dxa"/>
            <w:vAlign w:val="bottom"/>
          </w:tcPr>
          <w:p>
            <w:pPr>
              <w:jc w:val="right"/>
              <w:spacing w:after="0"/>
              <w:rPr>
                <w:sz w:val="20"/>
                <w:szCs w:val="20"/>
                <w:color w:val="auto"/>
              </w:rPr>
            </w:pPr>
            <w:r>
              <w:rPr>
                <w:rFonts w:ascii="Arial" w:cs="Arial" w:eastAsia="Arial" w:hAnsi="Arial"/>
                <w:sz w:val="18"/>
                <w:szCs w:val="18"/>
                <w:color w:val="auto"/>
              </w:rPr>
              <w:t>1,677,262</w:t>
            </w:r>
          </w:p>
        </w:tc>
      </w:tr>
      <w:tr>
        <w:trPr>
          <w:trHeight w:val="272"/>
        </w:trPr>
        <w:tc>
          <w:tcPr>
            <w:tcW w:w="4020" w:type="dxa"/>
            <w:vAlign w:val="bottom"/>
          </w:tcPr>
          <w:p>
            <w:pPr>
              <w:spacing w:after="0"/>
              <w:rPr>
                <w:sz w:val="20"/>
                <w:szCs w:val="20"/>
                <w:color w:val="auto"/>
              </w:rPr>
            </w:pPr>
            <w:r>
              <w:rPr>
                <w:rFonts w:ascii="Arial" w:cs="Arial" w:eastAsia="Arial" w:hAnsi="Arial"/>
                <w:sz w:val="18"/>
                <w:szCs w:val="18"/>
                <w:color w:val="auto"/>
              </w:rPr>
              <w:t>Loans payable — PGCo (Note 17, Note 24)</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72,015</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72,015</w:t>
            </w:r>
          </w:p>
        </w:tc>
      </w:tr>
      <w:tr>
        <w:trPr>
          <w:trHeight w:val="272"/>
        </w:trPr>
        <w:tc>
          <w:tcPr>
            <w:tcW w:w="4020" w:type="dxa"/>
            <w:vAlign w:val="bottom"/>
          </w:tcPr>
          <w:p>
            <w:pPr>
              <w:spacing w:after="0"/>
              <w:rPr>
                <w:sz w:val="20"/>
                <w:szCs w:val="20"/>
                <w:color w:val="auto"/>
              </w:rPr>
            </w:pPr>
            <w:r>
              <w:rPr>
                <w:rFonts w:ascii="Arial" w:cs="Arial" w:eastAsia="Arial" w:hAnsi="Arial"/>
                <w:sz w:val="18"/>
                <w:szCs w:val="18"/>
                <w:color w:val="auto"/>
              </w:rPr>
              <w:t>Third party bank loans</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251,445</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251,445</w:t>
            </w:r>
          </w:p>
        </w:tc>
      </w:tr>
      <w:tr>
        <w:trPr>
          <w:trHeight w:val="272"/>
        </w:trPr>
        <w:tc>
          <w:tcPr>
            <w:tcW w:w="4020" w:type="dxa"/>
            <w:vAlign w:val="bottom"/>
          </w:tcPr>
          <w:p>
            <w:pPr>
              <w:spacing w:after="0"/>
              <w:rPr>
                <w:sz w:val="20"/>
                <w:szCs w:val="20"/>
                <w:color w:val="auto"/>
              </w:rPr>
            </w:pPr>
            <w:r>
              <w:rPr>
                <w:rFonts w:ascii="Arial" w:cs="Arial" w:eastAsia="Arial" w:hAnsi="Arial"/>
                <w:sz w:val="18"/>
                <w:szCs w:val="18"/>
                <w:color w:val="auto"/>
              </w:rPr>
              <w:t>Negotiable bonds</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4,000</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52,992</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56,992</w:t>
            </w:r>
          </w:p>
        </w:tc>
      </w:tr>
      <w:tr>
        <w:trPr>
          <w:trHeight w:val="272"/>
        </w:trPr>
        <w:tc>
          <w:tcPr>
            <w:tcW w:w="4020" w:type="dxa"/>
            <w:vAlign w:val="bottom"/>
          </w:tcPr>
          <w:p>
            <w:pPr>
              <w:spacing w:after="0"/>
              <w:rPr>
                <w:sz w:val="20"/>
                <w:szCs w:val="20"/>
                <w:color w:val="auto"/>
              </w:rPr>
            </w:pPr>
            <w:r>
              <w:rPr>
                <w:rFonts w:ascii="Arial" w:cs="Arial" w:eastAsia="Arial" w:hAnsi="Arial"/>
                <w:sz w:val="18"/>
                <w:szCs w:val="18"/>
                <w:color w:val="auto"/>
              </w:rPr>
              <w:t>Los Boros royalty obligation</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831</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3,212</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7,200</w:t>
            </w:r>
          </w:p>
        </w:tc>
        <w:tc>
          <w:tcPr>
            <w:tcW w:w="1040" w:type="dxa"/>
            <w:vAlign w:val="bottom"/>
          </w:tcPr>
          <w:p>
            <w:pPr>
              <w:jc w:val="right"/>
              <w:spacing w:after="0"/>
              <w:rPr>
                <w:sz w:val="20"/>
                <w:szCs w:val="20"/>
                <w:color w:val="auto"/>
              </w:rPr>
            </w:pPr>
            <w:r>
              <w:rPr>
                <w:rFonts w:ascii="Arial" w:cs="Arial" w:eastAsia="Arial" w:hAnsi="Arial"/>
                <w:sz w:val="18"/>
                <w:szCs w:val="18"/>
                <w:color w:val="auto"/>
              </w:rPr>
              <w:t>11,243</w:t>
            </w:r>
          </w:p>
        </w:tc>
      </w:tr>
      <w:tr>
        <w:trPr>
          <w:trHeight w:val="282"/>
        </w:trPr>
        <w:tc>
          <w:tcPr>
            <w:tcW w:w="4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00" w:type="dxa"/>
            <w:vAlign w:val="bottom"/>
          </w:tcPr>
          <w:p>
            <w:pPr>
              <w:jc w:val="right"/>
              <w:ind w:right="250"/>
              <w:spacing w:after="0"/>
              <w:rPr>
                <w:sz w:val="20"/>
                <w:szCs w:val="20"/>
                <w:color w:val="auto"/>
              </w:rPr>
            </w:pPr>
            <w:r>
              <w:rPr>
                <w:rFonts w:ascii="Arial" w:cs="Arial" w:eastAsia="Arial" w:hAnsi="Arial"/>
                <w:sz w:val="18"/>
                <w:szCs w:val="18"/>
                <w:b w:val="1"/>
                <w:bCs w:val="1"/>
                <w:color w:val="auto"/>
              </w:rPr>
              <w:t>381,529</w:t>
            </w: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rPr>
              <w:t>355,836</w:t>
            </w: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1,384,830</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2,122,195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-154940</wp:posOffset>
            </wp:positionV>
            <wp:extent cx="5849620" cy="635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8">
                      <a:extLst>
                        <a:ext uri="{28A0092B-C50C-407E-A947-70E740481C1C}"/>
                      </a:extLst>
                    </a:blip>
                    <a:srcRect/>
                    <a:stretch>
                      <a:fillRect/>
                    </a:stretch>
                  </pic:blipFill>
                  <pic:spPr bwMode="auto">
                    <a:xfrm>
                      <a:off x="0" y="0"/>
                      <a:ext cx="5849620" cy="63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9">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6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54 / 58</w:t>
      </w:r>
    </w:p>
    <w:p>
      <w:pPr>
        <w:sectPr>
          <w:pgSz w:w="11900" w:h="16838" w:orient="portrait"/>
          <w:cols w:equalWidth="0" w:num="1">
            <w:col w:w="10460"/>
          </w:cols>
          <w:pgMar w:left="1440" w:top="1162" w:right="6" w:bottom="0" w:gutter="0" w:footer="0" w:header="0"/>
          <w:type w:val="continuous"/>
        </w:sectPr>
      </w:pPr>
    </w:p>
    <w:bookmarkStart w:id="666" w:name="page667"/>
    <w:bookmarkEnd w:id="666"/>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60" w:right="5240" w:hanging="6"/>
        <w:spacing w:after="0" w:line="558" w:lineRule="auto"/>
        <w:tabs>
          <w:tab w:leader="none" w:pos="1594" w:val="left"/>
        </w:tabs>
        <w:numPr>
          <w:ilvl w:val="0"/>
          <w:numId w:val="30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FINANCIAL INSTRUMENTS </w:t>
      </w:r>
      <w:r>
        <w:rPr>
          <w:rFonts w:ascii="Arial" w:cs="Arial" w:eastAsia="Arial" w:hAnsi="Arial"/>
          <w:sz w:val="20"/>
          <w:szCs w:val="20"/>
          <w:i w:val="1"/>
          <w:iCs w:val="1"/>
          <w:color w:val="auto"/>
        </w:rPr>
        <w:t>(continued)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Market risk</w:t>
      </w:r>
    </w:p>
    <w:p>
      <w:pPr>
        <w:spacing w:after="0" w:line="14" w:lineRule="exact"/>
        <w:rPr>
          <w:sz w:val="20"/>
          <w:szCs w:val="20"/>
          <w:color w:val="auto"/>
        </w:rPr>
      </w:pPr>
    </w:p>
    <w:p>
      <w:pPr>
        <w:jc w:val="both"/>
        <w:ind w:left="1260" w:right="20"/>
        <w:spacing w:after="0" w:line="307" w:lineRule="auto"/>
        <w:rPr>
          <w:sz w:val="20"/>
          <w:szCs w:val="20"/>
          <w:color w:val="auto"/>
        </w:rPr>
      </w:pPr>
      <w:r>
        <w:rPr>
          <w:rFonts w:ascii="Arial" w:cs="Arial" w:eastAsia="Arial" w:hAnsi="Arial"/>
          <w:sz w:val="20"/>
          <w:szCs w:val="20"/>
          <w:color w:val="auto"/>
        </w:rPr>
        <w:t>Market risk encompasses a range of risks. Movement in risk factors, such as market price risk, currenc risk, can affect the fair values of financial assets and liabilities.</w:t>
      </w:r>
    </w:p>
    <w:p>
      <w:pPr>
        <w:spacing w:after="0" w:line="248"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Interest rate risk</w:t>
      </w:r>
    </w:p>
    <w:p>
      <w:pPr>
        <w:spacing w:after="0" w:line="319" w:lineRule="exact"/>
        <w:rPr>
          <w:sz w:val="20"/>
          <w:szCs w:val="20"/>
          <w:color w:val="auto"/>
        </w:rPr>
      </w:pPr>
    </w:p>
    <w:p>
      <w:pPr>
        <w:jc w:val="both"/>
        <w:ind w:left="1260"/>
        <w:spacing w:after="0" w:line="311" w:lineRule="auto"/>
        <w:rPr>
          <w:sz w:val="20"/>
          <w:szCs w:val="20"/>
          <w:color w:val="auto"/>
        </w:rPr>
      </w:pPr>
      <w:r>
        <w:rPr>
          <w:rFonts w:ascii="Arial" w:cs="Arial" w:eastAsia="Arial" w:hAnsi="Arial"/>
          <w:sz w:val="20"/>
          <w:szCs w:val="20"/>
          <w:color w:val="auto"/>
        </w:rPr>
        <w:t>The Company is exposed to cash flow interest rate risk on floating rate borrowings, which are denominated in USD and bear interest at rates linked to SOFR (Secured Overnight Financing Rate). As December 31, 2025, the outstanding balance of SOFR-linked borrowings was $100,000 (2024: $nil).</w:t>
      </w:r>
    </w:p>
    <w:p>
      <w:pPr>
        <w:spacing w:after="0" w:line="12" w:lineRule="exact"/>
        <w:rPr>
          <w:sz w:val="20"/>
          <w:szCs w:val="20"/>
          <w:color w:val="auto"/>
        </w:rPr>
      </w:pPr>
    </w:p>
    <w:p>
      <w:pPr>
        <w:ind w:left="1260" w:right="20"/>
        <w:spacing w:after="0" w:line="307" w:lineRule="auto"/>
        <w:rPr>
          <w:sz w:val="20"/>
          <w:szCs w:val="20"/>
          <w:color w:val="auto"/>
        </w:rPr>
      </w:pPr>
      <w:r>
        <w:rPr>
          <w:rFonts w:ascii="Arial" w:cs="Arial" w:eastAsia="Arial" w:hAnsi="Arial"/>
          <w:sz w:val="20"/>
          <w:szCs w:val="20"/>
          <w:color w:val="auto"/>
        </w:rPr>
        <w:t>100 basis point increase/decrease in SOFR rates, with all other variables held constant, would increas decrease interest expense by approximately $497 (2024: $nil) on an annualized basis.</w:t>
      </w:r>
    </w:p>
    <w:p>
      <w:pPr>
        <w:spacing w:after="0" w:line="248"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Foreign Currency Risk</w:t>
      </w:r>
    </w:p>
    <w:p>
      <w:pPr>
        <w:spacing w:after="0" w:line="319"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The Company is exposed to foreign currency risks arising from its net exposure to assets and liabilitie denominated in currencies other than its functional currency, the U.S. dollar, primarily the Argentine pes (ARS). While revenue from lithium carbonate sales and substantially all financing activities are denominated in USD, a portion of operating costs, including labour, local contractors, utilities, and regulatory charges, are incurred in ARS.</w:t>
      </w:r>
    </w:p>
    <w:p>
      <w:pPr>
        <w:spacing w:after="0" w:line="250" w:lineRule="exact"/>
        <w:rPr>
          <w:sz w:val="20"/>
          <w:szCs w:val="20"/>
          <w:color w:val="auto"/>
        </w:rPr>
      </w:pPr>
    </w:p>
    <w:p>
      <w:pPr>
        <w:jc w:val="both"/>
        <w:ind w:left="1260"/>
        <w:spacing w:after="0" w:line="312" w:lineRule="auto"/>
        <w:rPr>
          <w:sz w:val="20"/>
          <w:szCs w:val="20"/>
          <w:color w:val="auto"/>
        </w:rPr>
      </w:pPr>
      <w:r>
        <w:rPr>
          <w:rFonts w:ascii="Arial" w:cs="Arial" w:eastAsia="Arial" w:hAnsi="Arial"/>
          <w:sz w:val="20"/>
          <w:szCs w:val="20"/>
          <w:color w:val="auto"/>
        </w:rPr>
        <w:t>The Company maintains ARS-denominated monetary assets including cash and cash equivalents advances to suppliers, and various tax-related balances such as VAT receivables expected to be recovered through export recovery claims, tax and customs withholdings, and debit and credit tax balances.</w:t>
      </w:r>
    </w:p>
    <w:p>
      <w:pPr>
        <w:spacing w:after="0" w:line="252"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The Company holds financial investments with a fair value of $16,083 as at December 31, 2025 comprising ARS-denominated sovereign bonds, mutual funds and other financial instruments which serv to partially offset the Company's net ARS monetary exposure. These instruments are not formally designated as hedging instruments under IFRS 9. The Company does not otherwise use derivative instruments to manage its foreign currency exposure.</w:t>
      </w:r>
    </w:p>
    <w:p>
      <w:pPr>
        <w:spacing w:after="0" w:line="250"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The Company's ARS monetary position is also affected by Argentine foreign exchange regulations, whic have undergone significant changes in recent years. Until April 2025, exporters were required to conver foreign currency export proceeds into Argentine pesos, and the Argentine Central Bank regulated cros border capital flows including dividends and foreign currency loan conversions. On April 11, 2025, th Argentine Government announced the removal of foreign exchange controls and implemented a new exchange rate regime with a floating band between ARS 1,000 and ARS 1,400 per USD, with a 1%</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55 / 58</w:t>
      </w:r>
    </w:p>
    <w:p>
      <w:pPr>
        <w:sectPr>
          <w:pgSz w:w="11900" w:h="16838" w:orient="portrait"/>
          <w:cols w:equalWidth="0" w:num="1">
            <w:col w:w="10460"/>
          </w:cols>
          <w:pgMar w:left="1440" w:top="1440" w:right="6" w:bottom="0" w:gutter="0" w:footer="0" w:header="0"/>
          <w:type w:val="continuous"/>
        </w:sectPr>
      </w:pPr>
    </w:p>
    <w:bookmarkStart w:id="667" w:name="page668"/>
    <w:bookmarkEnd w:id="667"/>
    <w:p>
      <w:pPr>
        <w:jc w:val="both"/>
        <w:ind w:left="1260"/>
        <w:spacing w:after="0" w:line="312" w:lineRule="auto"/>
        <w:rPr>
          <w:sz w:val="20"/>
          <w:szCs w:val="20"/>
          <w:color w:val="auto"/>
        </w:rPr>
      </w:pPr>
      <w:r>
        <w:rPr>
          <w:rFonts w:ascii="Arial" w:cs="Arial" w:eastAsia="Arial" w:hAnsi="Arial"/>
          <w:sz w:val="20"/>
          <w:szCs w:val="20"/>
          <w:color w:val="auto"/>
        </w:rPr>
        <w:t>monthly adjustment, as part of a new agreement with the IMF. Emergency Decree No. 269/2025 simultaneously repealed the Dólar Blend mechanism, requiring 100% of export proceeds to be repatriate and settled through the official foreign exchange market, with certain exceptions for specific expor regimes.</w:t>
      </w:r>
    </w:p>
    <w:p>
      <w:pPr>
        <w:spacing w:after="0" w:line="252" w:lineRule="exact"/>
        <w:rPr>
          <w:sz w:val="20"/>
          <w:szCs w:val="20"/>
          <w:color w:val="auto"/>
        </w:rPr>
      </w:pPr>
    </w:p>
    <w:p>
      <w:pPr>
        <w:jc w:val="both"/>
        <w:ind w:left="1260" w:right="40"/>
        <w:spacing w:after="0" w:line="311" w:lineRule="auto"/>
        <w:rPr>
          <w:sz w:val="20"/>
          <w:szCs w:val="20"/>
          <w:color w:val="auto"/>
        </w:rPr>
      </w:pPr>
      <w:r>
        <w:rPr>
          <w:rFonts w:ascii="Arial" w:cs="Arial" w:eastAsia="Arial" w:hAnsi="Arial"/>
          <w:sz w:val="20"/>
          <w:szCs w:val="20"/>
          <w:color w:val="auto"/>
        </w:rPr>
        <w:t>Given the Company's net ARS monetary position after considering the above investments, a fluctuation ±10% in the ARS/USD exchange rate is not expected to have a material impact on the Company' financial statements.</w:t>
      </w:r>
    </w:p>
    <w:p>
      <w:pPr>
        <w:spacing w:after="0" w:line="137"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40">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172"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56 / 58</w:t>
      </w:r>
    </w:p>
    <w:p>
      <w:pPr>
        <w:sectPr>
          <w:pgSz w:w="11900" w:h="16838" w:orient="portrait"/>
          <w:cols w:equalWidth="0" w:num="1">
            <w:col w:w="10460"/>
          </w:cols>
          <w:pgMar w:left="1440" w:top="1172" w:right="6" w:bottom="0" w:gutter="0" w:footer="0" w:header="0"/>
          <w:type w:val="continuous"/>
        </w:sectPr>
      </w:pPr>
    </w:p>
    <w:bookmarkStart w:id="668" w:name="page669"/>
    <w:bookmarkEnd w:id="668"/>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MINERA EXAR S.A.</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NOTES TO THE FINANCIAL STATEMENTS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(Expressed in thousands of US dollars, except for per share amounts,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60" w:right="5240" w:hanging="6"/>
        <w:spacing w:after="0" w:line="558" w:lineRule="auto"/>
        <w:tabs>
          <w:tab w:leader="none" w:pos="1594" w:val="left"/>
        </w:tabs>
        <w:numPr>
          <w:ilvl w:val="0"/>
          <w:numId w:val="3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FINANCIAL INSTRUMENTS </w:t>
      </w:r>
      <w:r>
        <w:rPr>
          <w:rFonts w:ascii="Arial" w:cs="Arial" w:eastAsia="Arial" w:hAnsi="Arial"/>
          <w:sz w:val="20"/>
          <w:szCs w:val="20"/>
          <w:i w:val="1"/>
          <w:iCs w:val="1"/>
          <w:color w:val="auto"/>
        </w:rPr>
        <w:t>(continued)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Capital risk management</w:t>
      </w:r>
    </w:p>
    <w:p>
      <w:pPr>
        <w:spacing w:after="0" w:line="14" w:lineRule="exact"/>
        <w:rPr>
          <w:sz w:val="20"/>
          <w:szCs w:val="20"/>
          <w:color w:val="auto"/>
        </w:rPr>
      </w:pPr>
    </w:p>
    <w:p>
      <w:pPr>
        <w:jc w:val="both"/>
        <w:ind w:left="1260"/>
        <w:spacing w:after="0" w:line="313" w:lineRule="auto"/>
        <w:rPr>
          <w:sz w:val="20"/>
          <w:szCs w:val="20"/>
          <w:color w:val="auto"/>
        </w:rPr>
      </w:pPr>
      <w:r>
        <w:rPr>
          <w:rFonts w:ascii="Arial" w:cs="Arial" w:eastAsia="Arial" w:hAnsi="Arial"/>
          <w:sz w:val="20"/>
          <w:szCs w:val="20"/>
          <w:color w:val="auto"/>
        </w:rPr>
        <w:t>The Company’s objectives in managing capital are to safeguard its ability to continue as a going concer in order to pursue the exploration and development of its mineral properties, while maintaining a flexibl capital structure that optimises the cost of capital at an acceptable level of risk. The capital structure o the Company consists of related parties’ loans and borrowings, and bank loans, comprising issued capital, contributed surplus, and deficit. The Company manages its capital structure and makes adjustments to it in light of changes in economic conditions and the risk characteristics of the underlyin assets.</w:t>
      </w:r>
    </w:p>
    <w:p>
      <w:pPr>
        <w:spacing w:after="0" w:line="254" w:lineRule="exact"/>
        <w:rPr>
          <w:sz w:val="20"/>
          <w:szCs w:val="20"/>
          <w:color w:val="auto"/>
        </w:rPr>
      </w:pPr>
    </w:p>
    <w:p>
      <w:pPr>
        <w:jc w:val="both"/>
        <w:ind w:left="1260" w:right="20"/>
        <w:spacing w:after="0" w:line="311" w:lineRule="auto"/>
        <w:rPr>
          <w:sz w:val="20"/>
          <w:szCs w:val="20"/>
          <w:color w:val="auto"/>
        </w:rPr>
      </w:pPr>
      <w:r>
        <w:rPr>
          <w:rFonts w:ascii="Arial" w:cs="Arial" w:eastAsia="Arial" w:hAnsi="Arial"/>
          <w:sz w:val="20"/>
          <w:szCs w:val="20"/>
          <w:color w:val="auto"/>
        </w:rPr>
        <w:t>Management reviews its capital management approach on an ongoing basis and believes that, given th relative size of the Company, this approach is reasonable. There were no changes in the Company’ approach to capital management during the year ended December 31, 2025.</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24. SUBSEQUENT EVENT</w:t>
      </w:r>
    </w:p>
    <w:p>
      <w:pPr>
        <w:spacing w:after="0" w:line="319" w:lineRule="exact"/>
        <w:rPr>
          <w:sz w:val="20"/>
          <w:szCs w:val="20"/>
          <w:color w:val="auto"/>
        </w:rPr>
      </w:pPr>
    </w:p>
    <w:p>
      <w:pPr>
        <w:jc w:val="both"/>
        <w:ind w:left="1260"/>
        <w:spacing w:after="0" w:line="311" w:lineRule="auto"/>
        <w:rPr>
          <w:sz w:val="20"/>
          <w:szCs w:val="20"/>
          <w:color w:val="auto"/>
        </w:rPr>
      </w:pPr>
      <w:r>
        <w:rPr>
          <w:rFonts w:ascii="Arial" w:cs="Arial" w:eastAsia="Arial" w:hAnsi="Arial"/>
          <w:sz w:val="20"/>
          <w:szCs w:val="20"/>
          <w:color w:val="auto"/>
        </w:rPr>
        <w:t>On February 10, 2026, Minera Exar S.A. repaid in full the credit facility granted by Pastos Grandes Co S.A. ("PGCo"), a related party. The total amount paid was $72,015, comprising principal, accrued interes and related transaction costs (see Note 17).</w:t>
      </w:r>
    </w:p>
    <w:p>
      <w:pPr>
        <w:spacing w:after="0" w:line="252" w:lineRule="exact"/>
        <w:rPr>
          <w:sz w:val="20"/>
          <w:szCs w:val="20"/>
          <w:color w:val="auto"/>
        </w:rPr>
      </w:pPr>
    </w:p>
    <w:p>
      <w:pPr>
        <w:jc w:val="both"/>
        <w:ind w:left="1260" w:right="20"/>
        <w:spacing w:after="0" w:line="312" w:lineRule="auto"/>
        <w:rPr>
          <w:sz w:val="20"/>
          <w:szCs w:val="20"/>
          <w:color w:val="auto"/>
        </w:rPr>
      </w:pPr>
      <w:r>
        <w:rPr>
          <w:rFonts w:ascii="Arial" w:cs="Arial" w:eastAsia="Arial" w:hAnsi="Arial"/>
          <w:sz w:val="20"/>
          <w:szCs w:val="20"/>
          <w:color w:val="auto"/>
        </w:rPr>
        <w:t>To finance this repayment, the Company entered into local capital market transactions: exchange-trade repos (cauciones bursátiles) for $63,400 and a promissory note (pagaré bursátil) for $12,200, generatin financial liabilities for the same amounts. These liabilities will be settled at their respective maturities i the first half of 2026 using proceeds from the underlying collateral securities.</w:t>
      </w:r>
    </w:p>
    <w:p>
      <w:pPr>
        <w:spacing w:after="0" w:line="252" w:lineRule="exact"/>
        <w:rPr>
          <w:sz w:val="20"/>
          <w:szCs w:val="20"/>
          <w:color w:val="auto"/>
        </w:rPr>
      </w:pPr>
    </w:p>
    <w:p>
      <w:pPr>
        <w:ind w:left="1260" w:right="360"/>
        <w:spacing w:after="0" w:line="307" w:lineRule="auto"/>
        <w:rPr>
          <w:sz w:val="20"/>
          <w:szCs w:val="20"/>
          <w:color w:val="auto"/>
        </w:rPr>
      </w:pPr>
      <w:r>
        <w:rPr>
          <w:rFonts w:ascii="Arial" w:cs="Arial" w:eastAsia="Arial" w:hAnsi="Arial"/>
          <w:sz w:val="20"/>
          <w:szCs w:val="20"/>
          <w:color w:val="auto"/>
        </w:rPr>
        <w:t>Additionally, on February 5, 2026, the Company obtained a short-term export pre-financing facility of $20,000 from a major financial institution, maturing on August 5, 2026.</w:t>
      </w:r>
    </w:p>
    <w:p>
      <w:pPr>
        <w:spacing w:after="0" w:line="141"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740410</wp:posOffset>
            </wp:positionV>
            <wp:extent cx="6764020" cy="1905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41">
                      <a:extLst>
                        <a:ext uri="{28A0092B-C50C-407E-A947-70E740481C1C}"/>
                      </a:extLst>
                    </a:blip>
                    <a:srcRect/>
                    <a:stretch>
                      <a:fillRect/>
                    </a:stretch>
                  </pic:blipFill>
                  <pic:spPr bwMode="auto">
                    <a:xfrm>
                      <a:off x="0" y="0"/>
                      <a:ext cx="6764020" cy="19050"/>
                    </a:xfrm>
                    <a:prstGeom prst="rect">
                      <a:avLst/>
                    </a:prstGeom>
                    <a:noFill/>
                  </pic:spPr>
                </pic:pic>
              </a:graphicData>
            </a:graphic>
          </wp:anchor>
        </w:drawing>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57 / 58</w:t>
      </w:r>
    </w:p>
    <w:p>
      <w:pPr>
        <w:sectPr>
          <w:pgSz w:w="11900" w:h="16838" w:orient="portrait"/>
          <w:cols w:equalWidth="0" w:num="1">
            <w:col w:w="10460"/>
          </w:cols>
          <w:pgMar w:left="1440" w:top="1440" w:right="6" w:bottom="0" w:gutter="0" w:footer="0" w:header="0"/>
          <w:type w:val="continuous"/>
        </w:sectPr>
      </w:pPr>
    </w:p>
    <w:bookmarkStart w:id="669" w:name="page670"/>
    <w:bookmarkEnd w:id="6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58 / 58</w:t>
      </w:r>
    </w:p>
    <w:sectPr>
      <w:pgSz w:w="11900" w:h="16838" w:orient="portrait"/>
      <w:cols w:equalWidth="0" w:num="1">
        <w:col w:w="9026"/>
      </w:cols>
      <w:pgMar w:left="1440" w:top="1440"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MS PMincho">
    <w:panose1 w:val="02020600040205080304"/>
    <w:charset w:val="80"/>
    <w:family w:val="roman"/>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B594807"/>
    <w:multiLevelType w:val="hybridMultilevel"/>
    <w:lvl w:ilvl="0">
      <w:lvlJc w:val="left"/>
      <w:lvlText w:val="☐"/>
      <w:numFmt w:val="bullet"/>
      <w:start w:val="1"/>
    </w:lvl>
  </w:abstractNum>
  <w:abstractNum w:abstractNumId="1">
    <w:nsid w:val="6CAA2304"/>
    <w:multiLevelType w:val="hybridMultilevel"/>
    <w:lvl w:ilvl="0">
      <w:lvlJc w:val="left"/>
      <w:lvlText w:val="☒"/>
      <w:numFmt w:val="bullet"/>
      <w:start w:val="1"/>
    </w:lvl>
  </w:abstractNum>
  <w:abstractNum w:abstractNumId="2">
    <w:nsid w:val="3F7C2FF4"/>
    <w:multiLevelType w:val="hybridMultilevel"/>
    <w:lvl w:ilvl="0">
      <w:lvlJc w:val="left"/>
      <w:lvlText w:val="☐"/>
      <w:numFmt w:val="bullet"/>
      <w:start w:val="1"/>
    </w:lvl>
  </w:abstractNum>
  <w:abstractNum w:abstractNumId="3">
    <w:nsid w:val="25413BEC"/>
    <w:multiLevelType w:val="hybridMultilevel"/>
    <w:lvl w:ilvl="0">
      <w:lvlJc w:val="left"/>
      <w:lvlText w:val="☐"/>
      <w:numFmt w:val="bullet"/>
      <w:start w:val="1"/>
    </w:lvl>
  </w:abstractNum>
  <w:abstractNum w:abstractNumId="4">
    <w:nsid w:val="17180B0B"/>
    <w:multiLevelType w:val="hybridMultilevel"/>
    <w:lvl w:ilvl="0">
      <w:lvlJc w:val="left"/>
      <w:lvlText w:val="†"/>
      <w:numFmt w:val="bullet"/>
      <w:start w:val="1"/>
    </w:lvl>
  </w:abstractNum>
  <w:abstractNum w:abstractNumId="5">
    <w:nsid w:val="579328B9"/>
    <w:multiLevelType w:val="hybridMultilevel"/>
    <w:lvl w:ilvl="0">
      <w:lvlJc w:val="left"/>
      <w:lvlText w:val="%1."/>
      <w:numFmt w:val="upperLetter"/>
      <w:start w:val="1"/>
    </w:lvl>
  </w:abstractNum>
  <w:abstractNum w:abstractNumId="6">
    <w:nsid w:val="5D205E20"/>
    <w:multiLevelType w:val="hybridMultilevel"/>
    <w:lvl w:ilvl="0">
      <w:lvlJc w:val="left"/>
      <w:lvlText w:val="▪"/>
      <w:numFmt w:val="bullet"/>
      <w:start w:val="1"/>
    </w:lvl>
  </w:abstractNum>
  <w:abstractNum w:abstractNumId="7">
    <w:nsid w:val="11CCA8BA"/>
    <w:multiLevelType w:val="hybridMultilevel"/>
    <w:lvl w:ilvl="0">
      <w:lvlJc w:val="left"/>
      <w:lvlText w:val="•"/>
      <w:numFmt w:val="bullet"/>
      <w:start w:val="1"/>
    </w:lvl>
  </w:abstractNum>
  <w:abstractNum w:abstractNumId="8">
    <w:nsid w:val="4D32AB86"/>
    <w:multiLevelType w:val="hybridMultilevel"/>
    <w:lvl w:ilvl="0">
      <w:lvlJc w:val="left"/>
      <w:lvlText w:val="•"/>
      <w:numFmt w:val="bullet"/>
      <w:start w:val="1"/>
    </w:lvl>
  </w:abstractNum>
  <w:abstractNum w:abstractNumId="9">
    <w:nsid w:val="3F07ACC3"/>
    <w:multiLevelType w:val="hybridMultilevel"/>
    <w:lvl w:ilvl="0">
      <w:lvlJc w:val="left"/>
      <w:lvlText w:val="▪"/>
      <w:numFmt w:val="bullet"/>
      <w:start w:val="1"/>
    </w:lvl>
  </w:abstractNum>
  <w:abstractNum w:abstractNumId="10">
    <w:nsid w:val="6B47F63E"/>
    <w:multiLevelType w:val="hybridMultilevel"/>
    <w:lvl w:ilvl="0">
      <w:lvlJc w:val="left"/>
      <w:lvlText w:val="▪"/>
      <w:numFmt w:val="bullet"/>
      <w:start w:val="1"/>
    </w:lvl>
  </w:abstractNum>
  <w:abstractNum w:abstractNumId="11">
    <w:nsid w:val="5CB44A05"/>
    <w:multiLevelType w:val="hybridMultilevel"/>
    <w:lvl w:ilvl="0">
      <w:lvlJc w:val="left"/>
      <w:lvlText w:val="▪"/>
      <w:numFmt w:val="bullet"/>
      <w:start w:val="1"/>
    </w:lvl>
  </w:abstractNum>
  <w:abstractNum w:abstractNumId="12">
    <w:nsid w:val="16CF80F1"/>
    <w:multiLevelType w:val="hybridMultilevel"/>
    <w:lvl w:ilvl="0">
      <w:lvlJc w:val="left"/>
      <w:lvlText w:val="▪"/>
      <w:numFmt w:val="bullet"/>
      <w:start w:val="1"/>
    </w:lvl>
  </w:abstractNum>
  <w:abstractNum w:abstractNumId="13">
    <w:nsid w:val="1C695DEC"/>
    <w:multiLevelType w:val="hybridMultilevel"/>
    <w:lvl w:ilvl="0">
      <w:lvlJc w:val="left"/>
      <w:lvlText w:val="▪"/>
      <w:numFmt w:val="bullet"/>
      <w:start w:val="1"/>
    </w:lvl>
  </w:abstractNum>
  <w:abstractNum w:abstractNumId="14">
    <w:nsid w:val="3FCFAED9"/>
    <w:multiLevelType w:val="hybridMultilevel"/>
    <w:lvl w:ilvl="0">
      <w:lvlJc w:val="left"/>
      <w:lvlText w:val="(%1)"/>
      <w:numFmt w:val="decimal"/>
      <w:start w:val="1"/>
    </w:lvl>
  </w:abstractNum>
  <w:abstractNum w:abstractNumId="15">
    <w:nsid w:val="F856867"/>
    <w:multiLevelType w:val="hybridMultilevel"/>
    <w:lvl w:ilvl="0">
      <w:lvlJc w:val="left"/>
      <w:lvlText w:val="(%1)"/>
      <w:numFmt w:val="decimal"/>
      <w:start w:val="7"/>
    </w:lvl>
  </w:abstractNum>
  <w:abstractNum w:abstractNumId="16">
    <w:nsid w:val="11B1CC33"/>
    <w:multiLevelType w:val="hybridMultilevel"/>
    <w:lvl w:ilvl="0">
      <w:lvlJc w:val="left"/>
      <w:lvlText w:val="(%1)"/>
      <w:numFmt w:val="decimal"/>
      <w:start w:val="1"/>
    </w:lvl>
  </w:abstractNum>
  <w:abstractNum w:abstractNumId="17">
    <w:nsid w:val="2E22FBB7"/>
    <w:multiLevelType w:val="hybridMultilevel"/>
    <w:lvl w:ilvl="0">
      <w:lvlJc w:val="left"/>
      <w:lvlText w:val="%1"/>
      <w:numFmt w:val="decimal"/>
      <w:start w:val="35"/>
    </w:lvl>
  </w:abstractNum>
  <w:abstractNum w:abstractNumId="18">
    <w:nsid w:val="29934699"/>
    <w:multiLevelType w:val="hybridMultilevel"/>
    <w:lvl w:ilvl="0">
      <w:lvlJc w:val="left"/>
      <w:lvlText w:val="%1."/>
      <w:numFmt w:val="decimal"/>
      <w:start w:val="1"/>
    </w:lvl>
  </w:abstractNum>
  <w:abstractNum w:abstractNumId="19">
    <w:nsid w:val="77485850"/>
    <w:multiLevelType w:val="hybridMultilevel"/>
    <w:lvl w:ilvl="0">
      <w:lvlJc w:val="left"/>
      <w:lvlText w:val="%1."/>
      <w:numFmt w:val="decimal"/>
      <w:start w:val="9"/>
    </w:lvl>
  </w:abstractNum>
  <w:abstractNum w:abstractNumId="20">
    <w:nsid w:val="744939A3"/>
    <w:multiLevelType w:val="hybridMultilevel"/>
    <w:lvl w:ilvl="0">
      <w:lvlJc w:val="left"/>
      <w:lvlText w:val="▪"/>
      <w:numFmt w:val="bullet"/>
      <w:start w:val="1"/>
    </w:lvl>
  </w:abstractNum>
  <w:abstractNum w:abstractNumId="21">
    <w:nsid w:val="4FA0D2E3"/>
    <w:multiLevelType w:val="hybridMultilevel"/>
    <w:lvl w:ilvl="0">
      <w:lvlJc w:val="left"/>
      <w:lvlText w:val="▪"/>
      <w:numFmt w:val="bullet"/>
      <w:start w:val="1"/>
    </w:lvl>
  </w:abstractNum>
  <w:abstractNum w:abstractNumId="22">
    <w:nsid w:val="6B1D2C14"/>
    <w:multiLevelType w:val="hybridMultilevel"/>
    <w:lvl w:ilvl="0">
      <w:lvlJc w:val="left"/>
      <w:lvlText w:val="▪"/>
      <w:numFmt w:val="bullet"/>
      <w:start w:val="1"/>
    </w:lvl>
  </w:abstractNum>
  <w:abstractNum w:abstractNumId="23">
    <w:nsid w:val="68B867D3"/>
    <w:multiLevelType w:val="hybridMultilevel"/>
    <w:lvl w:ilvl="0">
      <w:lvlJc w:val="left"/>
      <w:lvlText w:val="▪"/>
      <w:numFmt w:val="bullet"/>
      <w:start w:val="1"/>
    </w:lvl>
  </w:abstractNum>
  <w:abstractNum w:abstractNumId="24">
    <w:nsid w:val="3F7F5DD9"/>
    <w:multiLevelType w:val="hybridMultilevel"/>
    <w:lvl w:ilvl="0">
      <w:lvlJc w:val="left"/>
      <w:lvlText w:val="•"/>
      <w:numFmt w:val="bullet"/>
      <w:start w:val="1"/>
    </w:lvl>
  </w:abstractNum>
  <w:abstractNum w:abstractNumId="25">
    <w:nsid w:val="2AE05A34"/>
    <w:multiLevelType w:val="hybridMultilevel"/>
    <w:lvl w:ilvl="0">
      <w:lvlJc w:val="left"/>
      <w:lvlText w:val="•"/>
      <w:numFmt w:val="bullet"/>
      <w:start w:val="1"/>
    </w:lvl>
  </w:abstractNum>
  <w:abstractNum w:abstractNumId="26">
    <w:nsid w:val="32794FF7"/>
    <w:multiLevelType w:val="hybridMultilevel"/>
    <w:lvl w:ilvl="0">
      <w:lvlJc w:val="left"/>
      <w:lvlText w:val="•"/>
      <w:numFmt w:val="bullet"/>
      <w:start w:val="1"/>
    </w:lvl>
  </w:abstractNum>
  <w:abstractNum w:abstractNumId="27">
    <w:nsid w:val="5454945E"/>
    <w:multiLevelType w:val="hybridMultilevel"/>
    <w:lvl w:ilvl="0">
      <w:lvlJc w:val="left"/>
      <w:lvlText w:val="▪"/>
      <w:numFmt w:val="bullet"/>
      <w:start w:val="1"/>
    </w:lvl>
  </w:abstractNum>
  <w:abstractNum w:abstractNumId="28">
    <w:nsid w:val="4DEFDFA0"/>
    <w:multiLevelType w:val="hybridMultilevel"/>
    <w:lvl w:ilvl="0">
      <w:lvlJc w:val="left"/>
      <w:lvlText w:val="▪"/>
      <w:numFmt w:val="bullet"/>
      <w:start w:val="1"/>
    </w:lvl>
    <w:lvl w:ilvl="1">
      <w:lvlJc w:val="left"/>
      <w:lvlText w:val="o"/>
      <w:numFmt w:val="bullet"/>
      <w:start w:val="1"/>
    </w:lvl>
  </w:abstractNum>
  <w:abstractNum w:abstractNumId="29">
    <w:nsid w:val="2123D5F2"/>
    <w:multiLevelType w:val="hybridMultilevel"/>
    <w:lvl w:ilvl="0">
      <w:lvlJc w:val="left"/>
      <w:lvlText w:val="▪"/>
      <w:numFmt w:val="bullet"/>
      <w:start w:val="1"/>
    </w:lvl>
    <w:lvl w:ilvl="1">
      <w:lvlJc w:val="left"/>
      <w:lvlText w:val="▪"/>
      <w:numFmt w:val="bullet"/>
      <w:start w:val="1"/>
    </w:lvl>
  </w:abstractNum>
  <w:abstractNum w:abstractNumId="30">
    <w:nsid w:val="135B8110"/>
    <w:multiLevelType w:val="hybridMultilevel"/>
    <w:lvl w:ilvl="0">
      <w:lvlJc w:val="left"/>
      <w:lvlText w:val="▪"/>
      <w:numFmt w:val="bullet"/>
      <w:start w:val="1"/>
    </w:lvl>
  </w:abstractNum>
  <w:abstractNum w:abstractNumId="31">
    <w:nsid w:val="94927A8"/>
    <w:multiLevelType w:val="hybridMultilevel"/>
    <w:lvl w:ilvl="0">
      <w:lvlJc w:val="left"/>
      <w:lvlText w:val="▪"/>
      <w:numFmt w:val="bullet"/>
      <w:start w:val="1"/>
    </w:lvl>
  </w:abstractNum>
  <w:abstractNum w:abstractNumId="32">
    <w:nsid w:val="DCDF8F6"/>
    <w:multiLevelType w:val="hybridMultilevel"/>
    <w:lvl w:ilvl="0">
      <w:lvlJc w:val="left"/>
      <w:lvlText w:val="▪"/>
      <w:numFmt w:val="bullet"/>
      <w:start w:val="1"/>
    </w:lvl>
  </w:abstractNum>
  <w:abstractNum w:abstractNumId="33">
    <w:nsid w:val="52D7B105"/>
    <w:multiLevelType w:val="hybridMultilevel"/>
    <w:lvl w:ilvl="0">
      <w:lvlJc w:val="left"/>
      <w:lvlText w:val="▪"/>
      <w:numFmt w:val="bullet"/>
      <w:start w:val="1"/>
    </w:lvl>
  </w:abstractNum>
  <w:abstractNum w:abstractNumId="34">
    <w:nsid w:val="2E8A6394"/>
    <w:multiLevelType w:val="hybridMultilevel"/>
    <w:lvl w:ilvl="0">
      <w:lvlJc w:val="left"/>
      <w:lvlText w:val="▪"/>
      <w:numFmt w:val="bullet"/>
      <w:start w:val="1"/>
    </w:lvl>
  </w:abstractNum>
  <w:abstractNum w:abstractNumId="35">
    <w:nsid w:val="24E60401"/>
    <w:multiLevelType w:val="hybridMultilevel"/>
    <w:lvl w:ilvl="0">
      <w:lvlJc w:val="left"/>
      <w:lvlText w:val="▪"/>
      <w:numFmt w:val="bullet"/>
      <w:start w:val="1"/>
    </w:lvl>
    <w:lvl w:ilvl="1">
      <w:lvlJc w:val="left"/>
      <w:lvlText w:val="%2)"/>
      <w:numFmt w:val="decimal"/>
      <w:start w:val="1"/>
    </w:lvl>
  </w:abstractNum>
  <w:abstractNum w:abstractNumId="36">
    <w:nsid w:val="2A6AD9BE"/>
    <w:multiLevelType w:val="hybridMultilevel"/>
    <w:lvl w:ilvl="0">
      <w:lvlJc w:val="left"/>
      <w:lvlText w:val="•"/>
      <w:numFmt w:val="bullet"/>
      <w:start w:val="1"/>
    </w:lvl>
    <w:lvl w:ilvl="1">
      <w:lvlJc w:val="left"/>
      <w:lvlText w:val="▪"/>
      <w:numFmt w:val="bullet"/>
      <w:start w:val="1"/>
    </w:lvl>
  </w:abstractNum>
  <w:abstractNum w:abstractNumId="37">
    <w:nsid w:val="BAAC1B4"/>
    <w:multiLevelType w:val="hybridMultilevel"/>
    <w:lvl w:ilvl="0">
      <w:lvlJc w:val="left"/>
      <w:lvlText w:val="•"/>
      <w:numFmt w:val="bullet"/>
      <w:start w:val="1"/>
    </w:lvl>
    <w:lvl w:ilvl="1">
      <w:lvlJc w:val="left"/>
      <w:lvlText w:val="▪"/>
      <w:numFmt w:val="bullet"/>
      <w:start w:val="1"/>
    </w:lvl>
  </w:abstractNum>
  <w:abstractNum w:abstractNumId="38">
    <w:nsid w:val="36B2ACBC"/>
    <w:multiLevelType w:val="hybridMultilevel"/>
    <w:lvl w:ilvl="0">
      <w:lvlJc w:val="left"/>
      <w:lvlText w:val="▪"/>
      <w:numFmt w:val="bullet"/>
      <w:start w:val="1"/>
    </w:lvl>
  </w:abstractNum>
  <w:abstractNum w:abstractNumId="39">
    <w:nsid w:val="779D8544"/>
    <w:multiLevelType w:val="hybridMultilevel"/>
    <w:lvl w:ilvl="0">
      <w:lvlJc w:val="left"/>
      <w:lvlText w:val="▪"/>
      <w:numFmt w:val="bullet"/>
      <w:start w:val="1"/>
    </w:lvl>
  </w:abstractNum>
  <w:abstractNum w:abstractNumId="40">
    <w:nsid w:val="4AB26E78"/>
    <w:multiLevelType w:val="hybridMultilevel"/>
    <w:lvl w:ilvl="0">
      <w:lvlJc w:val="left"/>
      <w:lvlText w:val="▪"/>
      <w:numFmt w:val="bullet"/>
      <w:start w:val="1"/>
    </w:lvl>
  </w:abstractNum>
  <w:abstractNum w:abstractNumId="41">
    <w:nsid w:val="21FAA2FA"/>
    <w:multiLevelType w:val="hybridMultilevel"/>
    <w:lvl w:ilvl="0">
      <w:lvlJc w:val="left"/>
      <w:lvlText w:val="▪"/>
      <w:numFmt w:val="bullet"/>
      <w:start w:val="1"/>
    </w:lvl>
  </w:abstractNum>
  <w:abstractNum w:abstractNumId="42">
    <w:nsid w:val="5451CF49"/>
    <w:multiLevelType w:val="hybridMultilevel"/>
    <w:lvl w:ilvl="0">
      <w:lvlJc w:val="left"/>
      <w:lvlText w:val="▪"/>
      <w:numFmt w:val="bullet"/>
      <w:start w:val="1"/>
    </w:lvl>
  </w:abstractNum>
  <w:abstractNum w:abstractNumId="43">
    <w:nsid w:val="6181EF69"/>
    <w:multiLevelType w:val="hybridMultilevel"/>
    <w:lvl w:ilvl="0">
      <w:lvlJc w:val="left"/>
      <w:lvlText w:val="%1)"/>
      <w:numFmt w:val="decimal"/>
      <w:start w:val="1"/>
    </w:lvl>
  </w:abstractNum>
  <w:abstractNum w:abstractNumId="44">
    <w:nsid w:val="3E6400E6"/>
    <w:multiLevelType w:val="hybridMultilevel"/>
    <w:lvl w:ilvl="0">
      <w:lvlJc w:val="left"/>
      <w:lvlText w:val="▪"/>
      <w:numFmt w:val="bullet"/>
      <w:start w:val="1"/>
    </w:lvl>
  </w:abstractNum>
  <w:abstractNum w:abstractNumId="45">
    <w:nsid w:val="14217E23"/>
    <w:multiLevelType w:val="hybridMultilevel"/>
    <w:lvl w:ilvl="0">
      <w:lvlJc w:val="left"/>
      <w:lvlText w:val="▪"/>
      <w:numFmt w:val="bullet"/>
      <w:start w:val="1"/>
    </w:lvl>
  </w:abstractNum>
  <w:abstractNum w:abstractNumId="46">
    <w:nsid w:val="710757D0"/>
    <w:multiLevelType w:val="hybridMultilevel"/>
    <w:lvl w:ilvl="0">
      <w:lvlJc w:val="left"/>
      <w:lvlText w:val="%1)"/>
      <w:numFmt w:val="decimal"/>
      <w:start w:val="1"/>
    </w:lvl>
  </w:abstractNum>
  <w:abstractNum w:abstractNumId="47">
    <w:nsid w:val="5015CD1A"/>
    <w:multiLevelType w:val="hybridMultilevel"/>
    <w:lvl w:ilvl="0">
      <w:lvlJc w:val="left"/>
      <w:lvlText w:val="%1)"/>
      <w:numFmt w:val="decimal"/>
      <w:start w:val="1"/>
    </w:lvl>
  </w:abstractNum>
  <w:abstractNum w:abstractNumId="48">
    <w:nsid w:val="424479DA"/>
    <w:multiLevelType w:val="hybridMultilevel"/>
    <w:lvl w:ilvl="0">
      <w:lvlJc w:val="left"/>
      <w:lvlText w:val="%1)"/>
      <w:numFmt w:val="decimal"/>
      <w:start w:val="3"/>
    </w:lvl>
  </w:abstractNum>
  <w:abstractNum w:abstractNumId="49">
    <w:nsid w:val="1A9A9E69"/>
    <w:multiLevelType w:val="hybridMultilevel"/>
    <w:lvl w:ilvl="0">
      <w:lvlJc w:val="left"/>
      <w:lvlText w:val="▪"/>
      <w:numFmt w:val="bullet"/>
      <w:start w:val="1"/>
    </w:lvl>
  </w:abstractNum>
  <w:abstractNum w:abstractNumId="50">
    <w:nsid w:val="475E256A"/>
    <w:multiLevelType w:val="hybridMultilevel"/>
    <w:lvl w:ilvl="0">
      <w:lvlJc w:val="left"/>
      <w:lvlText w:val="%1)"/>
      <w:numFmt w:val="decimal"/>
      <w:start w:val="1"/>
    </w:lvl>
  </w:abstractNum>
  <w:abstractNum w:abstractNumId="51">
    <w:nsid w:val="368DB37E"/>
    <w:multiLevelType w:val="hybridMultilevel"/>
    <w:lvl w:ilvl="0">
      <w:lvlJc w:val="left"/>
      <w:lvlText w:val="▪"/>
      <w:numFmt w:val="bullet"/>
      <w:start w:val="1"/>
    </w:lvl>
  </w:abstractNum>
  <w:abstractNum w:abstractNumId="52">
    <w:nsid w:val="6A3B714C"/>
    <w:multiLevelType w:val="hybridMultilevel"/>
    <w:lvl w:ilvl="0">
      <w:lvlJc w:val="left"/>
      <w:lvlText w:val="▪"/>
      <w:numFmt w:val="bullet"/>
      <w:start w:val="1"/>
    </w:lvl>
  </w:abstractNum>
  <w:abstractNum w:abstractNumId="53">
    <w:nsid w:val="327B517E"/>
    <w:multiLevelType w:val="hybridMultilevel"/>
    <w:lvl w:ilvl="0">
      <w:lvlJc w:val="left"/>
      <w:lvlText w:val="▪"/>
      <w:numFmt w:val="bullet"/>
      <w:start w:val="1"/>
    </w:lvl>
    <w:lvl w:ilvl="1">
      <w:lvlJc w:val="left"/>
      <w:lvlText w:val="▪"/>
      <w:numFmt w:val="bullet"/>
      <w:start w:val="1"/>
    </w:lvl>
  </w:abstractNum>
  <w:abstractNum w:abstractNumId="54">
    <w:nsid w:val="1F461B51"/>
    <w:multiLevelType w:val="hybridMultilevel"/>
    <w:lvl w:ilvl="0">
      <w:lvlJc w:val="left"/>
      <w:lvlText w:val="▪"/>
      <w:numFmt w:val="bullet"/>
      <w:start w:val="1"/>
    </w:lvl>
  </w:abstractNum>
  <w:abstractNum w:abstractNumId="55">
    <w:nsid w:val="29BACF25"/>
    <w:multiLevelType w:val="hybridMultilevel"/>
    <w:lvl w:ilvl="0">
      <w:lvlJc w:val="left"/>
      <w:lvlText w:val="▪"/>
      <w:numFmt w:val="bullet"/>
      <w:start w:val="1"/>
    </w:lvl>
  </w:abstractNum>
  <w:abstractNum w:abstractNumId="56">
    <w:nsid w:val="5D5BABB3"/>
    <w:multiLevelType w:val="hybridMultilevel"/>
    <w:lvl w:ilvl="0">
      <w:lvlJc w:val="left"/>
      <w:lvlText w:val="▪"/>
      <w:numFmt w:val="bullet"/>
      <w:start w:val="1"/>
    </w:lvl>
  </w:abstractNum>
  <w:abstractNum w:abstractNumId="57">
    <w:nsid w:val="51BF6B48"/>
    <w:multiLevelType w:val="hybridMultilevel"/>
    <w:lvl w:ilvl="0">
      <w:lvlJc w:val="left"/>
      <w:lvlText w:val="▪"/>
      <w:numFmt w:val="bullet"/>
      <w:start w:val="1"/>
    </w:lvl>
  </w:abstractNum>
  <w:abstractNum w:abstractNumId="58">
    <w:nsid w:val="7E0F6384"/>
    <w:multiLevelType w:val="hybridMultilevel"/>
    <w:lvl w:ilvl="0">
      <w:lvlJc w:val="left"/>
      <w:lvlText w:val="▪"/>
      <w:numFmt w:val="bullet"/>
      <w:start w:val="1"/>
    </w:lvl>
  </w:abstractNum>
  <w:abstractNum w:abstractNumId="59">
    <w:nsid w:val="2B4B8B53"/>
    <w:multiLevelType w:val="hybridMultilevel"/>
    <w:lvl w:ilvl="0">
      <w:lvlJc w:val="left"/>
      <w:lvlText w:val="▪"/>
      <w:numFmt w:val="bullet"/>
      <w:start w:val="1"/>
    </w:lvl>
  </w:abstractNum>
  <w:abstractNum w:abstractNumId="60">
    <w:nsid w:val="72E3413A"/>
    <w:multiLevelType w:val="hybridMultilevel"/>
    <w:lvl w:ilvl="0">
      <w:lvlJc w:val="left"/>
      <w:lvlText w:val="▪"/>
      <w:numFmt w:val="bullet"/>
      <w:start w:val="1"/>
    </w:lvl>
  </w:abstractNum>
  <w:abstractNum w:abstractNumId="61">
    <w:nsid w:val="116AE494"/>
    <w:multiLevelType w:val="hybridMultilevel"/>
    <w:lvl w:ilvl="0">
      <w:lvlJc w:val="left"/>
      <w:lvlText w:val="▪"/>
      <w:numFmt w:val="bullet"/>
      <w:start w:val="1"/>
    </w:lvl>
  </w:abstractNum>
  <w:abstractNum w:abstractNumId="62">
    <w:nsid w:val="3494B2FB"/>
    <w:multiLevelType w:val="hybridMultilevel"/>
    <w:lvl w:ilvl="0">
      <w:lvlJc w:val="left"/>
      <w:lvlText w:val="(%1)"/>
      <w:numFmt w:val="decimal"/>
      <w:start w:val="5"/>
    </w:lvl>
  </w:abstractNum>
  <w:abstractNum w:abstractNumId="63">
    <w:nsid w:val="B13A31"/>
    <w:multiLevelType w:val="hybridMultilevel"/>
    <w:lvl w:ilvl="0">
      <w:lvlJc w:val="left"/>
      <w:lvlText w:val="▪"/>
      <w:numFmt w:val="bullet"/>
      <w:start w:val="1"/>
    </w:lvl>
  </w:abstractNum>
  <w:abstractNum w:abstractNumId="64">
    <w:nsid w:val="64429599"/>
    <w:multiLevelType w:val="hybridMultilevel"/>
    <w:lvl w:ilvl="0">
      <w:lvlJc w:val="left"/>
      <w:lvlText w:val="*"/>
      <w:numFmt w:val="bullet"/>
      <w:start w:val="1"/>
    </w:lvl>
    <w:lvl w:ilvl="1">
      <w:lvlJc w:val="left"/>
      <w:lvlText w:val="%2)"/>
      <w:numFmt w:val="decimal"/>
      <w:start w:val="1"/>
    </w:lvl>
  </w:abstractNum>
  <w:abstractNum w:abstractNumId="65">
    <w:nsid w:val="631F1690"/>
    <w:multiLevelType w:val="hybridMultilevel"/>
    <w:lvl w:ilvl="0">
      <w:lvlJc w:val="left"/>
      <w:lvlText w:val="%1."/>
      <w:numFmt w:val="upperLetter"/>
      <w:start w:val="2"/>
    </w:lvl>
  </w:abstractNum>
  <w:abstractNum w:abstractNumId="66">
    <w:nsid w:val="25973E32"/>
    <w:multiLevelType w:val="hybridMultilevel"/>
    <w:lvl w:ilvl="0">
      <w:lvlJc w:val="left"/>
      <w:lvlText w:val="(%1)"/>
      <w:numFmt w:val="decimal"/>
      <w:start w:val="1"/>
    </w:lvl>
  </w:abstractNum>
  <w:abstractNum w:abstractNumId="67">
    <w:nsid w:val="EAD6F57"/>
    <w:multiLevelType w:val="hybridMultilevel"/>
    <w:lvl w:ilvl="0">
      <w:lvlJc w:val="left"/>
      <w:lvlText w:val="(%1)"/>
      <w:numFmt w:val="decimal"/>
      <w:start w:val="1"/>
    </w:lvl>
  </w:abstractNum>
  <w:abstractNum w:abstractNumId="68">
    <w:nsid w:val="6EC9D844"/>
    <w:multiLevelType w:val="hybridMultilevel"/>
    <w:lvl w:ilvl="0">
      <w:lvlJc w:val="left"/>
      <w:lvlText w:val="(%1)"/>
      <w:numFmt w:val="decimal"/>
      <w:start w:val="1"/>
    </w:lvl>
  </w:abstractNum>
  <w:abstractNum w:abstractNumId="69">
    <w:nsid w:val="5C49EAEE"/>
    <w:multiLevelType w:val="hybridMultilevel"/>
    <w:lvl w:ilvl="0">
      <w:lvlJc w:val="left"/>
      <w:lvlText w:val="•"/>
      <w:numFmt w:val="bullet"/>
      <w:start w:val="1"/>
    </w:lvl>
  </w:abstractNum>
  <w:abstractNum w:abstractNumId="70">
    <w:nsid w:val="64AF49B"/>
    <w:multiLevelType w:val="hybridMultilevel"/>
    <w:lvl w:ilvl="0">
      <w:lvlJc w:val="left"/>
      <w:lvlText w:val="•"/>
      <w:numFmt w:val="bullet"/>
      <w:start w:val="1"/>
    </w:lvl>
  </w:abstractNum>
  <w:abstractNum w:abstractNumId="71">
    <w:nsid w:val="397C46BC"/>
    <w:multiLevelType w:val="hybridMultilevel"/>
    <w:lvl w:ilvl="0">
      <w:lvlJc w:val="left"/>
      <w:lvlText w:val="•"/>
      <w:numFmt w:val="bullet"/>
      <w:start w:val="1"/>
    </w:lvl>
  </w:abstractNum>
  <w:abstractNum w:abstractNumId="72">
    <w:nsid w:val="7E448DE9"/>
    <w:multiLevelType w:val="hybridMultilevel"/>
    <w:lvl w:ilvl="0">
      <w:lvlJc w:val="left"/>
      <w:lvlText w:val="•"/>
      <w:numFmt w:val="bullet"/>
      <w:start w:val="1"/>
    </w:lvl>
    <w:lvl w:ilvl="1">
      <w:lvlJc w:val="left"/>
      <w:lvlText w:val="•"/>
      <w:numFmt w:val="bullet"/>
      <w:start w:val="1"/>
    </w:lvl>
  </w:abstractNum>
  <w:abstractNum w:abstractNumId="73">
    <w:nsid w:val="5A9CC3E5"/>
    <w:multiLevelType w:val="hybridMultilevel"/>
    <w:lvl w:ilvl="0">
      <w:lvlJc w:val="left"/>
      <w:lvlText w:val="•"/>
      <w:numFmt w:val="bullet"/>
      <w:start w:val="1"/>
    </w:lvl>
    <w:lvl w:ilvl="1">
      <w:lvlJc w:val="left"/>
      <w:lvlText w:val="•"/>
      <w:numFmt w:val="bullet"/>
      <w:start w:val="1"/>
    </w:lvl>
  </w:abstractNum>
  <w:abstractNum w:abstractNumId="74">
    <w:nsid w:val="1AFE3625"/>
    <w:multiLevelType w:val="hybridMultilevel"/>
    <w:lvl w:ilvl="0">
      <w:lvlJc w:val="left"/>
      <w:lvlText w:val="•"/>
      <w:numFmt w:val="bullet"/>
      <w:start w:val="1"/>
    </w:lvl>
    <w:lvl w:ilvl="1">
      <w:lvlJc w:val="left"/>
      <w:lvlText w:val="•"/>
      <w:numFmt w:val="bullet"/>
      <w:start w:val="1"/>
    </w:lvl>
  </w:abstractNum>
  <w:abstractNum w:abstractNumId="75">
    <w:nsid w:val="3CA88ECF"/>
    <w:multiLevelType w:val="hybridMultilevel"/>
    <w:lvl w:ilvl="0">
      <w:lvlJc w:val="left"/>
      <w:lvlText w:val="•"/>
      <w:numFmt w:val="bullet"/>
      <w:start w:val="1"/>
    </w:lvl>
  </w:abstractNum>
  <w:abstractNum w:abstractNumId="76">
    <w:nsid w:val="6EBE4208"/>
    <w:multiLevelType w:val="hybridMultilevel"/>
    <w:lvl w:ilvl="0">
      <w:lvlJc w:val="left"/>
      <w:lvlText w:val="%1)"/>
      <w:numFmt w:val="decimal"/>
      <w:start w:val="1"/>
    </w:lvl>
  </w:abstractNum>
  <w:abstractNum w:abstractNumId="77">
    <w:nsid w:val="C058DF5"/>
    <w:multiLevelType w:val="hybridMultilevel"/>
    <w:lvl w:ilvl="0">
      <w:lvlJc w:val="left"/>
      <w:lvlText w:val="%"/>
      <w:numFmt w:val="bullet"/>
      <w:start w:val="1"/>
    </w:lvl>
  </w:abstractNum>
  <w:abstractNum w:abstractNumId="78">
    <w:nsid w:val="CBE5BE9"/>
    <w:multiLevelType w:val="hybridMultilevel"/>
    <w:lvl w:ilvl="0">
      <w:lvlJc w:val="left"/>
      <w:lvlText w:val="•"/>
      <w:numFmt w:val="bullet"/>
      <w:start w:val="1"/>
    </w:lvl>
  </w:abstractNum>
  <w:abstractNum w:abstractNumId="79">
    <w:nsid w:val="3102BBE2"/>
    <w:multiLevelType w:val="hybridMultilevel"/>
    <w:lvl w:ilvl="0">
      <w:lvlJc w:val="left"/>
      <w:lvlText w:val="•"/>
      <w:numFmt w:val="bullet"/>
      <w:start w:val="1"/>
    </w:lvl>
  </w:abstractNum>
  <w:abstractNum w:abstractNumId="80">
    <w:nsid w:val="26A02C5E"/>
    <w:multiLevelType w:val="hybridMultilevel"/>
    <w:lvl w:ilvl="0">
      <w:lvlJc w:val="left"/>
      <w:lvlText w:val="•"/>
      <w:numFmt w:val="bullet"/>
      <w:start w:val="1"/>
    </w:lvl>
  </w:abstractNum>
  <w:abstractNum w:abstractNumId="81">
    <w:nsid w:val="541C8153"/>
    <w:multiLevelType w:val="hybridMultilevel"/>
    <w:lvl w:ilvl="0">
      <w:lvlJc w:val="left"/>
      <w:lvlText w:val="(%1)"/>
      <w:numFmt w:val="decimal"/>
      <w:start w:val="1"/>
    </w:lvl>
  </w:abstractNum>
  <w:abstractNum w:abstractNumId="82">
    <w:nsid w:val="67906F60"/>
    <w:multiLevelType w:val="hybridMultilevel"/>
    <w:lvl w:ilvl="0">
      <w:lvlJc w:val="left"/>
      <w:lvlText w:val="(%1)"/>
      <w:numFmt w:val="decimal"/>
      <w:start w:val="1"/>
    </w:lvl>
  </w:abstractNum>
  <w:abstractNum w:abstractNumId="83">
    <w:nsid w:val="10DB9DAA"/>
    <w:multiLevelType w:val="hybridMultilevel"/>
    <w:lvl w:ilvl="0">
      <w:lvlJc w:val="left"/>
      <w:lvlText w:val="(%1)"/>
      <w:numFmt w:val="decimal"/>
      <w:start w:val="1"/>
    </w:lvl>
  </w:abstractNum>
  <w:abstractNum w:abstractNumId="84">
    <w:nsid w:val="697D2D2"/>
    <w:multiLevelType w:val="hybridMultilevel"/>
    <w:lvl w:ilvl="0">
      <w:lvlJc w:val="left"/>
      <w:lvlText w:val="(%1)"/>
      <w:numFmt w:val="decimal"/>
      <w:start w:val="1"/>
    </w:lvl>
  </w:abstractNum>
  <w:abstractNum w:abstractNumId="85">
    <w:nsid w:val="6D68AB2"/>
    <w:multiLevelType w:val="hybridMultilevel"/>
    <w:lvl w:ilvl="0">
      <w:lvlJc w:val="left"/>
      <w:lvlText w:val="(%1)"/>
      <w:numFmt w:val="decimal"/>
      <w:start w:val="1"/>
    </w:lvl>
  </w:abstractNum>
  <w:abstractNum w:abstractNumId="86">
    <w:nsid w:val="3A966CD0"/>
    <w:multiLevelType w:val="hybridMultilevel"/>
    <w:lvl w:ilvl="0">
      <w:lvlJc w:val="left"/>
      <w:lvlText w:val="(%1)"/>
      <w:numFmt w:val="decimal"/>
      <w:start w:val="4"/>
    </w:lvl>
  </w:abstractNum>
  <w:abstractNum w:abstractNumId="87">
    <w:nsid w:val="63F37E85"/>
    <w:multiLevelType w:val="hybridMultilevel"/>
    <w:lvl w:ilvl="0">
      <w:lvlJc w:val="left"/>
      <w:lvlText w:val="(%1)"/>
      <w:numFmt w:val="decimal"/>
      <w:start w:val="9"/>
    </w:lvl>
  </w:abstractNum>
  <w:abstractNum w:abstractNumId="88">
    <w:nsid w:val="5895F5FA"/>
    <w:multiLevelType w:val="hybridMultilevel"/>
    <w:lvl w:ilvl="0">
      <w:lvlJc w:val="left"/>
      <w:lvlText w:val="(%1)"/>
      <w:numFmt w:val="decimal"/>
      <w:start w:val="1"/>
    </w:lvl>
  </w:abstractNum>
  <w:abstractNum w:abstractNumId="89">
    <w:nsid w:val="38A5D054"/>
    <w:multiLevelType w:val="hybridMultilevel"/>
    <w:lvl w:ilvl="0">
      <w:lvlJc w:val="left"/>
      <w:lvlText w:val="(%1)"/>
      <w:numFmt w:val="decimal"/>
      <w:start w:val="1"/>
    </w:lvl>
  </w:abstractNum>
  <w:abstractNum w:abstractNumId="90">
    <w:nsid w:val="F3F09D8"/>
    <w:multiLevelType w:val="hybridMultilevel"/>
    <w:lvl w:ilvl="0">
      <w:lvlJc w:val="left"/>
      <w:lvlText w:val="(%1)"/>
      <w:numFmt w:val="decimal"/>
      <w:start w:val="2"/>
    </w:lvl>
  </w:abstractNum>
  <w:abstractNum w:abstractNumId="91">
    <w:nsid w:val="4B793735"/>
    <w:multiLevelType w:val="hybridMultilevel"/>
    <w:lvl w:ilvl="0">
      <w:lvlJc w:val="left"/>
      <w:lvlText w:val="•"/>
      <w:numFmt w:val="bullet"/>
      <w:start w:val="1"/>
    </w:lvl>
    <w:lvl w:ilvl="1">
      <w:lvlJc w:val="left"/>
      <w:lvlText w:val="(%2)"/>
      <w:numFmt w:val="lowerRoman"/>
      <w:start w:val="1"/>
    </w:lvl>
  </w:abstractNum>
  <w:abstractNum w:abstractNumId="92">
    <w:nsid w:val="4A10B4E8"/>
    <w:multiLevelType w:val="hybridMultilevel"/>
    <w:lvl w:ilvl="0">
      <w:lvlJc w:val="left"/>
      <w:lvlText w:val="•"/>
      <w:numFmt w:val="bullet"/>
      <w:start w:val="1"/>
    </w:lvl>
  </w:abstractNum>
  <w:abstractNum w:abstractNumId="93">
    <w:nsid w:val="43D3BCD4"/>
    <w:multiLevelType w:val="hybridMultilevel"/>
    <w:lvl w:ilvl="0">
      <w:lvlJc w:val="left"/>
      <w:lvlText w:val="(%1)"/>
      <w:numFmt w:val="decimal"/>
      <w:start w:val="1"/>
    </w:lvl>
  </w:abstractNum>
  <w:abstractNum w:abstractNumId="94">
    <w:nsid w:val="4C2A7166"/>
    <w:multiLevelType w:val="hybridMultilevel"/>
    <w:lvl w:ilvl="0">
      <w:lvlJc w:val="left"/>
      <w:lvlText w:val="(%1)"/>
      <w:numFmt w:val="decimal"/>
      <w:start w:val="3"/>
    </w:lvl>
  </w:abstractNum>
  <w:abstractNum w:abstractNumId="95">
    <w:nsid w:val="2E534A82"/>
    <w:multiLevelType w:val="hybridMultilevel"/>
    <w:lvl w:ilvl="0">
      <w:lvlJc w:val="left"/>
      <w:lvlText w:val="(%1)"/>
      <w:numFmt w:val="decimal"/>
      <w:start w:val="5"/>
    </w:lvl>
  </w:abstractNum>
  <w:abstractNum w:abstractNumId="96">
    <w:nsid w:val="26F2D364"/>
    <w:multiLevelType w:val="hybridMultilevel"/>
    <w:lvl w:ilvl="0">
      <w:lvlJc w:val="left"/>
      <w:lvlText w:val="•"/>
      <w:numFmt w:val="bullet"/>
      <w:start w:val="1"/>
    </w:lvl>
  </w:abstractNum>
  <w:abstractNum w:abstractNumId="97">
    <w:nsid w:val="71C1AF98"/>
    <w:multiLevelType w:val="hybridMultilevel"/>
    <w:lvl w:ilvl="0">
      <w:lvlJc w:val="left"/>
      <w:lvlText w:val="•"/>
      <w:numFmt w:val="bullet"/>
      <w:start w:val="1"/>
    </w:lvl>
  </w:abstractNum>
  <w:abstractNum w:abstractNumId="98">
    <w:nsid w:val="3D00B9D9"/>
    <w:multiLevelType w:val="hybridMultilevel"/>
    <w:lvl w:ilvl="0">
      <w:lvlJc w:val="left"/>
      <w:lvlText w:val="•"/>
      <w:numFmt w:val="bullet"/>
      <w:start w:val="1"/>
    </w:lvl>
  </w:abstractNum>
  <w:abstractNum w:abstractNumId="99">
    <w:nsid w:val="15BCABA8"/>
    <w:multiLevelType w:val="hybridMultilevel"/>
    <w:lvl w:ilvl="0">
      <w:lvlJc w:val="left"/>
      <w:lvlText w:val="•"/>
      <w:numFmt w:val="bullet"/>
      <w:start w:val="1"/>
    </w:lvl>
  </w:abstractNum>
  <w:abstractNum w:abstractNumId="100">
    <w:nsid w:val="4E0B9A87"/>
    <w:multiLevelType w:val="hybridMultilevel"/>
    <w:lvl w:ilvl="0">
      <w:lvlJc w:val="left"/>
      <w:lvlText w:val="•"/>
      <w:numFmt w:val="bullet"/>
      <w:start w:val="1"/>
    </w:lvl>
  </w:abstractNum>
  <w:abstractNum w:abstractNumId="101">
    <w:nsid w:val="434BAE75"/>
    <w:multiLevelType w:val="hybridMultilevel"/>
    <w:lvl w:ilvl="0">
      <w:lvlJc w:val="left"/>
      <w:lvlText w:val="•"/>
      <w:numFmt w:val="bullet"/>
      <w:start w:val="1"/>
    </w:lvl>
  </w:abstractNum>
  <w:abstractNum w:abstractNumId="102">
    <w:nsid w:val="4F38F265"/>
    <w:multiLevelType w:val="hybridMultilevel"/>
    <w:lvl w:ilvl="0">
      <w:lvlJc w:val="left"/>
      <w:lvlText w:val="•"/>
      <w:numFmt w:val="bullet"/>
      <w:start w:val="1"/>
    </w:lvl>
  </w:abstractNum>
  <w:abstractNum w:abstractNumId="103">
    <w:nsid w:val="4C502870"/>
    <w:multiLevelType w:val="hybridMultilevel"/>
    <w:lvl w:ilvl="0">
      <w:lvlJc w:val="left"/>
      <w:lvlText w:val="•"/>
      <w:numFmt w:val="bullet"/>
      <w:start w:val="1"/>
    </w:lvl>
  </w:abstractNum>
  <w:abstractNum w:abstractNumId="104">
    <w:nsid w:val="1DE8725A"/>
    <w:multiLevelType w:val="hybridMultilevel"/>
    <w:lvl w:ilvl="0">
      <w:lvlJc w:val="left"/>
      <w:lvlText w:val="•"/>
      <w:numFmt w:val="bullet"/>
      <w:start w:val="1"/>
    </w:lvl>
  </w:abstractNum>
  <w:abstractNum w:abstractNumId="105">
    <w:nsid w:val="6A37288A"/>
    <w:multiLevelType w:val="hybridMultilevel"/>
    <w:lvl w:ilvl="0">
      <w:lvlJc w:val="left"/>
      <w:lvlText w:val="•"/>
      <w:numFmt w:val="bullet"/>
      <w:start w:val="1"/>
    </w:lvl>
  </w:abstractNum>
  <w:abstractNum w:abstractNumId="106">
    <w:nsid w:val="8F8B73F"/>
    <w:multiLevelType w:val="hybridMultilevel"/>
    <w:lvl w:ilvl="0">
      <w:lvlJc w:val="left"/>
      <w:lvlText w:val="•"/>
      <w:numFmt w:val="bullet"/>
      <w:start w:val="1"/>
    </w:lvl>
  </w:abstractNum>
  <w:abstractNum w:abstractNumId="107">
    <w:nsid w:val="CA6B462"/>
    <w:multiLevelType w:val="hybridMultilevel"/>
    <w:lvl w:ilvl="0">
      <w:lvlJc w:val="left"/>
      <w:lvlText w:val="(%1)"/>
      <w:numFmt w:val="lowerLetter"/>
      <w:start w:val="1"/>
    </w:lvl>
  </w:abstractNum>
  <w:abstractNum w:abstractNumId="108">
    <w:nsid w:val="763CB680"/>
    <w:multiLevelType w:val="hybridMultilevel"/>
    <w:lvl w:ilvl="0">
      <w:lvlJc w:val="left"/>
      <w:lvlText w:val="(%1)"/>
      <w:numFmt w:val="lowerLetter"/>
      <w:start w:val="3"/>
    </w:lvl>
  </w:abstractNum>
  <w:abstractNum w:abstractNumId="109">
    <w:nsid w:val="15B71329"/>
    <w:multiLevelType w:val="hybridMultilevel"/>
    <w:lvl w:ilvl="0">
      <w:lvlJc w:val="left"/>
      <w:lvlText w:val="(%1)"/>
      <w:numFmt w:val="lowerLetter"/>
      <w:start w:val="8"/>
    </w:lvl>
  </w:abstractNum>
  <w:abstractNum w:abstractNumId="110">
    <w:nsid w:val="3DA97044"/>
    <w:multiLevelType w:val="hybridMultilevel"/>
    <w:lvl w:ilvl="0">
      <w:lvlJc w:val="left"/>
      <w:lvlText w:val="(%1)"/>
      <w:numFmt w:val="lowerRoman"/>
      <w:start w:val="1"/>
    </w:lvl>
  </w:abstractNum>
  <w:abstractNum w:abstractNumId="111">
    <w:nsid w:val="1CDCE2DE"/>
    <w:multiLevelType w:val="hybridMultilevel"/>
    <w:lvl w:ilvl="0">
      <w:lvlJc w:val="left"/>
      <w:lvlText w:val="-"/>
      <w:numFmt w:val="bullet"/>
      <w:start w:val="1"/>
    </w:lvl>
  </w:abstractNum>
  <w:abstractNum w:abstractNumId="112">
    <w:nsid w:val="69D3947C"/>
    <w:multiLevelType w:val="hybridMultilevel"/>
    <w:lvl w:ilvl="0">
      <w:lvlJc w:val="left"/>
      <w:lvlText w:val="-"/>
      <w:numFmt w:val="bullet"/>
      <w:start w:val="1"/>
    </w:lvl>
  </w:abstractNum>
  <w:abstractNum w:abstractNumId="113">
    <w:nsid w:val="2539DFA5"/>
    <w:multiLevelType w:val="hybridMultilevel"/>
    <w:lvl w:ilvl="0">
      <w:lvlJc w:val="left"/>
      <w:lvlText w:val="(%1)"/>
      <w:numFmt w:val="lowerRoman"/>
      <w:start w:val="2"/>
    </w:lvl>
  </w:abstractNum>
  <w:abstractNum w:abstractNumId="114">
    <w:nsid w:val="2DB88089"/>
    <w:multiLevelType w:val="hybridMultilevel"/>
    <w:lvl w:ilvl="0">
      <w:lvlJc w:val="left"/>
      <w:lvlText w:val="%1."/>
      <w:numFmt w:val="decimal"/>
      <w:start w:val="1"/>
    </w:lvl>
  </w:abstractNum>
  <w:abstractNum w:abstractNumId="115">
    <w:nsid w:val="706B674E"/>
    <w:multiLevelType w:val="hybridMultilevel"/>
    <w:lvl w:ilvl="0">
      <w:lvlJc w:val="left"/>
      <w:lvlText w:val="·"/>
      <w:numFmt w:val="bullet"/>
      <w:start w:val="1"/>
    </w:lvl>
  </w:abstractNum>
  <w:abstractNum w:abstractNumId="116">
    <w:nsid w:val="2C106A57"/>
    <w:multiLevelType w:val="hybridMultilevel"/>
    <w:lvl w:ilvl="0">
      <w:lvlJc w:val="left"/>
      <w:lvlText w:val="·"/>
      <w:numFmt w:val="bullet"/>
      <w:start w:val="1"/>
    </w:lvl>
  </w:abstractNum>
  <w:abstractNum w:abstractNumId="117">
    <w:nsid w:val="684EED59"/>
    <w:multiLevelType w:val="hybridMultilevel"/>
    <w:lvl w:ilvl="0">
      <w:lvlJc w:val="left"/>
      <w:lvlText w:val="(%1)"/>
      <w:numFmt w:val="lowerRoman"/>
      <w:start w:val="2"/>
    </w:lvl>
  </w:abstractNum>
  <w:abstractNum w:abstractNumId="118">
    <w:nsid w:val="545EE5D3"/>
    <w:multiLevelType w:val="hybridMultilevel"/>
    <w:lvl w:ilvl="0">
      <w:lvlJc w:val="left"/>
      <w:lvlText w:val="%1."/>
      <w:numFmt w:val="decimal"/>
      <w:start w:val="2"/>
    </w:lvl>
  </w:abstractNum>
  <w:abstractNum w:abstractNumId="119">
    <w:nsid w:val="4A66051"/>
    <w:multiLevelType w:val="hybridMultilevel"/>
    <w:lvl w:ilvl="0">
      <w:lvlJc w:val="left"/>
      <w:lvlText w:val="•"/>
      <w:numFmt w:val="bullet"/>
      <w:start w:val="1"/>
    </w:lvl>
  </w:abstractNum>
  <w:abstractNum w:abstractNumId="120">
    <w:nsid w:val="20F4BDAD"/>
    <w:multiLevelType w:val="hybridMultilevel"/>
    <w:lvl w:ilvl="0">
      <w:lvlJc w:val="left"/>
      <w:lvlText w:val="•"/>
      <w:numFmt w:val="bullet"/>
      <w:start w:val="1"/>
    </w:lvl>
  </w:abstractNum>
  <w:abstractNum w:abstractNumId="121">
    <w:nsid w:val="639DEFAC"/>
    <w:multiLevelType w:val="hybridMultilevel"/>
    <w:lvl w:ilvl="0">
      <w:lvlJc w:val="left"/>
      <w:lvlText w:val="(%1)"/>
      <w:numFmt w:val="decimal"/>
      <w:start w:val="1"/>
    </w:lvl>
  </w:abstractNum>
  <w:abstractNum w:abstractNumId="122">
    <w:nsid w:val="501F9786"/>
    <w:multiLevelType w:val="hybridMultilevel"/>
    <w:lvl w:ilvl="0">
      <w:lvlJc w:val="left"/>
      <w:lvlText w:val="(%1)"/>
      <w:numFmt w:val="lowerRoman"/>
      <w:start w:val="1"/>
    </w:lvl>
  </w:abstractNum>
  <w:abstractNum w:abstractNumId="123">
    <w:nsid w:val="6B057295"/>
    <w:multiLevelType w:val="hybridMultilevel"/>
    <w:lvl w:ilvl="0">
      <w:lvlJc w:val="left"/>
      <w:lvlText w:val="1"/>
      <w:numFmt w:val="bullet"/>
      <w:start w:val="1"/>
    </w:lvl>
  </w:abstractNum>
  <w:abstractNum w:abstractNumId="124">
    <w:nsid w:val="2771AC80"/>
    <w:multiLevelType w:val="hybridMultilevel"/>
    <w:lvl w:ilvl="0">
      <w:lvlJc w:val="left"/>
      <w:lvlText w:val="2"/>
      <w:numFmt w:val="bullet"/>
      <w:start w:val="1"/>
    </w:lvl>
  </w:abstractNum>
  <w:abstractNum w:abstractNumId="125">
    <w:nsid w:val="1C4A08EC"/>
    <w:multiLevelType w:val="hybridMultilevel"/>
    <w:lvl w:ilvl="0">
      <w:lvlJc w:val="left"/>
      <w:lvlText w:val="3"/>
      <w:numFmt w:val="bullet"/>
      <w:start w:val="1"/>
    </w:lvl>
  </w:abstractNum>
  <w:abstractNum w:abstractNumId="126">
    <w:nsid w:val="1958BD17"/>
    <w:multiLevelType w:val="hybridMultilevel"/>
    <w:lvl w:ilvl="0">
      <w:lvlJc w:val="left"/>
      <w:lvlText w:val="#"/>
      <w:numFmt w:val="bullet"/>
      <w:start w:val="1"/>
    </w:lvl>
  </w:abstractNum>
  <w:abstractNum w:abstractNumId="127">
    <w:nsid w:val="4E647FE4"/>
    <w:multiLevelType w:val="hybridMultilevel"/>
    <w:lvl w:ilvl="0">
      <w:lvlJc w:val="left"/>
      <w:lvlText w:val="-"/>
      <w:numFmt w:val="bullet"/>
      <w:start w:val="1"/>
    </w:lvl>
  </w:abstractNum>
  <w:abstractNum w:abstractNumId="128">
    <w:nsid w:val="E0BB885"/>
    <w:multiLevelType w:val="hybridMultilevel"/>
    <w:lvl w:ilvl="0">
      <w:lvlJc w:val="left"/>
      <w:lvlText w:val="-"/>
      <w:numFmt w:val="bullet"/>
      <w:start w:val="1"/>
    </w:lvl>
  </w:abstractNum>
  <w:abstractNum w:abstractNumId="129">
    <w:nsid w:val="565976F1"/>
    <w:multiLevelType w:val="hybridMultilevel"/>
    <w:lvl w:ilvl="0">
      <w:lvlJc w:val="left"/>
      <w:lvlText w:val="%1."/>
      <w:numFmt w:val="decimal"/>
      <w:start w:val="1"/>
    </w:lvl>
  </w:abstractNum>
  <w:abstractNum w:abstractNumId="130">
    <w:nsid w:val="64212B8C"/>
    <w:multiLevelType w:val="hybridMultilevel"/>
    <w:lvl w:ilvl="0">
      <w:lvlJc w:val="left"/>
      <w:lvlText w:val="%1."/>
      <w:numFmt w:val="decimal"/>
      <w:start w:val="1"/>
    </w:lvl>
  </w:abstractNum>
  <w:abstractNum w:abstractNumId="131">
    <w:nsid w:val="5C17530C"/>
    <w:multiLevelType w:val="hybridMultilevel"/>
    <w:lvl w:ilvl="0">
      <w:lvlJc w:val="left"/>
      <w:lvlText w:val="%1."/>
      <w:numFmt w:val="decimal"/>
      <w:start w:val="3"/>
    </w:lvl>
  </w:abstractNum>
  <w:abstractNum w:abstractNumId="132">
    <w:nsid w:val="19A52566"/>
    <w:multiLevelType w:val="hybridMultilevel"/>
    <w:lvl w:ilvl="0">
      <w:lvlJc w:val="left"/>
      <w:lvlText w:val="(%1)"/>
      <w:numFmt w:val="lowerRoman"/>
      <w:start w:val="4"/>
    </w:lvl>
  </w:abstractNum>
  <w:abstractNum w:abstractNumId="133">
    <w:nsid w:val="335A1DF1"/>
    <w:multiLevelType w:val="hybridMultilevel"/>
    <w:lvl w:ilvl="0">
      <w:lvlJc w:val="left"/>
      <w:lvlText w:val="%1."/>
      <w:numFmt w:val="decimal"/>
      <w:start w:val="3"/>
    </w:lvl>
    <w:lvl w:ilvl="1">
      <w:lvlJc w:val="left"/>
      <w:lvlText w:val="•"/>
      <w:numFmt w:val="bullet"/>
      <w:start w:val="1"/>
    </w:lvl>
  </w:abstractNum>
  <w:abstractNum w:abstractNumId="134">
    <w:nsid w:val="28677B7C"/>
    <w:multiLevelType w:val="hybridMultilevel"/>
    <w:lvl w:ilvl="0">
      <w:lvlJc w:val="left"/>
      <w:lvlText w:val="%1."/>
      <w:numFmt w:val="decimal"/>
      <w:start w:val="3"/>
    </w:lvl>
    <w:lvl w:ilvl="1">
      <w:lvlJc w:val="left"/>
      <w:lvlText w:val="•"/>
      <w:numFmt w:val="bullet"/>
      <w:start w:val="1"/>
    </w:lvl>
  </w:abstractNum>
  <w:abstractNum w:abstractNumId="135">
    <w:nsid w:val="378D97C0"/>
    <w:multiLevelType w:val="hybridMultilevel"/>
    <w:lvl w:ilvl="0">
      <w:lvlJc w:val="left"/>
      <w:lvlText w:val="%1."/>
      <w:numFmt w:val="decimal"/>
      <w:start w:val="3"/>
    </w:lvl>
  </w:abstractNum>
  <w:abstractNum w:abstractNumId="136">
    <w:nsid w:val="1D91467C"/>
    <w:multiLevelType w:val="hybridMultilevel"/>
    <w:lvl w:ilvl="0">
      <w:lvlJc w:val="left"/>
      <w:lvlText w:val="•"/>
      <w:numFmt w:val="bullet"/>
      <w:start w:val="1"/>
    </w:lvl>
  </w:abstractNum>
  <w:abstractNum w:abstractNumId="137">
    <w:nsid w:val="316032BB"/>
    <w:multiLevelType w:val="hybridMultilevel"/>
    <w:lvl w:ilvl="0">
      <w:lvlJc w:val="left"/>
      <w:lvlText w:val="%1."/>
      <w:numFmt w:val="decimal"/>
      <w:start w:val="3"/>
    </w:lvl>
  </w:abstractNum>
  <w:abstractNum w:abstractNumId="138">
    <w:nsid w:val="44344C22"/>
    <w:multiLevelType w:val="hybridMultilevel"/>
    <w:lvl w:ilvl="0">
      <w:lvlJc w:val="left"/>
      <w:lvlText w:val="•"/>
      <w:numFmt w:val="bullet"/>
      <w:start w:val="1"/>
    </w:lvl>
  </w:abstractNum>
  <w:abstractNum w:abstractNumId="139">
    <w:nsid w:val="13CDFCFC"/>
    <w:multiLevelType w:val="hybridMultilevel"/>
    <w:lvl w:ilvl="0">
      <w:lvlJc w:val="left"/>
      <w:lvlText w:val="•"/>
      <w:numFmt w:val="bullet"/>
      <w:start w:val="1"/>
    </w:lvl>
  </w:abstractNum>
  <w:abstractNum w:abstractNumId="140">
    <w:nsid w:val="471745E4"/>
    <w:multiLevelType w:val="hybridMultilevel"/>
    <w:lvl w:ilvl="0">
      <w:lvlJc w:val="left"/>
      <w:lvlText w:val="%1."/>
      <w:numFmt w:val="decimal"/>
      <w:start w:val="3"/>
    </w:lvl>
  </w:abstractNum>
  <w:abstractNum w:abstractNumId="141">
    <w:nsid w:val="1DDBC66"/>
    <w:multiLevelType w:val="hybridMultilevel"/>
    <w:lvl w:ilvl="0">
      <w:lvlJc w:val="left"/>
      <w:lvlText w:val="%1."/>
      <w:numFmt w:val="decimal"/>
      <w:start w:val="3"/>
    </w:lvl>
  </w:abstractNum>
  <w:abstractNum w:abstractNumId="142">
    <w:nsid w:val="30AADFDA"/>
    <w:multiLevelType w:val="hybridMultilevel"/>
    <w:lvl w:ilvl="0">
      <w:lvlJc w:val="left"/>
      <w:lvlText w:val="%1."/>
      <w:numFmt w:val="decimal"/>
      <w:start w:val="3"/>
    </w:lvl>
  </w:abstractNum>
  <w:abstractNum w:abstractNumId="143">
    <w:nsid w:val="30EADA61"/>
    <w:multiLevelType w:val="hybridMultilevel"/>
    <w:lvl w:ilvl="0">
      <w:lvlJc w:val="left"/>
      <w:lvlText w:val="%1."/>
      <w:numFmt w:val="decimal"/>
      <w:start w:val="3"/>
    </w:lvl>
  </w:abstractNum>
  <w:abstractNum w:abstractNumId="144">
    <w:nsid w:val="27179C0B"/>
    <w:multiLevelType w:val="hybridMultilevel"/>
    <w:lvl w:ilvl="0">
      <w:lvlJc w:val="left"/>
      <w:lvlText w:val="%1."/>
      <w:numFmt w:val="decimal"/>
      <w:start w:val="3"/>
    </w:lvl>
  </w:abstractNum>
  <w:abstractNum w:abstractNumId="145">
    <w:nsid w:val="5E636063"/>
    <w:multiLevelType w:val="hybridMultilevel"/>
    <w:lvl w:ilvl="0">
      <w:lvlJc w:val="left"/>
      <w:lvlText w:val="%1."/>
      <w:numFmt w:val="decimal"/>
      <w:start w:val="4"/>
    </w:lvl>
  </w:abstractNum>
  <w:abstractNum w:abstractNumId="146">
    <w:nsid w:val="215641AF"/>
    <w:multiLevelType w:val="hybridMultilevel"/>
    <w:lvl w:ilvl="0">
      <w:lvlJc w:val="left"/>
      <w:lvlText w:val="%1."/>
      <w:numFmt w:val="decimal"/>
      <w:start w:val="4"/>
    </w:lvl>
  </w:abstractNum>
  <w:abstractNum w:abstractNumId="147">
    <w:nsid w:val="53280662"/>
    <w:multiLevelType w:val="hybridMultilevel"/>
    <w:lvl w:ilvl="0">
      <w:lvlJc w:val="left"/>
      <w:lvlText w:val="%1."/>
      <w:numFmt w:val="decimal"/>
      <w:start w:val="5"/>
    </w:lvl>
  </w:abstractNum>
  <w:abstractNum w:abstractNumId="148">
    <w:nsid w:val="46B24DBC"/>
    <w:multiLevelType w:val="hybridMultilevel"/>
    <w:lvl w:ilvl="0">
      <w:lvlJc w:val="left"/>
      <w:lvlText w:val="%1."/>
      <w:numFmt w:val="decimal"/>
      <w:start w:val="6"/>
    </w:lvl>
  </w:abstractNum>
  <w:abstractNum w:abstractNumId="149">
    <w:nsid w:val="75B52783"/>
    <w:multiLevelType w:val="hybridMultilevel"/>
    <w:lvl w:ilvl="0">
      <w:lvlJc w:val="left"/>
      <w:lvlText w:val="%1."/>
      <w:numFmt w:val="decimal"/>
      <w:start w:val="7"/>
    </w:lvl>
  </w:abstractNum>
  <w:abstractNum w:abstractNumId="150">
    <w:nsid w:val="57CE66B4"/>
    <w:multiLevelType w:val="hybridMultilevel"/>
    <w:lvl w:ilvl="0">
      <w:lvlJc w:val="left"/>
      <w:lvlText w:val="%1."/>
      <w:numFmt w:val="decimal"/>
      <w:start w:val="7"/>
    </w:lvl>
  </w:abstractNum>
  <w:abstractNum w:abstractNumId="151">
    <w:nsid w:val="67A70B69"/>
    <w:multiLevelType w:val="hybridMultilevel"/>
    <w:lvl w:ilvl="0">
      <w:lvlJc w:val="left"/>
      <w:lvlText w:val="%1."/>
      <w:numFmt w:val="decimal"/>
      <w:start w:val="7"/>
    </w:lvl>
  </w:abstractNum>
  <w:abstractNum w:abstractNumId="152">
    <w:nsid w:val="5953172F"/>
    <w:multiLevelType w:val="hybridMultilevel"/>
    <w:lvl w:ilvl="0">
      <w:lvlJc w:val="left"/>
      <w:lvlText w:val="•"/>
      <w:numFmt w:val="bullet"/>
      <w:start w:val="1"/>
    </w:lvl>
  </w:abstractNum>
  <w:abstractNum w:abstractNumId="153">
    <w:nsid w:val="27EDFE3A"/>
    <w:multiLevelType w:val="hybridMultilevel"/>
    <w:lvl w:ilvl="0">
      <w:lvlJc w:val="left"/>
      <w:lvlText w:val="%1."/>
      <w:numFmt w:val="decimal"/>
      <w:start w:val="7"/>
    </w:lvl>
    <w:lvl w:ilvl="1">
      <w:lvlJc w:val="left"/>
      <w:lvlText w:val="•"/>
      <w:numFmt w:val="bullet"/>
      <w:start w:val="1"/>
    </w:lvl>
  </w:abstractNum>
  <w:abstractNum w:abstractNumId="154">
    <w:nsid w:val="52AC7DFF"/>
    <w:multiLevelType w:val="hybridMultilevel"/>
    <w:lvl w:ilvl="0">
      <w:lvlJc w:val="left"/>
      <w:lvlText w:val="%1."/>
      <w:numFmt w:val="decimal"/>
      <w:start w:val="7"/>
    </w:lvl>
  </w:abstractNum>
  <w:abstractNum w:abstractNumId="155">
    <w:nsid w:val="C4C3AF"/>
    <w:multiLevelType w:val="hybridMultilevel"/>
    <w:lvl w:ilvl="0">
      <w:lvlJc w:val="left"/>
      <w:lvlText w:val="%1."/>
      <w:numFmt w:val="decimal"/>
      <w:start w:val="7"/>
    </w:lvl>
  </w:abstractNum>
  <w:abstractNum w:abstractNumId="156">
    <w:nsid w:val="44380727"/>
    <w:multiLevelType w:val="hybridMultilevel"/>
    <w:lvl w:ilvl="0">
      <w:lvlJc w:val="left"/>
      <w:lvlText w:val="%1."/>
      <w:numFmt w:val="decimal"/>
      <w:start w:val="8"/>
    </w:lvl>
  </w:abstractNum>
  <w:abstractNum w:abstractNumId="157">
    <w:nsid w:val="6C053B16"/>
    <w:multiLevelType w:val="hybridMultilevel"/>
    <w:lvl w:ilvl="0">
      <w:lvlJc w:val="left"/>
      <w:lvlText w:val="%1."/>
      <w:numFmt w:val="decimal"/>
      <w:start w:val="8"/>
    </w:lvl>
  </w:abstractNum>
  <w:abstractNum w:abstractNumId="158">
    <w:nsid w:val="4F294393"/>
    <w:multiLevelType w:val="hybridMultilevel"/>
    <w:lvl w:ilvl="0">
      <w:lvlJc w:val="left"/>
      <w:lvlText w:val="%1."/>
      <w:numFmt w:val="decimal"/>
      <w:start w:val="9"/>
    </w:lvl>
  </w:abstractNum>
  <w:abstractNum w:abstractNumId="159">
    <w:nsid w:val="5243BFAC"/>
    <w:multiLevelType w:val="hybridMultilevel"/>
    <w:lvl w:ilvl="0">
      <w:lvlJc w:val="left"/>
      <w:lvlText w:val="%1."/>
      <w:numFmt w:val="decimal"/>
      <w:start w:val="9"/>
    </w:lvl>
  </w:abstractNum>
  <w:abstractNum w:abstractNumId="160">
    <w:nsid w:val="425EB207"/>
    <w:multiLevelType w:val="hybridMultilevel"/>
    <w:lvl w:ilvl="0">
      <w:lvlJc w:val="left"/>
      <w:lvlText w:val="%1."/>
      <w:numFmt w:val="decimal"/>
      <w:start w:val="10"/>
    </w:lvl>
  </w:abstractNum>
  <w:abstractNum w:abstractNumId="161">
    <w:nsid w:val="334A6F1F"/>
    <w:multiLevelType w:val="hybridMultilevel"/>
    <w:lvl w:ilvl="0">
      <w:lvlJc w:val="left"/>
      <w:lvlText w:val="•"/>
      <w:numFmt w:val="bullet"/>
      <w:start w:val="1"/>
    </w:lvl>
  </w:abstractNum>
  <w:abstractNum w:abstractNumId="162">
    <w:nsid w:val="2E5B12B8"/>
    <w:multiLevelType w:val="hybridMultilevel"/>
    <w:lvl w:ilvl="0">
      <w:lvlJc w:val="left"/>
      <w:lvlText w:val="•"/>
      <w:numFmt w:val="bullet"/>
      <w:start w:val="1"/>
    </w:lvl>
  </w:abstractNum>
  <w:abstractNum w:abstractNumId="163">
    <w:nsid w:val="5C03D76D"/>
    <w:multiLevelType w:val="hybridMultilevel"/>
    <w:lvl w:ilvl="0">
      <w:lvlJc w:val="left"/>
      <w:lvlText w:val="%1."/>
      <w:numFmt w:val="decimal"/>
      <w:start w:val="11"/>
    </w:lvl>
  </w:abstractNum>
  <w:abstractNum w:abstractNumId="164">
    <w:nsid w:val="66A48D11"/>
    <w:multiLevelType w:val="hybridMultilevel"/>
    <w:lvl w:ilvl="0">
      <w:lvlJc w:val="left"/>
      <w:lvlText w:val="1"/>
      <w:numFmt w:val="bullet"/>
      <w:start w:val="1"/>
    </w:lvl>
  </w:abstractNum>
  <w:abstractNum w:abstractNumId="165">
    <w:nsid w:val="56C28E34"/>
    <w:multiLevelType w:val="hybridMultilevel"/>
    <w:lvl w:ilvl="0">
      <w:lvlJc w:val="left"/>
      <w:lvlText w:val="%1."/>
      <w:numFmt w:val="decimal"/>
      <w:start w:val="12"/>
    </w:lvl>
  </w:abstractNum>
  <w:abstractNum w:abstractNumId="166">
    <w:nsid w:val="13916F2D"/>
    <w:multiLevelType w:val="hybridMultilevel"/>
    <w:lvl w:ilvl="0">
      <w:lvlJc w:val="left"/>
      <w:lvlText w:val="%1."/>
      <w:numFmt w:val="decimal"/>
      <w:start w:val="12"/>
    </w:lvl>
    <w:lvl w:ilvl="1">
      <w:lvlJc w:val="left"/>
      <w:lvlText w:val="•"/>
      <w:numFmt w:val="bullet"/>
      <w:start w:val="1"/>
    </w:lvl>
  </w:abstractNum>
  <w:abstractNum w:abstractNumId="167">
    <w:nsid w:val="435D38D"/>
    <w:multiLevelType w:val="hybridMultilevel"/>
    <w:lvl w:ilvl="0">
      <w:lvlJc w:val="left"/>
      <w:lvlText w:val="%1."/>
      <w:numFmt w:val="decimal"/>
      <w:start w:val="13"/>
    </w:lvl>
  </w:abstractNum>
  <w:abstractNum w:abstractNumId="168">
    <w:nsid w:val="822C0EF"/>
    <w:multiLevelType w:val="hybridMultilevel"/>
    <w:lvl w:ilvl="0">
      <w:lvlJc w:val="left"/>
      <w:lvlText w:val="%1."/>
      <w:numFmt w:val="decimal"/>
      <w:start w:val="13"/>
    </w:lvl>
    <w:lvl w:ilvl="1">
      <w:lvlJc w:val="left"/>
      <w:lvlText w:val="(%2)"/>
      <w:numFmt w:val="lowerRoman"/>
      <w:start w:val="1"/>
    </w:lvl>
  </w:abstractNum>
  <w:abstractNum w:abstractNumId="169">
    <w:nsid w:val="57C5BB4F"/>
    <w:multiLevelType w:val="hybridMultilevel"/>
    <w:lvl w:ilvl="0">
      <w:lvlJc w:val="left"/>
      <w:lvlText w:val="%1."/>
      <w:numFmt w:val="decimal"/>
      <w:start w:val="13"/>
    </w:lvl>
  </w:abstractNum>
  <w:abstractNum w:abstractNumId="170">
    <w:nsid w:val="1803D089"/>
    <w:multiLevelType w:val="hybridMultilevel"/>
    <w:lvl w:ilvl="0">
      <w:lvlJc w:val="left"/>
      <w:lvlText w:val="(%1)"/>
      <w:numFmt w:val="lowerRoman"/>
      <w:start w:val="2"/>
    </w:lvl>
  </w:abstractNum>
  <w:abstractNum w:abstractNumId="171">
    <w:nsid w:val="4F3A06D4"/>
    <w:multiLevelType w:val="hybridMultilevel"/>
    <w:lvl w:ilvl="0">
      <w:lvlJc w:val="left"/>
      <w:lvlText w:val="%1."/>
      <w:numFmt w:val="decimal"/>
      <w:start w:val="14"/>
    </w:lvl>
  </w:abstractNum>
  <w:abstractNum w:abstractNumId="172">
    <w:nsid w:val="59A377B6"/>
    <w:multiLevelType w:val="hybridMultilevel"/>
    <w:lvl w:ilvl="0">
      <w:lvlJc w:val="left"/>
      <w:lvlText w:val="%1."/>
      <w:numFmt w:val="decimal"/>
      <w:start w:val="14"/>
    </w:lvl>
  </w:abstractNum>
  <w:abstractNum w:abstractNumId="173">
    <w:nsid w:val="48AEB063"/>
    <w:multiLevelType w:val="hybridMultilevel"/>
    <w:lvl w:ilvl="0">
      <w:lvlJc w:val="left"/>
      <w:lvlText w:val="%1."/>
      <w:numFmt w:val="decimal"/>
      <w:start w:val="14"/>
    </w:lvl>
  </w:abstractNum>
  <w:abstractNum w:abstractNumId="174">
    <w:nsid w:val="24E135"/>
    <w:multiLevelType w:val="hybridMultilevel"/>
    <w:lvl w:ilvl="0">
      <w:lvlJc w:val="left"/>
      <w:lvlText w:val="%1."/>
      <w:numFmt w:val="decimal"/>
      <w:start w:val="14"/>
    </w:lvl>
  </w:abstractNum>
  <w:abstractNum w:abstractNumId="175">
    <w:nsid w:val="BB13C1"/>
    <w:multiLevelType w:val="hybridMultilevel"/>
    <w:lvl w:ilvl="0">
      <w:lvlJc w:val="left"/>
      <w:lvlText w:val="%1."/>
      <w:numFmt w:val="decimal"/>
      <w:start w:val="15"/>
    </w:lvl>
    <w:lvl w:ilvl="1">
      <w:lvlJc w:val="left"/>
      <w:lvlText w:val="•"/>
      <w:numFmt w:val="bullet"/>
      <w:start w:val="1"/>
    </w:lvl>
  </w:abstractNum>
  <w:abstractNum w:abstractNumId="176">
    <w:nsid w:val="271210C7"/>
    <w:multiLevelType w:val="hybridMultilevel"/>
    <w:lvl w:ilvl="0">
      <w:lvlJc w:val="left"/>
      <w:lvlText w:val="•"/>
      <w:numFmt w:val="bullet"/>
      <w:start w:val="1"/>
    </w:lvl>
  </w:abstractNum>
  <w:abstractNum w:abstractNumId="177">
    <w:nsid w:val="217B22E4"/>
    <w:multiLevelType w:val="hybridMultilevel"/>
    <w:lvl w:ilvl="0">
      <w:lvlJc w:val="left"/>
      <w:lvlText w:val="%1."/>
      <w:numFmt w:val="decimal"/>
      <w:start w:val="15"/>
    </w:lvl>
  </w:abstractNum>
  <w:abstractNum w:abstractNumId="178">
    <w:nsid w:val="53E31A24"/>
    <w:multiLevelType w:val="hybridMultilevel"/>
    <w:lvl w:ilvl="0">
      <w:lvlJc w:val="left"/>
      <w:lvlText w:val="%1."/>
      <w:numFmt w:val="decimal"/>
      <w:start w:val="16"/>
    </w:lvl>
  </w:abstractNum>
  <w:abstractNum w:abstractNumId="179">
    <w:nsid w:val="6DC45E83"/>
    <w:multiLevelType w:val="hybridMultilevel"/>
    <w:lvl w:ilvl="0">
      <w:lvlJc w:val="left"/>
      <w:lvlText w:val="%1."/>
      <w:numFmt w:val="decimal"/>
      <w:start w:val="17"/>
    </w:lvl>
  </w:abstractNum>
  <w:abstractNum w:abstractNumId="180">
    <w:nsid w:val="17304A67"/>
    <w:multiLevelType w:val="hybridMultilevel"/>
    <w:lvl w:ilvl="0">
      <w:lvlJc w:val="left"/>
      <w:lvlText w:val="%1."/>
      <w:numFmt w:val="decimal"/>
      <w:start w:val="18"/>
    </w:lvl>
  </w:abstractNum>
  <w:abstractNum w:abstractNumId="181">
    <w:nsid w:val="2BB180D8"/>
    <w:multiLevelType w:val="hybridMultilevel"/>
    <w:lvl w:ilvl="0">
      <w:lvlJc w:val="left"/>
      <w:lvlText w:val="%1."/>
      <w:numFmt w:val="decimal"/>
      <w:start w:val="19"/>
    </w:lvl>
  </w:abstractNum>
  <w:abstractNum w:abstractNumId="182">
    <w:nsid w:val="556B69ED"/>
    <w:multiLevelType w:val="hybridMultilevel"/>
    <w:lvl w:ilvl="0">
      <w:lvlJc w:val="left"/>
      <w:lvlText w:val="%1."/>
      <w:numFmt w:val="decimal"/>
      <w:start w:val="20"/>
    </w:lvl>
  </w:abstractNum>
  <w:abstractNum w:abstractNumId="183">
    <w:nsid w:val="70836196"/>
    <w:multiLevelType w:val="hybridMultilevel"/>
    <w:lvl w:ilvl="0">
      <w:lvlJc w:val="left"/>
      <w:lvlText w:val="%1."/>
      <w:numFmt w:val="decimal"/>
      <w:start w:val="21"/>
    </w:lvl>
  </w:abstractNum>
  <w:abstractNum w:abstractNumId="184">
    <w:nsid w:val="539F7F12"/>
    <w:multiLevelType w:val="hybridMultilevel"/>
    <w:lvl w:ilvl="0">
      <w:lvlJc w:val="left"/>
      <w:lvlText w:val="%1."/>
      <w:numFmt w:val="decimal"/>
      <w:start w:val="21"/>
    </w:lvl>
  </w:abstractNum>
  <w:abstractNum w:abstractNumId="185">
    <w:nsid w:val="2817E7EC"/>
    <w:multiLevelType w:val="hybridMultilevel"/>
    <w:lvl w:ilvl="0">
      <w:lvlJc w:val="left"/>
      <w:lvlText w:val="1"/>
      <w:numFmt w:val="bullet"/>
      <w:start w:val="1"/>
    </w:lvl>
  </w:abstractNum>
  <w:abstractNum w:abstractNumId="186">
    <w:nsid w:val="71482545"/>
    <w:multiLevelType w:val="hybridMultilevel"/>
    <w:lvl w:ilvl="0">
      <w:lvlJc w:val="left"/>
      <w:lvlText w:val="%1."/>
      <w:numFmt w:val="decimal"/>
      <w:start w:val="22"/>
    </w:lvl>
    <w:lvl w:ilvl="1">
      <w:lvlJc w:val="left"/>
      <w:lvlText w:val="•"/>
      <w:numFmt w:val="bullet"/>
      <w:start w:val="1"/>
    </w:lvl>
  </w:abstractNum>
  <w:abstractNum w:abstractNumId="187">
    <w:nsid w:val="17D78639"/>
    <w:multiLevelType w:val="hybridMultilevel"/>
    <w:lvl w:ilvl="0">
      <w:lvlJc w:val="left"/>
      <w:lvlText w:val="•"/>
      <w:numFmt w:val="bullet"/>
      <w:start w:val="1"/>
    </w:lvl>
  </w:abstractNum>
  <w:abstractNum w:abstractNumId="188">
    <w:nsid w:val="141D2302"/>
    <w:multiLevelType w:val="hybridMultilevel"/>
    <w:lvl w:ilvl="0">
      <w:lvlJc w:val="left"/>
      <w:lvlText w:val="%1."/>
      <w:numFmt w:val="decimal"/>
      <w:start w:val="22"/>
    </w:lvl>
    <w:lvl w:ilvl="1">
      <w:lvlJc w:val="left"/>
      <w:lvlText w:val="•"/>
      <w:numFmt w:val="bullet"/>
      <w:start w:val="1"/>
    </w:lvl>
  </w:abstractNum>
  <w:abstractNum w:abstractNumId="189">
    <w:nsid w:val="407168D8"/>
    <w:multiLevelType w:val="hybridMultilevel"/>
    <w:lvl w:ilvl="0">
      <w:lvlJc w:val="left"/>
      <w:lvlText w:val="%1."/>
      <w:numFmt w:val="decimal"/>
      <w:start w:val="23"/>
    </w:lvl>
  </w:abstractNum>
  <w:abstractNum w:abstractNumId="190">
    <w:nsid w:val="6A1B45E5"/>
    <w:multiLevelType w:val="hybridMultilevel"/>
    <w:lvl w:ilvl="0">
      <w:lvlJc w:val="left"/>
      <w:lvlText w:val="%1."/>
      <w:numFmt w:val="decimal"/>
      <w:start w:val="23"/>
    </w:lvl>
  </w:abstractNum>
  <w:abstractNum w:abstractNumId="191">
    <w:nsid w:val="567BD50A"/>
    <w:multiLevelType w:val="hybridMultilevel"/>
    <w:lvl w:ilvl="0">
      <w:lvlJc w:val="left"/>
      <w:lvlText w:val="%1."/>
      <w:numFmt w:val="decimal"/>
      <w:start w:val="24"/>
    </w:lvl>
  </w:abstractNum>
  <w:abstractNum w:abstractNumId="192">
    <w:nsid w:val="73BBD7F8"/>
    <w:multiLevelType w:val="hybridMultilevel"/>
    <w:lvl w:ilvl="0">
      <w:lvlJc w:val="left"/>
      <w:lvlText w:val="%1."/>
      <w:numFmt w:val="decimal"/>
      <w:start w:val="24"/>
    </w:lvl>
  </w:abstractNum>
  <w:abstractNum w:abstractNumId="193">
    <w:nsid w:val="1876589D"/>
    <w:multiLevelType w:val="hybridMultilevel"/>
    <w:lvl w:ilvl="0">
      <w:lvlJc w:val="left"/>
      <w:lvlText w:val="%1."/>
      <w:numFmt w:val="decimal"/>
      <w:start w:val="24"/>
    </w:lvl>
  </w:abstractNum>
  <w:abstractNum w:abstractNumId="194">
    <w:nsid w:val="327FAC77"/>
    <w:multiLevelType w:val="hybridMultilevel"/>
    <w:lvl w:ilvl="0">
      <w:lvlJc w:val="left"/>
      <w:lvlText w:val="%1."/>
      <w:numFmt w:val="decimal"/>
      <w:start w:val="24"/>
    </w:lvl>
  </w:abstractNum>
  <w:abstractNum w:abstractNumId="195">
    <w:nsid w:val="5A606509"/>
    <w:multiLevelType w:val="hybridMultilevel"/>
    <w:lvl w:ilvl="0">
      <w:lvlJc w:val="left"/>
      <w:lvlText w:val="%1."/>
      <w:numFmt w:val="decimal"/>
      <w:start w:val="25"/>
    </w:lvl>
  </w:abstractNum>
  <w:abstractNum w:abstractNumId="196">
    <w:nsid w:val="6F38E6D1"/>
    <w:multiLevelType w:val="hybridMultilevel"/>
    <w:lvl w:ilvl="0">
      <w:lvlJc w:val="left"/>
      <w:lvlText w:val="%1."/>
      <w:numFmt w:val="decimal"/>
      <w:start w:val="25"/>
    </w:lvl>
  </w:abstractNum>
  <w:abstractNum w:abstractNumId="197">
    <w:nsid w:val="46111BA5"/>
    <w:multiLevelType w:val="hybridMultilevel"/>
    <w:lvl w:ilvl="0">
      <w:lvlJc w:val="left"/>
      <w:lvlText w:val="•"/>
      <w:numFmt w:val="bullet"/>
      <w:start w:val="1"/>
    </w:lvl>
  </w:abstractNum>
  <w:abstractNum w:abstractNumId="198">
    <w:nsid w:val="5E963896"/>
    <w:multiLevelType w:val="hybridMultilevel"/>
    <w:lvl w:ilvl="0">
      <w:lvlJc w:val="left"/>
      <w:lvlText w:val="•"/>
      <w:numFmt w:val="bullet"/>
      <w:start w:val="1"/>
    </w:lvl>
  </w:abstractNum>
  <w:abstractNum w:abstractNumId="199">
    <w:nsid w:val="775BA7C1"/>
    <w:multiLevelType w:val="hybridMultilevel"/>
    <w:lvl w:ilvl="0">
      <w:lvlJc w:val="left"/>
      <w:lvlText w:val="%1)"/>
      <w:numFmt w:val="lowerLetter"/>
      <w:start w:val="1"/>
    </w:lvl>
  </w:abstractNum>
  <w:abstractNum w:abstractNumId="200">
    <w:nsid w:val="1DD6D6F4"/>
    <w:multiLevelType w:val="hybridMultilevel"/>
    <w:lvl w:ilvl="0">
      <w:lvlJc w:val="left"/>
      <w:lvlText w:val="%1)"/>
      <w:numFmt w:val="lowerLetter"/>
      <w:start w:val="2"/>
    </w:lvl>
  </w:abstractNum>
  <w:abstractNum w:abstractNumId="201">
    <w:nsid w:val="769A091F"/>
    <w:multiLevelType w:val="hybridMultilevel"/>
    <w:lvl w:ilvl="0">
      <w:lvlJc w:val="left"/>
      <w:lvlText w:val="%1."/>
      <w:numFmt w:val="decimal"/>
      <w:start w:val="26"/>
    </w:lvl>
  </w:abstractNum>
  <w:abstractNum w:abstractNumId="202">
    <w:nsid w:val="4695AE95"/>
    <w:multiLevelType w:val="hybridMultilevel"/>
    <w:lvl w:ilvl="0">
      <w:lvlJc w:val="left"/>
      <w:lvlText w:val="•"/>
      <w:numFmt w:val="bullet"/>
      <w:start w:val="1"/>
    </w:lvl>
  </w:abstractNum>
  <w:abstractNum w:abstractNumId="203">
    <w:nsid w:val="777A4EAA"/>
    <w:multiLevelType w:val="hybridMultilevel"/>
    <w:lvl w:ilvl="0">
      <w:lvlJc w:val="left"/>
      <w:lvlText w:val="•"/>
      <w:numFmt w:val="bullet"/>
      <w:start w:val="1"/>
    </w:lvl>
  </w:abstractNum>
  <w:abstractNum w:abstractNumId="204">
    <w:nsid w:val="3F48B982"/>
    <w:multiLevelType w:val="hybridMultilevel"/>
    <w:lvl w:ilvl="0">
      <w:lvlJc w:val="left"/>
      <w:lvlText w:val="%1."/>
      <w:numFmt w:val="upperLetter"/>
      <w:start w:val="9"/>
    </w:lvl>
  </w:abstractNum>
  <w:abstractNum w:abstractNumId="205">
    <w:nsid w:val="46BA8FCA"/>
    <w:multiLevelType w:val="hybridMultilevel"/>
    <w:lvl w:ilvl="0">
      <w:lvlJc w:val="left"/>
      <w:lvlText w:val="%1."/>
      <w:numFmt w:val="upperLetter"/>
      <w:start w:val="35"/>
    </w:lvl>
  </w:abstractNum>
  <w:abstractNum w:abstractNumId="206">
    <w:nsid w:val="7835626C"/>
    <w:multiLevelType w:val="hybridMultilevel"/>
    <w:lvl w:ilvl="0">
      <w:lvlJc w:val="left"/>
      <w:lvlText w:val="%1."/>
      <w:numFmt w:val="decimal"/>
      <w:start w:val="1"/>
    </w:lvl>
  </w:abstractNum>
  <w:abstractNum w:abstractNumId="207">
    <w:nsid w:val="665ACA49"/>
    <w:multiLevelType w:val="hybridMultilevel"/>
    <w:lvl w:ilvl="0">
      <w:lvlJc w:val="left"/>
      <w:lvlText w:val="%1"/>
      <w:numFmt w:val="upperLetter"/>
      <w:start w:val="1"/>
    </w:lvl>
    <w:lvl w:ilvl="1">
      <w:lvlJc w:val="left"/>
      <w:lvlText w:val="%2."/>
      <w:numFmt w:val="decimal"/>
      <w:start w:val="1"/>
    </w:lvl>
  </w:abstractNum>
  <w:abstractNum w:abstractNumId="208">
    <w:nsid w:val="6835B2AE"/>
    <w:multiLevelType w:val="hybridMultilevel"/>
    <w:lvl w:ilvl="0">
      <w:lvlJc w:val="left"/>
      <w:lvlText w:val="%1."/>
      <w:numFmt w:val="upperLetter"/>
      <w:start w:val="61"/>
    </w:lvl>
    <w:lvl w:ilvl="1">
      <w:lvlJc w:val="left"/>
      <w:lvlText w:val="%2"/>
      <w:numFmt w:val="decimal"/>
      <w:start w:val="1"/>
    </w:lvl>
  </w:abstractNum>
  <w:abstractNum w:abstractNumId="209">
    <w:nsid w:val="4C187C90"/>
    <w:multiLevelType w:val="hybridMultilevel"/>
    <w:lvl w:ilvl="0">
      <w:lvlJc w:val="left"/>
      <w:lvlText w:val="•"/>
      <w:numFmt w:val="bullet"/>
      <w:start w:val="1"/>
    </w:lvl>
  </w:abstractNum>
  <w:abstractNum w:abstractNumId="210">
    <w:nsid w:val="541F28CD"/>
    <w:multiLevelType w:val="hybridMultilevel"/>
    <w:lvl w:ilvl="0">
      <w:lvlJc w:val="left"/>
      <w:lvlText w:val="•"/>
      <w:numFmt w:val="bullet"/>
      <w:start w:val="1"/>
    </w:lvl>
  </w:abstractNum>
  <w:abstractNum w:abstractNumId="211">
    <w:nsid w:val="7F65FD16"/>
    <w:multiLevelType w:val="hybridMultilevel"/>
    <w:lvl w:ilvl="0">
      <w:lvlJc w:val="left"/>
      <w:lvlText w:val="%1."/>
      <w:numFmt w:val="upperLetter"/>
      <w:start w:val="22"/>
    </w:lvl>
  </w:abstractNum>
  <w:abstractNum w:abstractNumId="212">
    <w:nsid w:val="77C9FD68"/>
    <w:multiLevelType w:val="hybridMultilevel"/>
    <w:lvl w:ilvl="0">
      <w:lvlJc w:val="left"/>
      <w:lvlText w:val="%1."/>
      <w:numFmt w:val="decimal"/>
      <w:start w:val="1"/>
    </w:lvl>
  </w:abstractNum>
  <w:abstractNum w:abstractNumId="213">
    <w:nsid w:val="298A92BA"/>
    <w:multiLevelType w:val="hybridMultilevel"/>
    <w:lvl w:ilvl="0">
      <w:lvlJc w:val="left"/>
      <w:lvlText w:val="%1."/>
      <w:numFmt w:val="decimal"/>
      <w:start w:val="2"/>
    </w:lvl>
  </w:abstractNum>
  <w:abstractNum w:abstractNumId="214">
    <w:nsid w:val="6FE95EAC"/>
    <w:multiLevelType w:val="hybridMultilevel"/>
    <w:lvl w:ilvl="0">
      <w:lvlJc w:val="left"/>
      <w:lvlText w:val="%1."/>
      <w:numFmt w:val="decimal"/>
      <w:start w:val="6"/>
    </w:lvl>
  </w:abstractNum>
  <w:abstractNum w:abstractNumId="215">
    <w:nsid w:val="4B697C7A"/>
    <w:multiLevelType w:val="hybridMultilevel"/>
    <w:lvl w:ilvl="0">
      <w:lvlJc w:val="left"/>
      <w:lvlText w:val="%1."/>
      <w:numFmt w:val="lowerRoman"/>
      <w:start w:val="1"/>
    </w:lvl>
  </w:abstractNum>
  <w:abstractNum w:abstractNumId="216">
    <w:nsid w:val="51A27AA6"/>
    <w:multiLevelType w:val="hybridMultilevel"/>
    <w:lvl w:ilvl="0">
      <w:lvlJc w:val="left"/>
      <w:lvlText w:val="%1."/>
      <w:numFmt w:val="lowerRoman"/>
      <w:start w:val="2"/>
    </w:lvl>
  </w:abstractNum>
  <w:abstractNum w:abstractNumId="217">
    <w:nsid w:val="613183F2"/>
    <w:multiLevelType w:val="hybridMultilevel"/>
    <w:lvl w:ilvl="0">
      <w:lvlJc w:val="left"/>
      <w:lvlText w:val="%1."/>
      <w:numFmt w:val="upperLetter"/>
      <w:start w:val="24"/>
    </w:lvl>
  </w:abstractNum>
  <w:abstractNum w:abstractNumId="218">
    <w:nsid w:val="634102B4"/>
    <w:multiLevelType w:val="hybridMultilevel"/>
    <w:lvl w:ilvl="0">
      <w:lvlJc w:val="left"/>
      <w:lvlText w:val="%1."/>
      <w:numFmt w:val="decimal"/>
      <w:start w:val="1"/>
    </w:lvl>
    <w:lvl w:ilvl="1">
      <w:lvlJc w:val="left"/>
      <w:lvlText w:val="%2)"/>
      <w:numFmt w:val="lowerLetter"/>
      <w:start w:val="1"/>
    </w:lvl>
  </w:abstractNum>
  <w:abstractNum w:abstractNumId="219">
    <w:nsid w:val="65BF9DA8"/>
    <w:multiLevelType w:val="hybridMultilevel"/>
    <w:lvl w:ilvl="0">
      <w:lvlJc w:val="left"/>
      <w:lvlText w:val="%1"/>
      <w:numFmt w:val="decimal"/>
      <w:start w:val="1"/>
    </w:lvl>
    <w:lvl w:ilvl="1">
      <w:lvlJc w:val="left"/>
      <w:lvlText w:val="%2)"/>
      <w:numFmt w:val="lowerLetter"/>
      <w:start w:val="4"/>
    </w:lvl>
  </w:abstractNum>
  <w:abstractNum w:abstractNumId="220">
    <w:nsid w:val="21A2ECCA"/>
    <w:multiLevelType w:val="hybridMultilevel"/>
    <w:lvl w:ilvl="0">
      <w:lvlJc w:val="left"/>
      <w:lvlText w:val="%1."/>
      <w:numFmt w:val="decimal"/>
      <w:start w:val="5"/>
    </w:lvl>
    <w:lvl w:ilvl="1">
      <w:lvlJc w:val="left"/>
      <w:lvlText w:val="%2)"/>
      <w:numFmt w:val="lowerLetter"/>
      <w:start w:val="1"/>
    </w:lvl>
  </w:abstractNum>
  <w:abstractNum w:abstractNumId="221">
    <w:nsid w:val="4D5C4899"/>
    <w:multiLevelType w:val="hybridMultilevel"/>
    <w:lvl w:ilvl="0">
      <w:lvlJc w:val="left"/>
      <w:lvlText w:val="%1."/>
      <w:numFmt w:val="decimal"/>
      <w:start w:val="1"/>
    </w:lvl>
    <w:lvl w:ilvl="1">
      <w:lvlJc w:val="left"/>
      <w:lvlText w:val="%2)"/>
      <w:numFmt w:val="lowerLetter"/>
      <w:start w:val="1"/>
    </w:lvl>
  </w:abstractNum>
  <w:abstractNum w:abstractNumId="222">
    <w:nsid w:val="3C3B72B2"/>
    <w:multiLevelType w:val="hybridMultilevel"/>
    <w:lvl w:ilvl="0">
      <w:lvlJc w:val="left"/>
      <w:lvlText w:val="%1"/>
      <w:numFmt w:val="decimal"/>
      <w:start w:val="1"/>
    </w:lvl>
    <w:lvl w:ilvl="1">
      <w:lvlJc w:val="left"/>
      <w:lvlText w:val="%2)"/>
      <w:numFmt w:val="lowerLetter"/>
      <w:start w:val="4"/>
    </w:lvl>
  </w:abstractNum>
  <w:abstractNum w:abstractNumId="223">
    <w:nsid w:val="155EC4C2"/>
    <w:multiLevelType w:val="hybridMultilevel"/>
    <w:lvl w:ilvl="0">
      <w:lvlJc w:val="left"/>
      <w:lvlText w:val="%1."/>
      <w:numFmt w:val="decimal"/>
      <w:start w:val="5"/>
    </w:lvl>
    <w:lvl w:ilvl="1">
      <w:lvlJc w:val="left"/>
      <w:lvlText w:val="%2)"/>
      <w:numFmt w:val="lowerLetter"/>
      <w:start w:val="1"/>
    </w:lvl>
  </w:abstractNum>
  <w:abstractNum w:abstractNumId="224">
    <w:nsid w:val="65D2A137"/>
    <w:multiLevelType w:val="hybridMultilevel"/>
    <w:lvl w:ilvl="0">
      <w:lvlJc w:val="left"/>
      <w:lvlText w:val="(%1)"/>
      <w:numFmt w:val="decimal"/>
      <w:start w:val="1"/>
    </w:lvl>
  </w:abstractNum>
  <w:abstractNum w:abstractNumId="225">
    <w:nsid w:val="6EBB1F2A"/>
    <w:multiLevelType w:val="hybridMultilevel"/>
    <w:lvl w:ilvl="0">
      <w:lvlJc w:val="left"/>
      <w:lvlText w:val="(%1)"/>
      <w:numFmt w:val="decimal"/>
      <w:start w:val="1"/>
    </w:lvl>
  </w:abstractNum>
  <w:abstractNum w:abstractNumId="226">
    <w:nsid w:val="6FBF29CB"/>
    <w:multiLevelType w:val="hybridMultilevel"/>
    <w:lvl w:ilvl="0">
      <w:lvlJc w:val="left"/>
      <w:lvlText w:val="▪"/>
      <w:numFmt w:val="bullet"/>
      <w:start w:val="1"/>
    </w:lvl>
  </w:abstractNum>
  <w:abstractNum w:abstractNumId="227">
    <w:nsid w:val="550B8808"/>
    <w:multiLevelType w:val="hybridMultilevel"/>
    <w:lvl w:ilvl="0">
      <w:lvlJc w:val="left"/>
      <w:lvlText w:val="o"/>
      <w:numFmt w:val="bullet"/>
      <w:start w:val="1"/>
    </w:lvl>
  </w:abstractNum>
  <w:abstractNum w:abstractNumId="228">
    <w:nsid w:val="34CC3ACF"/>
    <w:multiLevelType w:val="hybridMultilevel"/>
    <w:lvl w:ilvl="0">
      <w:lvlJc w:val="left"/>
      <w:lvlText w:val="▪"/>
      <w:numFmt w:val="bullet"/>
      <w:start w:val="1"/>
    </w:lvl>
  </w:abstractNum>
  <w:abstractNum w:abstractNumId="229">
    <w:nsid w:val="4E556261"/>
    <w:multiLevelType w:val="hybridMultilevel"/>
    <w:lvl w:ilvl="0">
      <w:lvlJc w:val="left"/>
      <w:lvlText w:val="o"/>
      <w:numFmt w:val="bullet"/>
      <w:start w:val="1"/>
    </w:lvl>
  </w:abstractNum>
  <w:abstractNum w:abstractNumId="230">
    <w:nsid w:val="4C672FC9"/>
    <w:multiLevelType w:val="hybridMultilevel"/>
    <w:lvl w:ilvl="0">
      <w:lvlJc w:val="left"/>
      <w:lvlText w:val="1"/>
      <w:numFmt w:val="bullet"/>
      <w:start w:val="1"/>
    </w:lvl>
  </w:abstractNum>
  <w:abstractNum w:abstractNumId="231">
    <w:nsid w:val="52A311C3"/>
    <w:multiLevelType w:val="hybridMultilevel"/>
    <w:lvl w:ilvl="0">
      <w:lvlJc w:val="left"/>
      <w:lvlText w:val="2"/>
      <w:numFmt w:val="bullet"/>
      <w:start w:val="1"/>
    </w:lvl>
  </w:abstractNum>
  <w:abstractNum w:abstractNumId="232">
    <w:nsid w:val="44EF6B80"/>
    <w:multiLevelType w:val="hybridMultilevel"/>
    <w:lvl w:ilvl="0">
      <w:lvlJc w:val="left"/>
      <w:lvlText w:val="3"/>
      <w:numFmt w:val="bullet"/>
      <w:start w:val="1"/>
    </w:lvl>
  </w:abstractNum>
  <w:abstractNum w:abstractNumId="233">
    <w:nsid w:val="12FCDE5E"/>
    <w:multiLevelType w:val="hybridMultilevel"/>
    <w:lvl w:ilvl="0">
      <w:lvlJc w:val="left"/>
      <w:lvlText w:val="4"/>
      <w:numFmt w:val="bullet"/>
      <w:start w:val="1"/>
    </w:lvl>
  </w:abstractNum>
  <w:abstractNum w:abstractNumId="234">
    <w:nsid w:val="4A1D606E"/>
    <w:multiLevelType w:val="hybridMultilevel"/>
    <w:lvl w:ilvl="0">
      <w:lvlJc w:val="left"/>
      <w:lvlText w:val="5"/>
      <w:numFmt w:val="bullet"/>
      <w:start w:val="1"/>
    </w:lvl>
  </w:abstractNum>
  <w:abstractNum w:abstractNumId="235">
    <w:nsid w:val="4382503"/>
    <w:multiLevelType w:val="hybridMultilevel"/>
    <w:lvl w:ilvl="0">
      <w:lvlJc w:val="left"/>
      <w:lvlText w:val="6"/>
      <w:numFmt w:val="bullet"/>
      <w:start w:val="1"/>
    </w:lvl>
  </w:abstractNum>
  <w:abstractNum w:abstractNumId="236">
    <w:nsid w:val="59B76E28"/>
    <w:multiLevelType w:val="hybridMultilevel"/>
    <w:lvl w:ilvl="0">
      <w:lvlJc w:val="left"/>
      <w:lvlText w:val="7"/>
      <w:numFmt w:val="bullet"/>
      <w:start w:val="1"/>
    </w:lvl>
  </w:abstractNum>
  <w:abstractNum w:abstractNumId="237">
    <w:nsid w:val="4252C2DA"/>
    <w:multiLevelType w:val="hybridMultilevel"/>
    <w:lvl w:ilvl="0">
      <w:lvlJc w:val="left"/>
      <w:lvlText w:val="▪"/>
      <w:numFmt w:val="bullet"/>
      <w:start w:val="1"/>
    </w:lvl>
  </w:abstractNum>
  <w:abstractNum w:abstractNumId="238">
    <w:nsid w:val="6A92EF4C"/>
    <w:multiLevelType w:val="hybridMultilevel"/>
    <w:lvl w:ilvl="0">
      <w:lvlJc w:val="left"/>
      <w:lvlText w:val="▪"/>
      <w:numFmt w:val="bullet"/>
      <w:start w:val="1"/>
    </w:lvl>
  </w:abstractNum>
  <w:abstractNum w:abstractNumId="239">
    <w:nsid w:val="41ED20D7"/>
    <w:multiLevelType w:val="hybridMultilevel"/>
    <w:lvl w:ilvl="0">
      <w:lvlJc w:val="left"/>
      <w:lvlText w:val="▪"/>
      <w:numFmt w:val="bullet"/>
      <w:start w:val="1"/>
    </w:lvl>
    <w:lvl w:ilvl="1">
      <w:lvlJc w:val="left"/>
      <w:lvlText w:val="o"/>
      <w:numFmt w:val="bullet"/>
      <w:start w:val="1"/>
    </w:lvl>
  </w:abstractNum>
  <w:abstractNum w:abstractNumId="240">
    <w:nsid w:val="E6B3F6A"/>
    <w:multiLevelType w:val="hybridMultilevel"/>
    <w:lvl w:ilvl="0">
      <w:lvlJc w:val="left"/>
      <w:lvlText w:val="8"/>
      <w:numFmt w:val="bullet"/>
      <w:start w:val="1"/>
    </w:lvl>
  </w:abstractNum>
  <w:abstractNum w:abstractNumId="241">
    <w:nsid w:val="3EB21819"/>
    <w:multiLevelType w:val="hybridMultilevel"/>
    <w:lvl w:ilvl="0">
      <w:lvlJc w:val="left"/>
      <w:lvlText w:val="9"/>
      <w:numFmt w:val="bullet"/>
      <w:start w:val="1"/>
    </w:lvl>
  </w:abstractNum>
  <w:abstractNum w:abstractNumId="242">
    <w:nsid w:val="41531DED"/>
    <w:multiLevelType w:val="hybridMultilevel"/>
    <w:lvl w:ilvl="0">
      <w:lvlJc w:val="left"/>
      <w:lvlText w:val="%1"/>
      <w:numFmt w:val="decimal"/>
      <w:start w:val="10"/>
    </w:lvl>
  </w:abstractNum>
  <w:abstractNum w:abstractNumId="243">
    <w:nsid w:val="6353CD2"/>
    <w:multiLevelType w:val="hybridMultilevel"/>
    <w:lvl w:ilvl="0">
      <w:lvlJc w:val="left"/>
      <w:lvlText w:val="%1"/>
      <w:numFmt w:val="decimal"/>
      <w:start w:val="11"/>
    </w:lvl>
  </w:abstractNum>
  <w:abstractNum w:abstractNumId="244">
    <w:nsid w:val="683CAAD3"/>
    <w:multiLevelType w:val="hybridMultilevel"/>
    <w:lvl w:ilvl="0">
      <w:lvlJc w:val="left"/>
      <w:lvlText w:val="%1"/>
      <w:numFmt w:val="decimal"/>
      <w:start w:val="12"/>
    </w:lvl>
  </w:abstractNum>
  <w:abstractNum w:abstractNumId="245">
    <w:nsid w:val="313C7C99"/>
    <w:multiLevelType w:val="hybridMultilevel"/>
    <w:lvl w:ilvl="0">
      <w:lvlJc w:val="left"/>
      <w:lvlText w:val="▪"/>
      <w:numFmt w:val="bullet"/>
      <w:start w:val="1"/>
    </w:lvl>
  </w:abstractNum>
  <w:abstractNum w:abstractNumId="246">
    <w:nsid w:val="519EB94C"/>
    <w:multiLevelType w:val="hybridMultilevel"/>
    <w:lvl w:ilvl="0">
      <w:lvlJc w:val="left"/>
      <w:lvlText w:val="▪"/>
      <w:numFmt w:val="bullet"/>
      <w:start w:val="1"/>
    </w:lvl>
  </w:abstractNum>
  <w:abstractNum w:abstractNumId="247">
    <w:nsid w:val="39DF2579"/>
    <w:multiLevelType w:val="hybridMultilevel"/>
    <w:lvl w:ilvl="0">
      <w:lvlJc w:val="left"/>
      <w:lvlText w:val="%1"/>
      <w:numFmt w:val="decimal"/>
      <w:start w:val="14"/>
    </w:lvl>
  </w:abstractNum>
  <w:abstractNum w:abstractNumId="248">
    <w:nsid w:val="126E008B"/>
    <w:multiLevelType w:val="hybridMultilevel"/>
    <w:lvl w:ilvl="0">
      <w:lvlJc w:val="left"/>
      <w:lvlText w:val="▪"/>
      <w:numFmt w:val="bullet"/>
      <w:start w:val="1"/>
    </w:lvl>
  </w:abstractNum>
  <w:abstractNum w:abstractNumId="249">
    <w:nsid w:val="34DFBC00"/>
    <w:multiLevelType w:val="hybridMultilevel"/>
    <w:lvl w:ilvl="0">
      <w:lvlJc w:val="left"/>
      <w:lvlText w:val="%1"/>
      <w:numFmt w:val="decimal"/>
      <w:start w:val="15"/>
    </w:lvl>
  </w:abstractNum>
  <w:abstractNum w:abstractNumId="250">
    <w:nsid w:val="1F9EC322"/>
    <w:multiLevelType w:val="hybridMultilevel"/>
    <w:lvl w:ilvl="0">
      <w:lvlJc w:val="left"/>
      <w:lvlText w:val="▪"/>
      <w:numFmt w:val="bullet"/>
      <w:start w:val="1"/>
    </w:lvl>
  </w:abstractNum>
  <w:abstractNum w:abstractNumId="251">
    <w:nsid w:val="3410ED56"/>
    <w:multiLevelType w:val="hybridMultilevel"/>
    <w:lvl w:ilvl="0">
      <w:lvlJc w:val="left"/>
      <w:lvlText w:val="%1"/>
      <w:numFmt w:val="decimal"/>
      <w:start w:val="16"/>
    </w:lvl>
  </w:abstractNum>
  <w:abstractNum w:abstractNumId="252">
    <w:nsid w:val="23C049A"/>
    <w:multiLevelType w:val="hybridMultilevel"/>
    <w:lvl w:ilvl="0">
      <w:lvlJc w:val="left"/>
      <w:lvlText w:val="▪"/>
      <w:numFmt w:val="bullet"/>
      <w:start w:val="1"/>
    </w:lvl>
  </w:abstractNum>
  <w:abstractNum w:abstractNumId="253">
    <w:nsid w:val="5BDA35D4"/>
    <w:multiLevelType w:val="hybridMultilevel"/>
    <w:lvl w:ilvl="0">
      <w:lvlJc w:val="left"/>
      <w:lvlText w:val="▪"/>
      <w:numFmt w:val="bullet"/>
      <w:start w:val="1"/>
    </w:lvl>
  </w:abstractNum>
  <w:abstractNum w:abstractNumId="254">
    <w:nsid w:val="496FB218"/>
    <w:multiLevelType w:val="hybridMultilevel"/>
    <w:lvl w:ilvl="0">
      <w:lvlJc w:val="left"/>
      <w:lvlText w:val="▪"/>
      <w:numFmt w:val="bullet"/>
      <w:start w:val="1"/>
    </w:lvl>
  </w:abstractNum>
  <w:abstractNum w:abstractNumId="255">
    <w:nsid w:val="680EA5D1"/>
    <w:multiLevelType w:val="hybridMultilevel"/>
    <w:lvl w:ilvl="0">
      <w:lvlJc w:val="left"/>
      <w:lvlText w:val="▪"/>
      <w:numFmt w:val="bullet"/>
      <w:start w:val="1"/>
    </w:lvl>
  </w:abstractNum>
  <w:abstractNum w:abstractNumId="256">
    <w:nsid w:val="4A9554FE"/>
    <w:multiLevelType w:val="hybridMultilevel"/>
    <w:lvl w:ilvl="0">
      <w:lvlJc w:val="left"/>
      <w:lvlText w:val="▪"/>
      <w:numFmt w:val="bullet"/>
      <w:start w:val="1"/>
    </w:lvl>
  </w:abstractNum>
  <w:abstractNum w:abstractNumId="257">
    <w:nsid w:val="392EDBE4"/>
    <w:multiLevelType w:val="hybridMultilevel"/>
    <w:lvl w:ilvl="0">
      <w:lvlJc w:val="left"/>
      <w:lvlText w:val="▪"/>
      <w:numFmt w:val="bullet"/>
      <w:start w:val="1"/>
    </w:lvl>
  </w:abstractNum>
  <w:abstractNum w:abstractNumId="258">
    <w:nsid w:val="3D1A2DD9"/>
    <w:multiLevelType w:val="hybridMultilevel"/>
    <w:lvl w:ilvl="0">
      <w:lvlJc w:val="left"/>
      <w:lvlText w:val="▪"/>
      <w:numFmt w:val="bullet"/>
      <w:start w:val="1"/>
    </w:lvl>
  </w:abstractNum>
  <w:abstractNum w:abstractNumId="259">
    <w:nsid w:val="7F618FCD"/>
    <w:multiLevelType w:val="hybridMultilevel"/>
    <w:lvl w:ilvl="0">
      <w:lvlJc w:val="left"/>
      <w:lvlText w:val="o"/>
      <w:numFmt w:val="bullet"/>
      <w:start w:val="1"/>
    </w:lvl>
  </w:abstractNum>
  <w:abstractNum w:abstractNumId="260">
    <w:nsid w:val="7843E45"/>
    <w:multiLevelType w:val="hybridMultilevel"/>
    <w:lvl w:ilvl="0">
      <w:lvlJc w:val="left"/>
      <w:lvlText w:val="▪"/>
      <w:numFmt w:val="bullet"/>
      <w:start w:val="1"/>
    </w:lvl>
  </w:abstractNum>
  <w:abstractNum w:abstractNumId="261">
    <w:nsid w:val="9815DA3"/>
    <w:multiLevelType w:val="hybridMultilevel"/>
    <w:lvl w:ilvl="0">
      <w:lvlJc w:val="left"/>
      <w:lvlText w:val="▪"/>
      <w:numFmt w:val="bullet"/>
      <w:start w:val="1"/>
    </w:lvl>
    <w:lvl w:ilvl="1">
      <w:lvlJc w:val="left"/>
      <w:lvlText w:val="o"/>
      <w:numFmt w:val="bullet"/>
      <w:start w:val="1"/>
    </w:lvl>
  </w:abstractNum>
  <w:abstractNum w:abstractNumId="262">
    <w:nsid w:val="5204A191"/>
    <w:multiLevelType w:val="hybridMultilevel"/>
    <w:lvl w:ilvl="0">
      <w:lvlJc w:val="left"/>
      <w:lvlText w:val="▪"/>
      <w:numFmt w:val="bullet"/>
      <w:start w:val="1"/>
    </w:lvl>
  </w:abstractNum>
  <w:abstractNum w:abstractNumId="263">
    <w:nsid w:val="4C73A9C6"/>
    <w:multiLevelType w:val="hybridMultilevel"/>
    <w:lvl w:ilvl="0">
      <w:lvlJc w:val="left"/>
      <w:lvlText w:val="▪"/>
      <w:numFmt w:val="bullet"/>
      <w:start w:val="1"/>
    </w:lvl>
  </w:abstractNum>
  <w:abstractNum w:abstractNumId="264">
    <w:nsid w:val="1C7E3C01"/>
    <w:multiLevelType w:val="hybridMultilevel"/>
    <w:lvl w:ilvl="0">
      <w:lvlJc w:val="left"/>
      <w:lvlText w:val="▪"/>
      <w:numFmt w:val="bullet"/>
      <w:start w:val="1"/>
    </w:lvl>
  </w:abstractNum>
  <w:abstractNum w:abstractNumId="265">
    <w:nsid w:val="1C2201FF"/>
    <w:multiLevelType w:val="hybridMultilevel"/>
    <w:lvl w:ilvl="0">
      <w:lvlJc w:val="left"/>
      <w:lvlText w:val="▪"/>
      <w:numFmt w:val="bullet"/>
      <w:start w:val="1"/>
    </w:lvl>
  </w:abstractNum>
  <w:abstractNum w:abstractNumId="266">
    <w:nsid w:val="50ABCEC9"/>
    <w:multiLevelType w:val="hybridMultilevel"/>
    <w:lvl w:ilvl="0">
      <w:lvlJc w:val="left"/>
      <w:lvlText w:val="▪"/>
      <w:numFmt w:val="bullet"/>
      <w:start w:val="1"/>
    </w:lvl>
  </w:abstractNum>
  <w:abstractNum w:abstractNumId="267">
    <w:nsid w:val="7635AA2A"/>
    <w:multiLevelType w:val="hybridMultilevel"/>
    <w:lvl w:ilvl="0">
      <w:lvlJc w:val="left"/>
      <w:lvlText w:val="▪"/>
      <w:numFmt w:val="bullet"/>
      <w:start w:val="1"/>
    </w:lvl>
  </w:abstractNum>
  <w:abstractNum w:abstractNumId="268">
    <w:nsid w:val="5E74C4D9"/>
    <w:multiLevelType w:val="hybridMultilevel"/>
    <w:lvl w:ilvl="0">
      <w:lvlJc w:val="left"/>
      <w:lvlText w:val="▪"/>
      <w:numFmt w:val="bullet"/>
      <w:start w:val="1"/>
    </w:lvl>
  </w:abstractNum>
  <w:abstractNum w:abstractNumId="269">
    <w:nsid w:val="3B3EBE15"/>
    <w:multiLevelType w:val="hybridMultilevel"/>
    <w:lvl w:ilvl="0">
      <w:lvlJc w:val="left"/>
      <w:lvlText w:val="▪"/>
      <w:numFmt w:val="bullet"/>
      <w:start w:val="1"/>
    </w:lvl>
  </w:abstractNum>
  <w:abstractNum w:abstractNumId="270">
    <w:nsid w:val="3822CB01"/>
    <w:multiLevelType w:val="hybridMultilevel"/>
    <w:lvl w:ilvl="0">
      <w:lvlJc w:val="left"/>
      <w:lvlText w:val="▪"/>
      <w:numFmt w:val="bullet"/>
      <w:start w:val="1"/>
    </w:lvl>
  </w:abstractNum>
  <w:abstractNum w:abstractNumId="271">
    <w:nsid w:val="6CE00443"/>
    <w:multiLevelType w:val="hybridMultilevel"/>
    <w:lvl w:ilvl="0">
      <w:lvlJc w:val="left"/>
      <w:lvlText w:val="▪"/>
      <w:numFmt w:val="bullet"/>
      <w:start w:val="1"/>
    </w:lvl>
  </w:abstractNum>
  <w:abstractNum w:abstractNumId="272">
    <w:nsid w:val="79F0D62F"/>
    <w:multiLevelType w:val="hybridMultilevel"/>
    <w:lvl w:ilvl="0">
      <w:lvlJc w:val="left"/>
      <w:lvlText w:val="▪"/>
      <w:numFmt w:val="bullet"/>
      <w:start w:val="1"/>
    </w:lvl>
  </w:abstractNum>
  <w:abstractNum w:abstractNumId="273">
    <w:nsid w:val="7975E8EE"/>
    <w:multiLevelType w:val="hybridMultilevel"/>
    <w:lvl w:ilvl="0">
      <w:lvlJc w:val="left"/>
      <w:lvlText w:val="(+)"/>
      <w:numFmt w:val="bullet"/>
      <w:start w:val="1"/>
    </w:lvl>
  </w:abstractNum>
  <w:abstractNum w:abstractNumId="274">
    <w:nsid w:val="73154115"/>
    <w:multiLevelType w:val="hybridMultilevel"/>
    <w:lvl w:ilvl="0">
      <w:lvlJc w:val="left"/>
      <w:lvlText w:val="(%1)"/>
      <w:numFmt w:val="lowerRoman"/>
      <w:start w:val="1"/>
    </w:lvl>
  </w:abstractNum>
  <w:abstractNum w:abstractNumId="275">
    <w:nsid w:val="622D8102"/>
    <w:multiLevelType w:val="hybridMultilevel"/>
    <w:lvl w:ilvl="0">
      <w:lvlJc w:val="left"/>
      <w:lvlText w:val="▪"/>
      <w:numFmt w:val="bullet"/>
      <w:start w:val="1"/>
    </w:lvl>
  </w:abstractNum>
  <w:abstractNum w:abstractNumId="276">
    <w:nsid w:val="2AB26587"/>
    <w:multiLevelType w:val="hybridMultilevel"/>
    <w:lvl w:ilvl="0">
      <w:lvlJc w:val="left"/>
      <w:lvlText w:val="▪"/>
      <w:numFmt w:val="bullet"/>
      <w:start w:val="1"/>
    </w:lvl>
  </w:abstractNum>
  <w:abstractNum w:abstractNumId="277">
    <w:nsid w:val="44B3FA61"/>
    <w:multiLevelType w:val="hybridMultilevel"/>
    <w:lvl w:ilvl="0">
      <w:lvlJc w:val="left"/>
      <w:lvlText w:val="▪"/>
      <w:numFmt w:val="bullet"/>
      <w:start w:val="1"/>
    </w:lvl>
  </w:abstractNum>
  <w:abstractNum w:abstractNumId="278">
    <w:nsid w:val="1C0CA67C"/>
    <w:multiLevelType w:val="hybridMultilevel"/>
    <w:lvl w:ilvl="0">
      <w:lvlJc w:val="left"/>
      <w:lvlText w:val="▪"/>
      <w:numFmt w:val="bullet"/>
      <w:start w:val="1"/>
    </w:lvl>
  </w:abstractNum>
  <w:abstractNum w:abstractNumId="279">
    <w:nsid w:val="3D206613"/>
    <w:multiLevelType w:val="hybridMultilevel"/>
    <w:lvl w:ilvl="0">
      <w:lvlJc w:val="left"/>
      <w:lvlText w:val="▪"/>
      <w:numFmt w:val="bullet"/>
      <w:start w:val="1"/>
    </w:lvl>
  </w:abstractNum>
  <w:abstractNum w:abstractNumId="280">
    <w:nsid w:val="7993B662"/>
    <w:multiLevelType w:val="hybridMultilevel"/>
    <w:lvl w:ilvl="0">
      <w:lvlJc w:val="left"/>
      <w:lvlText w:val="•"/>
      <w:numFmt w:val="bullet"/>
      <w:start w:val="1"/>
    </w:lvl>
  </w:abstractNum>
  <w:abstractNum w:abstractNumId="281">
    <w:nsid w:val="3BAB699E"/>
    <w:multiLevelType w:val="hybridMultilevel"/>
    <w:lvl w:ilvl="0">
      <w:lvlJc w:val="left"/>
      <w:lvlText w:val="•"/>
      <w:numFmt w:val="bullet"/>
      <w:start w:val="1"/>
    </w:lvl>
  </w:abstractNum>
  <w:abstractNum w:abstractNumId="282">
    <w:nsid w:val="71315369"/>
    <w:multiLevelType w:val="hybridMultilevel"/>
    <w:lvl w:ilvl="0">
      <w:lvlJc w:val="left"/>
      <w:lvlText w:val="•"/>
      <w:numFmt w:val="bullet"/>
      <w:start w:val="1"/>
    </w:lvl>
  </w:abstractNum>
  <w:abstractNum w:abstractNumId="283">
    <w:nsid w:val="7BCFBAFC"/>
    <w:multiLevelType w:val="hybridMultilevel"/>
    <w:lvl w:ilvl="0">
      <w:lvlJc w:val="left"/>
      <w:lvlText w:val="•"/>
      <w:numFmt w:val="bullet"/>
      <w:start w:val="1"/>
    </w:lvl>
  </w:abstractNum>
  <w:abstractNum w:abstractNumId="284">
    <w:nsid w:val="17859F72"/>
    <w:multiLevelType w:val="hybridMultilevel"/>
    <w:lvl w:ilvl="0">
      <w:lvlJc w:val="left"/>
      <w:lvlText w:val="•"/>
      <w:numFmt w:val="bullet"/>
      <w:start w:val="1"/>
    </w:lvl>
  </w:abstractNum>
  <w:abstractNum w:abstractNumId="285">
    <w:nsid w:val="3AA10581"/>
    <w:multiLevelType w:val="hybridMultilevel"/>
    <w:lvl w:ilvl="0">
      <w:lvlJc w:val="left"/>
      <w:lvlText w:val="•"/>
      <w:numFmt w:val="bullet"/>
      <w:start w:val="1"/>
    </w:lvl>
  </w:abstractNum>
  <w:abstractNum w:abstractNumId="286">
    <w:nsid w:val="63DE60CD"/>
    <w:multiLevelType w:val="hybridMultilevel"/>
    <w:lvl w:ilvl="0">
      <w:lvlJc w:val="left"/>
      <w:lvlText w:val="•"/>
      <w:numFmt w:val="bullet"/>
      <w:start w:val="1"/>
    </w:lvl>
  </w:abstractNum>
  <w:abstractNum w:abstractNumId="287">
    <w:nsid w:val="621AF471"/>
    <w:multiLevelType w:val="hybridMultilevel"/>
    <w:lvl w:ilvl="0">
      <w:lvlJc w:val="left"/>
      <w:lvlText w:val="•"/>
      <w:numFmt w:val="bullet"/>
      <w:start w:val="1"/>
    </w:lvl>
  </w:abstractNum>
  <w:abstractNum w:abstractNumId="288">
    <w:nsid w:val="73CFE165"/>
    <w:multiLevelType w:val="hybridMultilevel"/>
    <w:lvl w:ilvl="0">
      <w:lvlJc w:val="left"/>
      <w:lvlText w:val="•"/>
      <w:numFmt w:val="bullet"/>
      <w:start w:val="1"/>
    </w:lvl>
  </w:abstractNum>
  <w:abstractNum w:abstractNumId="289">
    <w:nsid w:val="20F88EA6"/>
    <w:multiLevelType w:val="hybridMultilevel"/>
    <w:lvl w:ilvl="0">
      <w:lvlJc w:val="left"/>
      <w:lvlText w:val="•"/>
      <w:numFmt w:val="bullet"/>
      <w:start w:val="1"/>
    </w:lvl>
  </w:abstractNum>
  <w:abstractNum w:abstractNumId="290">
    <w:nsid w:val="617C843E"/>
    <w:multiLevelType w:val="hybridMultilevel"/>
    <w:lvl w:ilvl="0">
      <w:lvlJc w:val="left"/>
      <w:lvlText w:val="•"/>
      <w:numFmt w:val="bullet"/>
      <w:start w:val="1"/>
    </w:lvl>
  </w:abstractNum>
  <w:abstractNum w:abstractNumId="291">
    <w:nsid w:val="7B541FAB"/>
    <w:multiLevelType w:val="hybridMultilevel"/>
    <w:lvl w:ilvl="0">
      <w:lvlJc w:val="left"/>
      <w:lvlText w:val="•"/>
      <w:numFmt w:val="bullet"/>
      <w:start w:val="1"/>
    </w:lvl>
  </w:abstractNum>
  <w:abstractNum w:abstractNumId="292">
    <w:nsid w:val="2A79EC49"/>
    <w:multiLevelType w:val="hybridMultilevel"/>
    <w:lvl w:ilvl="0">
      <w:lvlJc w:val="left"/>
      <w:lvlText w:val="•"/>
      <w:numFmt w:val="bullet"/>
      <w:start w:val="1"/>
    </w:lvl>
  </w:abstractNum>
  <w:abstractNum w:abstractNumId="293">
    <w:nsid w:val="338125CF"/>
    <w:multiLevelType w:val="hybridMultilevel"/>
    <w:lvl w:ilvl="0">
      <w:lvlJc w:val="left"/>
      <w:lvlText w:val="•"/>
      <w:numFmt w:val="bullet"/>
      <w:start w:val="1"/>
    </w:lvl>
  </w:abstractNum>
  <w:abstractNum w:abstractNumId="294">
    <w:nsid w:val="47C7C971"/>
    <w:multiLevelType w:val="hybridMultilevel"/>
    <w:lvl w:ilvl="0">
      <w:lvlJc w:val="left"/>
      <w:lvlText w:val="●"/>
      <w:numFmt w:val="bullet"/>
      <w:start w:val="1"/>
    </w:lvl>
  </w:abstractNum>
  <w:abstractNum w:abstractNumId="295">
    <w:nsid w:val="46F8284B"/>
    <w:multiLevelType w:val="hybridMultilevel"/>
    <w:lvl w:ilvl="0">
      <w:lvlJc w:val="left"/>
      <w:lvlText w:val="%1."/>
      <w:numFmt w:val="decimal"/>
      <w:start w:val="3"/>
    </w:lvl>
  </w:abstractNum>
  <w:abstractNum w:abstractNumId="296">
    <w:nsid w:val="4FA327CE"/>
    <w:multiLevelType w:val="hybridMultilevel"/>
    <w:lvl w:ilvl="0">
      <w:lvlJc w:val="left"/>
      <w:lvlText w:val="•"/>
      <w:numFmt w:val="bullet"/>
      <w:start w:val="1"/>
    </w:lvl>
  </w:abstractNum>
  <w:abstractNum w:abstractNumId="297">
    <w:nsid w:val="1873983A"/>
    <w:multiLevelType w:val="hybridMultilevel"/>
    <w:lvl w:ilvl="0">
      <w:lvlJc w:val="left"/>
      <w:lvlText w:val="%1)"/>
      <w:numFmt w:val="upperLetter"/>
      <w:start w:val="1"/>
    </w:lvl>
  </w:abstractNum>
  <w:abstractNum w:abstractNumId="298">
    <w:nsid w:val="3D2DD275"/>
    <w:multiLevelType w:val="hybridMultilevel"/>
    <w:lvl w:ilvl="0">
      <w:lvlJc w:val="left"/>
      <w:lvlText w:val="%1."/>
      <w:numFmt w:val="decimal"/>
      <w:start w:val="4"/>
    </w:lvl>
  </w:abstractNum>
  <w:abstractNum w:abstractNumId="299">
    <w:nsid w:val="2E17ECA7"/>
    <w:multiLevelType w:val="hybridMultilevel"/>
    <w:lvl w:ilvl="0">
      <w:lvlJc w:val="left"/>
      <w:lvlText w:val="%1."/>
      <w:numFmt w:val="decimal"/>
      <w:start w:val="8"/>
    </w:lvl>
  </w:abstractNum>
  <w:abstractNum w:abstractNumId="300">
    <w:nsid w:val="53B2564F"/>
    <w:multiLevelType w:val="hybridMultilevel"/>
    <w:lvl w:ilvl="0">
      <w:lvlJc w:val="left"/>
      <w:lvlText w:val="%1."/>
      <w:numFmt w:val="decimal"/>
      <w:start w:val="15"/>
    </w:lvl>
  </w:abstractNum>
  <w:abstractNum w:abstractNumId="301">
    <w:nsid w:val="75509D76"/>
    <w:multiLevelType w:val="hybridMultilevel"/>
    <w:lvl w:ilvl="0">
      <w:lvlJc w:val="left"/>
      <w:lvlText w:val="(*)"/>
      <w:numFmt w:val="bullet"/>
      <w:start w:val="1"/>
    </w:lvl>
  </w:abstractNum>
  <w:abstractNum w:abstractNumId="302">
    <w:nsid w:val="1AF7F0EA"/>
    <w:multiLevelType w:val="hybridMultilevel"/>
    <w:lvl w:ilvl="0">
      <w:lvlJc w:val="left"/>
      <w:lvlText w:val="(*)"/>
      <w:numFmt w:val="bullet"/>
      <w:start w:val="1"/>
    </w:lvl>
  </w:abstractNum>
  <w:abstractNum w:abstractNumId="303">
    <w:nsid w:val="4DA32C7E"/>
    <w:multiLevelType w:val="hybridMultilevel"/>
    <w:lvl w:ilvl="0">
      <w:lvlJc w:val="left"/>
      <w:lvlText w:val="•"/>
      <w:numFmt w:val="bullet"/>
      <w:start w:val="1"/>
    </w:lvl>
  </w:abstractNum>
  <w:abstractNum w:abstractNumId="304">
    <w:nsid w:val="6EC68664"/>
    <w:multiLevelType w:val="hybridMultilevel"/>
    <w:lvl w:ilvl="0">
      <w:lvlJc w:val="left"/>
      <w:lvlText w:val="•"/>
      <w:numFmt w:val="bullet"/>
      <w:start w:val="1"/>
    </w:lvl>
  </w:abstractNum>
  <w:abstractNum w:abstractNumId="305">
    <w:nsid w:val="E0D31FF"/>
    <w:multiLevelType w:val="hybridMultilevel"/>
    <w:lvl w:ilvl="0">
      <w:lvlJc w:val="left"/>
      <w:lvlText w:val="%1)"/>
      <w:numFmt w:val="lowerLetter"/>
      <w:start w:val="4"/>
    </w:lvl>
    <w:lvl w:ilvl="1">
      <w:lvlJc w:val="left"/>
      <w:lvlText w:val="•"/>
      <w:numFmt w:val="bullet"/>
      <w:start w:val="1"/>
    </w:lvl>
  </w:abstractNum>
  <w:abstractNum w:abstractNumId="306">
    <w:nsid w:val="2FD0AD81"/>
    <w:multiLevelType w:val="hybridMultilevel"/>
    <w:lvl w:ilvl="0">
      <w:lvlJc w:val="left"/>
      <w:lvlText w:val="%1."/>
      <w:numFmt w:val="decimal"/>
      <w:start w:val="19"/>
    </w:lvl>
  </w:abstractNum>
  <w:abstractNum w:abstractNumId="307">
    <w:nsid w:val="1978EBEB"/>
    <w:multiLevelType w:val="hybridMultilevel"/>
    <w:lvl w:ilvl="0">
      <w:lvlJc w:val="left"/>
      <w:lvlText w:val="%1."/>
      <w:numFmt w:val="decimal"/>
      <w:start w:val="23"/>
    </w:lvl>
  </w:abstractNum>
  <w:abstractNum w:abstractNumId="308">
    <w:nsid w:val="52C12C61"/>
    <w:multiLevelType w:val="hybridMultilevel"/>
    <w:lvl w:ilvl="0">
      <w:lvlJc w:val="left"/>
      <w:lvlText w:val="%1."/>
      <w:numFmt w:val="decimal"/>
      <w:start w:val="23"/>
    </w:lvl>
  </w:abstractNum>
  <w:abstractNum w:abstractNumId="309">
    <w:nsid w:val="4BDD53FD"/>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41" Type="http://schemas.openxmlformats.org/officeDocument/2006/relationships/image" Target="media/image523.png"/><Relationship Id="rId544" Type="http://schemas.openxmlformats.org/officeDocument/2006/relationships/image" Target="media/image524.png"/><Relationship Id="rId546" Type="http://schemas.openxmlformats.org/officeDocument/2006/relationships/image" Target="media/image525.png"/><Relationship Id="rId547" Type="http://schemas.openxmlformats.org/officeDocument/2006/relationships/image" Target="media/image526.png"/><Relationship Id="rId548" Type="http://schemas.openxmlformats.org/officeDocument/2006/relationships/image" Target="media/image527.png"/><Relationship Id="rId549" Type="http://schemas.openxmlformats.org/officeDocument/2006/relationships/image" Target="media/image528.jpeg"/><Relationship Id="rId550" Type="http://schemas.openxmlformats.org/officeDocument/2006/relationships/image" Target="media/image529.png"/><Relationship Id="rId551" Type="http://schemas.openxmlformats.org/officeDocument/2006/relationships/image" Target="media/image530.jpeg"/><Relationship Id="rId552" Type="http://schemas.openxmlformats.org/officeDocument/2006/relationships/image" Target="media/image531.png"/><Relationship Id="rId553" Type="http://schemas.openxmlformats.org/officeDocument/2006/relationships/image" Target="media/image532.png"/><Relationship Id="rId554" Type="http://schemas.openxmlformats.org/officeDocument/2006/relationships/image" Target="media/image533.png"/><Relationship Id="rId555" Type="http://schemas.openxmlformats.org/officeDocument/2006/relationships/image" Target="media/image534.png"/><Relationship Id="rId556" Type="http://schemas.openxmlformats.org/officeDocument/2006/relationships/image" Target="media/image535.png"/><Relationship Id="rId557" Type="http://schemas.openxmlformats.org/officeDocument/2006/relationships/image" Target="media/image536.png"/><Relationship Id="rId558" Type="http://schemas.openxmlformats.org/officeDocument/2006/relationships/image" Target="media/image537.png"/><Relationship Id="rId559" Type="http://schemas.openxmlformats.org/officeDocument/2006/relationships/image" Target="media/image538.png"/><Relationship Id="rId560" Type="http://schemas.openxmlformats.org/officeDocument/2006/relationships/image" Target="media/image539.png"/><Relationship Id="rId561" Type="http://schemas.openxmlformats.org/officeDocument/2006/relationships/image" Target="media/image540.png"/><Relationship Id="rId562" Type="http://schemas.openxmlformats.org/officeDocument/2006/relationships/image" Target="media/image541.png"/><Relationship Id="rId563" Type="http://schemas.openxmlformats.org/officeDocument/2006/relationships/image" Target="media/image542.png"/><Relationship Id="rId564" Type="http://schemas.openxmlformats.org/officeDocument/2006/relationships/image" Target="media/image543.png"/><Relationship Id="rId565" Type="http://schemas.openxmlformats.org/officeDocument/2006/relationships/image" Target="media/image544.png"/><Relationship Id="rId566" Type="http://schemas.openxmlformats.org/officeDocument/2006/relationships/image" Target="media/image545.png"/><Relationship Id="rId567" Type="http://schemas.openxmlformats.org/officeDocument/2006/relationships/image" Target="media/image546.png"/><Relationship Id="rId568" Type="http://schemas.openxmlformats.org/officeDocument/2006/relationships/image" Target="media/image547.png"/><Relationship Id="rId569" Type="http://schemas.openxmlformats.org/officeDocument/2006/relationships/image" Target="media/image548.png"/><Relationship Id="rId570" Type="http://schemas.openxmlformats.org/officeDocument/2006/relationships/image" Target="media/image549.jpeg"/><Relationship Id="rId571" Type="http://schemas.openxmlformats.org/officeDocument/2006/relationships/image" Target="media/image550.png"/><Relationship Id="rId572" Type="http://schemas.openxmlformats.org/officeDocument/2006/relationships/image" Target="media/image551.png"/><Relationship Id="rId573" Type="http://schemas.openxmlformats.org/officeDocument/2006/relationships/image" Target="media/image552.png"/><Relationship Id="rId574" Type="http://schemas.openxmlformats.org/officeDocument/2006/relationships/image" Target="media/image553.png"/><Relationship Id="rId575" Type="http://schemas.openxmlformats.org/officeDocument/2006/relationships/image" Target="media/image554.png"/><Relationship Id="rId576" Type="http://schemas.openxmlformats.org/officeDocument/2006/relationships/image" Target="media/image555.png"/><Relationship Id="rId577" Type="http://schemas.openxmlformats.org/officeDocument/2006/relationships/image" Target="media/image556.png"/><Relationship Id="rId578" Type="http://schemas.openxmlformats.org/officeDocument/2006/relationships/image" Target="media/image557.png"/><Relationship Id="rId579" Type="http://schemas.openxmlformats.org/officeDocument/2006/relationships/image" Target="media/image558.png"/><Relationship Id="rId580" Type="http://schemas.openxmlformats.org/officeDocument/2006/relationships/image" Target="media/image559.png"/><Relationship Id="rId581" Type="http://schemas.openxmlformats.org/officeDocument/2006/relationships/image" Target="media/image560.png"/><Relationship Id="rId582" Type="http://schemas.openxmlformats.org/officeDocument/2006/relationships/image" Target="media/image561.png"/><Relationship Id="rId583" Type="http://schemas.openxmlformats.org/officeDocument/2006/relationships/image" Target="media/image562.png"/><Relationship Id="rId584" Type="http://schemas.openxmlformats.org/officeDocument/2006/relationships/image" Target="media/image563.png"/><Relationship Id="rId585" Type="http://schemas.openxmlformats.org/officeDocument/2006/relationships/image" Target="media/image564.png"/><Relationship Id="rId586" Type="http://schemas.openxmlformats.org/officeDocument/2006/relationships/image" Target="media/image565.png"/><Relationship Id="rId587" Type="http://schemas.openxmlformats.org/officeDocument/2006/relationships/image" Target="media/image566.png"/><Relationship Id="rId588" Type="http://schemas.openxmlformats.org/officeDocument/2006/relationships/image" Target="media/image567.png"/><Relationship Id="rId589" Type="http://schemas.openxmlformats.org/officeDocument/2006/relationships/image" Target="media/image568.png"/><Relationship Id="rId590" Type="http://schemas.openxmlformats.org/officeDocument/2006/relationships/image" Target="media/image569.png"/><Relationship Id="rId591" Type="http://schemas.openxmlformats.org/officeDocument/2006/relationships/image" Target="media/image570.png"/><Relationship Id="rId592" Type="http://schemas.openxmlformats.org/officeDocument/2006/relationships/image" Target="media/image571.png"/><Relationship Id="rId593" Type="http://schemas.openxmlformats.org/officeDocument/2006/relationships/image" Target="media/image572.png"/><Relationship Id="rId594" Type="http://schemas.openxmlformats.org/officeDocument/2006/relationships/image" Target="media/image573.png"/><Relationship Id="rId595" Type="http://schemas.openxmlformats.org/officeDocument/2006/relationships/image" Target="media/image574.png"/><Relationship Id="rId596" Type="http://schemas.openxmlformats.org/officeDocument/2006/relationships/image" Target="media/image575.png"/><Relationship Id="rId597" Type="http://schemas.openxmlformats.org/officeDocument/2006/relationships/image" Target="media/image576.png"/><Relationship Id="rId598" Type="http://schemas.openxmlformats.org/officeDocument/2006/relationships/image" Target="media/image577.jpeg"/><Relationship Id="rId599" Type="http://schemas.openxmlformats.org/officeDocument/2006/relationships/image" Target="media/image578.png"/><Relationship Id="rId600" Type="http://schemas.openxmlformats.org/officeDocument/2006/relationships/image" Target="media/image579.png"/><Relationship Id="rId601" Type="http://schemas.openxmlformats.org/officeDocument/2006/relationships/image" Target="media/image580.png"/><Relationship Id="rId602" Type="http://schemas.openxmlformats.org/officeDocument/2006/relationships/image" Target="media/image581.png"/><Relationship Id="rId603" Type="http://schemas.openxmlformats.org/officeDocument/2006/relationships/image" Target="media/image582.png"/><Relationship Id="rId604" Type="http://schemas.openxmlformats.org/officeDocument/2006/relationships/image" Target="media/image583.png"/><Relationship Id="rId605" Type="http://schemas.openxmlformats.org/officeDocument/2006/relationships/image" Target="media/image584.png"/><Relationship Id="rId606" Type="http://schemas.openxmlformats.org/officeDocument/2006/relationships/image" Target="media/image585.png"/><Relationship Id="rId607" Type="http://schemas.openxmlformats.org/officeDocument/2006/relationships/image" Target="media/image586.png"/><Relationship Id="rId608" Type="http://schemas.openxmlformats.org/officeDocument/2006/relationships/image" Target="media/image587.png"/><Relationship Id="rId609" Type="http://schemas.openxmlformats.org/officeDocument/2006/relationships/image" Target="media/image588.jpeg"/><Relationship Id="rId610" Type="http://schemas.openxmlformats.org/officeDocument/2006/relationships/image" Target="media/image589.png"/><Relationship Id="rId611" Type="http://schemas.openxmlformats.org/officeDocument/2006/relationships/image" Target="media/image590.png"/><Relationship Id="rId612" Type="http://schemas.openxmlformats.org/officeDocument/2006/relationships/image" Target="media/image591.png"/><Relationship Id="rId613" Type="http://schemas.openxmlformats.org/officeDocument/2006/relationships/image" Target="media/image592.png"/><Relationship Id="rId614" Type="http://schemas.openxmlformats.org/officeDocument/2006/relationships/image" Target="media/image593.png"/><Relationship Id="rId615" Type="http://schemas.openxmlformats.org/officeDocument/2006/relationships/image" Target="media/image594.png"/><Relationship Id="rId616" Type="http://schemas.openxmlformats.org/officeDocument/2006/relationships/image" Target="media/image595.png"/><Relationship Id="rId617" Type="http://schemas.openxmlformats.org/officeDocument/2006/relationships/image" Target="media/image596.png"/><Relationship Id="rId618" Type="http://schemas.openxmlformats.org/officeDocument/2006/relationships/image" Target="media/image597.png"/><Relationship Id="rId619" Type="http://schemas.openxmlformats.org/officeDocument/2006/relationships/image" Target="media/image598.png"/><Relationship Id="rId620" Type="http://schemas.openxmlformats.org/officeDocument/2006/relationships/image" Target="media/image599.png"/><Relationship Id="rId621" Type="http://schemas.openxmlformats.org/officeDocument/2006/relationships/image" Target="media/image600.png"/><Relationship Id="rId622" Type="http://schemas.openxmlformats.org/officeDocument/2006/relationships/image" Target="media/image601.png"/><Relationship Id="rId623" Type="http://schemas.openxmlformats.org/officeDocument/2006/relationships/image" Target="media/image602.png"/><Relationship Id="rId624" Type="http://schemas.openxmlformats.org/officeDocument/2006/relationships/image" Target="media/image603.png"/><Relationship Id="rId625" Type="http://schemas.openxmlformats.org/officeDocument/2006/relationships/image" Target="media/image604.png"/><Relationship Id="rId626" Type="http://schemas.openxmlformats.org/officeDocument/2006/relationships/image" Target="media/image605.png"/><Relationship Id="rId627" Type="http://schemas.openxmlformats.org/officeDocument/2006/relationships/image" Target="media/image606.png"/><Relationship Id="rId628" Type="http://schemas.openxmlformats.org/officeDocument/2006/relationships/image" Target="media/image607.png"/><Relationship Id="rId629" Type="http://schemas.openxmlformats.org/officeDocument/2006/relationships/image" Target="media/image608.png"/><Relationship Id="rId630" Type="http://schemas.openxmlformats.org/officeDocument/2006/relationships/image" Target="media/image609.png"/><Relationship Id="rId631" Type="http://schemas.openxmlformats.org/officeDocument/2006/relationships/image" Target="media/image610.png"/><Relationship Id="rId632" Type="http://schemas.openxmlformats.org/officeDocument/2006/relationships/image" Target="media/image611.png"/><Relationship Id="rId633" Type="http://schemas.openxmlformats.org/officeDocument/2006/relationships/image" Target="media/image612.png"/><Relationship Id="rId634" Type="http://schemas.openxmlformats.org/officeDocument/2006/relationships/image" Target="media/image613.png"/><Relationship Id="rId635" Type="http://schemas.openxmlformats.org/officeDocument/2006/relationships/image" Target="media/image614.png"/><Relationship Id="rId636" Type="http://schemas.openxmlformats.org/officeDocument/2006/relationships/image" Target="media/image615.jpeg"/><Relationship Id="rId637" Type="http://schemas.openxmlformats.org/officeDocument/2006/relationships/image" Target="media/image616.png"/><Relationship Id="rId638" Type="http://schemas.openxmlformats.org/officeDocument/2006/relationships/image" Target="media/image617.jpeg"/><Relationship Id="rId639" Type="http://schemas.openxmlformats.org/officeDocument/2006/relationships/image" Target="media/image618.png"/><Relationship Id="rId640" Type="http://schemas.openxmlformats.org/officeDocument/2006/relationships/image" Target="media/image619.jpeg"/><Relationship Id="rId641" Type="http://schemas.openxmlformats.org/officeDocument/2006/relationships/image" Target="media/image620.png"/><Relationship Id="rId642" Type="http://schemas.openxmlformats.org/officeDocument/2006/relationships/image" Target="media/image621.jpeg"/><Relationship Id="rId643" Type="http://schemas.openxmlformats.org/officeDocument/2006/relationships/image" Target="media/image622.png"/><Relationship Id="rId644" Type="http://schemas.openxmlformats.org/officeDocument/2006/relationships/image" Target="media/image623.jpeg"/><Relationship Id="rId645" Type="http://schemas.openxmlformats.org/officeDocument/2006/relationships/image" Target="media/image624.png"/><Relationship Id="rId646" Type="http://schemas.openxmlformats.org/officeDocument/2006/relationships/image" Target="media/image625.jpeg"/><Relationship Id="rId647" Type="http://schemas.openxmlformats.org/officeDocument/2006/relationships/image" Target="media/image626.png"/><Relationship Id="rId648" Type="http://schemas.openxmlformats.org/officeDocument/2006/relationships/image" Target="media/image627.jpeg"/><Relationship Id="rId649" Type="http://schemas.openxmlformats.org/officeDocument/2006/relationships/image" Target="media/image628.png"/><Relationship Id="rId650" Type="http://schemas.openxmlformats.org/officeDocument/2006/relationships/image" Target="media/image629.jpeg"/><Relationship Id="rId651" Type="http://schemas.openxmlformats.org/officeDocument/2006/relationships/image" Target="media/image630.png"/><Relationship Id="rId652" Type="http://schemas.openxmlformats.org/officeDocument/2006/relationships/image" Target="media/image631.jpeg"/><Relationship Id="rId653" Type="http://schemas.openxmlformats.org/officeDocument/2006/relationships/image" Target="media/image632.png"/><Relationship Id="rId654" Type="http://schemas.openxmlformats.org/officeDocument/2006/relationships/image" Target="media/image633.jpeg"/><Relationship Id="rId655" Type="http://schemas.openxmlformats.org/officeDocument/2006/relationships/image" Target="media/image634.png"/><Relationship Id="rId656" Type="http://schemas.openxmlformats.org/officeDocument/2006/relationships/image" Target="media/image635.jpeg"/><Relationship Id="rId657" Type="http://schemas.openxmlformats.org/officeDocument/2006/relationships/image" Target="media/image636.png"/><Relationship Id="rId658" Type="http://schemas.openxmlformats.org/officeDocument/2006/relationships/image" Target="media/image637.jpeg"/><Relationship Id="rId659" Type="http://schemas.openxmlformats.org/officeDocument/2006/relationships/image" Target="media/image638.png"/><Relationship Id="rId660" Type="http://schemas.openxmlformats.org/officeDocument/2006/relationships/image" Target="media/image639.jpeg"/><Relationship Id="rId661" Type="http://schemas.openxmlformats.org/officeDocument/2006/relationships/image" Target="media/image640.png"/><Relationship Id="rId662" Type="http://schemas.openxmlformats.org/officeDocument/2006/relationships/image" Target="media/image641.png"/><Relationship Id="rId663" Type="http://schemas.openxmlformats.org/officeDocument/2006/relationships/image" Target="media/image642.png"/><Relationship Id="rId664" Type="http://schemas.openxmlformats.org/officeDocument/2006/relationships/image" Target="media/image643.png"/><Relationship Id="rId665" Type="http://schemas.openxmlformats.org/officeDocument/2006/relationships/image" Target="media/image644.png"/><Relationship Id="rId666" Type="http://schemas.openxmlformats.org/officeDocument/2006/relationships/image" Target="media/image645.png"/><Relationship Id="rId667" Type="http://schemas.openxmlformats.org/officeDocument/2006/relationships/image" Target="media/image646.png"/><Relationship Id="rId668" Type="http://schemas.openxmlformats.org/officeDocument/2006/relationships/image" Target="media/image647.png"/><Relationship Id="rId669" Type="http://schemas.openxmlformats.org/officeDocument/2006/relationships/image" Target="media/image648.jpeg"/><Relationship Id="rId670" Type="http://schemas.openxmlformats.org/officeDocument/2006/relationships/image" Target="media/image649.png"/><Relationship Id="rId671" Type="http://schemas.openxmlformats.org/officeDocument/2006/relationships/image" Target="media/image650.png"/><Relationship Id="rId672" Type="http://schemas.openxmlformats.org/officeDocument/2006/relationships/image" Target="media/image651.png"/><Relationship Id="rId673" Type="http://schemas.openxmlformats.org/officeDocument/2006/relationships/image" Target="media/image652.png"/><Relationship Id="rId674" Type="http://schemas.openxmlformats.org/officeDocument/2006/relationships/image" Target="media/image653.png"/><Relationship Id="rId675" Type="http://schemas.openxmlformats.org/officeDocument/2006/relationships/image" Target="media/image654.png"/><Relationship Id="rId676" Type="http://schemas.openxmlformats.org/officeDocument/2006/relationships/image" Target="media/image655.png"/><Relationship Id="rId677" Type="http://schemas.openxmlformats.org/officeDocument/2006/relationships/image" Target="media/image656.png"/><Relationship Id="rId678" Type="http://schemas.openxmlformats.org/officeDocument/2006/relationships/image" Target="media/image657.png"/><Relationship Id="rId679" Type="http://schemas.openxmlformats.org/officeDocument/2006/relationships/image" Target="media/image658.png"/><Relationship Id="rId680" Type="http://schemas.openxmlformats.org/officeDocument/2006/relationships/image" Target="media/image659.png"/><Relationship Id="rId681" Type="http://schemas.openxmlformats.org/officeDocument/2006/relationships/image" Target="media/image660.png"/><Relationship Id="rId682" Type="http://schemas.openxmlformats.org/officeDocument/2006/relationships/image" Target="media/image661.png"/><Relationship Id="rId683" Type="http://schemas.openxmlformats.org/officeDocument/2006/relationships/image" Target="media/image662.png"/><Relationship Id="rId684" Type="http://schemas.openxmlformats.org/officeDocument/2006/relationships/image" Target="media/image663.png"/><Relationship Id="rId685" Type="http://schemas.openxmlformats.org/officeDocument/2006/relationships/image" Target="media/image664.png"/><Relationship Id="rId686" Type="http://schemas.openxmlformats.org/officeDocument/2006/relationships/image" Target="media/image665.jpeg"/><Relationship Id="rId687" Type="http://schemas.openxmlformats.org/officeDocument/2006/relationships/image" Target="media/image666.png"/><Relationship Id="rId688" Type="http://schemas.openxmlformats.org/officeDocument/2006/relationships/image" Target="media/image667.png"/><Relationship Id="rId689" Type="http://schemas.openxmlformats.org/officeDocument/2006/relationships/image" Target="media/image668.png"/><Relationship Id="rId690" Type="http://schemas.openxmlformats.org/officeDocument/2006/relationships/image" Target="media/image669.png"/><Relationship Id="rId691" Type="http://schemas.openxmlformats.org/officeDocument/2006/relationships/image" Target="media/image670.png"/><Relationship Id="rId692" Type="http://schemas.openxmlformats.org/officeDocument/2006/relationships/image" Target="media/image671.png"/><Relationship Id="rId693" Type="http://schemas.openxmlformats.org/officeDocument/2006/relationships/image" Target="media/image672.png"/><Relationship Id="rId694" Type="http://schemas.openxmlformats.org/officeDocument/2006/relationships/image" Target="media/image673.png"/><Relationship Id="rId695" Type="http://schemas.openxmlformats.org/officeDocument/2006/relationships/image" Target="media/image674.png"/><Relationship Id="rId696" Type="http://schemas.openxmlformats.org/officeDocument/2006/relationships/image" Target="media/image675.png"/><Relationship Id="rId697" Type="http://schemas.openxmlformats.org/officeDocument/2006/relationships/image" Target="media/image676.png"/><Relationship Id="rId698" Type="http://schemas.openxmlformats.org/officeDocument/2006/relationships/image" Target="media/image677.png"/><Relationship Id="rId699" Type="http://schemas.openxmlformats.org/officeDocument/2006/relationships/image" Target="media/image678.png"/><Relationship Id="rId700" Type="http://schemas.openxmlformats.org/officeDocument/2006/relationships/image" Target="media/image679.png"/><Relationship Id="rId701" Type="http://schemas.openxmlformats.org/officeDocument/2006/relationships/image" Target="media/image680.png"/><Relationship Id="rId702" Type="http://schemas.openxmlformats.org/officeDocument/2006/relationships/image" Target="media/image681.png"/><Relationship Id="rId703" Type="http://schemas.openxmlformats.org/officeDocument/2006/relationships/image" Target="media/image682.png"/><Relationship Id="rId704" Type="http://schemas.openxmlformats.org/officeDocument/2006/relationships/image" Target="media/image683.png"/><Relationship Id="rId705" Type="http://schemas.openxmlformats.org/officeDocument/2006/relationships/image" Target="media/image684.jpeg"/><Relationship Id="rId706" Type="http://schemas.openxmlformats.org/officeDocument/2006/relationships/image" Target="media/image685.png"/><Relationship Id="rId707" Type="http://schemas.openxmlformats.org/officeDocument/2006/relationships/image" Target="media/image686.png"/><Relationship Id="rId708" Type="http://schemas.openxmlformats.org/officeDocument/2006/relationships/image" Target="media/image687.png"/><Relationship Id="rId709" Type="http://schemas.openxmlformats.org/officeDocument/2006/relationships/image" Target="media/image688.png"/><Relationship Id="rId710" Type="http://schemas.openxmlformats.org/officeDocument/2006/relationships/image" Target="media/image689.png"/><Relationship Id="rId711" Type="http://schemas.openxmlformats.org/officeDocument/2006/relationships/image" Target="media/image690.png"/><Relationship Id="rId712" Type="http://schemas.openxmlformats.org/officeDocument/2006/relationships/image" Target="media/image691.jpeg"/><Relationship Id="rId713" Type="http://schemas.openxmlformats.org/officeDocument/2006/relationships/image" Target="media/image692.png"/><Relationship Id="rId714" Type="http://schemas.openxmlformats.org/officeDocument/2006/relationships/image" Target="media/image693.png"/><Relationship Id="rId715" Type="http://schemas.openxmlformats.org/officeDocument/2006/relationships/image" Target="media/image694.png"/><Relationship Id="rId716" Type="http://schemas.openxmlformats.org/officeDocument/2006/relationships/image" Target="media/image695.png"/><Relationship Id="rId717" Type="http://schemas.openxmlformats.org/officeDocument/2006/relationships/image" Target="media/image696.png"/><Relationship Id="rId718" Type="http://schemas.openxmlformats.org/officeDocument/2006/relationships/image" Target="media/image697.png"/><Relationship Id="rId719" Type="http://schemas.openxmlformats.org/officeDocument/2006/relationships/image" Target="media/image698.png"/><Relationship Id="rId720" Type="http://schemas.openxmlformats.org/officeDocument/2006/relationships/image" Target="media/image699.jpeg"/><Relationship Id="rId721" Type="http://schemas.openxmlformats.org/officeDocument/2006/relationships/image" Target="media/image700.png"/><Relationship Id="rId722" Type="http://schemas.openxmlformats.org/officeDocument/2006/relationships/image" Target="media/image701.png"/><Relationship Id="rId723" Type="http://schemas.openxmlformats.org/officeDocument/2006/relationships/image" Target="media/image702.png"/><Relationship Id="rId724" Type="http://schemas.openxmlformats.org/officeDocument/2006/relationships/image" Target="media/image703.png"/><Relationship Id="rId725" Type="http://schemas.openxmlformats.org/officeDocument/2006/relationships/image" Target="media/image704.png"/><Relationship Id="rId726" Type="http://schemas.openxmlformats.org/officeDocument/2006/relationships/image" Target="media/image705.jpeg"/><Relationship Id="rId727" Type="http://schemas.openxmlformats.org/officeDocument/2006/relationships/image" Target="media/image706.png"/><Relationship Id="rId728" Type="http://schemas.openxmlformats.org/officeDocument/2006/relationships/image" Target="media/image707.png"/><Relationship Id="rId729" Type="http://schemas.openxmlformats.org/officeDocument/2006/relationships/image" Target="media/image708.png"/><Relationship Id="rId730" Type="http://schemas.openxmlformats.org/officeDocument/2006/relationships/image" Target="media/image709.png"/><Relationship Id="rId731" Type="http://schemas.openxmlformats.org/officeDocument/2006/relationships/image" Target="media/image710.png"/><Relationship Id="rId732" Type="http://schemas.openxmlformats.org/officeDocument/2006/relationships/image" Target="media/image711.png"/><Relationship Id="rId733" Type="http://schemas.openxmlformats.org/officeDocument/2006/relationships/image" Target="media/image712.png"/><Relationship Id="rId734" Type="http://schemas.openxmlformats.org/officeDocument/2006/relationships/image" Target="media/image713.jpeg"/><Relationship Id="rId735" Type="http://schemas.openxmlformats.org/officeDocument/2006/relationships/image" Target="media/image714.png"/><Relationship Id="rId736" Type="http://schemas.openxmlformats.org/officeDocument/2006/relationships/image" Target="media/image715.png"/><Relationship Id="rId737" Type="http://schemas.openxmlformats.org/officeDocument/2006/relationships/image" Target="media/image716.png"/><Relationship Id="rId738" Type="http://schemas.openxmlformats.org/officeDocument/2006/relationships/image" Target="media/image717.png"/><Relationship Id="rId739" Type="http://schemas.openxmlformats.org/officeDocument/2006/relationships/image" Target="media/image718.png"/><Relationship Id="rId740" Type="http://schemas.openxmlformats.org/officeDocument/2006/relationships/image" Target="media/image719.png"/><Relationship Id="rId741" Type="http://schemas.openxmlformats.org/officeDocument/2006/relationships/image" Target="media/image720.png"/><Relationship Id="rId742" Type="http://schemas.openxmlformats.org/officeDocument/2006/relationships/image" Target="media/image721.png"/><Relationship Id="rId743" Type="http://schemas.openxmlformats.org/officeDocument/2006/relationships/image" Target="media/image722.png"/><Relationship Id="rId744" Type="http://schemas.openxmlformats.org/officeDocument/2006/relationships/image" Target="media/image723.png"/><Relationship Id="rId745" Type="http://schemas.openxmlformats.org/officeDocument/2006/relationships/image" Target="media/image724.png"/><Relationship Id="rId746" Type="http://schemas.openxmlformats.org/officeDocument/2006/relationships/image" Target="media/image725.png"/><Relationship Id="rId747" Type="http://schemas.openxmlformats.org/officeDocument/2006/relationships/image" Target="media/image726.jpeg"/><Relationship Id="rId748" Type="http://schemas.openxmlformats.org/officeDocument/2006/relationships/image" Target="media/image727.png"/><Relationship Id="rId749" Type="http://schemas.openxmlformats.org/officeDocument/2006/relationships/image" Target="media/image728.png"/><Relationship Id="rId750" Type="http://schemas.openxmlformats.org/officeDocument/2006/relationships/image" Target="media/image729.png"/><Relationship Id="rId751" Type="http://schemas.openxmlformats.org/officeDocument/2006/relationships/image" Target="media/image730.png"/><Relationship Id="rId752" Type="http://schemas.openxmlformats.org/officeDocument/2006/relationships/image" Target="media/image731.png"/><Relationship Id="rId753" Type="http://schemas.openxmlformats.org/officeDocument/2006/relationships/image" Target="media/image732.png"/><Relationship Id="rId754" Type="http://schemas.openxmlformats.org/officeDocument/2006/relationships/image" Target="media/image733.png"/><Relationship Id="rId755" Type="http://schemas.openxmlformats.org/officeDocument/2006/relationships/image" Target="media/image734.png"/><Relationship Id="rId756" Type="http://schemas.openxmlformats.org/officeDocument/2006/relationships/image" Target="media/image735.png"/><Relationship Id="rId757" Type="http://schemas.openxmlformats.org/officeDocument/2006/relationships/image" Target="media/image736.png"/><Relationship Id="rId758" Type="http://schemas.openxmlformats.org/officeDocument/2006/relationships/image" Target="media/image737.png"/><Relationship Id="rId759" Type="http://schemas.openxmlformats.org/officeDocument/2006/relationships/image" Target="media/image738.png"/><Relationship Id="rId760" Type="http://schemas.openxmlformats.org/officeDocument/2006/relationships/image" Target="media/image739.png"/><Relationship Id="rId761" Type="http://schemas.openxmlformats.org/officeDocument/2006/relationships/image" Target="media/image740.png"/><Relationship Id="rId762" Type="http://schemas.openxmlformats.org/officeDocument/2006/relationships/image" Target="media/image741.png"/><Relationship Id="rId763" Type="http://schemas.openxmlformats.org/officeDocument/2006/relationships/image" Target="media/image742.png"/><Relationship Id="rId764" Type="http://schemas.openxmlformats.org/officeDocument/2006/relationships/image" Target="media/image743.png"/><Relationship Id="rId765" Type="http://schemas.openxmlformats.org/officeDocument/2006/relationships/image" Target="media/image744.png"/><Relationship Id="rId766" Type="http://schemas.openxmlformats.org/officeDocument/2006/relationships/image" Target="media/image745.png"/><Relationship Id="rId767" Type="http://schemas.openxmlformats.org/officeDocument/2006/relationships/image" Target="media/image746.png"/><Relationship Id="rId768" Type="http://schemas.openxmlformats.org/officeDocument/2006/relationships/image" Target="media/image747.png"/><Relationship Id="rId769" Type="http://schemas.openxmlformats.org/officeDocument/2006/relationships/image" Target="media/image748.png"/><Relationship Id="rId770" Type="http://schemas.openxmlformats.org/officeDocument/2006/relationships/image" Target="media/image749.png"/><Relationship Id="rId771" Type="http://schemas.openxmlformats.org/officeDocument/2006/relationships/image" Target="media/image750.png"/><Relationship Id="rId772" Type="http://schemas.openxmlformats.org/officeDocument/2006/relationships/image" Target="media/image751.png"/><Relationship Id="rId773" Type="http://schemas.openxmlformats.org/officeDocument/2006/relationships/image" Target="media/image752.png"/><Relationship Id="rId774" Type="http://schemas.openxmlformats.org/officeDocument/2006/relationships/image" Target="media/image753.png"/><Relationship Id="rId775" Type="http://schemas.openxmlformats.org/officeDocument/2006/relationships/image" Target="media/image754.png"/><Relationship Id="rId776" Type="http://schemas.openxmlformats.org/officeDocument/2006/relationships/image" Target="media/image755.jpeg"/><Relationship Id="rId777" Type="http://schemas.openxmlformats.org/officeDocument/2006/relationships/image" Target="media/image756.png"/><Relationship Id="rId778" Type="http://schemas.openxmlformats.org/officeDocument/2006/relationships/image" Target="media/image757.png"/><Relationship Id="rId779" Type="http://schemas.openxmlformats.org/officeDocument/2006/relationships/image" Target="media/image758.png"/><Relationship Id="rId780" Type="http://schemas.openxmlformats.org/officeDocument/2006/relationships/image" Target="media/image759.png"/><Relationship Id="rId781" Type="http://schemas.openxmlformats.org/officeDocument/2006/relationships/image" Target="media/image760.jpeg"/><Relationship Id="rId782" Type="http://schemas.openxmlformats.org/officeDocument/2006/relationships/image" Target="media/image761.png"/><Relationship Id="rId783" Type="http://schemas.openxmlformats.org/officeDocument/2006/relationships/image" Target="media/image762.png"/><Relationship Id="rId784" Type="http://schemas.openxmlformats.org/officeDocument/2006/relationships/image" Target="media/image763.png"/><Relationship Id="rId785" Type="http://schemas.openxmlformats.org/officeDocument/2006/relationships/image" Target="media/image764.png"/><Relationship Id="rId786" Type="http://schemas.openxmlformats.org/officeDocument/2006/relationships/image" Target="media/image765.png"/><Relationship Id="rId787" Type="http://schemas.openxmlformats.org/officeDocument/2006/relationships/image" Target="media/image766.png"/><Relationship Id="rId788" Type="http://schemas.openxmlformats.org/officeDocument/2006/relationships/image" Target="media/image767.png"/><Relationship Id="rId789" Type="http://schemas.openxmlformats.org/officeDocument/2006/relationships/image" Target="media/image768.jpeg"/><Relationship Id="rId790" Type="http://schemas.openxmlformats.org/officeDocument/2006/relationships/image" Target="media/image769.png"/><Relationship Id="rId791" Type="http://schemas.openxmlformats.org/officeDocument/2006/relationships/image" Target="media/image770.jpeg"/><Relationship Id="rId792" Type="http://schemas.openxmlformats.org/officeDocument/2006/relationships/image" Target="media/image771.png"/><Relationship Id="rId793" Type="http://schemas.openxmlformats.org/officeDocument/2006/relationships/image" Target="media/image772.png"/><Relationship Id="rId794" Type="http://schemas.openxmlformats.org/officeDocument/2006/relationships/image" Target="media/image773.png"/><Relationship Id="rId795" Type="http://schemas.openxmlformats.org/officeDocument/2006/relationships/image" Target="media/image774.png"/><Relationship Id="rId796" Type="http://schemas.openxmlformats.org/officeDocument/2006/relationships/image" Target="media/image775.png"/><Relationship Id="rId797" Type="http://schemas.openxmlformats.org/officeDocument/2006/relationships/image" Target="media/image776.png"/><Relationship Id="rId798" Type="http://schemas.openxmlformats.org/officeDocument/2006/relationships/image" Target="media/image777.png"/><Relationship Id="rId799" Type="http://schemas.openxmlformats.org/officeDocument/2006/relationships/image" Target="media/image778.png"/><Relationship Id="rId800" Type="http://schemas.openxmlformats.org/officeDocument/2006/relationships/image" Target="media/image779.png"/><Relationship Id="rId801" Type="http://schemas.openxmlformats.org/officeDocument/2006/relationships/image" Target="media/image780.png"/><Relationship Id="rId802" Type="http://schemas.openxmlformats.org/officeDocument/2006/relationships/image" Target="media/image781.png"/><Relationship Id="rId803" Type="http://schemas.openxmlformats.org/officeDocument/2006/relationships/image" Target="media/image782.png"/><Relationship Id="rId804" Type="http://schemas.openxmlformats.org/officeDocument/2006/relationships/image" Target="media/image783.png"/><Relationship Id="rId805" Type="http://schemas.openxmlformats.org/officeDocument/2006/relationships/image" Target="media/image784.png"/><Relationship Id="rId806" Type="http://schemas.openxmlformats.org/officeDocument/2006/relationships/image" Target="media/image785.png"/><Relationship Id="rId807" Type="http://schemas.openxmlformats.org/officeDocument/2006/relationships/image" Target="media/image786.png"/><Relationship Id="rId808" Type="http://schemas.openxmlformats.org/officeDocument/2006/relationships/image" Target="media/image787.png"/><Relationship Id="rId809" Type="http://schemas.openxmlformats.org/officeDocument/2006/relationships/image" Target="media/image788.png"/><Relationship Id="rId810" Type="http://schemas.openxmlformats.org/officeDocument/2006/relationships/image" Target="media/image789.png"/><Relationship Id="rId811" Type="http://schemas.openxmlformats.org/officeDocument/2006/relationships/image" Target="media/image790.png"/><Relationship Id="rId812" Type="http://schemas.openxmlformats.org/officeDocument/2006/relationships/image" Target="media/image791.png"/><Relationship Id="rId813" Type="http://schemas.openxmlformats.org/officeDocument/2006/relationships/image" Target="media/image792.png"/><Relationship Id="rId814" Type="http://schemas.openxmlformats.org/officeDocument/2006/relationships/image" Target="media/image793.png"/><Relationship Id="rId815" Type="http://schemas.openxmlformats.org/officeDocument/2006/relationships/image" Target="media/image794.png"/><Relationship Id="rId816" Type="http://schemas.openxmlformats.org/officeDocument/2006/relationships/image" Target="media/image795.png"/><Relationship Id="rId817" Type="http://schemas.openxmlformats.org/officeDocument/2006/relationships/image" Target="media/image796.png"/><Relationship Id="rId818" Type="http://schemas.openxmlformats.org/officeDocument/2006/relationships/image" Target="media/image797.png"/><Relationship Id="rId819" Type="http://schemas.openxmlformats.org/officeDocument/2006/relationships/image" Target="media/image798.png"/><Relationship Id="rId820" Type="http://schemas.openxmlformats.org/officeDocument/2006/relationships/image" Target="media/image799.png"/><Relationship Id="rId821" Type="http://schemas.openxmlformats.org/officeDocument/2006/relationships/image" Target="media/image800.png"/><Relationship Id="rId822" Type="http://schemas.openxmlformats.org/officeDocument/2006/relationships/image" Target="media/image801.png"/><Relationship Id="rId823" Type="http://schemas.openxmlformats.org/officeDocument/2006/relationships/image" Target="media/image802.png"/><Relationship Id="rId824" Type="http://schemas.openxmlformats.org/officeDocument/2006/relationships/image" Target="media/image803.png"/><Relationship Id="rId825" Type="http://schemas.openxmlformats.org/officeDocument/2006/relationships/image" Target="media/image804.jpeg"/><Relationship Id="rId826" Type="http://schemas.openxmlformats.org/officeDocument/2006/relationships/image" Target="media/image805.png"/><Relationship Id="rId827" Type="http://schemas.openxmlformats.org/officeDocument/2006/relationships/image" Target="media/image806.png"/><Relationship Id="rId828" Type="http://schemas.openxmlformats.org/officeDocument/2006/relationships/image" Target="media/image807.png"/><Relationship Id="rId829" Type="http://schemas.openxmlformats.org/officeDocument/2006/relationships/image" Target="media/image808.png"/><Relationship Id="rId830" Type="http://schemas.openxmlformats.org/officeDocument/2006/relationships/image" Target="media/image809.png"/><Relationship Id="rId831" Type="http://schemas.openxmlformats.org/officeDocument/2006/relationships/image" Target="media/image810.png"/><Relationship Id="rId832" Type="http://schemas.openxmlformats.org/officeDocument/2006/relationships/image" Target="media/image811.png"/><Relationship Id="rId833" Type="http://schemas.openxmlformats.org/officeDocument/2006/relationships/image" Target="media/image812.png"/><Relationship Id="rId834" Type="http://schemas.openxmlformats.org/officeDocument/2006/relationships/image" Target="media/image813.jpeg"/><Relationship Id="rId835" Type="http://schemas.openxmlformats.org/officeDocument/2006/relationships/image" Target="media/image814.png"/><Relationship Id="rId836" Type="http://schemas.openxmlformats.org/officeDocument/2006/relationships/image" Target="media/image815.png"/><Relationship Id="rId837" Type="http://schemas.openxmlformats.org/officeDocument/2006/relationships/image" Target="media/image816.png"/><Relationship Id="rId838" Type="http://schemas.openxmlformats.org/officeDocument/2006/relationships/image" Target="media/image817.png"/><Relationship Id="rId839" Type="http://schemas.openxmlformats.org/officeDocument/2006/relationships/image" Target="media/image818.png"/><Relationship Id="rId840" Type="http://schemas.openxmlformats.org/officeDocument/2006/relationships/image" Target="media/image819.png"/><Relationship Id="rId841" Type="http://schemas.openxmlformats.org/officeDocument/2006/relationships/image" Target="media/image820.png"/><Relationship Id="rId842" Type="http://schemas.openxmlformats.org/officeDocument/2006/relationships/image" Target="media/image821.png"/><Relationship Id="rId843" Type="http://schemas.openxmlformats.org/officeDocument/2006/relationships/image" Target="media/image822.png"/><Relationship Id="rId844" Type="http://schemas.openxmlformats.org/officeDocument/2006/relationships/image" Target="media/image823.png"/><Relationship Id="rId845" Type="http://schemas.openxmlformats.org/officeDocument/2006/relationships/image" Target="media/image824.png"/><Relationship Id="rId846" Type="http://schemas.openxmlformats.org/officeDocument/2006/relationships/image" Target="media/image825.png"/><Relationship Id="rId847" Type="http://schemas.openxmlformats.org/officeDocument/2006/relationships/image" Target="media/image826.png"/><Relationship Id="rId848" Type="http://schemas.openxmlformats.org/officeDocument/2006/relationships/image" Target="media/image827.png"/><Relationship Id="rId849" Type="http://schemas.openxmlformats.org/officeDocument/2006/relationships/image" Target="media/image828.png"/><Relationship Id="rId850" Type="http://schemas.openxmlformats.org/officeDocument/2006/relationships/image" Target="media/image829.png"/><Relationship Id="rId851" Type="http://schemas.openxmlformats.org/officeDocument/2006/relationships/image" Target="media/image830.png"/><Relationship Id="rId852" Type="http://schemas.openxmlformats.org/officeDocument/2006/relationships/image" Target="media/image831.jpeg"/><Relationship Id="rId853" Type="http://schemas.openxmlformats.org/officeDocument/2006/relationships/image" Target="media/image832.png"/><Relationship Id="rId854" Type="http://schemas.openxmlformats.org/officeDocument/2006/relationships/image" Target="media/image833.jpeg"/><Relationship Id="rId855" Type="http://schemas.openxmlformats.org/officeDocument/2006/relationships/image" Target="media/image834.png"/><Relationship Id="rId856" Type="http://schemas.openxmlformats.org/officeDocument/2006/relationships/image" Target="media/image835.jpeg"/><Relationship Id="rId857" Type="http://schemas.openxmlformats.org/officeDocument/2006/relationships/image" Target="media/image836.png"/><Relationship Id="rId858" Type="http://schemas.openxmlformats.org/officeDocument/2006/relationships/image" Target="media/image837.png"/><Relationship Id="rId859" Type="http://schemas.openxmlformats.org/officeDocument/2006/relationships/image" Target="media/image838.png"/><Relationship Id="rId860" Type="http://schemas.openxmlformats.org/officeDocument/2006/relationships/image" Target="media/image839.png"/><Relationship Id="rId861" Type="http://schemas.openxmlformats.org/officeDocument/2006/relationships/image" Target="media/image840.png"/><Relationship Id="rId862" Type="http://schemas.openxmlformats.org/officeDocument/2006/relationships/image" Target="media/image841.png"/><Relationship Id="rId863" Type="http://schemas.openxmlformats.org/officeDocument/2006/relationships/image" Target="media/image842.jpeg"/><Relationship Id="rId864" Type="http://schemas.openxmlformats.org/officeDocument/2006/relationships/image" Target="media/image843.png"/><Relationship Id="rId865" Type="http://schemas.openxmlformats.org/officeDocument/2006/relationships/image" Target="media/image844.png"/><Relationship Id="rId866" Type="http://schemas.openxmlformats.org/officeDocument/2006/relationships/image" Target="media/image845.png"/><Relationship Id="rId867" Type="http://schemas.openxmlformats.org/officeDocument/2006/relationships/image" Target="media/image846.png"/><Relationship Id="rId868" Type="http://schemas.openxmlformats.org/officeDocument/2006/relationships/image" Target="media/image847.png"/><Relationship Id="rId869" Type="http://schemas.openxmlformats.org/officeDocument/2006/relationships/image" Target="media/image848.png"/><Relationship Id="rId870" Type="http://schemas.openxmlformats.org/officeDocument/2006/relationships/image" Target="media/image849.png"/><Relationship Id="rId871" Type="http://schemas.openxmlformats.org/officeDocument/2006/relationships/image" Target="media/image850.png"/><Relationship Id="rId872" Type="http://schemas.openxmlformats.org/officeDocument/2006/relationships/image" Target="media/image851.png"/><Relationship Id="rId873" Type="http://schemas.openxmlformats.org/officeDocument/2006/relationships/image" Target="media/image852.png"/><Relationship Id="rId874" Type="http://schemas.openxmlformats.org/officeDocument/2006/relationships/image" Target="media/image853.png"/><Relationship Id="rId875" Type="http://schemas.openxmlformats.org/officeDocument/2006/relationships/image" Target="media/image854.png"/><Relationship Id="rId876" Type="http://schemas.openxmlformats.org/officeDocument/2006/relationships/image" Target="media/image855.png"/><Relationship Id="rId877" Type="http://schemas.openxmlformats.org/officeDocument/2006/relationships/image" Target="media/image856.png"/><Relationship Id="rId878" Type="http://schemas.openxmlformats.org/officeDocument/2006/relationships/image" Target="media/image857.png"/><Relationship Id="rId879" Type="http://schemas.openxmlformats.org/officeDocument/2006/relationships/image" Target="media/image858.png"/><Relationship Id="rId880" Type="http://schemas.openxmlformats.org/officeDocument/2006/relationships/image" Target="media/image859.png"/><Relationship Id="rId881" Type="http://schemas.openxmlformats.org/officeDocument/2006/relationships/image" Target="media/image860.png"/><Relationship Id="rId882" Type="http://schemas.openxmlformats.org/officeDocument/2006/relationships/image" Target="media/image861.png"/><Relationship Id="rId883" Type="http://schemas.openxmlformats.org/officeDocument/2006/relationships/image" Target="media/image862.png"/><Relationship Id="rId884" Type="http://schemas.openxmlformats.org/officeDocument/2006/relationships/image" Target="media/image863.jpeg"/><Relationship Id="rId885" Type="http://schemas.openxmlformats.org/officeDocument/2006/relationships/image" Target="media/image864.png"/><Relationship Id="rId886" Type="http://schemas.openxmlformats.org/officeDocument/2006/relationships/image" Target="media/image865.png"/><Relationship Id="rId887" Type="http://schemas.openxmlformats.org/officeDocument/2006/relationships/image" Target="media/image866.png"/><Relationship Id="rId888" Type="http://schemas.openxmlformats.org/officeDocument/2006/relationships/image" Target="media/image867.png"/><Relationship Id="rId889" Type="http://schemas.openxmlformats.org/officeDocument/2006/relationships/image" Target="media/image868.png"/><Relationship Id="rId890" Type="http://schemas.openxmlformats.org/officeDocument/2006/relationships/image" Target="media/image869.png"/><Relationship Id="rId891" Type="http://schemas.openxmlformats.org/officeDocument/2006/relationships/image" Target="media/image870.png"/><Relationship Id="rId892" Type="http://schemas.openxmlformats.org/officeDocument/2006/relationships/image" Target="media/image871.png"/><Relationship Id="rId893" Type="http://schemas.openxmlformats.org/officeDocument/2006/relationships/image" Target="media/image872.png"/><Relationship Id="rId894" Type="http://schemas.openxmlformats.org/officeDocument/2006/relationships/image" Target="media/image873.png"/><Relationship Id="rId895" Type="http://schemas.openxmlformats.org/officeDocument/2006/relationships/image" Target="media/image874.png"/><Relationship Id="rId896" Type="http://schemas.openxmlformats.org/officeDocument/2006/relationships/image" Target="media/image875.png"/><Relationship Id="rId897" Type="http://schemas.openxmlformats.org/officeDocument/2006/relationships/image" Target="media/image876.png"/><Relationship Id="rId898" Type="http://schemas.openxmlformats.org/officeDocument/2006/relationships/image" Target="media/image877.jpeg"/><Relationship Id="rId899" Type="http://schemas.openxmlformats.org/officeDocument/2006/relationships/image" Target="media/image878.png"/><Relationship Id="rId900" Type="http://schemas.openxmlformats.org/officeDocument/2006/relationships/image" Target="media/image879.png"/><Relationship Id="rId901" Type="http://schemas.openxmlformats.org/officeDocument/2006/relationships/image" Target="media/image880.png"/><Relationship Id="rId902" Type="http://schemas.openxmlformats.org/officeDocument/2006/relationships/image" Target="media/image881.png"/><Relationship Id="rId903" Type="http://schemas.openxmlformats.org/officeDocument/2006/relationships/image" Target="media/image882.png"/><Relationship Id="rId904" Type="http://schemas.openxmlformats.org/officeDocument/2006/relationships/image" Target="media/image883.png"/><Relationship Id="rId905" Type="http://schemas.openxmlformats.org/officeDocument/2006/relationships/image" Target="media/image884.png"/><Relationship Id="rId906" Type="http://schemas.openxmlformats.org/officeDocument/2006/relationships/image" Target="media/image885.png"/><Relationship Id="rId907" Type="http://schemas.openxmlformats.org/officeDocument/2006/relationships/image" Target="media/image886.png"/><Relationship Id="rId908" Type="http://schemas.openxmlformats.org/officeDocument/2006/relationships/image" Target="media/image887.png"/><Relationship Id="rId909" Type="http://schemas.openxmlformats.org/officeDocument/2006/relationships/image" Target="media/image888.png"/><Relationship Id="rId910" Type="http://schemas.openxmlformats.org/officeDocument/2006/relationships/image" Target="media/image889.png"/><Relationship Id="rId911" Type="http://schemas.openxmlformats.org/officeDocument/2006/relationships/image" Target="media/image890.jpeg"/><Relationship Id="rId912" Type="http://schemas.openxmlformats.org/officeDocument/2006/relationships/image" Target="media/image891.png"/><Relationship Id="rId913" Type="http://schemas.openxmlformats.org/officeDocument/2006/relationships/image" Target="media/image892.png"/><Relationship Id="rId914" Type="http://schemas.openxmlformats.org/officeDocument/2006/relationships/image" Target="media/image893.png"/><Relationship Id="rId915" Type="http://schemas.openxmlformats.org/officeDocument/2006/relationships/image" Target="media/image894.png"/><Relationship Id="rId916" Type="http://schemas.openxmlformats.org/officeDocument/2006/relationships/image" Target="media/image895.png"/><Relationship Id="rId917" Type="http://schemas.openxmlformats.org/officeDocument/2006/relationships/image" Target="media/image896.png"/><Relationship Id="rId918" Type="http://schemas.openxmlformats.org/officeDocument/2006/relationships/image" Target="media/image897.png"/><Relationship Id="rId919" Type="http://schemas.openxmlformats.org/officeDocument/2006/relationships/image" Target="media/image898.png"/><Relationship Id="rId920" Type="http://schemas.openxmlformats.org/officeDocument/2006/relationships/image" Target="media/image899.png"/><Relationship Id="rId921" Type="http://schemas.openxmlformats.org/officeDocument/2006/relationships/image" Target="media/image900.png"/><Relationship Id="rId922" Type="http://schemas.openxmlformats.org/officeDocument/2006/relationships/image" Target="media/image901.png"/><Relationship Id="rId923" Type="http://schemas.openxmlformats.org/officeDocument/2006/relationships/image" Target="media/image902.png"/><Relationship Id="rId924" Type="http://schemas.openxmlformats.org/officeDocument/2006/relationships/image" Target="media/image903.png"/><Relationship Id="rId925" Type="http://schemas.openxmlformats.org/officeDocument/2006/relationships/image" Target="media/image904.png"/><Relationship Id="rId926" Type="http://schemas.openxmlformats.org/officeDocument/2006/relationships/image" Target="media/image905.png"/><Relationship Id="rId927" Type="http://schemas.openxmlformats.org/officeDocument/2006/relationships/image" Target="media/image906.png"/><Relationship Id="rId928" Type="http://schemas.openxmlformats.org/officeDocument/2006/relationships/image" Target="media/image907.jpeg"/><Relationship Id="rId929" Type="http://schemas.openxmlformats.org/officeDocument/2006/relationships/image" Target="media/image908.png"/><Relationship Id="rId930" Type="http://schemas.openxmlformats.org/officeDocument/2006/relationships/image" Target="media/image909.png"/><Relationship Id="rId931" Type="http://schemas.openxmlformats.org/officeDocument/2006/relationships/image" Target="media/image910.png"/><Relationship Id="rId932" Type="http://schemas.openxmlformats.org/officeDocument/2006/relationships/image" Target="media/image911.png"/><Relationship Id="rId933" Type="http://schemas.openxmlformats.org/officeDocument/2006/relationships/image" Target="media/image912.png"/><Relationship Id="rId934" Type="http://schemas.openxmlformats.org/officeDocument/2006/relationships/image" Target="media/image913.png"/><Relationship Id="rId935" Type="http://schemas.openxmlformats.org/officeDocument/2006/relationships/image" Target="media/image914.png"/><Relationship Id="rId936" Type="http://schemas.openxmlformats.org/officeDocument/2006/relationships/image" Target="media/image915.png"/><Relationship Id="rId937" Type="http://schemas.openxmlformats.org/officeDocument/2006/relationships/image" Target="media/image916.png"/><Relationship Id="rId938" Type="http://schemas.openxmlformats.org/officeDocument/2006/relationships/image" Target="media/image917.png"/><Relationship Id="rId939" Type="http://schemas.openxmlformats.org/officeDocument/2006/relationships/image" Target="media/image918.jpeg"/><Relationship Id="rId940" Type="http://schemas.openxmlformats.org/officeDocument/2006/relationships/image" Target="media/image919.png"/><Relationship Id="rId941" Type="http://schemas.openxmlformats.org/officeDocument/2006/relationships/image" Target="media/image920.png"/><Relationship Id="rId942" Type="http://schemas.openxmlformats.org/officeDocument/2006/relationships/image" Target="media/image921.png"/><Relationship Id="rId943" Type="http://schemas.openxmlformats.org/officeDocument/2006/relationships/image" Target="media/image922.png"/><Relationship Id="rId944" Type="http://schemas.openxmlformats.org/officeDocument/2006/relationships/image" Target="media/image923.png"/><Relationship Id="rId945" Type="http://schemas.openxmlformats.org/officeDocument/2006/relationships/image" Target="media/image924.png"/><Relationship Id="rId946" Type="http://schemas.openxmlformats.org/officeDocument/2006/relationships/image" Target="media/image925.png"/><Relationship Id="rId947" Type="http://schemas.openxmlformats.org/officeDocument/2006/relationships/image" Target="media/image926.png"/><Relationship Id="rId948" Type="http://schemas.openxmlformats.org/officeDocument/2006/relationships/image" Target="media/image927.jpeg"/><Relationship Id="rId949" Type="http://schemas.openxmlformats.org/officeDocument/2006/relationships/image" Target="media/image928.png"/><Relationship Id="rId950" Type="http://schemas.openxmlformats.org/officeDocument/2006/relationships/image" Target="media/image929.jpeg"/><Relationship Id="rId951" Type="http://schemas.openxmlformats.org/officeDocument/2006/relationships/image" Target="media/image930.png"/><Relationship Id="rId952" Type="http://schemas.openxmlformats.org/officeDocument/2006/relationships/image" Target="media/image931.png"/><Relationship Id="rId953" Type="http://schemas.openxmlformats.org/officeDocument/2006/relationships/image" Target="media/image932.png"/><Relationship Id="rId954" Type="http://schemas.openxmlformats.org/officeDocument/2006/relationships/image" Target="media/image933.png"/><Relationship Id="rId955" Type="http://schemas.openxmlformats.org/officeDocument/2006/relationships/image" Target="media/image934.png"/><Relationship Id="rId956" Type="http://schemas.openxmlformats.org/officeDocument/2006/relationships/image" Target="media/image935.png"/><Relationship Id="rId957" Type="http://schemas.openxmlformats.org/officeDocument/2006/relationships/image" Target="media/image936.png"/><Relationship Id="rId958" Type="http://schemas.openxmlformats.org/officeDocument/2006/relationships/image" Target="media/image937.png"/><Relationship Id="rId959" Type="http://schemas.openxmlformats.org/officeDocument/2006/relationships/image" Target="media/image938.png"/><Relationship Id="rId960" Type="http://schemas.openxmlformats.org/officeDocument/2006/relationships/image" Target="media/image939.png"/><Relationship Id="rId961" Type="http://schemas.openxmlformats.org/officeDocument/2006/relationships/image" Target="media/image940.png"/><Relationship Id="rId962" Type="http://schemas.openxmlformats.org/officeDocument/2006/relationships/image" Target="media/image941.png"/><Relationship Id="rId963" Type="http://schemas.openxmlformats.org/officeDocument/2006/relationships/image" Target="media/image942.png"/><Relationship Id="rId964" Type="http://schemas.openxmlformats.org/officeDocument/2006/relationships/image" Target="media/image943.png"/><Relationship Id="rId965" Type="http://schemas.openxmlformats.org/officeDocument/2006/relationships/image" Target="media/image944.png"/><Relationship Id="rId966" Type="http://schemas.openxmlformats.org/officeDocument/2006/relationships/image" Target="media/image945.jpeg"/><Relationship Id="rId967" Type="http://schemas.openxmlformats.org/officeDocument/2006/relationships/image" Target="media/image946.png"/><Relationship Id="rId968" Type="http://schemas.openxmlformats.org/officeDocument/2006/relationships/image" Target="media/image947.png"/><Relationship Id="rId969" Type="http://schemas.openxmlformats.org/officeDocument/2006/relationships/image" Target="media/image948.png"/><Relationship Id="rId970" Type="http://schemas.openxmlformats.org/officeDocument/2006/relationships/image" Target="media/image949.png"/><Relationship Id="rId971" Type="http://schemas.openxmlformats.org/officeDocument/2006/relationships/image" Target="media/image950.png"/><Relationship Id="rId972" Type="http://schemas.openxmlformats.org/officeDocument/2006/relationships/image" Target="media/image951.png"/><Relationship Id="rId973" Type="http://schemas.openxmlformats.org/officeDocument/2006/relationships/image" Target="media/image952.png"/><Relationship Id="rId974" Type="http://schemas.openxmlformats.org/officeDocument/2006/relationships/image" Target="media/image953.png"/><Relationship Id="rId975" Type="http://schemas.openxmlformats.org/officeDocument/2006/relationships/image" Target="media/image954.png"/><Relationship Id="rId976" Type="http://schemas.openxmlformats.org/officeDocument/2006/relationships/image" Target="media/image955.png"/><Relationship Id="rId977" Type="http://schemas.openxmlformats.org/officeDocument/2006/relationships/image" Target="media/image956.png"/><Relationship Id="rId978" Type="http://schemas.openxmlformats.org/officeDocument/2006/relationships/image" Target="media/image957.png"/><Relationship Id="rId979" Type="http://schemas.openxmlformats.org/officeDocument/2006/relationships/image" Target="media/image958.jpeg"/><Relationship Id="rId980" Type="http://schemas.openxmlformats.org/officeDocument/2006/relationships/image" Target="media/image959.png"/><Relationship Id="rId981" Type="http://schemas.openxmlformats.org/officeDocument/2006/relationships/image" Target="media/image960.png"/><Relationship Id="rId982" Type="http://schemas.openxmlformats.org/officeDocument/2006/relationships/image" Target="media/image961.png"/><Relationship Id="rId983" Type="http://schemas.openxmlformats.org/officeDocument/2006/relationships/image" Target="media/image962.png"/><Relationship Id="rId984" Type="http://schemas.openxmlformats.org/officeDocument/2006/relationships/image" Target="media/image963.jpeg"/><Relationship Id="rId985" Type="http://schemas.openxmlformats.org/officeDocument/2006/relationships/image" Target="media/image964.png"/><Relationship Id="rId986" Type="http://schemas.openxmlformats.org/officeDocument/2006/relationships/image" Target="media/image965.jpeg"/><Relationship Id="rId987" Type="http://schemas.openxmlformats.org/officeDocument/2006/relationships/image" Target="media/image966.png"/><Relationship Id="rId988" Type="http://schemas.openxmlformats.org/officeDocument/2006/relationships/image" Target="media/image967.png"/><Relationship Id="rId989" Type="http://schemas.openxmlformats.org/officeDocument/2006/relationships/image" Target="media/image968.png"/><Relationship Id="rId990" Type="http://schemas.openxmlformats.org/officeDocument/2006/relationships/image" Target="media/image969.png"/><Relationship Id="rId991" Type="http://schemas.openxmlformats.org/officeDocument/2006/relationships/image" Target="media/image970.png"/><Relationship Id="rId992" Type="http://schemas.openxmlformats.org/officeDocument/2006/relationships/image" Target="media/image971.png"/><Relationship Id="rId993" Type="http://schemas.openxmlformats.org/officeDocument/2006/relationships/image" Target="media/image972.jpeg"/><Relationship Id="rId994" Type="http://schemas.openxmlformats.org/officeDocument/2006/relationships/image" Target="media/image973.png"/><Relationship Id="rId995" Type="http://schemas.openxmlformats.org/officeDocument/2006/relationships/image" Target="media/image974.jpeg"/><Relationship Id="rId996" Type="http://schemas.openxmlformats.org/officeDocument/2006/relationships/image" Target="media/image975.png"/><Relationship Id="rId997" Type="http://schemas.openxmlformats.org/officeDocument/2006/relationships/image" Target="media/image976.jpeg"/><Relationship Id="rId998" Type="http://schemas.openxmlformats.org/officeDocument/2006/relationships/image" Target="media/image977.png"/><Relationship Id="rId999" Type="http://schemas.openxmlformats.org/officeDocument/2006/relationships/image" Target="media/image978.jpeg"/><Relationship Id="rId1000" Type="http://schemas.openxmlformats.org/officeDocument/2006/relationships/image" Target="media/image979.png"/><Relationship Id="rId1001" Type="http://schemas.openxmlformats.org/officeDocument/2006/relationships/image" Target="media/image980.png"/><Relationship Id="rId1002" Type="http://schemas.openxmlformats.org/officeDocument/2006/relationships/image" Target="media/image981.jpeg"/><Relationship Id="rId1003" Type="http://schemas.openxmlformats.org/officeDocument/2006/relationships/image" Target="media/image982.png"/><Relationship Id="rId1004" Type="http://schemas.openxmlformats.org/officeDocument/2006/relationships/image" Target="media/image983.png"/><Relationship Id="rId1005" Type="http://schemas.openxmlformats.org/officeDocument/2006/relationships/image" Target="media/image984.png"/><Relationship Id="rId1006" Type="http://schemas.openxmlformats.org/officeDocument/2006/relationships/image" Target="media/image985.jpeg"/><Relationship Id="rId1007" Type="http://schemas.openxmlformats.org/officeDocument/2006/relationships/image" Target="media/image986.png"/><Relationship Id="rId1008" Type="http://schemas.openxmlformats.org/officeDocument/2006/relationships/image" Target="media/image987.png"/><Relationship Id="rId1009" Type="http://schemas.openxmlformats.org/officeDocument/2006/relationships/image" Target="media/image988.png"/><Relationship Id="rId1010" Type="http://schemas.openxmlformats.org/officeDocument/2006/relationships/image" Target="media/image989.jpeg"/><Relationship Id="rId1011" Type="http://schemas.openxmlformats.org/officeDocument/2006/relationships/image" Target="media/image990.png"/><Relationship Id="rId1012" Type="http://schemas.openxmlformats.org/officeDocument/2006/relationships/image" Target="media/image991.png"/><Relationship Id="rId1013" Type="http://schemas.openxmlformats.org/officeDocument/2006/relationships/image" Target="media/image992.png"/><Relationship Id="rId1014" Type="http://schemas.openxmlformats.org/officeDocument/2006/relationships/image" Target="media/image993.jpeg"/><Relationship Id="rId1015" Type="http://schemas.openxmlformats.org/officeDocument/2006/relationships/image" Target="media/image994.png"/><Relationship Id="rId1016" Type="http://schemas.openxmlformats.org/officeDocument/2006/relationships/image" Target="media/image995.png"/><Relationship Id="rId1017" Type="http://schemas.openxmlformats.org/officeDocument/2006/relationships/image" Target="media/image996.png"/><Relationship Id="rId1018" Type="http://schemas.openxmlformats.org/officeDocument/2006/relationships/image" Target="media/image997.png"/><Relationship Id="rId1019" Type="http://schemas.openxmlformats.org/officeDocument/2006/relationships/image" Target="media/image998.png"/><Relationship Id="rId1020" Type="http://schemas.openxmlformats.org/officeDocument/2006/relationships/image" Target="media/image999.png"/><Relationship Id="rId1021" Type="http://schemas.openxmlformats.org/officeDocument/2006/relationships/image" Target="media/image1000.png"/><Relationship Id="rId1022" Type="http://schemas.openxmlformats.org/officeDocument/2006/relationships/image" Target="media/image1001.png"/><Relationship Id="rId1023" Type="http://schemas.openxmlformats.org/officeDocument/2006/relationships/image" Target="media/image1002.jpeg"/><Relationship Id="rId1024" Type="http://schemas.openxmlformats.org/officeDocument/2006/relationships/image" Target="media/image1003.png"/><Relationship Id="rId1025" Type="http://schemas.openxmlformats.org/officeDocument/2006/relationships/image" Target="media/image1004.jpeg"/><Relationship Id="rId1026" Type="http://schemas.openxmlformats.org/officeDocument/2006/relationships/image" Target="media/image1005.png"/><Relationship Id="rId1027" Type="http://schemas.openxmlformats.org/officeDocument/2006/relationships/image" Target="media/image1006.jpeg"/><Relationship Id="rId1028" Type="http://schemas.openxmlformats.org/officeDocument/2006/relationships/image" Target="media/image1007.png"/><Relationship Id="rId1029" Type="http://schemas.openxmlformats.org/officeDocument/2006/relationships/image" Target="media/image1008.png"/><Relationship Id="rId1030" Type="http://schemas.openxmlformats.org/officeDocument/2006/relationships/image" Target="media/image1009.jpeg"/><Relationship Id="rId1031" Type="http://schemas.openxmlformats.org/officeDocument/2006/relationships/image" Target="media/image1010.png"/><Relationship Id="rId1032" Type="http://schemas.openxmlformats.org/officeDocument/2006/relationships/image" Target="media/image1011.png"/><Relationship Id="rId1033" Type="http://schemas.openxmlformats.org/officeDocument/2006/relationships/image" Target="media/image1012.png"/><Relationship Id="rId1034" Type="http://schemas.openxmlformats.org/officeDocument/2006/relationships/image" Target="media/image1013.png"/><Relationship Id="rId1035" Type="http://schemas.openxmlformats.org/officeDocument/2006/relationships/image" Target="media/image1014.jpeg"/><Relationship Id="rId1036" Type="http://schemas.openxmlformats.org/officeDocument/2006/relationships/image" Target="media/image1015.png"/><Relationship Id="rId1037" Type="http://schemas.openxmlformats.org/officeDocument/2006/relationships/image" Target="media/image1016.png"/><Relationship Id="rId1038" Type="http://schemas.openxmlformats.org/officeDocument/2006/relationships/image" Target="media/image1017.jpeg"/><Relationship Id="rId1039" Type="http://schemas.openxmlformats.org/officeDocument/2006/relationships/image" Target="media/image1018.png"/><Relationship Id="rId1040" Type="http://schemas.openxmlformats.org/officeDocument/2006/relationships/image" Target="media/image1019.png"/><Relationship Id="rId1041" Type="http://schemas.openxmlformats.org/officeDocument/2006/relationships/image" Target="media/image1020.png"/><Relationship Id="rId1042" Type="http://schemas.openxmlformats.org/officeDocument/2006/relationships/image" Target="media/image1021.png"/><Relationship Id="rId1043" Type="http://schemas.openxmlformats.org/officeDocument/2006/relationships/image" Target="media/image1022.png"/><Relationship Id="rId1044" Type="http://schemas.openxmlformats.org/officeDocument/2006/relationships/image" Target="media/image1023.png"/><Relationship Id="rId1045" Type="http://schemas.openxmlformats.org/officeDocument/2006/relationships/image" Target="media/image1024.jpeg"/><Relationship Id="rId1046" Type="http://schemas.openxmlformats.org/officeDocument/2006/relationships/image" Target="media/image1025.png"/><Relationship Id="rId1047" Type="http://schemas.openxmlformats.org/officeDocument/2006/relationships/image" Target="media/image1026.png"/><Relationship Id="rId1048" Type="http://schemas.openxmlformats.org/officeDocument/2006/relationships/image" Target="media/image1027.png"/><Relationship Id="rId1049" Type="http://schemas.openxmlformats.org/officeDocument/2006/relationships/image" Target="media/image1028.png"/><Relationship Id="rId1050" Type="http://schemas.openxmlformats.org/officeDocument/2006/relationships/image" Target="media/image1029.png"/><Relationship Id="rId1051" Type="http://schemas.openxmlformats.org/officeDocument/2006/relationships/image" Target="media/image1030.jpeg"/><Relationship Id="rId1052" Type="http://schemas.openxmlformats.org/officeDocument/2006/relationships/image" Target="media/image1031.png"/><Relationship Id="rId1053" Type="http://schemas.openxmlformats.org/officeDocument/2006/relationships/image" Target="media/image1032.png"/><Relationship Id="rId1054" Type="http://schemas.openxmlformats.org/officeDocument/2006/relationships/image" Target="media/image1033.png"/><Relationship Id="rId1055" Type="http://schemas.openxmlformats.org/officeDocument/2006/relationships/image" Target="media/image1034.png"/><Relationship Id="rId1056" Type="http://schemas.openxmlformats.org/officeDocument/2006/relationships/image" Target="media/image1035.png"/><Relationship Id="rId1057" Type="http://schemas.openxmlformats.org/officeDocument/2006/relationships/image" Target="media/image1036.png"/><Relationship Id="rId1058" Type="http://schemas.openxmlformats.org/officeDocument/2006/relationships/image" Target="media/image1037.png"/><Relationship Id="rId1059" Type="http://schemas.openxmlformats.org/officeDocument/2006/relationships/image" Target="media/image1038.png"/><Relationship Id="rId1060" Type="http://schemas.openxmlformats.org/officeDocument/2006/relationships/image" Target="media/image1039.png"/><Relationship Id="rId1061" Type="http://schemas.openxmlformats.org/officeDocument/2006/relationships/image" Target="media/image1040.png"/><Relationship Id="rId1062" Type="http://schemas.openxmlformats.org/officeDocument/2006/relationships/image" Target="media/image1041.png"/><Relationship Id="rId1063" Type="http://schemas.openxmlformats.org/officeDocument/2006/relationships/image" Target="media/image1042.png"/><Relationship Id="rId1064" Type="http://schemas.openxmlformats.org/officeDocument/2006/relationships/image" Target="media/image1043.png"/><Relationship Id="rId1065" Type="http://schemas.openxmlformats.org/officeDocument/2006/relationships/image" Target="media/image1044.png"/><Relationship Id="rId1066" Type="http://schemas.openxmlformats.org/officeDocument/2006/relationships/image" Target="media/image1045.png"/><Relationship Id="rId1067" Type="http://schemas.openxmlformats.org/officeDocument/2006/relationships/image" Target="media/image1046.png"/><Relationship Id="rId1068" Type="http://schemas.openxmlformats.org/officeDocument/2006/relationships/image" Target="media/image1047.jpeg"/><Relationship Id="rId1069" Type="http://schemas.openxmlformats.org/officeDocument/2006/relationships/image" Target="media/image1048.png"/><Relationship Id="rId1070" Type="http://schemas.openxmlformats.org/officeDocument/2006/relationships/image" Target="media/image1049.png"/><Relationship Id="rId1071" Type="http://schemas.openxmlformats.org/officeDocument/2006/relationships/image" Target="media/image1050.jpeg"/><Relationship Id="rId1072" Type="http://schemas.openxmlformats.org/officeDocument/2006/relationships/image" Target="media/image1051.png"/><Relationship Id="rId1073" Type="http://schemas.openxmlformats.org/officeDocument/2006/relationships/image" Target="media/image1052.jpeg"/><Relationship Id="rId1074" Type="http://schemas.openxmlformats.org/officeDocument/2006/relationships/image" Target="media/image1053.png"/><Relationship Id="rId1075" Type="http://schemas.openxmlformats.org/officeDocument/2006/relationships/image" Target="media/image1054.png"/><Relationship Id="rId1076" Type="http://schemas.openxmlformats.org/officeDocument/2006/relationships/image" Target="media/image1055.png"/><Relationship Id="rId1077" Type="http://schemas.openxmlformats.org/officeDocument/2006/relationships/image" Target="media/image1056.png"/><Relationship Id="rId1078" Type="http://schemas.openxmlformats.org/officeDocument/2006/relationships/image" Target="media/image1057.png"/><Relationship Id="rId1079" Type="http://schemas.openxmlformats.org/officeDocument/2006/relationships/image" Target="media/image1058.jpeg"/><Relationship Id="rId1080" Type="http://schemas.openxmlformats.org/officeDocument/2006/relationships/image" Target="media/image1059.png"/><Relationship Id="rId1081" Type="http://schemas.openxmlformats.org/officeDocument/2006/relationships/image" Target="media/image1060.png"/><Relationship Id="rId1082" Type="http://schemas.openxmlformats.org/officeDocument/2006/relationships/image" Target="media/image1061.png"/><Relationship Id="rId1083" Type="http://schemas.openxmlformats.org/officeDocument/2006/relationships/image" Target="media/image1062.png"/><Relationship Id="rId1084" Type="http://schemas.openxmlformats.org/officeDocument/2006/relationships/image" Target="media/image1063.png"/><Relationship Id="rId1085" Type="http://schemas.openxmlformats.org/officeDocument/2006/relationships/image" Target="media/image1064.png"/><Relationship Id="rId1086" Type="http://schemas.openxmlformats.org/officeDocument/2006/relationships/image" Target="media/image1065.png"/><Relationship Id="rId1087" Type="http://schemas.openxmlformats.org/officeDocument/2006/relationships/image" Target="media/image1066.png"/><Relationship Id="rId1088" Type="http://schemas.openxmlformats.org/officeDocument/2006/relationships/image" Target="media/image1067.png"/><Relationship Id="rId1089" Type="http://schemas.openxmlformats.org/officeDocument/2006/relationships/image" Target="media/image1068.png"/><Relationship Id="rId1090" Type="http://schemas.openxmlformats.org/officeDocument/2006/relationships/image" Target="media/image1069.png"/><Relationship Id="rId1091" Type="http://schemas.openxmlformats.org/officeDocument/2006/relationships/image" Target="media/image1070.png"/><Relationship Id="rId1092" Type="http://schemas.openxmlformats.org/officeDocument/2006/relationships/image" Target="media/image1071.png"/><Relationship Id="rId1093" Type="http://schemas.openxmlformats.org/officeDocument/2006/relationships/image" Target="media/image1072.jpeg"/><Relationship Id="rId1094" Type="http://schemas.openxmlformats.org/officeDocument/2006/relationships/image" Target="media/image1073.png"/><Relationship Id="rId1095" Type="http://schemas.openxmlformats.org/officeDocument/2006/relationships/image" Target="media/image1074.jpeg"/><Relationship Id="rId1096" Type="http://schemas.openxmlformats.org/officeDocument/2006/relationships/image" Target="media/image1075.png"/><Relationship Id="rId1097" Type="http://schemas.openxmlformats.org/officeDocument/2006/relationships/image" Target="media/image1076.png"/><Relationship Id="rId1098" Type="http://schemas.openxmlformats.org/officeDocument/2006/relationships/image" Target="media/image1077.png"/><Relationship Id="rId1099" Type="http://schemas.openxmlformats.org/officeDocument/2006/relationships/image" Target="media/image1078.png"/><Relationship Id="rId1100" Type="http://schemas.openxmlformats.org/officeDocument/2006/relationships/image" Target="media/image1079.png"/><Relationship Id="rId1101" Type="http://schemas.openxmlformats.org/officeDocument/2006/relationships/image" Target="media/image1080.png"/><Relationship Id="rId1102" Type="http://schemas.openxmlformats.org/officeDocument/2006/relationships/image" Target="media/image1081.png"/><Relationship Id="rId1103" Type="http://schemas.openxmlformats.org/officeDocument/2006/relationships/image" Target="media/image1082.png"/><Relationship Id="rId1104" Type="http://schemas.openxmlformats.org/officeDocument/2006/relationships/image" Target="media/image1083.png"/><Relationship Id="rId1105" Type="http://schemas.openxmlformats.org/officeDocument/2006/relationships/image" Target="media/image1084.png"/><Relationship Id="rId1106" Type="http://schemas.openxmlformats.org/officeDocument/2006/relationships/image" Target="media/image1085.png"/><Relationship Id="rId1107" Type="http://schemas.openxmlformats.org/officeDocument/2006/relationships/image" Target="media/image1086.png"/><Relationship Id="rId1108" Type="http://schemas.openxmlformats.org/officeDocument/2006/relationships/image" Target="media/image1087.png"/><Relationship Id="rId1109" Type="http://schemas.openxmlformats.org/officeDocument/2006/relationships/image" Target="media/image1088.png"/><Relationship Id="rId1110" Type="http://schemas.openxmlformats.org/officeDocument/2006/relationships/image" Target="media/image1089.png"/><Relationship Id="rId1111" Type="http://schemas.openxmlformats.org/officeDocument/2006/relationships/image" Target="media/image1090.png"/><Relationship Id="rId1112" Type="http://schemas.openxmlformats.org/officeDocument/2006/relationships/image" Target="media/image1091.png"/><Relationship Id="rId1113" Type="http://schemas.openxmlformats.org/officeDocument/2006/relationships/image" Target="media/image1092.png"/><Relationship Id="rId1114" Type="http://schemas.openxmlformats.org/officeDocument/2006/relationships/image" Target="media/image1093.jpeg"/><Relationship Id="rId1115" Type="http://schemas.openxmlformats.org/officeDocument/2006/relationships/image" Target="media/image1094.png"/><Relationship Id="rId1116" Type="http://schemas.openxmlformats.org/officeDocument/2006/relationships/image" Target="media/image1095.jpeg"/><Relationship Id="rId1117" Type="http://schemas.openxmlformats.org/officeDocument/2006/relationships/image" Target="media/image1096.png"/><Relationship Id="rId1118" Type="http://schemas.openxmlformats.org/officeDocument/2006/relationships/image" Target="media/image1097.png"/><Relationship Id="rId1119" Type="http://schemas.openxmlformats.org/officeDocument/2006/relationships/image" Target="media/image1098.png"/><Relationship Id="rId1120" Type="http://schemas.openxmlformats.org/officeDocument/2006/relationships/image" Target="media/image1099.png"/><Relationship Id="rId1121" Type="http://schemas.openxmlformats.org/officeDocument/2006/relationships/image" Target="media/image1100.png"/><Relationship Id="rId1122" Type="http://schemas.openxmlformats.org/officeDocument/2006/relationships/image" Target="media/image1101.png"/><Relationship Id="rId1123" Type="http://schemas.openxmlformats.org/officeDocument/2006/relationships/image" Target="media/image1102.png"/><Relationship Id="rId1124" Type="http://schemas.openxmlformats.org/officeDocument/2006/relationships/image" Target="media/image1103.png"/><Relationship Id="rId1125" Type="http://schemas.openxmlformats.org/officeDocument/2006/relationships/image" Target="media/image1104.png"/><Relationship Id="rId1126" Type="http://schemas.openxmlformats.org/officeDocument/2006/relationships/image" Target="media/image1105.png"/><Relationship Id="rId1127" Type="http://schemas.openxmlformats.org/officeDocument/2006/relationships/image" Target="media/image1106.png"/><Relationship Id="rId1128" Type="http://schemas.openxmlformats.org/officeDocument/2006/relationships/image" Target="media/image1107.png"/><Relationship Id="rId1129" Type="http://schemas.openxmlformats.org/officeDocument/2006/relationships/image" Target="media/image1108.png"/><Relationship Id="rId1130" Type="http://schemas.openxmlformats.org/officeDocument/2006/relationships/image" Target="media/image1109.jpeg"/><Relationship Id="rId1131" Type="http://schemas.openxmlformats.org/officeDocument/2006/relationships/image" Target="media/image1110.png"/><Relationship Id="rId1132" Type="http://schemas.openxmlformats.org/officeDocument/2006/relationships/image" Target="media/image1111.png"/><Relationship Id="rId1133" Type="http://schemas.openxmlformats.org/officeDocument/2006/relationships/image" Target="media/image1112.png"/><Relationship Id="rId1134" Type="http://schemas.openxmlformats.org/officeDocument/2006/relationships/image" Target="media/image1113.png"/><Relationship Id="rId1135" Type="http://schemas.openxmlformats.org/officeDocument/2006/relationships/image" Target="media/image1114.png"/><Relationship Id="rId1136" Type="http://schemas.openxmlformats.org/officeDocument/2006/relationships/image" Target="media/image1115.png"/><Relationship Id="rId1137" Type="http://schemas.openxmlformats.org/officeDocument/2006/relationships/image" Target="media/image1116.png"/><Relationship Id="rId1138" Type="http://schemas.openxmlformats.org/officeDocument/2006/relationships/image" Target="media/image1117.png"/><Relationship Id="rId1139" Type="http://schemas.openxmlformats.org/officeDocument/2006/relationships/image" Target="media/image1118.png"/><Relationship Id="rId1140" Type="http://schemas.openxmlformats.org/officeDocument/2006/relationships/image" Target="media/image1119.png"/><Relationship Id="rId1141" Type="http://schemas.openxmlformats.org/officeDocument/2006/relationships/image" Target="media/image1120.png"/><Relationship Id="rId1142" Type="http://schemas.openxmlformats.org/officeDocument/2006/relationships/image" Target="media/image1121.png"/><Relationship Id="rId1143" Type="http://schemas.openxmlformats.org/officeDocument/2006/relationships/image" Target="media/image1122.png"/><Relationship Id="rId1144" Type="http://schemas.openxmlformats.org/officeDocument/2006/relationships/image" Target="media/image1123.jpeg"/><Relationship Id="rId1145" Type="http://schemas.openxmlformats.org/officeDocument/2006/relationships/image" Target="media/image1124.png"/><Relationship Id="rId1146" Type="http://schemas.openxmlformats.org/officeDocument/2006/relationships/image" Target="media/image1125.png"/><Relationship Id="rId1147" Type="http://schemas.openxmlformats.org/officeDocument/2006/relationships/image" Target="media/image1126.png"/><Relationship Id="rId1148" Type="http://schemas.openxmlformats.org/officeDocument/2006/relationships/image" Target="media/image1127.png"/><Relationship Id="rId1149" Type="http://schemas.openxmlformats.org/officeDocument/2006/relationships/image" Target="media/image1128.png"/><Relationship Id="rId1150" Type="http://schemas.openxmlformats.org/officeDocument/2006/relationships/image" Target="media/image1129.jpeg"/><Relationship Id="rId1151" Type="http://schemas.openxmlformats.org/officeDocument/2006/relationships/image" Target="media/image1130.png"/><Relationship Id="rId1152" Type="http://schemas.openxmlformats.org/officeDocument/2006/relationships/image" Target="media/image1131.jpeg"/><Relationship Id="rId1153" Type="http://schemas.openxmlformats.org/officeDocument/2006/relationships/image" Target="media/image1132.png"/><Relationship Id="rId1154" Type="http://schemas.openxmlformats.org/officeDocument/2006/relationships/image" Target="media/image1133.png"/><Relationship Id="rId1155" Type="http://schemas.openxmlformats.org/officeDocument/2006/relationships/image" Target="media/image1134.png"/><Relationship Id="rId1156" Type="http://schemas.openxmlformats.org/officeDocument/2006/relationships/image" Target="media/image1135.jpeg"/><Relationship Id="rId1157" Type="http://schemas.openxmlformats.org/officeDocument/2006/relationships/image" Target="media/image1136.png"/><Relationship Id="rId1158" Type="http://schemas.openxmlformats.org/officeDocument/2006/relationships/image" Target="media/image1137.png"/><Relationship Id="rId1159" Type="http://schemas.openxmlformats.org/officeDocument/2006/relationships/image" Target="media/image1138.png"/><Relationship Id="rId1160" Type="http://schemas.openxmlformats.org/officeDocument/2006/relationships/image" Target="media/image1139.png"/><Relationship Id="rId1161" Type="http://schemas.openxmlformats.org/officeDocument/2006/relationships/image" Target="media/image1140.png"/><Relationship Id="rId1162" Type="http://schemas.openxmlformats.org/officeDocument/2006/relationships/image" Target="media/image1141.png"/><Relationship Id="rId1163" Type="http://schemas.openxmlformats.org/officeDocument/2006/relationships/image" Target="media/image1142.png"/><Relationship Id="rId1164" Type="http://schemas.openxmlformats.org/officeDocument/2006/relationships/image" Target="media/image1143.png"/><Relationship Id="rId1165" Type="http://schemas.openxmlformats.org/officeDocument/2006/relationships/image" Target="media/image1144.png"/><Relationship Id="rId1166" Type="http://schemas.openxmlformats.org/officeDocument/2006/relationships/image" Target="media/image1145.png"/><Relationship Id="rId1167" Type="http://schemas.openxmlformats.org/officeDocument/2006/relationships/image" Target="media/image1146.png"/><Relationship Id="rId1168" Type="http://schemas.openxmlformats.org/officeDocument/2006/relationships/image" Target="media/image1147.png"/><Relationship Id="rId1169" Type="http://schemas.openxmlformats.org/officeDocument/2006/relationships/image" Target="media/image1148.png"/><Relationship Id="rId1170" Type="http://schemas.openxmlformats.org/officeDocument/2006/relationships/image" Target="media/image1149.png"/><Relationship Id="rId1171" Type="http://schemas.openxmlformats.org/officeDocument/2006/relationships/image" Target="media/image1150.jpeg"/><Relationship Id="rId1172" Type="http://schemas.openxmlformats.org/officeDocument/2006/relationships/image" Target="media/image1151.png"/><Relationship Id="rId1173" Type="http://schemas.openxmlformats.org/officeDocument/2006/relationships/image" Target="media/image1152.png"/><Relationship Id="rId1174" Type="http://schemas.openxmlformats.org/officeDocument/2006/relationships/image" Target="media/image1153.png"/><Relationship Id="rId1175" Type="http://schemas.openxmlformats.org/officeDocument/2006/relationships/image" Target="media/image1154.png"/><Relationship Id="rId1176" Type="http://schemas.openxmlformats.org/officeDocument/2006/relationships/image" Target="media/image1155.png"/><Relationship Id="rId1177" Type="http://schemas.openxmlformats.org/officeDocument/2006/relationships/image" Target="media/image1156.png"/><Relationship Id="rId1178" Type="http://schemas.openxmlformats.org/officeDocument/2006/relationships/image" Target="media/image1157.png"/><Relationship Id="rId1179" Type="http://schemas.openxmlformats.org/officeDocument/2006/relationships/image" Target="media/image1158.jpeg"/><Relationship Id="rId1180" Type="http://schemas.openxmlformats.org/officeDocument/2006/relationships/image" Target="media/image1159.png"/><Relationship Id="rId1181" Type="http://schemas.openxmlformats.org/officeDocument/2006/relationships/image" Target="media/image1160.png"/><Relationship Id="rId1182" Type="http://schemas.openxmlformats.org/officeDocument/2006/relationships/image" Target="media/image1161.png"/><Relationship Id="rId1183" Type="http://schemas.openxmlformats.org/officeDocument/2006/relationships/image" Target="media/image1162.png"/><Relationship Id="rId1184" Type="http://schemas.openxmlformats.org/officeDocument/2006/relationships/image" Target="media/image1163.png"/><Relationship Id="rId1185" Type="http://schemas.openxmlformats.org/officeDocument/2006/relationships/image" Target="media/image1164.png"/><Relationship Id="rId1186" Type="http://schemas.openxmlformats.org/officeDocument/2006/relationships/image" Target="media/image1165.png"/><Relationship Id="rId1187" Type="http://schemas.openxmlformats.org/officeDocument/2006/relationships/image" Target="media/image1166.png"/><Relationship Id="rId1188" Type="http://schemas.openxmlformats.org/officeDocument/2006/relationships/image" Target="media/image1167.png"/><Relationship Id="rId1189" Type="http://schemas.openxmlformats.org/officeDocument/2006/relationships/image" Target="media/image1168.png"/><Relationship Id="rId1190" Type="http://schemas.openxmlformats.org/officeDocument/2006/relationships/image" Target="media/image1169.png"/><Relationship Id="rId1191" Type="http://schemas.openxmlformats.org/officeDocument/2006/relationships/image" Target="media/image1170.png"/><Relationship Id="rId1192" Type="http://schemas.openxmlformats.org/officeDocument/2006/relationships/image" Target="media/image1171.png"/><Relationship Id="rId1193" Type="http://schemas.openxmlformats.org/officeDocument/2006/relationships/image" Target="media/image1172.png"/><Relationship Id="rId1194" Type="http://schemas.openxmlformats.org/officeDocument/2006/relationships/image" Target="media/image1173.png"/><Relationship Id="rId1195" Type="http://schemas.openxmlformats.org/officeDocument/2006/relationships/image" Target="media/image1174.png"/><Relationship Id="rId1196" Type="http://schemas.openxmlformats.org/officeDocument/2006/relationships/image" Target="media/image1175.png"/><Relationship Id="rId1197" Type="http://schemas.openxmlformats.org/officeDocument/2006/relationships/image" Target="media/image1176.jpeg"/><Relationship Id="rId1198" Type="http://schemas.openxmlformats.org/officeDocument/2006/relationships/image" Target="media/image1177.png"/><Relationship Id="rId1199" Type="http://schemas.openxmlformats.org/officeDocument/2006/relationships/image" Target="media/image1178.png"/><Relationship Id="rId1200" Type="http://schemas.openxmlformats.org/officeDocument/2006/relationships/image" Target="media/image1179.png"/><Relationship Id="rId1201" Type="http://schemas.openxmlformats.org/officeDocument/2006/relationships/image" Target="media/image1180.png"/><Relationship Id="rId1202" Type="http://schemas.openxmlformats.org/officeDocument/2006/relationships/image" Target="media/image1181.jpeg"/><Relationship Id="rId1203" Type="http://schemas.openxmlformats.org/officeDocument/2006/relationships/image" Target="media/image1182.png"/><Relationship Id="rId1204" Type="http://schemas.openxmlformats.org/officeDocument/2006/relationships/image" Target="media/image1183.jpeg"/><Relationship Id="rId1205" Type="http://schemas.openxmlformats.org/officeDocument/2006/relationships/image" Target="media/image1184.png"/><Relationship Id="rId1206" Type="http://schemas.openxmlformats.org/officeDocument/2006/relationships/image" Target="media/image1185.jpeg"/><Relationship Id="rId1207" Type="http://schemas.openxmlformats.org/officeDocument/2006/relationships/image" Target="media/image1186.png"/><Relationship Id="rId1208" Type="http://schemas.openxmlformats.org/officeDocument/2006/relationships/image" Target="media/image1187.jpeg"/><Relationship Id="rId1209" Type="http://schemas.openxmlformats.org/officeDocument/2006/relationships/image" Target="media/image1188.png"/><Relationship Id="rId1210" Type="http://schemas.openxmlformats.org/officeDocument/2006/relationships/image" Target="media/image1189.jpeg"/><Relationship Id="rId1211" Type="http://schemas.openxmlformats.org/officeDocument/2006/relationships/image" Target="media/image1190.png"/><Relationship Id="rId1212" Type="http://schemas.openxmlformats.org/officeDocument/2006/relationships/image" Target="media/image1191.jpeg"/><Relationship Id="rId1213" Type="http://schemas.openxmlformats.org/officeDocument/2006/relationships/image" Target="media/image1192.png"/><Relationship Id="rId1214" Type="http://schemas.openxmlformats.org/officeDocument/2006/relationships/image" Target="media/image1193.jpeg"/><Relationship Id="rId1215" Type="http://schemas.openxmlformats.org/officeDocument/2006/relationships/image" Target="media/image1194.png"/><Relationship Id="rId1216" Type="http://schemas.openxmlformats.org/officeDocument/2006/relationships/image" Target="media/image1195.jpeg"/><Relationship Id="rId1217" Type="http://schemas.openxmlformats.org/officeDocument/2006/relationships/image" Target="media/image1196.png"/><Relationship Id="rId1218" Type="http://schemas.openxmlformats.org/officeDocument/2006/relationships/image" Target="media/image1197.png"/><Relationship Id="rId1219" Type="http://schemas.openxmlformats.org/officeDocument/2006/relationships/image" Target="media/image1198.png"/><Relationship Id="rId1220" Type="http://schemas.openxmlformats.org/officeDocument/2006/relationships/image" Target="media/image1199.png"/><Relationship Id="rId1221" Type="http://schemas.openxmlformats.org/officeDocument/2006/relationships/image" Target="media/image1200.png"/><Relationship Id="rId1222" Type="http://schemas.openxmlformats.org/officeDocument/2006/relationships/image" Target="media/image1201.png"/><Relationship Id="rId1223" Type="http://schemas.openxmlformats.org/officeDocument/2006/relationships/image" Target="media/image1202.png"/><Relationship Id="rId1224" Type="http://schemas.openxmlformats.org/officeDocument/2006/relationships/image" Target="media/image1203.png"/><Relationship Id="rId1225" Type="http://schemas.openxmlformats.org/officeDocument/2006/relationships/image" Target="media/image1204.png"/><Relationship Id="rId1226" Type="http://schemas.openxmlformats.org/officeDocument/2006/relationships/image" Target="media/image1205.png"/><Relationship Id="rId1227" Type="http://schemas.openxmlformats.org/officeDocument/2006/relationships/image" Target="media/image1206.png"/><Relationship Id="rId1228" Type="http://schemas.openxmlformats.org/officeDocument/2006/relationships/image" Target="media/image1207.png"/><Relationship Id="rId1229" Type="http://schemas.openxmlformats.org/officeDocument/2006/relationships/image" Target="media/image1208.png"/><Relationship Id="rId1230" Type="http://schemas.openxmlformats.org/officeDocument/2006/relationships/image" Target="media/image1209.png"/><Relationship Id="rId1231" Type="http://schemas.openxmlformats.org/officeDocument/2006/relationships/image" Target="media/image1210.png"/><Relationship Id="rId1232" Type="http://schemas.openxmlformats.org/officeDocument/2006/relationships/image" Target="media/image1211.png"/><Relationship Id="rId1233" Type="http://schemas.openxmlformats.org/officeDocument/2006/relationships/image" Target="media/image1212.png"/><Relationship Id="rId1234" Type="http://schemas.openxmlformats.org/officeDocument/2006/relationships/image" Target="media/image1213.png"/><Relationship Id="rId1235" Type="http://schemas.openxmlformats.org/officeDocument/2006/relationships/image" Target="media/image1214.png"/><Relationship Id="rId1236" Type="http://schemas.openxmlformats.org/officeDocument/2006/relationships/image" Target="media/image1215.png"/><Relationship Id="rId1237" Type="http://schemas.openxmlformats.org/officeDocument/2006/relationships/image" Target="media/image1216.png"/><Relationship Id="rId1238" Type="http://schemas.openxmlformats.org/officeDocument/2006/relationships/image" Target="media/image1217.png"/><Relationship Id="rId1239" Type="http://schemas.openxmlformats.org/officeDocument/2006/relationships/image" Target="media/image1218.png"/><Relationship Id="rId1240" Type="http://schemas.openxmlformats.org/officeDocument/2006/relationships/image" Target="media/image1219.png"/><Relationship Id="rId1241" Type="http://schemas.openxmlformats.org/officeDocument/2006/relationships/image" Target="media/image1220.png"/><Relationship Id="rId1242" Type="http://schemas.openxmlformats.org/officeDocument/2006/relationships/image" Target="media/image1221.png"/><Relationship Id="rId1243" Type="http://schemas.openxmlformats.org/officeDocument/2006/relationships/image" Target="media/image1222.png"/><Relationship Id="rId1244" Type="http://schemas.openxmlformats.org/officeDocument/2006/relationships/image" Target="media/image1223.png"/><Relationship Id="rId1245" Type="http://schemas.openxmlformats.org/officeDocument/2006/relationships/image" Target="media/image1224.png"/><Relationship Id="rId1246" Type="http://schemas.openxmlformats.org/officeDocument/2006/relationships/image" Target="media/image1225.png"/><Relationship Id="rId1247" Type="http://schemas.openxmlformats.org/officeDocument/2006/relationships/image" Target="media/image1226.jpeg"/><Relationship Id="rId1248" Type="http://schemas.openxmlformats.org/officeDocument/2006/relationships/image" Target="media/image1227.png"/><Relationship Id="rId1249" Type="http://schemas.openxmlformats.org/officeDocument/2006/relationships/image" Target="media/image1228.png"/><Relationship Id="rId1250" Type="http://schemas.openxmlformats.org/officeDocument/2006/relationships/image" Target="media/image1229.jpeg"/><Relationship Id="rId1251" Type="http://schemas.openxmlformats.org/officeDocument/2006/relationships/image" Target="media/image1230.png"/><Relationship Id="rId1252" Type="http://schemas.openxmlformats.org/officeDocument/2006/relationships/image" Target="media/image1231.png"/><Relationship Id="rId1253" Type="http://schemas.openxmlformats.org/officeDocument/2006/relationships/image" Target="media/image1232.png"/><Relationship Id="rId1254" Type="http://schemas.openxmlformats.org/officeDocument/2006/relationships/image" Target="media/image1233.png"/><Relationship Id="rId1255" Type="http://schemas.openxmlformats.org/officeDocument/2006/relationships/image" Target="media/image1234.png"/><Relationship Id="rId1256" Type="http://schemas.openxmlformats.org/officeDocument/2006/relationships/image" Target="media/image1235.png"/><Relationship Id="rId1257" Type="http://schemas.openxmlformats.org/officeDocument/2006/relationships/image" Target="media/image1236.png"/><Relationship Id="rId1258" Type="http://schemas.openxmlformats.org/officeDocument/2006/relationships/image" Target="media/image1237.png"/><Relationship Id="rId1259" Type="http://schemas.openxmlformats.org/officeDocument/2006/relationships/image" Target="media/image1238.png"/><Relationship Id="rId1260" Type="http://schemas.openxmlformats.org/officeDocument/2006/relationships/image" Target="media/image1239.png"/><Relationship Id="rId1261" Type="http://schemas.openxmlformats.org/officeDocument/2006/relationships/image" Target="media/image1240.png"/><Relationship Id="rId1262" Type="http://schemas.openxmlformats.org/officeDocument/2006/relationships/image" Target="media/image1241.png"/><Relationship Id="rId1263" Type="http://schemas.openxmlformats.org/officeDocument/2006/relationships/image" Target="media/image1242.png"/><Relationship Id="rId1264" Type="http://schemas.openxmlformats.org/officeDocument/2006/relationships/image" Target="media/image1243.png"/><Relationship Id="rId1265" Type="http://schemas.openxmlformats.org/officeDocument/2006/relationships/image" Target="media/image1244.png"/><Relationship Id="rId1266" Type="http://schemas.openxmlformats.org/officeDocument/2006/relationships/image" Target="media/image1245.png"/><Relationship Id="rId1267" Type="http://schemas.openxmlformats.org/officeDocument/2006/relationships/image" Target="media/image1246.png"/><Relationship Id="rId1268" Type="http://schemas.openxmlformats.org/officeDocument/2006/relationships/image" Target="media/image1247.png"/><Relationship Id="rId1269" Type="http://schemas.openxmlformats.org/officeDocument/2006/relationships/image" Target="media/image1248.png"/><Relationship Id="rId1270" Type="http://schemas.openxmlformats.org/officeDocument/2006/relationships/image" Target="media/image1249.png"/><Relationship Id="rId1271" Type="http://schemas.openxmlformats.org/officeDocument/2006/relationships/image" Target="media/image1250.png"/><Relationship Id="rId1272" Type="http://schemas.openxmlformats.org/officeDocument/2006/relationships/image" Target="media/image1251.png"/><Relationship Id="rId1273" Type="http://schemas.openxmlformats.org/officeDocument/2006/relationships/image" Target="media/image1252.png"/><Relationship Id="rId1274" Type="http://schemas.openxmlformats.org/officeDocument/2006/relationships/image" Target="media/image1253.png"/><Relationship Id="rId1275" Type="http://schemas.openxmlformats.org/officeDocument/2006/relationships/image" Target="media/image1254.png"/><Relationship Id="rId1276" Type="http://schemas.openxmlformats.org/officeDocument/2006/relationships/image" Target="media/image1255.png"/><Relationship Id="rId1277" Type="http://schemas.openxmlformats.org/officeDocument/2006/relationships/image" Target="media/image1256.png"/><Relationship Id="rId1278" Type="http://schemas.openxmlformats.org/officeDocument/2006/relationships/image" Target="media/image1257.png"/><Relationship Id="rId1279" Type="http://schemas.openxmlformats.org/officeDocument/2006/relationships/image" Target="media/image1258.png"/><Relationship Id="rId1280" Type="http://schemas.openxmlformats.org/officeDocument/2006/relationships/image" Target="media/image1259.png"/><Relationship Id="rId1281" Type="http://schemas.openxmlformats.org/officeDocument/2006/relationships/image" Target="media/image1260.png"/><Relationship Id="rId1282" Type="http://schemas.openxmlformats.org/officeDocument/2006/relationships/image" Target="media/image1261.png"/><Relationship Id="rId1283" Type="http://schemas.openxmlformats.org/officeDocument/2006/relationships/image" Target="media/image1262.png"/><Relationship Id="rId1284" Type="http://schemas.openxmlformats.org/officeDocument/2006/relationships/image" Target="media/image1263.png"/><Relationship Id="rId1285" Type="http://schemas.openxmlformats.org/officeDocument/2006/relationships/image" Target="media/image1264.png"/><Relationship Id="rId1286" Type="http://schemas.openxmlformats.org/officeDocument/2006/relationships/image" Target="media/image1265.png"/><Relationship Id="rId1287" Type="http://schemas.openxmlformats.org/officeDocument/2006/relationships/image" Target="media/image1266.png"/><Relationship Id="rId1288" Type="http://schemas.openxmlformats.org/officeDocument/2006/relationships/image" Target="media/image1267.png"/><Relationship Id="rId1289" Type="http://schemas.openxmlformats.org/officeDocument/2006/relationships/image" Target="media/image1268.png"/><Relationship Id="rId1290" Type="http://schemas.openxmlformats.org/officeDocument/2006/relationships/image" Target="media/image1269.png"/><Relationship Id="rId1291" Type="http://schemas.openxmlformats.org/officeDocument/2006/relationships/image" Target="media/image1270.png"/><Relationship Id="rId1292" Type="http://schemas.openxmlformats.org/officeDocument/2006/relationships/image" Target="media/image1271.png"/><Relationship Id="rId1293" Type="http://schemas.openxmlformats.org/officeDocument/2006/relationships/image" Target="media/image1272.png"/><Relationship Id="rId1294" Type="http://schemas.openxmlformats.org/officeDocument/2006/relationships/image" Target="media/image1273.png"/><Relationship Id="rId1295" Type="http://schemas.openxmlformats.org/officeDocument/2006/relationships/image" Target="media/image1274.png"/><Relationship Id="rId1296" Type="http://schemas.openxmlformats.org/officeDocument/2006/relationships/image" Target="media/image1275.png"/><Relationship Id="rId1297" Type="http://schemas.openxmlformats.org/officeDocument/2006/relationships/image" Target="media/image1276.png"/><Relationship Id="rId1298" Type="http://schemas.openxmlformats.org/officeDocument/2006/relationships/image" Target="media/image1277.png"/><Relationship Id="rId1299" Type="http://schemas.openxmlformats.org/officeDocument/2006/relationships/image" Target="media/image1278.png"/><Relationship Id="rId1300" Type="http://schemas.openxmlformats.org/officeDocument/2006/relationships/image" Target="media/image1279.png"/><Relationship Id="rId1301" Type="http://schemas.openxmlformats.org/officeDocument/2006/relationships/image" Target="media/image1280.png"/><Relationship Id="rId1302" Type="http://schemas.openxmlformats.org/officeDocument/2006/relationships/image" Target="media/image1281.png"/><Relationship Id="rId1303" Type="http://schemas.openxmlformats.org/officeDocument/2006/relationships/image" Target="media/image1282.png"/><Relationship Id="rId1304" Type="http://schemas.openxmlformats.org/officeDocument/2006/relationships/image" Target="media/image1283.png"/><Relationship Id="rId1305" Type="http://schemas.openxmlformats.org/officeDocument/2006/relationships/image" Target="media/image1284.png"/><Relationship Id="rId1306" Type="http://schemas.openxmlformats.org/officeDocument/2006/relationships/image" Target="media/image1285.png"/><Relationship Id="rId1307" Type="http://schemas.openxmlformats.org/officeDocument/2006/relationships/image" Target="media/image1286.png"/><Relationship Id="rId1308" Type="http://schemas.openxmlformats.org/officeDocument/2006/relationships/image" Target="media/image1287.png"/><Relationship Id="rId1309" Type="http://schemas.openxmlformats.org/officeDocument/2006/relationships/image" Target="media/image1288.png"/><Relationship Id="rId1310" Type="http://schemas.openxmlformats.org/officeDocument/2006/relationships/image" Target="media/image1289.png"/><Relationship Id="rId1311" Type="http://schemas.openxmlformats.org/officeDocument/2006/relationships/image" Target="media/image1290.png"/><Relationship Id="rId1312" Type="http://schemas.openxmlformats.org/officeDocument/2006/relationships/image" Target="media/image1291.png"/><Relationship Id="rId1313" Type="http://schemas.openxmlformats.org/officeDocument/2006/relationships/image" Target="media/image1292.png"/><Relationship Id="rId1314" Type="http://schemas.openxmlformats.org/officeDocument/2006/relationships/image" Target="media/image1293.png"/><Relationship Id="rId1315" Type="http://schemas.openxmlformats.org/officeDocument/2006/relationships/image" Target="media/image1294.png"/><Relationship Id="rId1316" Type="http://schemas.openxmlformats.org/officeDocument/2006/relationships/image" Target="media/image1295.png"/><Relationship Id="rId1317" Type="http://schemas.openxmlformats.org/officeDocument/2006/relationships/image" Target="media/image1296.png"/><Relationship Id="rId1318" Type="http://schemas.openxmlformats.org/officeDocument/2006/relationships/image" Target="media/image1297.png"/><Relationship Id="rId1319" Type="http://schemas.openxmlformats.org/officeDocument/2006/relationships/image" Target="media/image1298.png"/><Relationship Id="rId1320" Type="http://schemas.openxmlformats.org/officeDocument/2006/relationships/image" Target="media/image1299.png"/><Relationship Id="rId1321" Type="http://schemas.openxmlformats.org/officeDocument/2006/relationships/image" Target="media/image1300.png"/><Relationship Id="rId1322" Type="http://schemas.openxmlformats.org/officeDocument/2006/relationships/image" Target="media/image1301.png"/><Relationship Id="rId1323" Type="http://schemas.openxmlformats.org/officeDocument/2006/relationships/image" Target="media/image1302.png"/><Relationship Id="rId1324" Type="http://schemas.openxmlformats.org/officeDocument/2006/relationships/image" Target="media/image1303.png"/><Relationship Id="rId1325" Type="http://schemas.openxmlformats.org/officeDocument/2006/relationships/image" Target="media/image1304.png"/><Relationship Id="rId1326" Type="http://schemas.openxmlformats.org/officeDocument/2006/relationships/image" Target="media/image1305.png"/><Relationship Id="rId1327" Type="http://schemas.openxmlformats.org/officeDocument/2006/relationships/image" Target="media/image1306.png"/><Relationship Id="rId1328" Type="http://schemas.openxmlformats.org/officeDocument/2006/relationships/image" Target="media/image1307.png"/><Relationship Id="rId1329" Type="http://schemas.openxmlformats.org/officeDocument/2006/relationships/image" Target="media/image1308.png"/><Relationship Id="rId1330" Type="http://schemas.openxmlformats.org/officeDocument/2006/relationships/image" Target="media/image1309.png"/><Relationship Id="rId1331" Type="http://schemas.openxmlformats.org/officeDocument/2006/relationships/image" Target="media/image1310.png"/><Relationship Id="rId1332" Type="http://schemas.openxmlformats.org/officeDocument/2006/relationships/image" Target="media/image1311.png"/><Relationship Id="rId1333" Type="http://schemas.openxmlformats.org/officeDocument/2006/relationships/image" Target="media/image1312.png"/><Relationship Id="rId1334" Type="http://schemas.openxmlformats.org/officeDocument/2006/relationships/image" Target="media/image1313.png"/><Relationship Id="rId1335" Type="http://schemas.openxmlformats.org/officeDocument/2006/relationships/image" Target="media/image1314.png"/><Relationship Id="rId1336" Type="http://schemas.openxmlformats.org/officeDocument/2006/relationships/image" Target="media/image1315.png"/><Relationship Id="rId1337" Type="http://schemas.openxmlformats.org/officeDocument/2006/relationships/image" Target="media/image1316.png"/><Relationship Id="rId1338" Type="http://schemas.openxmlformats.org/officeDocument/2006/relationships/image" Target="media/image1317.png"/><Relationship Id="rId1339" Type="http://schemas.openxmlformats.org/officeDocument/2006/relationships/image" Target="media/image1318.png"/><Relationship Id="rId1340" Type="http://schemas.openxmlformats.org/officeDocument/2006/relationships/image" Target="media/image1319.png"/><Relationship Id="rId1341" Type="http://schemas.openxmlformats.org/officeDocument/2006/relationships/image" Target="media/image1320.png"/><Relationship Id="rId1342" Type="http://schemas.openxmlformats.org/officeDocument/2006/relationships/image" Target="media/image1321.png"/><Relationship Id="rId1343" Type="http://schemas.openxmlformats.org/officeDocument/2006/relationships/image" Target="media/image1322.png"/><Relationship Id="rId1344" Type="http://schemas.openxmlformats.org/officeDocument/2006/relationships/image" Target="media/image1323.png"/><Relationship Id="rId1345" Type="http://schemas.openxmlformats.org/officeDocument/2006/relationships/image" Target="media/image1324.png"/><Relationship Id="rId1346" Type="http://schemas.openxmlformats.org/officeDocument/2006/relationships/image" Target="media/image1325.png"/><Relationship Id="rId1347" Type="http://schemas.openxmlformats.org/officeDocument/2006/relationships/image" Target="media/image1326.png"/><Relationship Id="rId1348" Type="http://schemas.openxmlformats.org/officeDocument/2006/relationships/image" Target="media/image1327.png"/><Relationship Id="rId1349" Type="http://schemas.openxmlformats.org/officeDocument/2006/relationships/image" Target="media/image1328.png"/><Relationship Id="rId1350" Type="http://schemas.openxmlformats.org/officeDocument/2006/relationships/image" Target="media/image1329.png"/><Relationship Id="rId1351" Type="http://schemas.openxmlformats.org/officeDocument/2006/relationships/image" Target="media/image1330.png"/><Relationship Id="rId1352" Type="http://schemas.openxmlformats.org/officeDocument/2006/relationships/image" Target="media/image1331.png"/><Relationship Id="rId1353" Type="http://schemas.openxmlformats.org/officeDocument/2006/relationships/image" Target="media/image1332.png"/><Relationship Id="rId1354" Type="http://schemas.openxmlformats.org/officeDocument/2006/relationships/image" Target="media/image1333.png"/><Relationship Id="rId1355" Type="http://schemas.openxmlformats.org/officeDocument/2006/relationships/image" Target="media/image1334.png"/><Relationship Id="rId1356" Type="http://schemas.openxmlformats.org/officeDocument/2006/relationships/image" Target="media/image1335.png"/><Relationship Id="rId1357" Type="http://schemas.openxmlformats.org/officeDocument/2006/relationships/image" Target="media/image1336.png"/><Relationship Id="rId1358" Type="http://schemas.openxmlformats.org/officeDocument/2006/relationships/image" Target="media/image1337.png"/><Relationship Id="rId1359" Type="http://schemas.openxmlformats.org/officeDocument/2006/relationships/image" Target="media/image1338.png"/><Relationship Id="rId1360" Type="http://schemas.openxmlformats.org/officeDocument/2006/relationships/image" Target="media/image1339.png"/><Relationship Id="rId1361" Type="http://schemas.openxmlformats.org/officeDocument/2006/relationships/image" Target="media/image1340.png"/><Relationship Id="rId1362" Type="http://schemas.openxmlformats.org/officeDocument/2006/relationships/image" Target="media/image1341.png"/><Relationship Id="rId1363" Type="http://schemas.openxmlformats.org/officeDocument/2006/relationships/image" Target="media/image1342.png"/><Relationship Id="rId1364" Type="http://schemas.openxmlformats.org/officeDocument/2006/relationships/image" Target="media/image1343.png"/><Relationship Id="rId1365" Type="http://schemas.openxmlformats.org/officeDocument/2006/relationships/image" Target="media/image1344.png"/><Relationship Id="rId1366" Type="http://schemas.openxmlformats.org/officeDocument/2006/relationships/image" Target="media/image1345.png"/><Relationship Id="rId1367" Type="http://schemas.openxmlformats.org/officeDocument/2006/relationships/image" Target="media/image1346.png"/><Relationship Id="rId1368" Type="http://schemas.openxmlformats.org/officeDocument/2006/relationships/image" Target="media/image1347.png"/><Relationship Id="rId1369" Type="http://schemas.openxmlformats.org/officeDocument/2006/relationships/image" Target="media/image1348.png"/><Relationship Id="rId1370" Type="http://schemas.openxmlformats.org/officeDocument/2006/relationships/image" Target="media/image1349.png"/><Relationship Id="rId1371" Type="http://schemas.openxmlformats.org/officeDocument/2006/relationships/image" Target="media/image1350.png"/><Relationship Id="rId1372" Type="http://schemas.openxmlformats.org/officeDocument/2006/relationships/image" Target="media/image1351.png"/><Relationship Id="rId1373" Type="http://schemas.openxmlformats.org/officeDocument/2006/relationships/image" Target="media/image1352.png"/><Relationship Id="rId1374" Type="http://schemas.openxmlformats.org/officeDocument/2006/relationships/image" Target="media/image1353.png"/><Relationship Id="rId1375" Type="http://schemas.openxmlformats.org/officeDocument/2006/relationships/image" Target="media/image1354.png"/><Relationship Id="rId1376" Type="http://schemas.openxmlformats.org/officeDocument/2006/relationships/image" Target="media/image1355.png"/><Relationship Id="rId1377" Type="http://schemas.openxmlformats.org/officeDocument/2006/relationships/image" Target="media/image1356.png"/><Relationship Id="rId1378" Type="http://schemas.openxmlformats.org/officeDocument/2006/relationships/image" Target="media/image1357.png"/><Relationship Id="rId1379" Type="http://schemas.openxmlformats.org/officeDocument/2006/relationships/image" Target="media/image1358.png"/><Relationship Id="rId1380" Type="http://schemas.openxmlformats.org/officeDocument/2006/relationships/image" Target="media/image1359.png"/><Relationship Id="rId1381" Type="http://schemas.openxmlformats.org/officeDocument/2006/relationships/image" Target="media/image1360.png"/><Relationship Id="rId1382" Type="http://schemas.openxmlformats.org/officeDocument/2006/relationships/image" Target="media/image1361.png"/><Relationship Id="rId1383" Type="http://schemas.openxmlformats.org/officeDocument/2006/relationships/image" Target="media/image1362.png"/><Relationship Id="rId1384" Type="http://schemas.openxmlformats.org/officeDocument/2006/relationships/image" Target="media/image1363.png"/><Relationship Id="rId1385" Type="http://schemas.openxmlformats.org/officeDocument/2006/relationships/image" Target="media/image1364.png"/><Relationship Id="rId1386" Type="http://schemas.openxmlformats.org/officeDocument/2006/relationships/image" Target="media/image1365.png"/><Relationship Id="rId1387" Type="http://schemas.openxmlformats.org/officeDocument/2006/relationships/image" Target="media/image1366.png"/><Relationship Id="rId1388" Type="http://schemas.openxmlformats.org/officeDocument/2006/relationships/image" Target="media/image1367.png"/><Relationship Id="rId1389" Type="http://schemas.openxmlformats.org/officeDocument/2006/relationships/image" Target="media/image1368.png"/><Relationship Id="rId1390" Type="http://schemas.openxmlformats.org/officeDocument/2006/relationships/image" Target="media/image1369.png"/><Relationship Id="rId1391" Type="http://schemas.openxmlformats.org/officeDocument/2006/relationships/image" Target="media/image1370.png"/><Relationship Id="rId1392" Type="http://schemas.openxmlformats.org/officeDocument/2006/relationships/image" Target="media/image1371.png"/><Relationship Id="rId1393" Type="http://schemas.openxmlformats.org/officeDocument/2006/relationships/image" Target="media/image1372.png"/><Relationship Id="rId1394" Type="http://schemas.openxmlformats.org/officeDocument/2006/relationships/image" Target="media/image1373.png"/><Relationship Id="rId1395" Type="http://schemas.openxmlformats.org/officeDocument/2006/relationships/image" Target="media/image1374.png"/><Relationship Id="rId1396" Type="http://schemas.openxmlformats.org/officeDocument/2006/relationships/image" Target="media/image1375.png"/><Relationship Id="rId1397" Type="http://schemas.openxmlformats.org/officeDocument/2006/relationships/image" Target="media/image1376.png"/><Relationship Id="rId1398" Type="http://schemas.openxmlformats.org/officeDocument/2006/relationships/image" Target="media/image1377.png"/><Relationship Id="rId1399" Type="http://schemas.openxmlformats.org/officeDocument/2006/relationships/image" Target="media/image1378.png"/><Relationship Id="rId1400" Type="http://schemas.openxmlformats.org/officeDocument/2006/relationships/image" Target="media/image1379.png"/><Relationship Id="rId1401" Type="http://schemas.openxmlformats.org/officeDocument/2006/relationships/image" Target="media/image1380.png"/><Relationship Id="rId1402" Type="http://schemas.openxmlformats.org/officeDocument/2006/relationships/image" Target="media/image1381.png"/><Relationship Id="rId1403" Type="http://schemas.openxmlformats.org/officeDocument/2006/relationships/image" Target="media/image1382.png"/><Relationship Id="rId1404" Type="http://schemas.openxmlformats.org/officeDocument/2006/relationships/image" Target="media/image1383.png"/><Relationship Id="rId1405" Type="http://schemas.openxmlformats.org/officeDocument/2006/relationships/image" Target="media/image1384.png"/><Relationship Id="rId1406" Type="http://schemas.openxmlformats.org/officeDocument/2006/relationships/image" Target="media/image1385.png"/><Relationship Id="rId1407" Type="http://schemas.openxmlformats.org/officeDocument/2006/relationships/image" Target="media/image1386.png"/><Relationship Id="rId1408" Type="http://schemas.openxmlformats.org/officeDocument/2006/relationships/image" Target="media/image1387.png"/><Relationship Id="rId1409" Type="http://schemas.openxmlformats.org/officeDocument/2006/relationships/image" Target="media/image1388.png"/><Relationship Id="rId1410" Type="http://schemas.openxmlformats.org/officeDocument/2006/relationships/image" Target="media/image1389.png"/><Relationship Id="rId1411" Type="http://schemas.openxmlformats.org/officeDocument/2006/relationships/image" Target="media/image1390.png"/><Relationship Id="rId1412" Type="http://schemas.openxmlformats.org/officeDocument/2006/relationships/image" Target="media/image1391.png"/><Relationship Id="rId1413" Type="http://schemas.openxmlformats.org/officeDocument/2006/relationships/image" Target="media/image1392.png"/><Relationship Id="rId1414" Type="http://schemas.openxmlformats.org/officeDocument/2006/relationships/image" Target="media/image1393.png"/><Relationship Id="rId1415" Type="http://schemas.openxmlformats.org/officeDocument/2006/relationships/image" Target="media/image1394.png"/><Relationship Id="rId1416" Type="http://schemas.openxmlformats.org/officeDocument/2006/relationships/image" Target="media/image1395.png"/><Relationship Id="rId1417" Type="http://schemas.openxmlformats.org/officeDocument/2006/relationships/image" Target="media/image1396.png"/><Relationship Id="rId1418" Type="http://schemas.openxmlformats.org/officeDocument/2006/relationships/image" Target="media/image1397.png"/><Relationship Id="rId1419" Type="http://schemas.openxmlformats.org/officeDocument/2006/relationships/image" Target="media/image1398.png"/><Relationship Id="rId1420" Type="http://schemas.openxmlformats.org/officeDocument/2006/relationships/image" Target="media/image1399.png"/><Relationship Id="rId1421" Type="http://schemas.openxmlformats.org/officeDocument/2006/relationships/image" Target="media/image1400.png"/><Relationship Id="rId1422" Type="http://schemas.openxmlformats.org/officeDocument/2006/relationships/image" Target="media/image1401.png"/><Relationship Id="rId1423" Type="http://schemas.openxmlformats.org/officeDocument/2006/relationships/image" Target="media/image1402.png"/><Relationship Id="rId1424" Type="http://schemas.openxmlformats.org/officeDocument/2006/relationships/image" Target="media/image1403.png"/><Relationship Id="rId1425" Type="http://schemas.openxmlformats.org/officeDocument/2006/relationships/image" Target="media/image1404.png"/><Relationship Id="rId1426" Type="http://schemas.openxmlformats.org/officeDocument/2006/relationships/image" Target="media/image1405.png"/><Relationship Id="rId1427" Type="http://schemas.openxmlformats.org/officeDocument/2006/relationships/image" Target="media/image1406.png"/><Relationship Id="rId1428" Type="http://schemas.openxmlformats.org/officeDocument/2006/relationships/image" Target="media/image1407.png"/><Relationship Id="rId1429" Type="http://schemas.openxmlformats.org/officeDocument/2006/relationships/image" Target="media/image1408.png"/><Relationship Id="rId1430" Type="http://schemas.openxmlformats.org/officeDocument/2006/relationships/image" Target="media/image1409.png"/><Relationship Id="rId1431" Type="http://schemas.openxmlformats.org/officeDocument/2006/relationships/image" Target="media/image1410.png"/><Relationship Id="rId1432" Type="http://schemas.openxmlformats.org/officeDocument/2006/relationships/image" Target="media/image1411.png"/><Relationship Id="rId1433" Type="http://schemas.openxmlformats.org/officeDocument/2006/relationships/image" Target="media/image1412.png"/><Relationship Id="rId1434" Type="http://schemas.openxmlformats.org/officeDocument/2006/relationships/image" Target="media/image1413.png"/><Relationship Id="rId1435" Type="http://schemas.openxmlformats.org/officeDocument/2006/relationships/image" Target="media/image1414.png"/><Relationship Id="rId1436" Type="http://schemas.openxmlformats.org/officeDocument/2006/relationships/image" Target="media/image1415.png"/><Relationship Id="rId1437" Type="http://schemas.openxmlformats.org/officeDocument/2006/relationships/image" Target="media/image1416.png"/><Relationship Id="rId1438" Type="http://schemas.openxmlformats.org/officeDocument/2006/relationships/image" Target="media/image1417.png"/><Relationship Id="rId1439" Type="http://schemas.openxmlformats.org/officeDocument/2006/relationships/image" Target="media/image1418.png"/><Relationship Id="rId1440" Type="http://schemas.openxmlformats.org/officeDocument/2006/relationships/image" Target="media/image1419.png"/><Relationship Id="rId1441" Type="http://schemas.openxmlformats.org/officeDocument/2006/relationships/image" Target="media/image1420.png"/><Relationship Id="rId530" Type="http://schemas.openxmlformats.org/officeDocument/2006/relationships/hyperlink" Target="https://www.sec.gov/Archives/edgar/data/1440972/000106299325012272/exhibit99-3.htm" TargetMode="External"/><Relationship Id="rId531" Type="http://schemas.openxmlformats.org/officeDocument/2006/relationships/hyperlink" Target="https://www.sec.gov/Archives/edgar/data/1440972/000106299325001029/exhibit3-2.htm" TargetMode="External"/><Relationship Id="rId532" Type="http://schemas.openxmlformats.org/officeDocument/2006/relationships/hyperlink" Target="https://www.sec.gov/Archives/edgar/data/1440972/000106299325001029/form8k12b.htm" TargetMode="External"/><Relationship Id="rId533" Type="http://schemas.openxmlformats.org/officeDocument/2006/relationships/hyperlink" Target="https://www.sec.gov/Archives/edgar/data/1440972/000106299323019004/exhibit99-6.htm" TargetMode="External"/><Relationship Id="rId534" Type="http://schemas.openxmlformats.org/officeDocument/2006/relationships/hyperlink" Target="https://www.sec.gov/Archives/edgar/data/1440972/000106299325001047/exhibit99-1.htm" TargetMode="External"/><Relationship Id="rId535" Type="http://schemas.openxmlformats.org/officeDocument/2006/relationships/hyperlink" Target="https://www.sec.gov/Archives/edgar/data/1440972/000156459018022340/lac-ex993_7.htm" TargetMode="External"/><Relationship Id="rId536" Type="http://schemas.openxmlformats.org/officeDocument/2006/relationships/hyperlink" Target="https://www.sec.gov/Archives/edgar/data/1440972/000106299325001093/exhibit4-2.htm" TargetMode="External"/><Relationship Id="rId537" Type="http://schemas.openxmlformats.org/officeDocument/2006/relationships/hyperlink" Target="https://www.sec.gov/Archives/edgar/data/1440972/000106299323014027/exhibit99-2.htm#page_108" TargetMode="External"/><Relationship Id="rId538" Type="http://schemas.openxmlformats.org/officeDocument/2006/relationships/hyperlink" Target="https://www.sec.gov/Archives/edgar/data/1440972/000095017025046966/lar-ex4_4.htm" TargetMode="External"/><Relationship Id="rId539" Type="http://schemas.openxmlformats.org/officeDocument/2006/relationships/hyperlink" Target="https://www.sec.gov/Archives/edgar/data/1440972/000106299325015465/exhibit99-3.htm" TargetMode="External"/><Relationship Id="rId540" Type="http://schemas.openxmlformats.org/officeDocument/2006/relationships/hyperlink" Target="https://www.sec.gov/Archives/edgar/data/1440972/000095017025046966/lar-ex8_1.htm" TargetMode="External"/><Relationship Id="rId542" Type="http://schemas.openxmlformats.org/officeDocument/2006/relationships/hyperlink" Target="https://www.sec.gov/Archives/edgar/data/1440972/000110465926032465/tm269254d1_ex99-1.htm" TargetMode="External"/><Relationship Id="rId543" Type="http://schemas.openxmlformats.org/officeDocument/2006/relationships/hyperlink" Target="https://www.sec.gov/Archives/edgar/data/1440972/000110465926032463/tm268616d1_ex99-1.htm" TargetMode="External"/><Relationship Id="rId545" Type="http://schemas.openxmlformats.org/officeDocument/2006/relationships/hyperlink" Target="https://www.sec.gov/ix?doc=/Archives/edgar/data/1440972/000095017025046966/lar-2024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2026-03-23T06:55:49Z</dcterms:created>
  <dcterms:modified xsi:type="dcterms:W3CDTF">2026-03-23T06:55:49Z</dcterms:modified>
</cp:coreProperties>
</file>